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5A71B2">
      <w:pPr>
        <w:pStyle w:val="14"/>
        <w:widowControl/>
        <w:jc w:val="center"/>
        <w:outlineLvl w:val="0"/>
        <w:rPr>
          <w:rFonts w:hint="eastAsia" w:ascii="黑体" w:hAnsi="宋体" w:eastAsia="黑体" w:cs="黑体"/>
          <w:snapToGrid w:val="0"/>
          <w:color w:val="000000"/>
          <w:sz w:val="30"/>
          <w:szCs w:val="30"/>
          <w:lang/>
        </w:rPr>
      </w:pPr>
      <w:r>
        <w:rPr>
          <w:rFonts w:hint="eastAsia" w:ascii="黑体" w:hAnsi="宋体" w:eastAsia="黑体" w:cs="黑体"/>
          <w:snapToGrid w:val="0"/>
          <w:color w:val="000000"/>
          <w:sz w:val="30"/>
          <w:szCs w:val="30"/>
          <w:lang/>
        </w:rPr>
        <w:drawing>
          <wp:inline distT="0" distB="0" distL="114300" distR="114300">
            <wp:extent cx="6134100" cy="889635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4"/>
                    <a:stretch>
                      <a:fillRect/>
                    </a:stretch>
                  </pic:blipFill>
                  <pic:spPr>
                    <a:xfrm>
                      <a:off x="0" y="0"/>
                      <a:ext cx="6134100" cy="8896350"/>
                    </a:xfrm>
                    <a:prstGeom prst="rect">
                      <a:avLst/>
                    </a:prstGeom>
                    <a:noFill/>
                    <a:ln>
                      <a:noFill/>
                    </a:ln>
                  </pic:spPr>
                </pic:pic>
              </a:graphicData>
            </a:graphic>
          </wp:inline>
        </w:drawing>
      </w:r>
    </w:p>
    <w:p w14:paraId="49BA9971">
      <w:pPr>
        <w:pStyle w:val="14"/>
        <w:widowControl/>
        <w:jc w:val="center"/>
        <w:outlineLvl w:val="0"/>
        <w:rPr>
          <w:rFonts w:hint="eastAsia" w:ascii="黑体" w:hAnsi="宋体" w:eastAsia="黑体" w:cs="黑体"/>
          <w:snapToGrid w:val="0"/>
          <w:color w:val="000000"/>
          <w:sz w:val="30"/>
          <w:szCs w:val="30"/>
          <w:lang/>
        </w:rPr>
      </w:pPr>
      <w:r>
        <w:rPr>
          <w:rFonts w:hint="eastAsia" w:ascii="黑体" w:hAnsi="宋体" w:eastAsia="黑体" w:cs="黑体"/>
          <w:snapToGrid w:val="0"/>
          <w:color w:val="000000"/>
          <w:sz w:val="30"/>
          <w:szCs w:val="30"/>
          <w:lang/>
        </w:rPr>
        <w:drawing>
          <wp:inline distT="0" distB="0" distL="114300" distR="114300">
            <wp:extent cx="5114925" cy="7105650"/>
            <wp:effectExtent l="0" t="0" r="9525"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5"/>
                    <a:stretch>
                      <a:fillRect/>
                    </a:stretch>
                  </pic:blipFill>
                  <pic:spPr>
                    <a:xfrm>
                      <a:off x="0" y="0"/>
                      <a:ext cx="5114925" cy="7105650"/>
                    </a:xfrm>
                    <a:prstGeom prst="rect">
                      <a:avLst/>
                    </a:prstGeom>
                    <a:noFill/>
                    <a:ln>
                      <a:noFill/>
                    </a:ln>
                  </pic:spPr>
                </pic:pic>
              </a:graphicData>
            </a:graphic>
          </wp:inline>
        </w:drawing>
      </w:r>
      <w:r>
        <w:rPr>
          <w:rFonts w:hint="eastAsia" w:ascii="黑体" w:hAnsi="宋体" w:eastAsia="黑体" w:cs="黑体"/>
          <w:snapToGrid w:val="0"/>
          <w:color w:val="000000"/>
          <w:sz w:val="30"/>
          <w:szCs w:val="30"/>
          <w:lang/>
        </w:rPr>
        <w:br w:type="page"/>
      </w:r>
      <w:r>
        <w:rPr>
          <w:rFonts w:hint="eastAsia" w:ascii="黑体" w:hAnsi="宋体" w:eastAsia="黑体" w:cs="黑体"/>
          <w:snapToGrid w:val="0"/>
          <w:color w:val="000000"/>
          <w:sz w:val="30"/>
          <w:szCs w:val="30"/>
          <w:lang/>
        </w:rPr>
        <w:drawing>
          <wp:inline distT="0" distB="0" distL="114300" distR="114300">
            <wp:extent cx="6162675" cy="8810625"/>
            <wp:effectExtent l="0" t="0" r="9525" b="9525"/>
            <wp:docPr id="8" name="图片 3" descr="582c04e3c8fa5039e4f9489ab8f4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582c04e3c8fa5039e4f9489ab8f401c"/>
                    <pic:cNvPicPr>
                      <a:picLocks noChangeAspect="1"/>
                    </pic:cNvPicPr>
                  </pic:nvPicPr>
                  <pic:blipFill>
                    <a:blip r:embed="rId6"/>
                    <a:stretch>
                      <a:fillRect/>
                    </a:stretch>
                  </pic:blipFill>
                  <pic:spPr>
                    <a:xfrm>
                      <a:off x="0" y="0"/>
                      <a:ext cx="6162675" cy="8810625"/>
                    </a:xfrm>
                    <a:prstGeom prst="rect">
                      <a:avLst/>
                    </a:prstGeom>
                    <a:noFill/>
                    <a:ln>
                      <a:noFill/>
                    </a:ln>
                  </pic:spPr>
                </pic:pic>
              </a:graphicData>
            </a:graphic>
          </wp:inline>
        </w:drawing>
      </w:r>
    </w:p>
    <w:p w14:paraId="02A697A5">
      <w:pPr>
        <w:rPr>
          <w:rFonts w:hint="eastAsia" w:ascii="黑体" w:hAnsi="宋体" w:eastAsia="黑体" w:cs="Times New Roman"/>
          <w:snapToGrid w:val="0"/>
          <w:color w:val="000000"/>
          <w:sz w:val="30"/>
          <w:szCs w:val="30"/>
          <w:lang w:bidi="ar"/>
        </w:rPr>
        <w:sectPr>
          <w:pgSz w:w="11906" w:h="16838"/>
          <w:pgMar w:top="1418" w:right="1418" w:bottom="1418" w:left="1418" w:header="851" w:footer="851" w:gutter="0"/>
          <w:paperSrc/>
          <w:cols w:space="425" w:num="1"/>
          <w:docGrid w:type="lines" w:linePitch="312" w:charSpace="0"/>
        </w:sectPr>
      </w:pPr>
    </w:p>
    <w:p w14:paraId="190372A6">
      <w:pPr>
        <w:pStyle w:val="14"/>
        <w:widowControl/>
        <w:jc w:val="center"/>
        <w:outlineLvl w:val="0"/>
        <w:rPr>
          <w:rFonts w:hint="eastAsia" w:ascii="黑体" w:hAnsi="宋体" w:eastAsia="黑体" w:cs="黑体"/>
          <w:snapToGrid w:val="0"/>
          <w:color w:val="000000"/>
          <w:sz w:val="30"/>
          <w:szCs w:val="30"/>
          <w:lang/>
        </w:rPr>
      </w:pPr>
      <w:r>
        <w:rPr>
          <w:rFonts w:hint="eastAsia" w:ascii="黑体" w:hAnsi="宋体" w:eastAsia="黑体" w:cs="黑体"/>
          <w:snapToGrid w:val="0"/>
          <w:color w:val="000000"/>
          <w:sz w:val="30"/>
          <w:szCs w:val="30"/>
          <w:lang/>
        </w:rPr>
        <w:t>一、建设项目基本情况</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tblLayout w:type="fixed"/>
        <w:tblCellMar>
          <w:top w:w="0" w:type="dxa"/>
          <w:left w:w="0" w:type="dxa"/>
          <w:bottom w:w="0" w:type="dxa"/>
          <w:right w:w="0" w:type="dxa"/>
        </w:tblCellMar>
      </w:tblPr>
      <w:tblGrid>
        <w:gridCol w:w="1856"/>
        <w:gridCol w:w="2163"/>
        <w:gridCol w:w="1948"/>
        <w:gridCol w:w="264"/>
        <w:gridCol w:w="2639"/>
      </w:tblGrid>
      <w:tr w14:paraId="1D8D59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tblCellMar>
            <w:top w:w="0" w:type="dxa"/>
            <w:left w:w="0" w:type="dxa"/>
            <w:bottom w:w="0" w:type="dxa"/>
            <w:right w:w="0" w:type="dxa"/>
          </w:tblCellMar>
        </w:tblPrEx>
        <w:trPr>
          <w:trHeight w:val="497" w:hRule="atLeast"/>
          <w:jc w:val="center"/>
        </w:trPr>
        <w:tc>
          <w:tcPr>
            <w:tcW w:w="1856" w:type="dxa"/>
            <w:tcBorders>
              <w:top w:val="single" w:color="auto" w:sz="8" w:space="0"/>
              <w:left w:val="single" w:color="auto" w:sz="8" w:space="0"/>
              <w:bottom w:val="single" w:color="auto" w:sz="4" w:space="0"/>
              <w:right w:val="single" w:color="auto" w:sz="4" w:space="0"/>
            </w:tcBorders>
            <w:shd w:val="clear"/>
            <w:tcMar>
              <w:top w:w="16" w:type="dxa"/>
              <w:left w:w="16" w:type="dxa"/>
              <w:right w:w="16" w:type="dxa"/>
            </w:tcMar>
            <w:vAlign w:val="center"/>
          </w:tcPr>
          <w:p w14:paraId="1C542E49">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建设项目名称</w:t>
            </w:r>
          </w:p>
        </w:tc>
        <w:tc>
          <w:tcPr>
            <w:tcW w:w="7014" w:type="dxa"/>
            <w:gridSpan w:val="4"/>
            <w:tcBorders>
              <w:top w:val="single" w:color="auto" w:sz="8" w:space="0"/>
              <w:left w:val="single" w:color="auto" w:sz="4" w:space="0"/>
              <w:bottom w:val="single" w:color="auto" w:sz="4" w:space="0"/>
              <w:right w:val="single" w:color="auto" w:sz="8" w:space="0"/>
            </w:tcBorders>
            <w:shd w:val="clear"/>
            <w:vAlign w:val="center"/>
          </w:tcPr>
          <w:p w14:paraId="3033257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永祺汽车配件扩建项目</w:t>
            </w:r>
          </w:p>
        </w:tc>
      </w:tr>
      <w:tr w14:paraId="18B93D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1856" w:type="dxa"/>
            <w:tcBorders>
              <w:top w:val="single" w:color="auto" w:sz="4" w:space="0"/>
              <w:left w:val="single" w:color="auto" w:sz="8" w:space="0"/>
              <w:bottom w:val="single" w:color="auto" w:sz="4" w:space="0"/>
              <w:right w:val="single" w:color="auto" w:sz="4" w:space="0"/>
            </w:tcBorders>
            <w:shd w:val="clear"/>
            <w:tcMar>
              <w:top w:w="16" w:type="dxa"/>
              <w:left w:w="16" w:type="dxa"/>
              <w:right w:w="16" w:type="dxa"/>
            </w:tcMar>
            <w:vAlign w:val="center"/>
          </w:tcPr>
          <w:p w14:paraId="3614F305">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项目代码</w:t>
            </w:r>
          </w:p>
        </w:tc>
        <w:tc>
          <w:tcPr>
            <w:tcW w:w="7014" w:type="dxa"/>
            <w:gridSpan w:val="4"/>
            <w:tcBorders>
              <w:top w:val="single" w:color="auto" w:sz="4" w:space="0"/>
              <w:left w:val="single" w:color="auto" w:sz="4" w:space="0"/>
              <w:bottom w:val="single" w:color="auto" w:sz="4" w:space="0"/>
              <w:right w:val="single" w:color="auto" w:sz="8" w:space="0"/>
            </w:tcBorders>
            <w:shd w:val="clear"/>
            <w:vAlign w:val="center"/>
          </w:tcPr>
          <w:p w14:paraId="5E18828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bdr w:val="none" w:color="auto" w:sz="0" w:space="0"/>
                <w:lang w:val="en-US"/>
              </w:rPr>
            </w:pPr>
            <w:bookmarkStart w:id="0" w:name="OLE_LINK32"/>
            <w:bookmarkStart w:id="1" w:name="OLE_LINK8"/>
            <w:r>
              <w:rPr>
                <w:rFonts w:hint="default" w:ascii="Times New Roman" w:hAnsi="Times New Roman" w:eastAsia="宋体" w:cs="Times New Roman"/>
                <w:color w:val="000000"/>
                <w:kern w:val="2"/>
                <w:sz w:val="24"/>
                <w:szCs w:val="24"/>
                <w:bdr w:val="none" w:color="auto" w:sz="0" w:space="0"/>
                <w:lang w:val="en-US" w:eastAsia="zh-CN" w:bidi="ar"/>
              </w:rPr>
              <w:t>2502-500117-04-01-216976</w:t>
            </w:r>
            <w:bookmarkEnd w:id="0"/>
            <w:bookmarkEnd w:id="1"/>
          </w:p>
        </w:tc>
      </w:tr>
      <w:tr w14:paraId="5D352A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Borders>
              <w:top w:val="single" w:color="auto" w:sz="4" w:space="0"/>
              <w:left w:val="single" w:color="auto" w:sz="8" w:space="0"/>
              <w:bottom w:val="single" w:color="auto" w:sz="4" w:space="0"/>
              <w:right w:val="single" w:color="auto" w:sz="4" w:space="0"/>
            </w:tcBorders>
            <w:shd w:val="clear"/>
            <w:tcMar>
              <w:top w:w="16" w:type="dxa"/>
              <w:left w:w="16" w:type="dxa"/>
              <w:right w:w="16" w:type="dxa"/>
            </w:tcMar>
            <w:vAlign w:val="center"/>
          </w:tcPr>
          <w:p w14:paraId="23CD917E">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建设单位联系人</w:t>
            </w:r>
          </w:p>
        </w:tc>
        <w:tc>
          <w:tcPr>
            <w:tcW w:w="2163" w:type="dxa"/>
            <w:tcBorders>
              <w:top w:val="single" w:color="auto" w:sz="4" w:space="0"/>
              <w:left w:val="single" w:color="auto" w:sz="4" w:space="0"/>
              <w:bottom w:val="single" w:color="auto" w:sz="4" w:space="0"/>
              <w:right w:val="single" w:color="auto" w:sz="4" w:space="0"/>
            </w:tcBorders>
            <w:shd w:val="clear"/>
            <w:vAlign w:val="center"/>
          </w:tcPr>
          <w:p w14:paraId="2BD5E4D6">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p>
        </w:tc>
        <w:tc>
          <w:tcPr>
            <w:tcW w:w="2212" w:type="dxa"/>
            <w:gridSpan w:val="2"/>
            <w:tcBorders>
              <w:top w:val="single" w:color="auto" w:sz="4" w:space="0"/>
              <w:left w:val="single" w:color="auto" w:sz="4" w:space="0"/>
              <w:bottom w:val="single" w:color="auto" w:sz="4" w:space="0"/>
              <w:right w:val="single" w:color="auto" w:sz="4" w:space="0"/>
            </w:tcBorders>
            <w:shd w:val="clear"/>
            <w:vAlign w:val="center"/>
          </w:tcPr>
          <w:p w14:paraId="7D5CA0AB">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联系方式</w:t>
            </w:r>
          </w:p>
        </w:tc>
        <w:tc>
          <w:tcPr>
            <w:tcW w:w="2639" w:type="dxa"/>
            <w:tcBorders>
              <w:top w:val="single" w:color="auto" w:sz="4" w:space="0"/>
              <w:left w:val="single" w:color="auto" w:sz="4" w:space="0"/>
              <w:bottom w:val="single" w:color="auto" w:sz="4" w:space="0"/>
              <w:right w:val="single" w:color="auto" w:sz="8" w:space="0"/>
            </w:tcBorders>
            <w:shd w:val="clear"/>
            <w:vAlign w:val="center"/>
          </w:tcPr>
          <w:p w14:paraId="6E02105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bdr w:val="none" w:color="auto" w:sz="0" w:space="0"/>
                <w:lang w:val="en-US"/>
              </w:rPr>
            </w:pPr>
          </w:p>
        </w:tc>
      </w:tr>
      <w:tr w14:paraId="0BA3A0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Borders>
              <w:top w:val="single" w:color="auto" w:sz="4" w:space="0"/>
              <w:left w:val="single" w:color="auto" w:sz="8" w:space="0"/>
              <w:bottom w:val="single" w:color="auto" w:sz="4" w:space="0"/>
              <w:right w:val="single" w:color="auto" w:sz="4" w:space="0"/>
            </w:tcBorders>
            <w:shd w:val="clear"/>
            <w:tcMar>
              <w:top w:w="16" w:type="dxa"/>
              <w:left w:w="16" w:type="dxa"/>
              <w:right w:w="16" w:type="dxa"/>
            </w:tcMar>
            <w:vAlign w:val="center"/>
          </w:tcPr>
          <w:p w14:paraId="2D4E128E">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建设地点</w:t>
            </w:r>
          </w:p>
        </w:tc>
        <w:tc>
          <w:tcPr>
            <w:tcW w:w="7014" w:type="dxa"/>
            <w:gridSpan w:val="4"/>
            <w:tcBorders>
              <w:top w:val="single" w:color="auto" w:sz="4" w:space="0"/>
              <w:left w:val="single" w:color="auto" w:sz="4" w:space="0"/>
              <w:bottom w:val="single" w:color="auto" w:sz="4" w:space="0"/>
              <w:right w:val="single" w:color="auto" w:sz="8" w:space="0"/>
            </w:tcBorders>
            <w:shd w:val="clear"/>
            <w:vAlign w:val="center"/>
          </w:tcPr>
          <w:p w14:paraId="26F4CCC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highlight w:val="yellow"/>
                <w:bdr w:val="none" w:color="auto" w:sz="0" w:space="0"/>
                <w:lang w:val="en-US"/>
              </w:rPr>
            </w:pPr>
          </w:p>
        </w:tc>
      </w:tr>
      <w:tr w14:paraId="4BA9CC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Borders>
              <w:top w:val="single" w:color="auto" w:sz="4" w:space="0"/>
              <w:left w:val="single" w:color="auto" w:sz="8" w:space="0"/>
              <w:bottom w:val="single" w:color="auto" w:sz="4" w:space="0"/>
              <w:right w:val="single" w:color="auto" w:sz="4" w:space="0"/>
            </w:tcBorders>
            <w:shd w:val="clear"/>
            <w:tcMar>
              <w:top w:w="16" w:type="dxa"/>
              <w:left w:w="16" w:type="dxa"/>
              <w:right w:w="16" w:type="dxa"/>
            </w:tcMar>
            <w:vAlign w:val="center"/>
          </w:tcPr>
          <w:p w14:paraId="773FB4AE">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地理坐标</w:t>
            </w:r>
          </w:p>
        </w:tc>
        <w:tc>
          <w:tcPr>
            <w:tcW w:w="7014" w:type="dxa"/>
            <w:gridSpan w:val="4"/>
            <w:tcBorders>
              <w:top w:val="single" w:color="auto" w:sz="4" w:space="0"/>
              <w:left w:val="single" w:color="auto" w:sz="4" w:space="0"/>
              <w:bottom w:val="single" w:color="auto" w:sz="4" w:space="0"/>
              <w:right w:val="single" w:color="auto" w:sz="8" w:space="0"/>
            </w:tcBorders>
            <w:shd w:val="clear"/>
            <w:vAlign w:val="center"/>
          </w:tcPr>
          <w:p w14:paraId="3EF35023">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w:t>
            </w:r>
            <w:r>
              <w:rPr>
                <w:rFonts w:hint="default" w:ascii="Times New Roman" w:hAnsi="宋体" w:eastAsia="宋体" w:cs="Times New Roman"/>
                <w:color w:val="000000"/>
                <w:kern w:val="2"/>
                <w:sz w:val="24"/>
                <w:szCs w:val="24"/>
                <w:u w:val="single"/>
                <w:bdr w:val="none" w:color="auto" w:sz="0" w:space="0"/>
                <w:lang w:val="en-US" w:eastAsia="zh-CN" w:bidi="ar"/>
              </w:rPr>
              <w:t xml:space="preserve">   </w:t>
            </w:r>
            <w:r>
              <w:rPr>
                <w:rFonts w:hint="eastAsia" w:ascii="Times New Roman" w:hAnsi="宋体" w:eastAsia="宋体" w:cs="宋体"/>
                <w:color w:val="000000"/>
                <w:kern w:val="2"/>
                <w:sz w:val="24"/>
                <w:szCs w:val="24"/>
                <w:bdr w:val="none" w:color="auto" w:sz="0" w:space="0"/>
                <w:lang w:val="en-US" w:eastAsia="zh-CN" w:bidi="ar"/>
              </w:rPr>
              <w:t>度</w:t>
            </w:r>
            <w:r>
              <w:rPr>
                <w:rFonts w:hint="default" w:ascii="Times New Roman" w:hAnsi="宋体" w:eastAsia="宋体" w:cs="Times New Roman"/>
                <w:color w:val="000000"/>
                <w:kern w:val="2"/>
                <w:sz w:val="24"/>
                <w:szCs w:val="24"/>
                <w:u w:val="single"/>
                <w:bdr w:val="none" w:color="auto" w:sz="0" w:space="0"/>
                <w:lang w:val="en-US" w:eastAsia="zh-CN" w:bidi="ar"/>
              </w:rPr>
              <w:t xml:space="preserve">   </w:t>
            </w:r>
            <w:r>
              <w:rPr>
                <w:rFonts w:hint="eastAsia" w:ascii="Times New Roman" w:hAnsi="宋体" w:eastAsia="宋体" w:cs="宋体"/>
                <w:color w:val="000000"/>
                <w:kern w:val="2"/>
                <w:sz w:val="24"/>
                <w:szCs w:val="24"/>
                <w:bdr w:val="none" w:color="auto" w:sz="0" w:space="0"/>
                <w:lang w:val="en-US" w:eastAsia="zh-CN" w:bidi="ar"/>
              </w:rPr>
              <w:t>分</w:t>
            </w:r>
            <w:r>
              <w:rPr>
                <w:rFonts w:hint="default" w:ascii="Times New Roman" w:hAnsi="宋体" w:eastAsia="宋体" w:cs="Times New Roman"/>
                <w:color w:val="000000"/>
                <w:kern w:val="2"/>
                <w:sz w:val="24"/>
                <w:szCs w:val="24"/>
                <w:u w:val="single"/>
                <w:bdr w:val="none" w:color="auto" w:sz="0" w:space="0"/>
                <w:lang w:val="en-US" w:eastAsia="zh-CN" w:bidi="ar"/>
              </w:rPr>
              <w:t xml:space="preserve">   </w:t>
            </w:r>
            <w:r>
              <w:rPr>
                <w:rFonts w:hint="eastAsia" w:ascii="Times New Roman" w:hAnsi="宋体" w:eastAsia="宋体" w:cs="宋体"/>
                <w:color w:val="000000"/>
                <w:kern w:val="2"/>
                <w:sz w:val="24"/>
                <w:szCs w:val="24"/>
                <w:bdr w:val="none" w:color="auto" w:sz="0" w:space="0"/>
                <w:lang w:val="en-US" w:eastAsia="zh-CN" w:bidi="ar"/>
              </w:rPr>
              <w:t>秒，</w:t>
            </w:r>
            <w:r>
              <w:rPr>
                <w:rFonts w:hint="default" w:ascii="Times New Roman" w:hAnsi="宋体" w:eastAsia="宋体" w:cs="Times New Roman"/>
                <w:color w:val="000000"/>
                <w:kern w:val="2"/>
                <w:sz w:val="24"/>
                <w:szCs w:val="24"/>
                <w:u w:val="single"/>
                <w:bdr w:val="none" w:color="auto" w:sz="0" w:space="0"/>
                <w:lang w:val="en-US" w:eastAsia="zh-CN" w:bidi="ar"/>
              </w:rPr>
              <w:t xml:space="preserve">   </w:t>
            </w:r>
            <w:r>
              <w:rPr>
                <w:rFonts w:hint="eastAsia" w:ascii="Times New Roman" w:hAnsi="宋体" w:eastAsia="宋体" w:cs="宋体"/>
                <w:color w:val="000000"/>
                <w:kern w:val="2"/>
                <w:sz w:val="24"/>
                <w:szCs w:val="24"/>
                <w:bdr w:val="none" w:color="auto" w:sz="0" w:space="0"/>
                <w:lang w:val="en-US" w:eastAsia="zh-CN" w:bidi="ar"/>
              </w:rPr>
              <w:t>度</w:t>
            </w:r>
            <w:r>
              <w:rPr>
                <w:rFonts w:hint="default" w:ascii="Times New Roman" w:hAnsi="宋体" w:eastAsia="宋体" w:cs="Times New Roman"/>
                <w:color w:val="000000"/>
                <w:kern w:val="2"/>
                <w:sz w:val="24"/>
                <w:szCs w:val="24"/>
                <w:u w:val="single"/>
                <w:bdr w:val="none" w:color="auto" w:sz="0" w:space="0"/>
                <w:lang w:val="en-US" w:eastAsia="zh-CN" w:bidi="ar"/>
              </w:rPr>
              <w:t xml:space="preserve">   </w:t>
            </w:r>
            <w:r>
              <w:rPr>
                <w:rFonts w:hint="eastAsia" w:ascii="Times New Roman" w:hAnsi="宋体" w:eastAsia="宋体" w:cs="宋体"/>
                <w:color w:val="000000"/>
                <w:kern w:val="2"/>
                <w:sz w:val="24"/>
                <w:szCs w:val="24"/>
                <w:bdr w:val="none" w:color="auto" w:sz="0" w:space="0"/>
                <w:lang w:val="en-US" w:eastAsia="zh-CN" w:bidi="ar"/>
              </w:rPr>
              <w:t>分</w:t>
            </w:r>
            <w:r>
              <w:rPr>
                <w:rFonts w:hint="default" w:ascii="Times New Roman" w:hAnsi="宋体" w:eastAsia="宋体" w:cs="Times New Roman"/>
                <w:color w:val="000000"/>
                <w:kern w:val="2"/>
                <w:sz w:val="24"/>
                <w:szCs w:val="24"/>
                <w:u w:val="single"/>
                <w:bdr w:val="none" w:color="auto" w:sz="0" w:space="0"/>
                <w:lang w:val="en-US" w:eastAsia="zh-CN" w:bidi="ar"/>
              </w:rPr>
              <w:t xml:space="preserve">   </w:t>
            </w:r>
            <w:r>
              <w:rPr>
                <w:rFonts w:hint="eastAsia" w:ascii="Times New Roman" w:hAnsi="宋体" w:eastAsia="宋体" w:cs="宋体"/>
                <w:color w:val="000000"/>
                <w:kern w:val="2"/>
                <w:sz w:val="24"/>
                <w:szCs w:val="24"/>
                <w:bdr w:val="none" w:color="auto" w:sz="0" w:space="0"/>
                <w:lang w:val="en-US" w:eastAsia="zh-CN" w:bidi="ar"/>
              </w:rPr>
              <w:t>秒）</w:t>
            </w:r>
          </w:p>
        </w:tc>
      </w:tr>
      <w:tr w14:paraId="7FF474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78" w:hRule="atLeast"/>
          <w:jc w:val="center"/>
        </w:trPr>
        <w:tc>
          <w:tcPr>
            <w:tcW w:w="1856" w:type="dxa"/>
            <w:tcBorders>
              <w:top w:val="single" w:color="auto" w:sz="4" w:space="0"/>
              <w:left w:val="single" w:color="auto" w:sz="8" w:space="0"/>
              <w:bottom w:val="single" w:color="auto" w:sz="4" w:space="0"/>
              <w:right w:val="single" w:color="auto" w:sz="4" w:space="0"/>
            </w:tcBorders>
            <w:shd w:val="clear"/>
            <w:tcMar>
              <w:top w:w="16" w:type="dxa"/>
              <w:left w:w="16" w:type="dxa"/>
              <w:right w:w="16" w:type="dxa"/>
            </w:tcMar>
            <w:vAlign w:val="center"/>
          </w:tcPr>
          <w:p w14:paraId="585440C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国民经济</w:t>
            </w:r>
          </w:p>
          <w:p w14:paraId="42C28C1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行业类别</w:t>
            </w:r>
          </w:p>
        </w:tc>
        <w:tc>
          <w:tcPr>
            <w:tcW w:w="2163" w:type="dxa"/>
            <w:tcBorders>
              <w:top w:val="single" w:color="auto" w:sz="4" w:space="0"/>
              <w:left w:val="single" w:color="auto" w:sz="4" w:space="0"/>
              <w:bottom w:val="single" w:color="auto" w:sz="4" w:space="0"/>
              <w:right w:val="single" w:color="auto" w:sz="4" w:space="0"/>
            </w:tcBorders>
            <w:shd w:val="clear"/>
            <w:vAlign w:val="center"/>
          </w:tcPr>
          <w:p w14:paraId="38722BF1">
            <w:pPr>
              <w:pStyle w:val="9"/>
              <w:widowControl/>
              <w:spacing w:line="380" w:lineRule="exact"/>
              <w:jc w:val="center"/>
              <w:rPr>
                <w:rFonts w:hint="default" w:ascii="Times New Roman" w:hAnsi="Times New Roman" w:cs="Times New Roman"/>
                <w:bCs/>
                <w:color w:val="000000"/>
                <w:sz w:val="24"/>
                <w:szCs w:val="24"/>
                <w:bdr w:val="none" w:color="auto" w:sz="0" w:space="0"/>
                <w:lang w:val="en-US"/>
              </w:rPr>
            </w:pPr>
            <w:r>
              <w:rPr>
                <w:rFonts w:hint="default" w:ascii="Times New Roman" w:hAnsi="Times New Roman" w:cs="Times New Roman"/>
                <w:bCs/>
                <w:color w:val="000000"/>
                <w:sz w:val="24"/>
                <w:szCs w:val="24"/>
                <w:bdr w:val="none" w:color="auto" w:sz="0" w:space="0"/>
                <w:lang w:val="en-US"/>
              </w:rPr>
              <w:t>C3670</w:t>
            </w:r>
            <w:r>
              <w:rPr>
                <w:rFonts w:ascii="Times New Roman" w:hAnsi="Times New Roman"/>
                <w:bCs/>
                <w:color w:val="000000"/>
                <w:sz w:val="24"/>
                <w:szCs w:val="24"/>
                <w:bdr w:val="none" w:color="auto" w:sz="0" w:space="0"/>
              </w:rPr>
              <w:t>汽车零部件及配件制造</w:t>
            </w:r>
          </w:p>
        </w:tc>
        <w:tc>
          <w:tcPr>
            <w:tcW w:w="1948" w:type="dxa"/>
            <w:tcBorders>
              <w:top w:val="single" w:color="auto" w:sz="4" w:space="0"/>
              <w:left w:val="single" w:color="auto" w:sz="4" w:space="0"/>
              <w:bottom w:val="single" w:color="auto" w:sz="4" w:space="0"/>
              <w:right w:val="single" w:color="auto" w:sz="4" w:space="0"/>
            </w:tcBorders>
            <w:shd w:val="clear"/>
            <w:vAlign w:val="center"/>
          </w:tcPr>
          <w:p w14:paraId="321AA54A">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bookmarkStart w:id="2" w:name="_Hlk49843745"/>
            <w:r>
              <w:rPr>
                <w:rFonts w:hint="eastAsia" w:ascii="宋体" w:hAnsi="宋体" w:eastAsia="宋体" w:cs="宋体"/>
                <w:color w:val="000000"/>
                <w:kern w:val="2"/>
                <w:sz w:val="24"/>
                <w:szCs w:val="24"/>
                <w:bdr w:val="none" w:color="auto" w:sz="0" w:space="0"/>
                <w:lang w:val="en-US" w:eastAsia="zh-CN" w:bidi="ar"/>
              </w:rPr>
              <w:t>建设项目</w:t>
            </w:r>
          </w:p>
          <w:p w14:paraId="1D48BFB0">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行业类别</w:t>
            </w:r>
            <w:bookmarkEnd w:id="2"/>
          </w:p>
        </w:tc>
        <w:tc>
          <w:tcPr>
            <w:tcW w:w="2903" w:type="dxa"/>
            <w:gridSpan w:val="2"/>
            <w:tcBorders>
              <w:top w:val="single" w:color="auto" w:sz="4" w:space="0"/>
              <w:left w:val="single" w:color="auto" w:sz="4" w:space="0"/>
              <w:bottom w:val="single" w:color="auto" w:sz="4" w:space="0"/>
              <w:right w:val="single" w:color="auto" w:sz="8" w:space="0"/>
            </w:tcBorders>
            <w:shd w:val="clear"/>
            <w:vAlign w:val="center"/>
          </w:tcPr>
          <w:p w14:paraId="14E6EA9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三十三、汽车制造业</w:t>
            </w:r>
            <w:r>
              <w:rPr>
                <w:rFonts w:hint="default" w:ascii="Times New Roman" w:hAnsi="Times New Roman" w:eastAsia="宋体" w:cs="Times New Roman"/>
                <w:color w:val="000000"/>
                <w:kern w:val="2"/>
                <w:sz w:val="24"/>
                <w:szCs w:val="24"/>
                <w:bdr w:val="none" w:color="auto" w:sz="0" w:space="0"/>
                <w:lang w:val="en-US" w:eastAsia="zh-CN" w:bidi="ar"/>
              </w:rPr>
              <w:t>36</w:t>
            </w:r>
          </w:p>
          <w:p w14:paraId="48D3F38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71</w:t>
            </w:r>
            <w:r>
              <w:rPr>
                <w:rFonts w:hint="eastAsia" w:ascii="Times New Roman" w:hAnsi="Times New Roman" w:eastAsia="宋体" w:cs="宋体"/>
                <w:color w:val="000000"/>
                <w:kern w:val="2"/>
                <w:sz w:val="24"/>
                <w:szCs w:val="24"/>
                <w:bdr w:val="none" w:color="auto" w:sz="0" w:space="0"/>
                <w:lang w:val="en-US" w:eastAsia="zh-CN" w:bidi="ar"/>
              </w:rPr>
              <w:t>汽车零部件及配件制造</w:t>
            </w:r>
            <w:r>
              <w:rPr>
                <w:rFonts w:hint="default" w:ascii="Times New Roman" w:hAnsi="Times New Roman" w:eastAsia="宋体" w:cs="Times New Roman"/>
                <w:color w:val="000000"/>
                <w:kern w:val="2"/>
                <w:sz w:val="24"/>
                <w:szCs w:val="24"/>
                <w:bdr w:val="none" w:color="auto" w:sz="0" w:space="0"/>
                <w:lang w:val="en-US" w:eastAsia="zh-CN" w:bidi="ar"/>
              </w:rPr>
              <w:t>367</w:t>
            </w:r>
            <w:r>
              <w:rPr>
                <w:rFonts w:hint="eastAsia" w:ascii="Times New Roman" w:hAnsi="Times New Roman" w:eastAsia="宋体" w:cs="宋体"/>
                <w:color w:val="000000"/>
                <w:kern w:val="2"/>
                <w:sz w:val="24"/>
                <w:szCs w:val="24"/>
                <w:bdr w:val="none" w:color="auto" w:sz="0" w:space="0"/>
                <w:lang w:val="en-US" w:eastAsia="zh-CN" w:bidi="ar"/>
              </w:rPr>
              <w:t>”</w:t>
            </w:r>
          </w:p>
        </w:tc>
      </w:tr>
      <w:tr w14:paraId="564460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06" w:hRule="atLeast"/>
          <w:jc w:val="center"/>
        </w:trPr>
        <w:tc>
          <w:tcPr>
            <w:tcW w:w="1856" w:type="dxa"/>
            <w:tcBorders>
              <w:top w:val="single" w:color="auto" w:sz="4" w:space="0"/>
              <w:left w:val="single" w:color="auto" w:sz="8" w:space="0"/>
              <w:bottom w:val="single" w:color="auto" w:sz="4" w:space="0"/>
              <w:right w:val="single" w:color="auto" w:sz="4" w:space="0"/>
            </w:tcBorders>
            <w:shd w:val="clear"/>
            <w:tcMar>
              <w:top w:w="16" w:type="dxa"/>
              <w:left w:w="16" w:type="dxa"/>
              <w:right w:w="16" w:type="dxa"/>
            </w:tcMar>
            <w:vAlign w:val="center"/>
          </w:tcPr>
          <w:p w14:paraId="54CFC78E">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建设性质</w:t>
            </w:r>
          </w:p>
        </w:tc>
        <w:tc>
          <w:tcPr>
            <w:tcW w:w="2163" w:type="dxa"/>
            <w:tcBorders>
              <w:top w:val="single" w:color="auto" w:sz="4" w:space="0"/>
              <w:left w:val="single" w:color="auto" w:sz="4" w:space="0"/>
              <w:bottom w:val="single" w:color="auto" w:sz="4" w:space="0"/>
              <w:right w:val="single" w:color="auto" w:sz="4" w:space="0"/>
            </w:tcBorders>
            <w:shd w:val="clear"/>
            <w:vAlign w:val="center"/>
          </w:tcPr>
          <w:p w14:paraId="75607619">
            <w:pPr>
              <w:keepNext w:val="0"/>
              <w:keepLines w:val="0"/>
              <w:widowControl w:val="0"/>
              <w:suppressLineNumbers w:val="0"/>
              <w:spacing w:before="0" w:beforeAutospacing="0" w:after="0" w:afterAutospacing="0"/>
              <w:ind w:left="0" w:right="0"/>
              <w:jc w:val="left"/>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□新建（迁建）</w:t>
            </w:r>
          </w:p>
          <w:p w14:paraId="67E6AD43">
            <w:pPr>
              <w:keepNext w:val="0"/>
              <w:keepLines w:val="0"/>
              <w:widowControl w:val="0"/>
              <w:suppressLineNumbers w:val="0"/>
              <w:spacing w:before="0" w:beforeAutospacing="0" w:after="0" w:afterAutospacing="0"/>
              <w:ind w:left="0" w:right="0"/>
              <w:jc w:val="left"/>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□改建</w:t>
            </w:r>
          </w:p>
          <w:p w14:paraId="2A2EF67C">
            <w:pPr>
              <w:keepNext w:val="0"/>
              <w:keepLines w:val="0"/>
              <w:widowControl w:val="0"/>
              <w:suppressLineNumbers w:val="0"/>
              <w:spacing w:before="0" w:beforeAutospacing="0" w:after="0" w:afterAutospacing="0"/>
              <w:ind w:left="0" w:right="0"/>
              <w:jc w:val="left"/>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■扩建</w:t>
            </w:r>
          </w:p>
          <w:p w14:paraId="6848009C">
            <w:pPr>
              <w:keepNext w:val="0"/>
              <w:keepLines w:val="0"/>
              <w:widowControl w:val="0"/>
              <w:suppressLineNumbers w:val="0"/>
              <w:spacing w:before="0" w:beforeAutospacing="0" w:after="0" w:afterAutospacing="0"/>
              <w:ind w:left="0" w:right="0"/>
              <w:jc w:val="left"/>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□技术改造</w:t>
            </w:r>
          </w:p>
        </w:tc>
        <w:tc>
          <w:tcPr>
            <w:tcW w:w="1948" w:type="dxa"/>
            <w:tcBorders>
              <w:top w:val="single" w:color="auto" w:sz="4" w:space="0"/>
              <w:left w:val="single" w:color="auto" w:sz="4" w:space="0"/>
              <w:bottom w:val="single" w:color="auto" w:sz="4" w:space="0"/>
              <w:right w:val="single" w:color="auto" w:sz="4" w:space="0"/>
            </w:tcBorders>
            <w:shd w:val="clear"/>
            <w:vAlign w:val="center"/>
          </w:tcPr>
          <w:p w14:paraId="30A3A2DF">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建设项目</w:t>
            </w:r>
          </w:p>
          <w:p w14:paraId="4CA53D9D">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申报情形</w:t>
            </w:r>
          </w:p>
        </w:tc>
        <w:tc>
          <w:tcPr>
            <w:tcW w:w="2903" w:type="dxa"/>
            <w:gridSpan w:val="2"/>
            <w:tcBorders>
              <w:top w:val="single" w:color="auto" w:sz="4" w:space="0"/>
              <w:left w:val="single" w:color="auto" w:sz="4" w:space="0"/>
              <w:bottom w:val="single" w:color="auto" w:sz="4" w:space="0"/>
              <w:right w:val="single" w:color="auto" w:sz="8" w:space="0"/>
            </w:tcBorders>
            <w:shd w:val="clear"/>
            <w:vAlign w:val="center"/>
          </w:tcPr>
          <w:p w14:paraId="5E141EE6">
            <w:pPr>
              <w:keepNext w:val="0"/>
              <w:keepLines w:val="0"/>
              <w:widowControl w:val="0"/>
              <w:suppressLineNumbers w:val="0"/>
              <w:spacing w:before="0" w:beforeAutospacing="0" w:after="0" w:afterAutospacing="0"/>
              <w:ind w:left="0" w:right="0"/>
              <w:jc w:val="left"/>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 xml:space="preserve">■首次申报项目             </w:t>
            </w:r>
          </w:p>
          <w:p w14:paraId="5EFBDBC1">
            <w:pPr>
              <w:keepNext w:val="0"/>
              <w:keepLines w:val="0"/>
              <w:widowControl w:val="0"/>
              <w:suppressLineNumbers w:val="0"/>
              <w:spacing w:before="0" w:beforeAutospacing="0" w:after="0" w:afterAutospacing="0"/>
              <w:ind w:left="0" w:right="0"/>
              <w:jc w:val="left"/>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□不予批准后再次申报项目</w:t>
            </w:r>
          </w:p>
          <w:p w14:paraId="549F88B7">
            <w:pPr>
              <w:keepNext w:val="0"/>
              <w:keepLines w:val="0"/>
              <w:widowControl w:val="0"/>
              <w:suppressLineNumbers w:val="0"/>
              <w:spacing w:before="0" w:beforeAutospacing="0" w:after="0" w:afterAutospacing="0"/>
              <w:ind w:left="0" w:right="0"/>
              <w:jc w:val="left"/>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 xml:space="preserve">□超五年重新审核项目     </w:t>
            </w:r>
          </w:p>
          <w:p w14:paraId="3AB97931">
            <w:pPr>
              <w:keepNext w:val="0"/>
              <w:keepLines w:val="0"/>
              <w:widowControl w:val="0"/>
              <w:suppressLineNumbers w:val="0"/>
              <w:spacing w:before="0" w:beforeAutospacing="0" w:after="0" w:afterAutospacing="0"/>
              <w:ind w:left="0" w:right="0"/>
              <w:jc w:val="left"/>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□重大变动重新报批项目</w:t>
            </w:r>
          </w:p>
        </w:tc>
      </w:tr>
      <w:tr w14:paraId="67C924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56" w:type="dxa"/>
            <w:tcBorders>
              <w:top w:val="single" w:color="auto" w:sz="4" w:space="0"/>
              <w:left w:val="single" w:color="auto" w:sz="8" w:space="0"/>
              <w:bottom w:val="single" w:color="auto" w:sz="4" w:space="0"/>
              <w:right w:val="single" w:color="auto" w:sz="4" w:space="0"/>
            </w:tcBorders>
            <w:shd w:val="clear"/>
            <w:tcMar>
              <w:top w:w="16" w:type="dxa"/>
              <w:left w:w="16" w:type="dxa"/>
              <w:right w:w="16" w:type="dxa"/>
            </w:tcMar>
            <w:vAlign w:val="center"/>
          </w:tcPr>
          <w:p w14:paraId="032C73C6">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项目审批（核准/</w:t>
            </w:r>
          </w:p>
          <w:p w14:paraId="1EE03739">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备案）部门（选填）</w:t>
            </w:r>
          </w:p>
        </w:tc>
        <w:tc>
          <w:tcPr>
            <w:tcW w:w="2163" w:type="dxa"/>
            <w:tcBorders>
              <w:top w:val="single" w:color="auto" w:sz="4" w:space="0"/>
              <w:left w:val="single" w:color="auto" w:sz="4" w:space="0"/>
              <w:bottom w:val="single" w:color="auto" w:sz="4" w:space="0"/>
              <w:right w:val="single" w:color="auto" w:sz="4" w:space="0"/>
            </w:tcBorders>
            <w:shd w:val="clear"/>
            <w:vAlign w:val="center"/>
          </w:tcPr>
          <w:p w14:paraId="30115DEA">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重庆市合川区发展和改革委员会</w:t>
            </w:r>
          </w:p>
        </w:tc>
        <w:tc>
          <w:tcPr>
            <w:tcW w:w="1948" w:type="dxa"/>
            <w:tcBorders>
              <w:top w:val="single" w:color="auto" w:sz="4" w:space="0"/>
              <w:left w:val="single" w:color="auto" w:sz="4" w:space="0"/>
              <w:bottom w:val="single" w:color="auto" w:sz="4" w:space="0"/>
              <w:right w:val="single" w:color="auto" w:sz="4" w:space="0"/>
            </w:tcBorders>
            <w:shd w:val="clear"/>
            <w:vAlign w:val="center"/>
          </w:tcPr>
          <w:p w14:paraId="2CA0E146">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项目审批（核准/</w:t>
            </w:r>
          </w:p>
          <w:p w14:paraId="722D2618">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备案）文号（选填）</w:t>
            </w:r>
          </w:p>
        </w:tc>
        <w:tc>
          <w:tcPr>
            <w:tcW w:w="2903" w:type="dxa"/>
            <w:gridSpan w:val="2"/>
            <w:tcBorders>
              <w:top w:val="single" w:color="auto" w:sz="4" w:space="0"/>
              <w:left w:val="single" w:color="auto" w:sz="4" w:space="0"/>
              <w:bottom w:val="single" w:color="auto" w:sz="4" w:space="0"/>
              <w:right w:val="single" w:color="auto" w:sz="8" w:space="0"/>
            </w:tcBorders>
            <w:shd w:val="clear"/>
            <w:vAlign w:val="center"/>
          </w:tcPr>
          <w:p w14:paraId="2E5FB27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2502-500117-04-01-216976</w:t>
            </w:r>
          </w:p>
        </w:tc>
      </w:tr>
      <w:tr w14:paraId="2C3406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Borders>
              <w:top w:val="single" w:color="auto" w:sz="4" w:space="0"/>
              <w:left w:val="single" w:color="auto" w:sz="8" w:space="0"/>
              <w:bottom w:val="single" w:color="auto" w:sz="4" w:space="0"/>
              <w:right w:val="single" w:color="auto" w:sz="4" w:space="0"/>
            </w:tcBorders>
            <w:shd w:val="clear"/>
            <w:tcMar>
              <w:top w:w="16" w:type="dxa"/>
              <w:left w:w="16" w:type="dxa"/>
              <w:right w:w="16" w:type="dxa"/>
            </w:tcMar>
            <w:vAlign w:val="center"/>
          </w:tcPr>
          <w:p w14:paraId="2A56F298">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总投资（万元）</w:t>
            </w:r>
          </w:p>
        </w:tc>
        <w:tc>
          <w:tcPr>
            <w:tcW w:w="2163" w:type="dxa"/>
            <w:tcBorders>
              <w:top w:val="single" w:color="auto" w:sz="4" w:space="0"/>
              <w:left w:val="single" w:color="auto" w:sz="4" w:space="0"/>
              <w:bottom w:val="single" w:color="auto" w:sz="4" w:space="0"/>
              <w:right w:val="single" w:color="auto" w:sz="4" w:space="0"/>
            </w:tcBorders>
            <w:shd w:val="clear"/>
            <w:vAlign w:val="center"/>
          </w:tcPr>
          <w:p w14:paraId="0AFD7BB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highlight w:val="yellow"/>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500</w:t>
            </w:r>
          </w:p>
        </w:tc>
        <w:tc>
          <w:tcPr>
            <w:tcW w:w="1948" w:type="dxa"/>
            <w:tcBorders>
              <w:top w:val="single" w:color="auto" w:sz="4" w:space="0"/>
              <w:left w:val="single" w:color="auto" w:sz="4" w:space="0"/>
              <w:bottom w:val="single" w:color="auto" w:sz="4" w:space="0"/>
              <w:right w:val="single" w:color="auto" w:sz="4" w:space="0"/>
            </w:tcBorders>
            <w:shd w:val="clear"/>
            <w:tcMar>
              <w:top w:w="16" w:type="dxa"/>
              <w:left w:w="16" w:type="dxa"/>
              <w:right w:w="16" w:type="dxa"/>
            </w:tcMar>
            <w:vAlign w:val="center"/>
          </w:tcPr>
          <w:p w14:paraId="5E0D6976">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环保投资（万元）</w:t>
            </w:r>
          </w:p>
        </w:tc>
        <w:tc>
          <w:tcPr>
            <w:tcW w:w="2903" w:type="dxa"/>
            <w:gridSpan w:val="2"/>
            <w:tcBorders>
              <w:top w:val="single" w:color="auto" w:sz="4" w:space="0"/>
              <w:left w:val="single" w:color="auto" w:sz="4" w:space="0"/>
              <w:bottom w:val="single" w:color="auto" w:sz="4" w:space="0"/>
              <w:right w:val="single" w:color="auto" w:sz="8" w:space="0"/>
            </w:tcBorders>
            <w:shd w:val="clear"/>
            <w:vAlign w:val="center"/>
          </w:tcPr>
          <w:p w14:paraId="0548945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10</w:t>
            </w:r>
          </w:p>
        </w:tc>
      </w:tr>
      <w:tr w14:paraId="4351EC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Borders>
              <w:top w:val="single" w:color="auto" w:sz="4" w:space="0"/>
              <w:left w:val="single" w:color="auto" w:sz="8" w:space="0"/>
              <w:bottom w:val="single" w:color="auto" w:sz="4" w:space="0"/>
              <w:right w:val="single" w:color="auto" w:sz="4" w:space="0"/>
            </w:tcBorders>
            <w:shd w:val="clear"/>
            <w:tcMar>
              <w:top w:w="16" w:type="dxa"/>
              <w:left w:w="16" w:type="dxa"/>
              <w:right w:w="16" w:type="dxa"/>
            </w:tcMar>
            <w:vAlign w:val="center"/>
          </w:tcPr>
          <w:p w14:paraId="0D7C5352">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环保投资占比（%）</w:t>
            </w:r>
          </w:p>
        </w:tc>
        <w:tc>
          <w:tcPr>
            <w:tcW w:w="2163" w:type="dxa"/>
            <w:tcBorders>
              <w:top w:val="single" w:color="auto" w:sz="4" w:space="0"/>
              <w:left w:val="single" w:color="auto" w:sz="4" w:space="0"/>
              <w:bottom w:val="single" w:color="auto" w:sz="4" w:space="0"/>
              <w:right w:val="single" w:color="auto" w:sz="4" w:space="0"/>
            </w:tcBorders>
            <w:shd w:val="clear"/>
            <w:vAlign w:val="center"/>
          </w:tcPr>
          <w:p w14:paraId="5E2992E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highlight w:val="yellow"/>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2</w:t>
            </w:r>
          </w:p>
        </w:tc>
        <w:tc>
          <w:tcPr>
            <w:tcW w:w="1948" w:type="dxa"/>
            <w:tcBorders>
              <w:top w:val="single" w:color="auto" w:sz="4" w:space="0"/>
              <w:left w:val="single" w:color="auto" w:sz="4" w:space="0"/>
              <w:bottom w:val="single" w:color="auto" w:sz="4" w:space="0"/>
              <w:right w:val="single" w:color="auto" w:sz="4" w:space="0"/>
            </w:tcBorders>
            <w:shd w:val="clear"/>
            <w:tcMar>
              <w:top w:w="16" w:type="dxa"/>
              <w:left w:w="16" w:type="dxa"/>
              <w:right w:w="16" w:type="dxa"/>
            </w:tcMar>
            <w:vAlign w:val="center"/>
          </w:tcPr>
          <w:p w14:paraId="37E5E576">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施工工期</w:t>
            </w:r>
          </w:p>
        </w:tc>
        <w:tc>
          <w:tcPr>
            <w:tcW w:w="2903" w:type="dxa"/>
            <w:gridSpan w:val="2"/>
            <w:tcBorders>
              <w:top w:val="single" w:color="auto" w:sz="4" w:space="0"/>
              <w:left w:val="single" w:color="auto" w:sz="4" w:space="0"/>
              <w:bottom w:val="single" w:color="auto" w:sz="4" w:space="0"/>
              <w:right w:val="single" w:color="auto" w:sz="8" w:space="0"/>
            </w:tcBorders>
            <w:shd w:val="clear"/>
            <w:vAlign w:val="center"/>
          </w:tcPr>
          <w:p w14:paraId="21FA228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3</w:t>
            </w:r>
            <w:r>
              <w:rPr>
                <w:rFonts w:hint="eastAsia" w:ascii="Times New Roman" w:hAnsi="Times New Roman" w:eastAsia="宋体" w:cs="宋体"/>
                <w:color w:val="000000"/>
                <w:kern w:val="2"/>
                <w:sz w:val="24"/>
                <w:szCs w:val="24"/>
                <w:bdr w:val="none" w:color="auto" w:sz="0" w:space="0"/>
                <w:lang w:val="en-US" w:eastAsia="zh-CN" w:bidi="ar"/>
              </w:rPr>
              <w:t>个月</w:t>
            </w:r>
          </w:p>
        </w:tc>
      </w:tr>
      <w:tr w14:paraId="4C3B47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40" w:hRule="atLeast"/>
          <w:jc w:val="center"/>
        </w:trPr>
        <w:tc>
          <w:tcPr>
            <w:tcW w:w="1856" w:type="dxa"/>
            <w:tcBorders>
              <w:top w:val="single" w:color="auto" w:sz="4" w:space="0"/>
              <w:left w:val="single" w:color="auto" w:sz="8" w:space="0"/>
              <w:bottom w:val="single" w:color="auto" w:sz="4" w:space="0"/>
              <w:right w:val="single" w:color="auto" w:sz="4" w:space="0"/>
            </w:tcBorders>
            <w:shd w:val="clear"/>
            <w:tcMar>
              <w:top w:w="16" w:type="dxa"/>
              <w:left w:w="16" w:type="dxa"/>
              <w:right w:w="16" w:type="dxa"/>
            </w:tcMar>
            <w:vAlign w:val="center"/>
          </w:tcPr>
          <w:p w14:paraId="1C7904E3">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是否开工建设</w:t>
            </w:r>
          </w:p>
        </w:tc>
        <w:tc>
          <w:tcPr>
            <w:tcW w:w="2163" w:type="dxa"/>
            <w:tcBorders>
              <w:top w:val="single" w:color="auto" w:sz="4" w:space="0"/>
              <w:left w:val="single" w:color="auto" w:sz="4" w:space="0"/>
              <w:bottom w:val="single" w:color="auto" w:sz="4" w:space="0"/>
              <w:right w:val="single" w:color="auto" w:sz="4" w:space="0"/>
            </w:tcBorders>
            <w:shd w:val="clear"/>
            <w:vAlign w:val="center"/>
          </w:tcPr>
          <w:p w14:paraId="1A61FB56">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■否</w:t>
            </w:r>
          </w:p>
          <w:p w14:paraId="22BDA9CD">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□是：</w:t>
            </w:r>
            <w:r>
              <w:rPr>
                <w:rFonts w:hint="eastAsia" w:ascii="宋体" w:hAnsi="宋体" w:eastAsia="宋体" w:cs="宋体"/>
                <w:color w:val="000000"/>
                <w:kern w:val="2"/>
                <w:sz w:val="24"/>
                <w:szCs w:val="24"/>
                <w:u w:val="single"/>
                <w:bdr w:val="none" w:color="auto" w:sz="0" w:space="0"/>
                <w:lang w:val="en-US" w:eastAsia="zh-CN" w:bidi="ar"/>
              </w:rPr>
              <w:t xml:space="preserve">     </w:t>
            </w:r>
          </w:p>
        </w:tc>
        <w:tc>
          <w:tcPr>
            <w:tcW w:w="1948" w:type="dxa"/>
            <w:tcBorders>
              <w:top w:val="single" w:color="auto" w:sz="4" w:space="0"/>
              <w:left w:val="single" w:color="auto" w:sz="4" w:space="0"/>
              <w:bottom w:val="single" w:color="auto" w:sz="4" w:space="0"/>
              <w:right w:val="single" w:color="auto" w:sz="4" w:space="0"/>
            </w:tcBorders>
            <w:shd w:val="clear"/>
            <w:tcMar>
              <w:top w:w="16" w:type="dxa"/>
              <w:left w:w="16" w:type="dxa"/>
              <w:right w:w="16" w:type="dxa"/>
            </w:tcMar>
            <w:vAlign w:val="center"/>
          </w:tcPr>
          <w:p w14:paraId="01307A1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pacing w:val="-6"/>
                <w:sz w:val="24"/>
                <w:szCs w:val="24"/>
                <w:bdr w:val="none" w:color="auto" w:sz="0" w:space="0"/>
                <w:lang w:val="en-US"/>
              </w:rPr>
            </w:pPr>
            <w:r>
              <w:rPr>
                <w:rFonts w:hint="eastAsia" w:ascii="Times New Roman" w:hAnsi="宋体" w:eastAsia="宋体" w:cs="宋体"/>
                <w:color w:val="000000"/>
                <w:spacing w:val="-6"/>
                <w:kern w:val="2"/>
                <w:sz w:val="24"/>
                <w:szCs w:val="24"/>
                <w:bdr w:val="none" w:color="auto" w:sz="0" w:space="0"/>
                <w:lang w:val="en-US" w:eastAsia="zh-CN" w:bidi="ar"/>
              </w:rPr>
              <w:t>用地（用海）</w:t>
            </w:r>
          </w:p>
          <w:p w14:paraId="61FF089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bdr w:val="none" w:color="auto" w:sz="0" w:space="0"/>
                <w:lang w:val="en-US"/>
              </w:rPr>
            </w:pPr>
            <w:r>
              <w:rPr>
                <w:rFonts w:hint="eastAsia" w:ascii="Times New Roman" w:hAnsi="宋体" w:eastAsia="宋体" w:cs="宋体"/>
                <w:color w:val="000000"/>
                <w:spacing w:val="-6"/>
                <w:kern w:val="2"/>
                <w:sz w:val="24"/>
                <w:szCs w:val="24"/>
                <w:bdr w:val="none" w:color="auto" w:sz="0" w:space="0"/>
                <w:lang w:val="en-US" w:eastAsia="zh-CN" w:bidi="ar"/>
              </w:rPr>
              <w:t>面积（</w:t>
            </w:r>
            <w:r>
              <w:rPr>
                <w:rFonts w:hint="default" w:ascii="Times New Roman" w:hAnsi="Times New Roman" w:eastAsia="宋体" w:cs="Times New Roman"/>
                <w:color w:val="000000"/>
                <w:spacing w:val="-6"/>
                <w:kern w:val="2"/>
                <w:sz w:val="24"/>
                <w:szCs w:val="24"/>
                <w:bdr w:val="none" w:color="auto" w:sz="0" w:space="0"/>
                <w:lang w:val="en-US" w:eastAsia="zh-CN" w:bidi="ar"/>
              </w:rPr>
              <w:t>m</w:t>
            </w:r>
            <w:r>
              <w:rPr>
                <w:rFonts w:hint="default" w:ascii="Times New Roman" w:hAnsi="Times New Roman" w:eastAsia="宋体" w:cs="Times New Roman"/>
                <w:color w:val="000000"/>
                <w:spacing w:val="-6"/>
                <w:kern w:val="2"/>
                <w:sz w:val="24"/>
                <w:szCs w:val="24"/>
                <w:bdr w:val="none" w:color="auto" w:sz="0" w:space="0"/>
                <w:vertAlign w:val="superscript"/>
                <w:lang w:val="en-US" w:eastAsia="zh-CN" w:bidi="ar"/>
              </w:rPr>
              <w:t>2</w:t>
            </w:r>
            <w:r>
              <w:rPr>
                <w:rFonts w:hint="eastAsia" w:ascii="Times New Roman" w:hAnsi="宋体" w:eastAsia="宋体" w:cs="宋体"/>
                <w:color w:val="000000"/>
                <w:spacing w:val="-6"/>
                <w:kern w:val="2"/>
                <w:sz w:val="24"/>
                <w:szCs w:val="24"/>
                <w:bdr w:val="none" w:color="auto" w:sz="0" w:space="0"/>
                <w:lang w:val="en-US" w:eastAsia="zh-CN" w:bidi="ar"/>
              </w:rPr>
              <w:t>）</w:t>
            </w:r>
          </w:p>
        </w:tc>
        <w:tc>
          <w:tcPr>
            <w:tcW w:w="2903" w:type="dxa"/>
            <w:gridSpan w:val="2"/>
            <w:tcBorders>
              <w:top w:val="single" w:color="auto" w:sz="4" w:space="0"/>
              <w:left w:val="single" w:color="auto" w:sz="4" w:space="0"/>
              <w:bottom w:val="single" w:color="auto" w:sz="4" w:space="0"/>
              <w:right w:val="single" w:color="auto" w:sz="8" w:space="0"/>
            </w:tcBorders>
            <w:shd w:val="clear"/>
            <w:vAlign w:val="center"/>
          </w:tcPr>
          <w:p w14:paraId="65828D2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4887</w:t>
            </w:r>
          </w:p>
        </w:tc>
      </w:tr>
      <w:tr w14:paraId="6C56F5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21" w:hRule="atLeast"/>
          <w:jc w:val="center"/>
        </w:trPr>
        <w:tc>
          <w:tcPr>
            <w:tcW w:w="1856" w:type="dxa"/>
            <w:tcBorders>
              <w:top w:val="single" w:color="auto" w:sz="4" w:space="0"/>
              <w:left w:val="single" w:color="auto" w:sz="8" w:space="0"/>
              <w:bottom w:val="single" w:color="auto" w:sz="4" w:space="0"/>
              <w:right w:val="single" w:color="auto" w:sz="4" w:space="0"/>
            </w:tcBorders>
            <w:shd w:val="clear"/>
            <w:tcMar>
              <w:left w:w="108" w:type="dxa"/>
              <w:right w:w="108" w:type="dxa"/>
            </w:tcMar>
            <w:vAlign w:val="center"/>
          </w:tcPr>
          <w:p w14:paraId="05A22AF7">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000000"/>
                <w:kern w:val="0"/>
                <w:sz w:val="24"/>
                <w:szCs w:val="24"/>
                <w:bdr w:val="none" w:color="auto" w:sz="0" w:space="0"/>
                <w:lang w:val="en-US"/>
              </w:rPr>
            </w:pPr>
            <w:r>
              <w:rPr>
                <w:rFonts w:hint="eastAsia" w:ascii="宋体" w:hAnsi="宋体" w:eastAsia="宋体" w:cs="宋体"/>
                <w:color w:val="000000"/>
                <w:kern w:val="0"/>
                <w:sz w:val="24"/>
                <w:szCs w:val="24"/>
                <w:bdr w:val="none" w:color="auto" w:sz="0" w:space="0"/>
                <w:lang w:val="en-US" w:eastAsia="zh-CN" w:bidi="ar"/>
              </w:rPr>
              <w:t>专项评价设置情况</w:t>
            </w:r>
          </w:p>
        </w:tc>
        <w:tc>
          <w:tcPr>
            <w:tcW w:w="7014" w:type="dxa"/>
            <w:gridSpan w:val="4"/>
            <w:tcBorders>
              <w:top w:val="single" w:color="auto" w:sz="4" w:space="0"/>
              <w:left w:val="single" w:color="auto" w:sz="4" w:space="0"/>
              <w:bottom w:val="single" w:color="auto" w:sz="4" w:space="0"/>
              <w:right w:val="single" w:color="auto" w:sz="8" w:space="0"/>
            </w:tcBorders>
            <w:shd w:val="clear"/>
            <w:tcMar>
              <w:left w:w="108" w:type="dxa"/>
              <w:right w:w="108" w:type="dxa"/>
            </w:tcMar>
            <w:vAlign w:val="center"/>
          </w:tcPr>
          <w:p w14:paraId="5F6A28B9">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对照《建设项目环境影响报告表编制技术指南（污染影响类）（试行）》中</w:t>
            </w:r>
            <w:r>
              <w:rPr>
                <w:rFonts w:hint="eastAsia" w:ascii="Times New Roman" w:hAnsi="Times New Roman" w:eastAsia="宋体" w:cs="宋体"/>
                <w:color w:val="000000"/>
                <w:kern w:val="2"/>
                <w:sz w:val="24"/>
                <w:szCs w:val="24"/>
                <w:bdr w:val="none" w:color="auto" w:sz="0" w:space="0"/>
                <w:lang w:val="en-US" w:eastAsia="zh-CN" w:bidi="ar"/>
              </w:rPr>
              <w:t>“</w:t>
            </w:r>
            <w:r>
              <w:rPr>
                <w:rFonts w:hint="eastAsia" w:ascii="Times New Roman" w:hAnsi="Calibri" w:eastAsia="宋体" w:cs="宋体"/>
                <w:color w:val="000000"/>
                <w:kern w:val="2"/>
                <w:sz w:val="24"/>
                <w:szCs w:val="24"/>
                <w:bdr w:val="none" w:color="auto" w:sz="0" w:space="0"/>
                <w:lang w:val="en-US" w:eastAsia="zh-CN" w:bidi="ar"/>
              </w:rPr>
              <w:t>表</w:t>
            </w:r>
            <w:r>
              <w:rPr>
                <w:rFonts w:hint="default" w:ascii="Times New Roman" w:hAnsi="Times New Roman" w:eastAsia="宋体" w:cs="Times New Roman"/>
                <w:color w:val="000000"/>
                <w:kern w:val="2"/>
                <w:sz w:val="24"/>
                <w:szCs w:val="24"/>
                <w:bdr w:val="none" w:color="auto" w:sz="0" w:space="0"/>
                <w:lang w:val="en-US" w:eastAsia="zh-CN" w:bidi="ar"/>
              </w:rPr>
              <w:t>1</w:t>
            </w:r>
            <w:r>
              <w:rPr>
                <w:rFonts w:hint="eastAsia" w:ascii="Times New Roman" w:hAnsi="Calibri" w:eastAsia="宋体" w:cs="宋体"/>
                <w:color w:val="000000"/>
                <w:kern w:val="2"/>
                <w:sz w:val="24"/>
                <w:szCs w:val="24"/>
                <w:bdr w:val="none" w:color="auto" w:sz="0" w:space="0"/>
                <w:lang w:val="en-US" w:eastAsia="zh-CN" w:bidi="ar"/>
              </w:rPr>
              <w:t>专项评价设置原则表</w:t>
            </w:r>
            <w:r>
              <w:rPr>
                <w:rFonts w:hint="eastAsia" w:ascii="Times New Roman" w:hAnsi="Times New Roman" w:eastAsia="宋体" w:cs="宋体"/>
                <w:color w:val="000000"/>
                <w:kern w:val="2"/>
                <w:sz w:val="24"/>
                <w:szCs w:val="24"/>
                <w:bdr w:val="none" w:color="auto" w:sz="0" w:space="0"/>
                <w:lang w:val="en-US" w:eastAsia="zh-CN" w:bidi="ar"/>
              </w:rPr>
              <w:t>”</w:t>
            </w:r>
            <w:r>
              <w:rPr>
                <w:rFonts w:hint="eastAsia" w:ascii="Times New Roman" w:hAnsi="Calibri" w:eastAsia="宋体" w:cs="宋体"/>
                <w:color w:val="000000"/>
                <w:kern w:val="2"/>
                <w:sz w:val="24"/>
                <w:szCs w:val="24"/>
                <w:bdr w:val="none" w:color="auto" w:sz="0" w:space="0"/>
                <w:lang w:val="en-US" w:eastAsia="zh-CN" w:bidi="ar"/>
              </w:rPr>
              <w:t>，扩建项目不开展土壤、声环境专项评价，大气、地表水、环境风险、生态、海洋以及地下水是否开展专项评价情况见表</w:t>
            </w:r>
            <w:r>
              <w:rPr>
                <w:rFonts w:hint="default" w:ascii="Times New Roman" w:hAnsi="Times New Roman" w:eastAsia="宋体" w:cs="Times New Roman"/>
                <w:color w:val="000000"/>
                <w:kern w:val="2"/>
                <w:sz w:val="24"/>
                <w:szCs w:val="24"/>
                <w:bdr w:val="none" w:color="auto" w:sz="0" w:space="0"/>
                <w:lang w:val="en-US" w:eastAsia="zh-CN" w:bidi="ar"/>
              </w:rPr>
              <w:t>1-1</w:t>
            </w:r>
            <w:r>
              <w:rPr>
                <w:rFonts w:hint="eastAsia" w:ascii="Times New Roman" w:hAnsi="Calibri" w:eastAsia="宋体" w:cs="宋体"/>
                <w:color w:val="000000"/>
                <w:kern w:val="2"/>
                <w:sz w:val="24"/>
                <w:szCs w:val="24"/>
                <w:bdr w:val="none" w:color="auto" w:sz="0" w:space="0"/>
                <w:lang w:val="en-US" w:eastAsia="zh-CN" w:bidi="ar"/>
              </w:rPr>
              <w:t>。</w:t>
            </w:r>
          </w:p>
          <w:p w14:paraId="4CCAB5F4">
            <w:pPr>
              <w:pStyle w:val="14"/>
              <w:widowControl/>
              <w:adjustRightInd w:val="0"/>
              <w:snapToGrid w:val="0"/>
              <w:spacing w:before="0" w:beforeAutospacing="0" w:after="0" w:afterAutospacing="0" w:line="440" w:lineRule="exact"/>
              <w:ind w:left="0" w:right="0"/>
              <w:jc w:val="center"/>
              <w:rPr>
                <w:rFonts w:hint="default" w:ascii="Times New Roman" w:hAnsi="Times New Roman" w:cs="Times New Roman"/>
                <w:color w:val="000000"/>
                <w:szCs w:val="24"/>
                <w:bdr w:val="none" w:color="auto" w:sz="0" w:space="0"/>
                <w:lang w:val="en-US" w:eastAsia="zh-CN"/>
              </w:rPr>
            </w:pPr>
            <w:r>
              <w:rPr>
                <w:rFonts w:ascii="Times New Roman" w:hAnsi="Times New Roman"/>
                <w:color w:val="000000"/>
                <w:szCs w:val="24"/>
                <w:bdr w:val="none" w:color="auto" w:sz="0" w:space="0"/>
                <w:lang w:val="en-US" w:eastAsia="zh-CN"/>
              </w:rPr>
              <w:t>表</w:t>
            </w:r>
            <w:r>
              <w:rPr>
                <w:rFonts w:hint="default" w:ascii="Times New Roman" w:hAnsi="Times New Roman" w:cs="Times New Roman"/>
                <w:color w:val="000000"/>
                <w:szCs w:val="24"/>
                <w:bdr w:val="none" w:color="auto" w:sz="0" w:space="0"/>
                <w:lang w:val="en-US" w:eastAsia="zh-CN"/>
              </w:rPr>
              <w:t xml:space="preserve">1-1  </w:t>
            </w:r>
            <w:r>
              <w:rPr>
                <w:rFonts w:ascii="Times New Roman" w:hAnsi="Times New Roman"/>
                <w:color w:val="000000"/>
                <w:szCs w:val="24"/>
                <w:bdr w:val="none" w:color="auto" w:sz="0" w:space="0"/>
                <w:lang w:val="en-US" w:eastAsia="zh-CN"/>
              </w:rPr>
              <w:t>专项评价设置原则表</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tblLayout w:type="fixed"/>
              <w:tblCellMar>
                <w:top w:w="0" w:type="dxa"/>
                <w:left w:w="108" w:type="dxa"/>
                <w:bottom w:w="0" w:type="dxa"/>
                <w:right w:w="108" w:type="dxa"/>
              </w:tblCellMar>
            </w:tblPr>
            <w:tblGrid>
              <w:gridCol w:w="917"/>
              <w:gridCol w:w="2846"/>
              <w:gridCol w:w="3035"/>
            </w:tblGrid>
            <w:tr w14:paraId="694626EC">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tblCellMar>
                  <w:top w:w="0" w:type="dxa"/>
                  <w:left w:w="108" w:type="dxa"/>
                  <w:bottom w:w="0" w:type="dxa"/>
                  <w:right w:w="108" w:type="dxa"/>
                </w:tblCellMar>
              </w:tblPrEx>
              <w:trPr>
                <w:jc w:val="center"/>
              </w:trPr>
              <w:tc>
                <w:tcPr>
                  <w:tcW w:w="675" w:type="pct"/>
                  <w:tcBorders>
                    <w:top w:val="single" w:color="auto" w:sz="12" w:space="0"/>
                    <w:left w:val="nil"/>
                    <w:bottom w:val="single" w:color="auto" w:sz="6" w:space="0"/>
                    <w:right w:val="single" w:color="auto" w:sz="6" w:space="0"/>
                  </w:tcBorders>
                  <w:shd w:val="clear"/>
                  <w:vAlign w:val="center"/>
                </w:tcPr>
                <w:p w14:paraId="5FF53FCE">
                  <w:pPr>
                    <w:pStyle w:val="14"/>
                    <w:widowControl/>
                    <w:adjustRightInd w:val="0"/>
                    <w:snapToGrid w:val="0"/>
                    <w:spacing w:before="0" w:beforeAutospacing="0" w:after="0" w:afterAutospacing="0" w:line="300" w:lineRule="exact"/>
                    <w:ind w:left="0" w:right="0"/>
                    <w:jc w:val="center"/>
                    <w:rPr>
                      <w:rFonts w:hint="default" w:ascii="Times New Roman" w:hAnsi="Times New Roman" w:cs="Times New Roman"/>
                      <w:color w:val="000000"/>
                      <w:sz w:val="21"/>
                      <w:szCs w:val="21"/>
                      <w:bdr w:val="none" w:color="auto" w:sz="0" w:space="0"/>
                      <w:lang w:val="en-US" w:eastAsia="zh-CN"/>
                    </w:rPr>
                  </w:pPr>
                  <w:r>
                    <w:rPr>
                      <w:rFonts w:ascii="Times New Roman" w:hAnsi="Times New Roman"/>
                      <w:color w:val="000000"/>
                      <w:sz w:val="21"/>
                      <w:szCs w:val="21"/>
                      <w:bdr w:val="none" w:color="auto" w:sz="0" w:space="0"/>
                      <w:lang w:val="en-US" w:eastAsia="zh-CN"/>
                    </w:rPr>
                    <w:t>专项评价类别</w:t>
                  </w:r>
                </w:p>
              </w:tc>
              <w:tc>
                <w:tcPr>
                  <w:tcW w:w="2093" w:type="pct"/>
                  <w:tcBorders>
                    <w:top w:val="single" w:color="auto" w:sz="12" w:space="0"/>
                    <w:left w:val="single" w:color="auto" w:sz="6" w:space="0"/>
                    <w:bottom w:val="single" w:color="auto" w:sz="6" w:space="0"/>
                    <w:right w:val="single" w:color="auto" w:sz="6" w:space="0"/>
                  </w:tcBorders>
                  <w:shd w:val="clear"/>
                  <w:vAlign w:val="center"/>
                </w:tcPr>
                <w:p w14:paraId="738C2C40">
                  <w:pPr>
                    <w:pStyle w:val="14"/>
                    <w:widowControl/>
                    <w:adjustRightInd w:val="0"/>
                    <w:snapToGrid w:val="0"/>
                    <w:spacing w:before="0" w:beforeAutospacing="0" w:after="0" w:afterAutospacing="0" w:line="300" w:lineRule="exact"/>
                    <w:ind w:left="0" w:right="0"/>
                    <w:jc w:val="center"/>
                    <w:rPr>
                      <w:rFonts w:hint="default" w:ascii="Times New Roman" w:hAnsi="Times New Roman" w:cs="Times New Roman"/>
                      <w:color w:val="000000"/>
                      <w:sz w:val="21"/>
                      <w:szCs w:val="21"/>
                      <w:bdr w:val="none" w:color="auto" w:sz="0" w:space="0"/>
                      <w:lang w:val="en-US" w:eastAsia="zh-CN"/>
                    </w:rPr>
                  </w:pPr>
                  <w:r>
                    <w:rPr>
                      <w:rFonts w:ascii="Times New Roman" w:hAnsi="Times New Roman"/>
                      <w:color w:val="000000"/>
                      <w:sz w:val="21"/>
                      <w:szCs w:val="21"/>
                      <w:bdr w:val="none" w:color="auto" w:sz="0" w:space="0"/>
                      <w:lang w:val="en-US" w:eastAsia="zh-CN"/>
                    </w:rPr>
                    <w:t>设置原则</w:t>
                  </w:r>
                </w:p>
              </w:tc>
              <w:tc>
                <w:tcPr>
                  <w:tcW w:w="2232" w:type="pct"/>
                  <w:tcBorders>
                    <w:top w:val="single" w:color="auto" w:sz="12" w:space="0"/>
                    <w:left w:val="single" w:color="auto" w:sz="6" w:space="0"/>
                    <w:bottom w:val="single" w:color="auto" w:sz="6" w:space="0"/>
                    <w:right w:val="nil"/>
                  </w:tcBorders>
                  <w:shd w:val="clear"/>
                  <w:vAlign w:val="center"/>
                </w:tcPr>
                <w:p w14:paraId="6EC892F6">
                  <w:pPr>
                    <w:pStyle w:val="14"/>
                    <w:widowControl/>
                    <w:adjustRightInd w:val="0"/>
                    <w:snapToGrid w:val="0"/>
                    <w:spacing w:before="0" w:beforeAutospacing="0" w:after="0" w:afterAutospacing="0" w:line="300" w:lineRule="exact"/>
                    <w:ind w:left="0" w:right="0"/>
                    <w:jc w:val="center"/>
                    <w:rPr>
                      <w:rFonts w:hint="default" w:ascii="Times New Roman" w:hAnsi="Times New Roman" w:cs="Times New Roman"/>
                      <w:color w:val="000000"/>
                      <w:sz w:val="21"/>
                      <w:szCs w:val="21"/>
                      <w:bdr w:val="none" w:color="auto" w:sz="0" w:space="0"/>
                      <w:lang w:val="en-US" w:eastAsia="zh-CN"/>
                    </w:rPr>
                  </w:pPr>
                  <w:r>
                    <w:rPr>
                      <w:rFonts w:ascii="Times New Roman" w:hAnsi="Times New Roman"/>
                      <w:color w:val="000000"/>
                      <w:sz w:val="21"/>
                      <w:szCs w:val="21"/>
                      <w:bdr w:val="none" w:color="auto" w:sz="0" w:space="0"/>
                      <w:lang w:val="en-US" w:eastAsia="zh-CN"/>
                    </w:rPr>
                    <w:t>扩建项目</w:t>
                  </w:r>
                </w:p>
              </w:tc>
            </w:tr>
            <w:tr w14:paraId="0D03F266">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675" w:type="pct"/>
                  <w:tcBorders>
                    <w:top w:val="single" w:color="auto" w:sz="6" w:space="0"/>
                    <w:left w:val="nil"/>
                    <w:bottom w:val="single" w:color="auto" w:sz="6" w:space="0"/>
                    <w:right w:val="single" w:color="auto" w:sz="6" w:space="0"/>
                  </w:tcBorders>
                  <w:shd w:val="clear"/>
                  <w:vAlign w:val="center"/>
                </w:tcPr>
                <w:p w14:paraId="41BE4239">
                  <w:pPr>
                    <w:pStyle w:val="14"/>
                    <w:widowControl/>
                    <w:adjustRightInd w:val="0"/>
                    <w:snapToGrid w:val="0"/>
                    <w:spacing w:before="0" w:beforeAutospacing="0" w:after="0" w:afterAutospacing="0" w:line="300" w:lineRule="exact"/>
                    <w:ind w:left="0" w:right="0"/>
                    <w:jc w:val="center"/>
                    <w:rPr>
                      <w:rFonts w:hint="default" w:ascii="Times New Roman" w:hAnsi="Times New Roman" w:cs="Times New Roman"/>
                      <w:color w:val="000000"/>
                      <w:sz w:val="21"/>
                      <w:szCs w:val="21"/>
                      <w:bdr w:val="none" w:color="auto" w:sz="0" w:space="0"/>
                      <w:lang w:val="en-US" w:eastAsia="zh-CN"/>
                    </w:rPr>
                  </w:pPr>
                  <w:r>
                    <w:rPr>
                      <w:rFonts w:ascii="Times New Roman" w:hAnsi="Times New Roman"/>
                      <w:color w:val="000000"/>
                      <w:sz w:val="21"/>
                      <w:szCs w:val="21"/>
                      <w:bdr w:val="none" w:color="auto" w:sz="0" w:space="0"/>
                      <w:lang w:val="en-US" w:eastAsia="zh-CN"/>
                    </w:rPr>
                    <w:t>大气</w:t>
                  </w:r>
                </w:p>
              </w:tc>
              <w:tc>
                <w:tcPr>
                  <w:tcW w:w="2093" w:type="pct"/>
                  <w:tcBorders>
                    <w:top w:val="single" w:color="auto" w:sz="6" w:space="0"/>
                    <w:left w:val="single" w:color="auto" w:sz="6" w:space="0"/>
                    <w:bottom w:val="single" w:color="auto" w:sz="6" w:space="0"/>
                    <w:right w:val="single" w:color="auto" w:sz="6" w:space="0"/>
                  </w:tcBorders>
                  <w:shd w:val="clear"/>
                  <w:vAlign w:val="center"/>
                </w:tcPr>
                <w:p w14:paraId="7788427D">
                  <w:pPr>
                    <w:pStyle w:val="14"/>
                    <w:widowControl/>
                    <w:adjustRightInd w:val="0"/>
                    <w:snapToGrid w:val="0"/>
                    <w:spacing w:before="0" w:beforeAutospacing="0" w:after="0" w:afterAutospacing="0" w:line="300" w:lineRule="exact"/>
                    <w:ind w:left="0" w:right="0"/>
                    <w:rPr>
                      <w:rFonts w:hint="default" w:ascii="Times New Roman" w:hAnsi="Times New Roman" w:cs="Times New Roman"/>
                      <w:color w:val="000000"/>
                      <w:sz w:val="21"/>
                      <w:szCs w:val="21"/>
                      <w:bdr w:val="none" w:color="auto" w:sz="0" w:space="0"/>
                      <w:lang w:val="en-US" w:eastAsia="zh-CN"/>
                    </w:rPr>
                  </w:pPr>
                  <w:r>
                    <w:rPr>
                      <w:rFonts w:ascii="Times New Roman" w:hAnsi="Times New Roman"/>
                      <w:color w:val="000000"/>
                      <w:sz w:val="21"/>
                      <w:szCs w:val="21"/>
                      <w:bdr w:val="none" w:color="auto" w:sz="0" w:space="0"/>
                      <w:lang w:val="en-US" w:eastAsia="zh-CN"/>
                    </w:rPr>
                    <w:t>排放废气含有毒有害污染物</w:t>
                  </w:r>
                  <w:r>
                    <w:rPr>
                      <w:rFonts w:hint="default" w:ascii="Times New Roman" w:hAnsi="Times New Roman" w:cs="Times New Roman"/>
                      <w:color w:val="000000"/>
                      <w:sz w:val="21"/>
                      <w:szCs w:val="21"/>
                      <w:bdr w:val="none" w:color="auto" w:sz="0" w:space="0"/>
                      <w:vertAlign w:val="superscript"/>
                      <w:lang w:val="en-US" w:eastAsia="zh-CN"/>
                    </w:rPr>
                    <w:t>1</w:t>
                  </w:r>
                  <w:r>
                    <w:rPr>
                      <w:rFonts w:ascii="Times New Roman" w:hAnsi="Times New Roman"/>
                      <w:color w:val="000000"/>
                      <w:sz w:val="21"/>
                      <w:szCs w:val="21"/>
                      <w:bdr w:val="none" w:color="auto" w:sz="0" w:space="0"/>
                      <w:lang w:val="en-US" w:eastAsia="zh-CN"/>
                    </w:rPr>
                    <w:t>、二噁英、苯并</w:t>
                  </w:r>
                  <w:r>
                    <w:rPr>
                      <w:rFonts w:hint="default" w:ascii="Times New Roman" w:hAnsi="Times New Roman" w:cs="Times New Roman"/>
                      <w:color w:val="000000"/>
                      <w:sz w:val="21"/>
                      <w:szCs w:val="21"/>
                      <w:bdr w:val="none" w:color="auto" w:sz="0" w:space="0"/>
                      <w:lang w:val="en-US" w:eastAsia="zh-CN"/>
                    </w:rPr>
                    <w:t>[a]</w:t>
                  </w:r>
                  <w:r>
                    <w:rPr>
                      <w:rFonts w:ascii="Times New Roman" w:hAnsi="Times New Roman"/>
                      <w:color w:val="000000"/>
                      <w:sz w:val="21"/>
                      <w:szCs w:val="21"/>
                      <w:bdr w:val="none" w:color="auto" w:sz="0" w:space="0"/>
                      <w:lang w:val="en-US" w:eastAsia="zh-CN"/>
                    </w:rPr>
                    <w:t>芘、氰化物、氯气且厂界外</w:t>
                  </w:r>
                  <w:r>
                    <w:rPr>
                      <w:rFonts w:hint="default" w:ascii="Times New Roman" w:hAnsi="Times New Roman" w:cs="Times New Roman"/>
                      <w:color w:val="000000"/>
                      <w:sz w:val="21"/>
                      <w:szCs w:val="21"/>
                      <w:bdr w:val="none" w:color="auto" w:sz="0" w:space="0"/>
                      <w:lang w:val="en-US" w:eastAsia="zh-CN"/>
                    </w:rPr>
                    <w:t>500</w:t>
                  </w:r>
                  <w:r>
                    <w:rPr>
                      <w:rFonts w:ascii="Times New Roman" w:hAnsi="Times New Roman"/>
                      <w:color w:val="000000"/>
                      <w:sz w:val="21"/>
                      <w:szCs w:val="21"/>
                      <w:bdr w:val="none" w:color="auto" w:sz="0" w:space="0"/>
                      <w:lang w:val="en-US" w:eastAsia="zh-CN"/>
                    </w:rPr>
                    <w:t>米范围内有环境空气保护目标</w:t>
                  </w:r>
                  <w:r>
                    <w:rPr>
                      <w:rFonts w:hint="default" w:ascii="Times New Roman" w:hAnsi="Times New Roman" w:cs="Times New Roman"/>
                      <w:color w:val="000000"/>
                      <w:sz w:val="21"/>
                      <w:szCs w:val="21"/>
                      <w:bdr w:val="none" w:color="auto" w:sz="0" w:space="0"/>
                      <w:vertAlign w:val="superscript"/>
                      <w:lang w:val="en-US" w:eastAsia="zh-CN"/>
                    </w:rPr>
                    <w:t>2</w:t>
                  </w:r>
                  <w:r>
                    <w:rPr>
                      <w:rFonts w:ascii="Times New Roman" w:hAnsi="Times New Roman"/>
                      <w:color w:val="000000"/>
                      <w:sz w:val="21"/>
                      <w:szCs w:val="21"/>
                      <w:bdr w:val="none" w:color="auto" w:sz="0" w:space="0"/>
                      <w:lang w:val="en-US" w:eastAsia="zh-CN"/>
                    </w:rPr>
                    <w:t>的建设项目</w:t>
                  </w:r>
                </w:p>
              </w:tc>
              <w:tc>
                <w:tcPr>
                  <w:tcW w:w="2232" w:type="pct"/>
                  <w:tcBorders>
                    <w:top w:val="single" w:color="auto" w:sz="6" w:space="0"/>
                    <w:left w:val="single" w:color="auto" w:sz="6" w:space="0"/>
                    <w:bottom w:val="single" w:color="auto" w:sz="6" w:space="0"/>
                    <w:right w:val="nil"/>
                  </w:tcBorders>
                  <w:shd w:val="clear"/>
                  <w:vAlign w:val="center"/>
                </w:tcPr>
                <w:p w14:paraId="4A5B6C67">
                  <w:pPr>
                    <w:pStyle w:val="14"/>
                    <w:widowControl/>
                    <w:snapToGrid w:val="0"/>
                    <w:spacing w:before="0" w:beforeAutospacing="0" w:after="0" w:afterAutospacing="0" w:line="300" w:lineRule="exact"/>
                    <w:ind w:left="0" w:right="0"/>
                    <w:jc w:val="both"/>
                    <w:rPr>
                      <w:rFonts w:hint="default" w:ascii="Times New Roman" w:hAnsi="Times New Roman" w:cs="Times New Roman"/>
                      <w:color w:val="000000"/>
                      <w:sz w:val="21"/>
                      <w:szCs w:val="21"/>
                      <w:bdr w:val="none" w:color="auto" w:sz="0" w:space="0"/>
                      <w:lang w:val="en-US" w:eastAsia="zh-CN"/>
                    </w:rPr>
                  </w:pPr>
                  <w:r>
                    <w:rPr>
                      <w:rFonts w:ascii="Times New Roman" w:hAnsi="Times New Roman"/>
                      <w:color w:val="000000"/>
                      <w:sz w:val="21"/>
                      <w:szCs w:val="21"/>
                      <w:bdr w:val="none" w:color="auto" w:sz="0" w:space="0"/>
                      <w:lang w:val="en-US" w:eastAsia="zh-CN"/>
                    </w:rPr>
                    <w:t>扩建项目厂界外</w:t>
                  </w:r>
                  <w:r>
                    <w:rPr>
                      <w:rFonts w:hint="default" w:ascii="Times New Roman" w:hAnsi="Times New Roman" w:cs="Times New Roman"/>
                      <w:color w:val="000000"/>
                      <w:sz w:val="21"/>
                      <w:szCs w:val="21"/>
                      <w:bdr w:val="none" w:color="auto" w:sz="0" w:space="0"/>
                      <w:lang w:val="en-US" w:eastAsia="zh-CN"/>
                    </w:rPr>
                    <w:t>500</w:t>
                  </w:r>
                  <w:r>
                    <w:rPr>
                      <w:rFonts w:ascii="Times New Roman" w:hAnsi="Times New Roman"/>
                      <w:color w:val="000000"/>
                      <w:sz w:val="21"/>
                      <w:szCs w:val="21"/>
                      <w:bdr w:val="none" w:color="auto" w:sz="0" w:space="0"/>
                      <w:lang w:val="en-US" w:eastAsia="zh-CN"/>
                    </w:rPr>
                    <w:t>米范围内有环境空气保护目标</w:t>
                  </w:r>
                  <w:r>
                    <w:rPr>
                      <w:rFonts w:hint="default" w:ascii="Times New Roman" w:hAnsi="Times New Roman" w:cs="Times New Roman"/>
                      <w:color w:val="000000"/>
                      <w:sz w:val="21"/>
                      <w:szCs w:val="21"/>
                      <w:bdr w:val="none" w:color="auto" w:sz="0" w:space="0"/>
                      <w:vertAlign w:val="superscript"/>
                      <w:lang w:val="en-US" w:eastAsia="zh-CN"/>
                    </w:rPr>
                    <w:t>2</w:t>
                  </w:r>
                  <w:r>
                    <w:rPr>
                      <w:rFonts w:ascii="Times New Roman" w:hAnsi="Times New Roman"/>
                      <w:color w:val="000000"/>
                      <w:sz w:val="21"/>
                      <w:szCs w:val="21"/>
                      <w:bdr w:val="none" w:color="auto" w:sz="0" w:space="0"/>
                      <w:lang w:val="en-US" w:eastAsia="zh-CN"/>
                    </w:rPr>
                    <w:t>，但营运期废气污染物因子不含有毒有害污染物</w:t>
                  </w:r>
                  <w:r>
                    <w:rPr>
                      <w:rFonts w:hint="default" w:ascii="Times New Roman" w:hAnsi="Times New Roman" w:cs="Times New Roman"/>
                      <w:color w:val="000000"/>
                      <w:sz w:val="21"/>
                      <w:szCs w:val="21"/>
                      <w:bdr w:val="none" w:color="auto" w:sz="0" w:space="0"/>
                      <w:vertAlign w:val="superscript"/>
                      <w:lang w:val="en-US" w:eastAsia="zh-CN"/>
                    </w:rPr>
                    <w:t>1</w:t>
                  </w:r>
                  <w:r>
                    <w:rPr>
                      <w:rFonts w:ascii="Times New Roman" w:hAnsi="Times New Roman"/>
                      <w:color w:val="000000"/>
                      <w:sz w:val="21"/>
                      <w:szCs w:val="21"/>
                      <w:bdr w:val="none" w:color="auto" w:sz="0" w:space="0"/>
                      <w:lang w:val="en-US" w:eastAsia="zh-CN"/>
                    </w:rPr>
                    <w:t>，故无需开展大气专项评价。</w:t>
                  </w:r>
                </w:p>
              </w:tc>
            </w:tr>
            <w:tr w14:paraId="77F852EF">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1036" w:hRule="atLeast"/>
                <w:jc w:val="center"/>
              </w:trPr>
              <w:tc>
                <w:tcPr>
                  <w:tcW w:w="675" w:type="pct"/>
                  <w:tcBorders>
                    <w:top w:val="single" w:color="auto" w:sz="6" w:space="0"/>
                    <w:left w:val="nil"/>
                    <w:bottom w:val="single" w:color="auto" w:sz="6" w:space="0"/>
                    <w:right w:val="single" w:color="auto" w:sz="6" w:space="0"/>
                  </w:tcBorders>
                  <w:shd w:val="clear"/>
                  <w:vAlign w:val="center"/>
                </w:tcPr>
                <w:p w14:paraId="3862F336">
                  <w:pPr>
                    <w:pStyle w:val="14"/>
                    <w:widowControl/>
                    <w:adjustRightInd w:val="0"/>
                    <w:snapToGrid w:val="0"/>
                    <w:spacing w:before="0" w:beforeAutospacing="0" w:after="0" w:afterAutospacing="0" w:line="300" w:lineRule="exact"/>
                    <w:ind w:left="0" w:right="0"/>
                    <w:jc w:val="center"/>
                    <w:rPr>
                      <w:rFonts w:hint="default" w:ascii="Times New Roman" w:hAnsi="Times New Roman" w:cs="Times New Roman"/>
                      <w:color w:val="000000"/>
                      <w:sz w:val="21"/>
                      <w:szCs w:val="21"/>
                      <w:bdr w:val="none" w:color="auto" w:sz="0" w:space="0"/>
                      <w:lang w:val="en-US" w:eastAsia="zh-CN"/>
                    </w:rPr>
                  </w:pPr>
                  <w:r>
                    <w:rPr>
                      <w:rFonts w:ascii="Times New Roman" w:hAnsi="Times New Roman"/>
                      <w:color w:val="000000"/>
                      <w:sz w:val="21"/>
                      <w:szCs w:val="21"/>
                      <w:bdr w:val="none" w:color="auto" w:sz="0" w:space="0"/>
                      <w:lang w:val="en-US" w:eastAsia="zh-CN"/>
                    </w:rPr>
                    <w:t>地表水</w:t>
                  </w:r>
                </w:p>
              </w:tc>
              <w:tc>
                <w:tcPr>
                  <w:tcW w:w="2093" w:type="pct"/>
                  <w:tcBorders>
                    <w:top w:val="single" w:color="auto" w:sz="6" w:space="0"/>
                    <w:left w:val="single" w:color="auto" w:sz="6" w:space="0"/>
                    <w:bottom w:val="single" w:color="auto" w:sz="6" w:space="0"/>
                    <w:right w:val="single" w:color="auto" w:sz="6" w:space="0"/>
                  </w:tcBorders>
                  <w:shd w:val="clear"/>
                  <w:vAlign w:val="center"/>
                </w:tcPr>
                <w:p w14:paraId="33972837">
                  <w:pPr>
                    <w:pStyle w:val="14"/>
                    <w:widowControl/>
                    <w:adjustRightInd w:val="0"/>
                    <w:snapToGrid w:val="0"/>
                    <w:spacing w:before="0" w:beforeAutospacing="0" w:after="0" w:afterAutospacing="0" w:line="300" w:lineRule="exact"/>
                    <w:ind w:left="0" w:right="0"/>
                    <w:rPr>
                      <w:rFonts w:hint="default" w:ascii="Times New Roman" w:hAnsi="Times New Roman" w:cs="Times New Roman"/>
                      <w:color w:val="000000"/>
                      <w:sz w:val="21"/>
                      <w:szCs w:val="21"/>
                      <w:bdr w:val="none" w:color="auto" w:sz="0" w:space="0"/>
                      <w:lang w:val="en-US" w:eastAsia="zh-CN"/>
                    </w:rPr>
                  </w:pPr>
                  <w:r>
                    <w:rPr>
                      <w:rFonts w:ascii="Times New Roman" w:hAnsi="Times New Roman"/>
                      <w:color w:val="000000"/>
                      <w:sz w:val="21"/>
                      <w:szCs w:val="21"/>
                      <w:bdr w:val="none" w:color="auto" w:sz="0" w:space="0"/>
                      <w:lang w:val="en-US" w:eastAsia="zh-CN"/>
                    </w:rPr>
                    <w:t>新增工业废水直排建设项目（槽罐车外送污水处理厂的除外）；新增废水直排的污水集中处理厂</w:t>
                  </w:r>
                </w:p>
              </w:tc>
              <w:tc>
                <w:tcPr>
                  <w:tcW w:w="2232" w:type="pct"/>
                  <w:tcBorders>
                    <w:top w:val="single" w:color="auto" w:sz="6" w:space="0"/>
                    <w:left w:val="single" w:color="auto" w:sz="6" w:space="0"/>
                    <w:bottom w:val="single" w:color="auto" w:sz="6" w:space="0"/>
                    <w:right w:val="nil"/>
                  </w:tcBorders>
                  <w:shd w:val="clear"/>
                  <w:vAlign w:val="center"/>
                </w:tcPr>
                <w:p w14:paraId="2CBFB14C">
                  <w:pPr>
                    <w:pStyle w:val="14"/>
                    <w:widowControl/>
                    <w:snapToGrid w:val="0"/>
                    <w:spacing w:before="0" w:beforeAutospacing="0" w:after="0" w:afterAutospacing="0" w:line="300" w:lineRule="exact"/>
                    <w:ind w:left="0" w:right="0"/>
                    <w:jc w:val="both"/>
                    <w:rPr>
                      <w:rFonts w:hint="default" w:ascii="Times New Roman" w:hAnsi="Times New Roman" w:cs="Times New Roman"/>
                      <w:color w:val="000000"/>
                      <w:sz w:val="21"/>
                      <w:szCs w:val="21"/>
                      <w:bdr w:val="none" w:color="auto" w:sz="0" w:space="0"/>
                      <w:lang w:val="en-US" w:eastAsia="zh-CN"/>
                    </w:rPr>
                  </w:pPr>
                  <w:r>
                    <w:rPr>
                      <w:rFonts w:ascii="Times New Roman" w:hAnsi="Times New Roman"/>
                      <w:color w:val="000000"/>
                      <w:sz w:val="21"/>
                      <w:szCs w:val="21"/>
                      <w:bdr w:val="none" w:color="auto" w:sz="0" w:space="0"/>
                      <w:lang w:val="en-US" w:eastAsia="zh-CN"/>
                    </w:rPr>
                    <w:t>扩建项目无直排废水。故无需开展地表水专项评价。</w:t>
                  </w:r>
                </w:p>
              </w:tc>
            </w:tr>
            <w:tr w14:paraId="59675F66">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122" w:hRule="atLeast"/>
                <w:jc w:val="center"/>
              </w:trPr>
              <w:tc>
                <w:tcPr>
                  <w:tcW w:w="675" w:type="pct"/>
                  <w:tcBorders>
                    <w:top w:val="single" w:color="auto" w:sz="6" w:space="0"/>
                    <w:left w:val="nil"/>
                    <w:bottom w:val="single" w:color="auto" w:sz="6" w:space="0"/>
                    <w:right w:val="single" w:color="auto" w:sz="6" w:space="0"/>
                  </w:tcBorders>
                  <w:shd w:val="clear"/>
                  <w:vAlign w:val="center"/>
                </w:tcPr>
                <w:p w14:paraId="6010FE57">
                  <w:pPr>
                    <w:pStyle w:val="14"/>
                    <w:widowControl/>
                    <w:adjustRightInd w:val="0"/>
                    <w:snapToGrid w:val="0"/>
                    <w:spacing w:before="0" w:beforeAutospacing="0" w:after="0" w:afterAutospacing="0" w:line="300" w:lineRule="exact"/>
                    <w:ind w:left="0" w:right="0"/>
                    <w:jc w:val="center"/>
                    <w:rPr>
                      <w:rFonts w:hint="default" w:ascii="Times New Roman" w:hAnsi="Times New Roman" w:cs="Times New Roman"/>
                      <w:color w:val="000000"/>
                      <w:sz w:val="21"/>
                      <w:szCs w:val="21"/>
                      <w:bdr w:val="none" w:color="auto" w:sz="0" w:space="0"/>
                      <w:lang w:val="en-US" w:eastAsia="zh-CN"/>
                    </w:rPr>
                  </w:pPr>
                  <w:r>
                    <w:rPr>
                      <w:rFonts w:ascii="Times New Roman" w:hAnsi="Times New Roman"/>
                      <w:color w:val="000000"/>
                      <w:sz w:val="21"/>
                      <w:szCs w:val="21"/>
                      <w:bdr w:val="none" w:color="auto" w:sz="0" w:space="0"/>
                      <w:lang w:val="en-US" w:eastAsia="zh-CN"/>
                    </w:rPr>
                    <w:t>环境</w:t>
                  </w:r>
                </w:p>
                <w:p w14:paraId="5A5AB022">
                  <w:pPr>
                    <w:pStyle w:val="14"/>
                    <w:widowControl/>
                    <w:adjustRightInd w:val="0"/>
                    <w:snapToGrid w:val="0"/>
                    <w:spacing w:before="0" w:beforeAutospacing="0" w:after="0" w:afterAutospacing="0" w:line="300" w:lineRule="exact"/>
                    <w:ind w:left="0" w:right="0"/>
                    <w:jc w:val="center"/>
                    <w:rPr>
                      <w:rFonts w:hint="default" w:ascii="Times New Roman" w:hAnsi="Times New Roman" w:cs="Times New Roman"/>
                      <w:color w:val="000000"/>
                      <w:sz w:val="21"/>
                      <w:szCs w:val="21"/>
                      <w:bdr w:val="none" w:color="auto" w:sz="0" w:space="0"/>
                      <w:lang w:val="en-US" w:eastAsia="zh-CN"/>
                    </w:rPr>
                  </w:pPr>
                  <w:r>
                    <w:rPr>
                      <w:rFonts w:ascii="Times New Roman" w:hAnsi="Times New Roman"/>
                      <w:color w:val="000000"/>
                      <w:sz w:val="21"/>
                      <w:szCs w:val="21"/>
                      <w:bdr w:val="none" w:color="auto" w:sz="0" w:space="0"/>
                      <w:lang w:val="en-US" w:eastAsia="zh-CN"/>
                    </w:rPr>
                    <w:t>风险</w:t>
                  </w:r>
                </w:p>
              </w:tc>
              <w:tc>
                <w:tcPr>
                  <w:tcW w:w="2093" w:type="pct"/>
                  <w:tcBorders>
                    <w:top w:val="single" w:color="auto" w:sz="6" w:space="0"/>
                    <w:left w:val="single" w:color="auto" w:sz="6" w:space="0"/>
                    <w:bottom w:val="single" w:color="auto" w:sz="6" w:space="0"/>
                    <w:right w:val="single" w:color="auto" w:sz="6" w:space="0"/>
                  </w:tcBorders>
                  <w:shd w:val="clear"/>
                  <w:vAlign w:val="center"/>
                </w:tcPr>
                <w:p w14:paraId="27661608">
                  <w:pPr>
                    <w:pStyle w:val="14"/>
                    <w:widowControl/>
                    <w:adjustRightInd w:val="0"/>
                    <w:snapToGrid w:val="0"/>
                    <w:spacing w:before="0" w:beforeAutospacing="0" w:after="0" w:afterAutospacing="0" w:line="300" w:lineRule="exact"/>
                    <w:ind w:left="0" w:right="0"/>
                    <w:rPr>
                      <w:rFonts w:hint="default" w:ascii="Times New Roman" w:hAnsi="Times New Roman" w:cs="Times New Roman"/>
                      <w:color w:val="000000"/>
                      <w:sz w:val="21"/>
                      <w:szCs w:val="21"/>
                      <w:bdr w:val="none" w:color="auto" w:sz="0" w:space="0"/>
                      <w:lang w:val="en-US" w:eastAsia="zh-CN"/>
                    </w:rPr>
                  </w:pPr>
                  <w:r>
                    <w:rPr>
                      <w:rFonts w:ascii="Times New Roman" w:hAnsi="Times New Roman"/>
                      <w:color w:val="000000"/>
                      <w:sz w:val="21"/>
                      <w:szCs w:val="21"/>
                      <w:bdr w:val="none" w:color="auto" w:sz="0" w:space="0"/>
                      <w:lang w:val="en-US" w:eastAsia="zh-CN"/>
                    </w:rPr>
                    <w:t>有毒有害和易燃易爆危险物质存储量超过临界量</w:t>
                  </w:r>
                  <w:r>
                    <w:rPr>
                      <w:rFonts w:hint="default" w:ascii="Times New Roman" w:hAnsi="Times New Roman" w:cs="Times New Roman"/>
                      <w:color w:val="000000"/>
                      <w:sz w:val="21"/>
                      <w:szCs w:val="21"/>
                      <w:bdr w:val="none" w:color="auto" w:sz="0" w:space="0"/>
                      <w:vertAlign w:val="superscript"/>
                      <w:lang w:val="en-US" w:eastAsia="zh-CN"/>
                    </w:rPr>
                    <w:t>3</w:t>
                  </w:r>
                  <w:r>
                    <w:rPr>
                      <w:rFonts w:ascii="Times New Roman" w:hAnsi="Times New Roman"/>
                      <w:color w:val="000000"/>
                      <w:sz w:val="21"/>
                      <w:szCs w:val="21"/>
                      <w:bdr w:val="none" w:color="auto" w:sz="0" w:space="0"/>
                      <w:lang w:val="en-US" w:eastAsia="zh-CN"/>
                    </w:rPr>
                    <w:t>的建设项目</w:t>
                  </w:r>
                </w:p>
              </w:tc>
              <w:tc>
                <w:tcPr>
                  <w:tcW w:w="2232" w:type="pct"/>
                  <w:tcBorders>
                    <w:top w:val="single" w:color="auto" w:sz="6" w:space="0"/>
                    <w:left w:val="single" w:color="auto" w:sz="6" w:space="0"/>
                    <w:bottom w:val="single" w:color="auto" w:sz="6" w:space="0"/>
                    <w:right w:val="nil"/>
                  </w:tcBorders>
                  <w:shd w:val="clear"/>
                  <w:vAlign w:val="center"/>
                </w:tcPr>
                <w:p w14:paraId="6FBD5FF8">
                  <w:pPr>
                    <w:pStyle w:val="14"/>
                    <w:widowControl/>
                    <w:snapToGrid w:val="0"/>
                    <w:spacing w:before="0" w:beforeAutospacing="0" w:after="0" w:afterAutospacing="0" w:line="300" w:lineRule="exact"/>
                    <w:ind w:left="0" w:right="0"/>
                    <w:rPr>
                      <w:rFonts w:hint="default" w:ascii="Times New Roman" w:hAnsi="Times New Roman" w:cs="Times New Roman"/>
                      <w:color w:val="000000"/>
                      <w:sz w:val="21"/>
                      <w:szCs w:val="21"/>
                      <w:bdr w:val="none" w:color="auto" w:sz="0" w:space="0"/>
                      <w:lang w:val="en-US" w:eastAsia="zh-CN"/>
                    </w:rPr>
                  </w:pPr>
                  <w:r>
                    <w:rPr>
                      <w:rFonts w:ascii="Times New Roman" w:hAnsi="Times New Roman"/>
                      <w:color w:val="000000"/>
                      <w:sz w:val="21"/>
                      <w:szCs w:val="21"/>
                      <w:bdr w:val="none" w:color="auto" w:sz="0" w:space="0"/>
                      <w:lang w:val="en-US" w:eastAsia="zh-CN"/>
                    </w:rPr>
                    <w:t>扩建项目有毒有害和易燃易爆危险物质</w:t>
                  </w:r>
                  <w:r>
                    <w:rPr>
                      <w:rFonts w:hint="default" w:ascii="Times New Roman" w:hAnsi="Times New Roman" w:cs="Times New Roman"/>
                      <w:color w:val="000000"/>
                      <w:sz w:val="21"/>
                      <w:szCs w:val="21"/>
                      <w:bdr w:val="none" w:color="auto" w:sz="0" w:space="0"/>
                      <w:lang w:val="en-US" w:eastAsia="zh-CN"/>
                    </w:rPr>
                    <w:t>Q&lt;1</w:t>
                  </w:r>
                  <w:r>
                    <w:rPr>
                      <w:rFonts w:ascii="Times New Roman" w:hAnsi="Times New Roman"/>
                      <w:color w:val="000000"/>
                      <w:sz w:val="21"/>
                      <w:szCs w:val="21"/>
                      <w:bdr w:val="none" w:color="auto" w:sz="0" w:space="0"/>
                      <w:lang w:val="en-US" w:eastAsia="zh-CN"/>
                    </w:rPr>
                    <w:t>，未超过临界量，</w:t>
                  </w:r>
                  <w:r>
                    <w:rPr>
                      <w:rFonts w:ascii="Times New Roman" w:hAnsi="Times New Roman"/>
                      <w:bCs/>
                      <w:color w:val="000000"/>
                      <w:sz w:val="21"/>
                      <w:szCs w:val="21"/>
                      <w:bdr w:val="none" w:color="auto" w:sz="0" w:space="0"/>
                      <w:lang w:val="en-US" w:eastAsia="zh-CN"/>
                    </w:rPr>
                    <w:t>故无需开展环境风险专项评价。</w:t>
                  </w:r>
                </w:p>
              </w:tc>
            </w:tr>
            <w:tr w14:paraId="528701C0">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75" w:type="pct"/>
                  <w:tcBorders>
                    <w:top w:val="single" w:color="auto" w:sz="6" w:space="0"/>
                    <w:left w:val="nil"/>
                    <w:bottom w:val="single" w:color="auto" w:sz="6" w:space="0"/>
                    <w:right w:val="single" w:color="auto" w:sz="6" w:space="0"/>
                  </w:tcBorders>
                  <w:shd w:val="clear"/>
                  <w:vAlign w:val="center"/>
                </w:tcPr>
                <w:p w14:paraId="3A008994">
                  <w:pPr>
                    <w:pStyle w:val="14"/>
                    <w:widowControl/>
                    <w:adjustRightInd w:val="0"/>
                    <w:snapToGrid w:val="0"/>
                    <w:spacing w:before="0" w:beforeAutospacing="0" w:after="0" w:afterAutospacing="0" w:line="300" w:lineRule="exact"/>
                    <w:ind w:left="0" w:right="0"/>
                    <w:jc w:val="center"/>
                    <w:rPr>
                      <w:rFonts w:hint="default" w:ascii="Times New Roman" w:hAnsi="Times New Roman" w:cs="Times New Roman"/>
                      <w:color w:val="000000"/>
                      <w:sz w:val="21"/>
                      <w:szCs w:val="21"/>
                      <w:bdr w:val="none" w:color="auto" w:sz="0" w:space="0"/>
                      <w:lang w:val="en-US" w:eastAsia="zh-CN"/>
                    </w:rPr>
                  </w:pPr>
                  <w:r>
                    <w:rPr>
                      <w:rFonts w:ascii="Times New Roman" w:hAnsi="Times New Roman"/>
                      <w:color w:val="000000"/>
                      <w:sz w:val="21"/>
                      <w:szCs w:val="21"/>
                      <w:bdr w:val="none" w:color="auto" w:sz="0" w:space="0"/>
                      <w:lang w:val="en-US" w:eastAsia="zh-CN"/>
                    </w:rPr>
                    <w:t>生态</w:t>
                  </w:r>
                </w:p>
              </w:tc>
              <w:tc>
                <w:tcPr>
                  <w:tcW w:w="2093" w:type="pct"/>
                  <w:tcBorders>
                    <w:top w:val="single" w:color="auto" w:sz="6" w:space="0"/>
                    <w:left w:val="single" w:color="auto" w:sz="6" w:space="0"/>
                    <w:bottom w:val="single" w:color="auto" w:sz="6" w:space="0"/>
                    <w:right w:val="single" w:color="auto" w:sz="6" w:space="0"/>
                  </w:tcBorders>
                  <w:shd w:val="clear"/>
                  <w:vAlign w:val="center"/>
                </w:tcPr>
                <w:p w14:paraId="03AAA01A">
                  <w:pPr>
                    <w:keepNext w:val="0"/>
                    <w:keepLines w:val="0"/>
                    <w:widowControl/>
                    <w:suppressLineNumbers w:val="0"/>
                    <w:adjustRightInd w:val="0"/>
                    <w:spacing w:before="0" w:beforeAutospacing="0" w:after="0" w:afterAutospacing="0" w:line="300" w:lineRule="exact"/>
                    <w:ind w:left="0" w:right="0"/>
                    <w:jc w:val="left"/>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取水口下游</w:t>
                  </w:r>
                  <w:r>
                    <w:rPr>
                      <w:rFonts w:hint="default" w:ascii="Times New Roman" w:hAnsi="Times New Roman" w:eastAsia="宋体" w:cs="Times New Roman"/>
                      <w:color w:val="000000"/>
                      <w:kern w:val="0"/>
                      <w:sz w:val="21"/>
                      <w:szCs w:val="21"/>
                      <w:bdr w:val="none" w:color="auto" w:sz="0" w:space="0"/>
                      <w:lang w:val="en-US" w:eastAsia="zh-CN" w:bidi="ar"/>
                    </w:rPr>
                    <w:t>500</w:t>
                  </w:r>
                  <w:r>
                    <w:rPr>
                      <w:rFonts w:hint="eastAsia" w:ascii="Times New Roman" w:hAnsi="Calibri" w:eastAsia="宋体" w:cs="宋体"/>
                      <w:color w:val="000000"/>
                      <w:kern w:val="0"/>
                      <w:sz w:val="21"/>
                      <w:szCs w:val="21"/>
                      <w:bdr w:val="none" w:color="auto" w:sz="0" w:space="0"/>
                      <w:lang w:val="en-US" w:eastAsia="zh-CN" w:bidi="ar"/>
                    </w:rPr>
                    <w:t>米范围内有重要水生生物的自然产卵场、索饵场、越冬场和洄游通道的新增河道取水的污染类建设项目</w:t>
                  </w:r>
                </w:p>
              </w:tc>
              <w:tc>
                <w:tcPr>
                  <w:tcW w:w="2232" w:type="pct"/>
                  <w:tcBorders>
                    <w:top w:val="single" w:color="auto" w:sz="6" w:space="0"/>
                    <w:left w:val="single" w:color="auto" w:sz="6" w:space="0"/>
                    <w:bottom w:val="single" w:color="auto" w:sz="6" w:space="0"/>
                    <w:right w:val="nil"/>
                  </w:tcBorders>
                  <w:shd w:val="clear"/>
                  <w:vAlign w:val="center"/>
                </w:tcPr>
                <w:p w14:paraId="25DCA799">
                  <w:pPr>
                    <w:pStyle w:val="14"/>
                    <w:widowControl/>
                    <w:snapToGrid w:val="0"/>
                    <w:spacing w:before="0" w:beforeAutospacing="0" w:after="0" w:afterAutospacing="0" w:line="300" w:lineRule="exact"/>
                    <w:ind w:left="0" w:right="0"/>
                    <w:rPr>
                      <w:rFonts w:hint="default" w:ascii="Times New Roman" w:hAnsi="Times New Roman" w:cs="Times New Roman"/>
                      <w:color w:val="000000"/>
                      <w:sz w:val="21"/>
                      <w:szCs w:val="21"/>
                      <w:bdr w:val="none" w:color="auto" w:sz="0" w:space="0"/>
                      <w:lang w:val="en-US" w:eastAsia="zh-CN"/>
                    </w:rPr>
                  </w:pPr>
                  <w:r>
                    <w:rPr>
                      <w:rFonts w:ascii="Times New Roman" w:hAnsi="Times New Roman"/>
                      <w:color w:val="000000"/>
                      <w:sz w:val="21"/>
                      <w:szCs w:val="21"/>
                      <w:bdr w:val="none" w:color="auto" w:sz="0" w:space="0"/>
                      <w:lang w:val="en-US" w:eastAsia="zh-CN"/>
                    </w:rPr>
                    <w:t>扩建项目用水均由市政管网供水，无取水口。故无需开展生态专项评价。</w:t>
                  </w:r>
                </w:p>
              </w:tc>
            </w:tr>
            <w:tr w14:paraId="60650E79">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75" w:type="pct"/>
                  <w:tcBorders>
                    <w:top w:val="single" w:color="auto" w:sz="6" w:space="0"/>
                    <w:left w:val="nil"/>
                    <w:bottom w:val="single" w:color="auto" w:sz="6" w:space="0"/>
                    <w:right w:val="single" w:color="auto" w:sz="6" w:space="0"/>
                  </w:tcBorders>
                  <w:shd w:val="clear"/>
                  <w:vAlign w:val="center"/>
                </w:tcPr>
                <w:p w14:paraId="4BFE85DB">
                  <w:pPr>
                    <w:pStyle w:val="14"/>
                    <w:widowControl/>
                    <w:adjustRightInd w:val="0"/>
                    <w:snapToGrid w:val="0"/>
                    <w:spacing w:before="0" w:beforeAutospacing="0" w:after="0" w:afterAutospacing="0" w:line="300" w:lineRule="exact"/>
                    <w:ind w:left="0" w:right="0"/>
                    <w:jc w:val="center"/>
                    <w:rPr>
                      <w:rFonts w:hint="default" w:ascii="Times New Roman" w:hAnsi="Times New Roman" w:cs="Times New Roman"/>
                      <w:color w:val="000000"/>
                      <w:sz w:val="21"/>
                      <w:szCs w:val="21"/>
                      <w:bdr w:val="none" w:color="auto" w:sz="0" w:space="0"/>
                      <w:lang w:val="en-US" w:eastAsia="zh-CN"/>
                    </w:rPr>
                  </w:pPr>
                  <w:r>
                    <w:rPr>
                      <w:rFonts w:ascii="Times New Roman" w:hAnsi="Times New Roman"/>
                      <w:color w:val="000000"/>
                      <w:sz w:val="21"/>
                      <w:szCs w:val="21"/>
                      <w:bdr w:val="none" w:color="auto" w:sz="0" w:space="0"/>
                      <w:lang w:val="en-US" w:eastAsia="zh-CN"/>
                    </w:rPr>
                    <w:t>海洋</w:t>
                  </w:r>
                </w:p>
              </w:tc>
              <w:tc>
                <w:tcPr>
                  <w:tcW w:w="2093" w:type="pct"/>
                  <w:tcBorders>
                    <w:top w:val="single" w:color="auto" w:sz="6" w:space="0"/>
                    <w:left w:val="single" w:color="auto" w:sz="6" w:space="0"/>
                    <w:bottom w:val="single" w:color="auto" w:sz="6" w:space="0"/>
                    <w:right w:val="single" w:color="auto" w:sz="6" w:space="0"/>
                  </w:tcBorders>
                  <w:shd w:val="clear"/>
                  <w:vAlign w:val="center"/>
                </w:tcPr>
                <w:p w14:paraId="6FB35D6B">
                  <w:pPr>
                    <w:pStyle w:val="14"/>
                    <w:widowControl/>
                    <w:adjustRightInd w:val="0"/>
                    <w:snapToGrid w:val="0"/>
                    <w:spacing w:before="0" w:beforeAutospacing="0" w:after="0" w:afterAutospacing="0" w:line="300" w:lineRule="exact"/>
                    <w:ind w:left="0" w:right="0"/>
                    <w:jc w:val="both"/>
                    <w:rPr>
                      <w:rFonts w:hint="default" w:ascii="Times New Roman" w:hAnsi="Times New Roman" w:cs="Times New Roman"/>
                      <w:color w:val="000000"/>
                      <w:sz w:val="21"/>
                      <w:szCs w:val="21"/>
                      <w:bdr w:val="none" w:color="auto" w:sz="0" w:space="0"/>
                      <w:lang w:val="en-US" w:eastAsia="zh-CN"/>
                    </w:rPr>
                  </w:pPr>
                  <w:r>
                    <w:rPr>
                      <w:rFonts w:ascii="Times New Roman" w:hAnsi="Times New Roman"/>
                      <w:color w:val="000000"/>
                      <w:sz w:val="21"/>
                      <w:szCs w:val="21"/>
                      <w:bdr w:val="none" w:color="auto" w:sz="0" w:space="0"/>
                      <w:lang w:val="en-US" w:eastAsia="zh-CN"/>
                    </w:rPr>
                    <w:t>直接向海排放污染物的海洋工程建设项目</w:t>
                  </w:r>
                </w:p>
              </w:tc>
              <w:tc>
                <w:tcPr>
                  <w:tcW w:w="2232" w:type="pct"/>
                  <w:tcBorders>
                    <w:top w:val="single" w:color="auto" w:sz="6" w:space="0"/>
                    <w:left w:val="single" w:color="auto" w:sz="6" w:space="0"/>
                    <w:bottom w:val="single" w:color="auto" w:sz="6" w:space="0"/>
                    <w:right w:val="nil"/>
                  </w:tcBorders>
                  <w:shd w:val="clear"/>
                  <w:vAlign w:val="center"/>
                </w:tcPr>
                <w:p w14:paraId="3424B706">
                  <w:pPr>
                    <w:pStyle w:val="14"/>
                    <w:widowControl/>
                    <w:snapToGrid w:val="0"/>
                    <w:spacing w:before="0" w:beforeAutospacing="0" w:after="0" w:afterAutospacing="0" w:line="300" w:lineRule="exact"/>
                    <w:ind w:left="0" w:right="0"/>
                    <w:rPr>
                      <w:rFonts w:hint="default" w:ascii="Times New Roman" w:hAnsi="Times New Roman" w:cs="Times New Roman"/>
                      <w:color w:val="000000"/>
                      <w:sz w:val="21"/>
                      <w:szCs w:val="21"/>
                      <w:bdr w:val="none" w:color="auto" w:sz="0" w:space="0"/>
                      <w:lang w:val="en-US" w:eastAsia="zh-CN"/>
                    </w:rPr>
                  </w:pPr>
                  <w:r>
                    <w:rPr>
                      <w:rFonts w:ascii="Times New Roman" w:hAnsi="Times New Roman"/>
                      <w:color w:val="000000"/>
                      <w:sz w:val="21"/>
                      <w:szCs w:val="21"/>
                      <w:bdr w:val="none" w:color="auto" w:sz="0" w:space="0"/>
                      <w:lang w:val="en-US" w:eastAsia="zh-CN"/>
                    </w:rPr>
                    <w:t>扩建项目不属于海洋工程建设项目，故无需开展海洋专项评价。</w:t>
                  </w:r>
                </w:p>
              </w:tc>
            </w:tr>
            <w:tr w14:paraId="356F84DB">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75" w:type="pct"/>
                  <w:tcBorders>
                    <w:top w:val="single" w:color="auto" w:sz="6" w:space="0"/>
                    <w:left w:val="nil"/>
                    <w:bottom w:val="single" w:color="auto" w:sz="6" w:space="0"/>
                    <w:right w:val="single" w:color="auto" w:sz="6" w:space="0"/>
                  </w:tcBorders>
                  <w:shd w:val="clear"/>
                  <w:vAlign w:val="center"/>
                </w:tcPr>
                <w:p w14:paraId="58EE88DC">
                  <w:pPr>
                    <w:pStyle w:val="14"/>
                    <w:widowControl/>
                    <w:adjustRightInd w:val="0"/>
                    <w:snapToGrid w:val="0"/>
                    <w:spacing w:before="0" w:beforeAutospacing="0" w:after="0" w:afterAutospacing="0" w:line="300" w:lineRule="exact"/>
                    <w:ind w:left="0" w:right="0"/>
                    <w:jc w:val="center"/>
                    <w:rPr>
                      <w:rFonts w:hint="default" w:ascii="Times New Roman" w:hAnsi="Times New Roman" w:cs="Times New Roman"/>
                      <w:color w:val="000000"/>
                      <w:sz w:val="21"/>
                      <w:szCs w:val="21"/>
                      <w:bdr w:val="none" w:color="auto" w:sz="0" w:space="0"/>
                      <w:lang w:val="en-US" w:eastAsia="zh-CN"/>
                    </w:rPr>
                  </w:pPr>
                  <w:r>
                    <w:rPr>
                      <w:rFonts w:ascii="Times New Roman" w:hAnsi="Times New Roman"/>
                      <w:color w:val="000000"/>
                      <w:sz w:val="21"/>
                      <w:szCs w:val="21"/>
                      <w:bdr w:val="none" w:color="auto" w:sz="0" w:space="0"/>
                      <w:lang w:val="en-US" w:eastAsia="zh-CN"/>
                    </w:rPr>
                    <w:t>地下水</w:t>
                  </w:r>
                </w:p>
              </w:tc>
              <w:tc>
                <w:tcPr>
                  <w:tcW w:w="2093" w:type="pct"/>
                  <w:tcBorders>
                    <w:top w:val="single" w:color="auto" w:sz="6" w:space="0"/>
                    <w:left w:val="single" w:color="auto" w:sz="6" w:space="0"/>
                    <w:bottom w:val="single" w:color="auto" w:sz="6" w:space="0"/>
                    <w:right w:val="single" w:color="auto" w:sz="6" w:space="0"/>
                  </w:tcBorders>
                  <w:shd w:val="clear"/>
                  <w:vAlign w:val="center"/>
                </w:tcPr>
                <w:p w14:paraId="70C63788">
                  <w:pPr>
                    <w:pStyle w:val="14"/>
                    <w:widowControl/>
                    <w:snapToGrid w:val="0"/>
                    <w:spacing w:before="0" w:beforeAutospacing="0" w:after="0" w:afterAutospacing="0" w:line="300" w:lineRule="exact"/>
                    <w:ind w:left="0" w:right="0"/>
                    <w:rPr>
                      <w:rFonts w:hint="default" w:ascii="Times New Roman" w:hAnsi="Times New Roman" w:cs="Times New Roman"/>
                      <w:color w:val="000000"/>
                      <w:sz w:val="21"/>
                      <w:szCs w:val="21"/>
                      <w:bdr w:val="none" w:color="auto" w:sz="0" w:space="0"/>
                      <w:lang w:val="en-US" w:eastAsia="zh-CN"/>
                    </w:rPr>
                  </w:pPr>
                  <w:r>
                    <w:rPr>
                      <w:rFonts w:ascii="Times New Roman" w:hAnsi="Times New Roman"/>
                      <w:color w:val="000000"/>
                      <w:sz w:val="21"/>
                      <w:szCs w:val="21"/>
                      <w:bdr w:val="none" w:color="auto" w:sz="0" w:space="0"/>
                      <w:lang w:val="en-US" w:eastAsia="zh-CN"/>
                    </w:rPr>
                    <w:t>涉及集中式饮用水水源和热水、矿泉水、温泉等特殊地下水资源保护区</w:t>
                  </w:r>
                </w:p>
              </w:tc>
              <w:tc>
                <w:tcPr>
                  <w:tcW w:w="2232" w:type="pct"/>
                  <w:tcBorders>
                    <w:top w:val="single" w:color="auto" w:sz="6" w:space="0"/>
                    <w:left w:val="single" w:color="auto" w:sz="6" w:space="0"/>
                    <w:bottom w:val="single" w:color="auto" w:sz="6" w:space="0"/>
                    <w:right w:val="nil"/>
                  </w:tcBorders>
                  <w:shd w:val="clear"/>
                  <w:vAlign w:val="center"/>
                </w:tcPr>
                <w:p w14:paraId="644421E1">
                  <w:pPr>
                    <w:pStyle w:val="14"/>
                    <w:widowControl/>
                    <w:snapToGrid w:val="0"/>
                    <w:spacing w:before="0" w:beforeAutospacing="0" w:after="0" w:afterAutospacing="0" w:line="300" w:lineRule="exact"/>
                    <w:ind w:left="0" w:right="0"/>
                    <w:rPr>
                      <w:rFonts w:hint="default" w:ascii="Times New Roman" w:hAnsi="Times New Roman" w:cs="Times New Roman"/>
                      <w:color w:val="000000"/>
                      <w:sz w:val="21"/>
                      <w:szCs w:val="21"/>
                      <w:bdr w:val="none" w:color="auto" w:sz="0" w:space="0"/>
                      <w:lang w:val="en-US" w:eastAsia="zh-CN"/>
                    </w:rPr>
                  </w:pPr>
                  <w:r>
                    <w:rPr>
                      <w:rFonts w:ascii="Times New Roman" w:hAnsi="Times New Roman"/>
                      <w:color w:val="000000"/>
                      <w:sz w:val="21"/>
                      <w:szCs w:val="21"/>
                      <w:bdr w:val="none" w:color="auto" w:sz="0" w:space="0"/>
                      <w:lang w:val="en-US" w:eastAsia="zh-CN"/>
                    </w:rPr>
                    <w:t>扩建项目不涉及特殊地下水资源保护区，故无需开展地下水专项评价。</w:t>
                  </w:r>
                </w:p>
              </w:tc>
            </w:tr>
            <w:tr w14:paraId="5F6A6C54">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gridSpan w:val="3"/>
                  <w:tcBorders>
                    <w:top w:val="single" w:color="auto" w:sz="6" w:space="0"/>
                    <w:left w:val="nil"/>
                    <w:bottom w:val="single" w:color="auto" w:sz="12" w:space="0"/>
                    <w:right w:val="nil"/>
                  </w:tcBorders>
                  <w:shd w:val="clear"/>
                  <w:vAlign w:val="center"/>
                </w:tcPr>
                <w:p w14:paraId="2DC0F07C">
                  <w:pPr>
                    <w:pStyle w:val="14"/>
                    <w:widowControl/>
                    <w:snapToGrid w:val="0"/>
                    <w:spacing w:before="0" w:beforeAutospacing="0" w:after="0" w:afterAutospacing="0" w:line="300" w:lineRule="exact"/>
                    <w:ind w:left="0" w:right="0"/>
                    <w:rPr>
                      <w:rFonts w:hint="default" w:ascii="Times New Roman" w:hAnsi="Times New Roman" w:cs="Times New Roman"/>
                      <w:color w:val="000000"/>
                      <w:sz w:val="21"/>
                      <w:szCs w:val="21"/>
                      <w:bdr w:val="none" w:color="auto" w:sz="0" w:space="0"/>
                      <w:lang w:val="en-US" w:eastAsia="zh-CN"/>
                    </w:rPr>
                  </w:pPr>
                  <w:r>
                    <w:rPr>
                      <w:rFonts w:ascii="Times New Roman" w:hAnsi="Times New Roman"/>
                      <w:color w:val="000000"/>
                      <w:sz w:val="21"/>
                      <w:szCs w:val="21"/>
                      <w:bdr w:val="none" w:color="auto" w:sz="0" w:space="0"/>
                      <w:lang w:val="en-US" w:eastAsia="zh-CN"/>
                    </w:rPr>
                    <w:t>注：</w:t>
                  </w:r>
                  <w:r>
                    <w:rPr>
                      <w:rFonts w:hint="default" w:ascii="Times New Roman" w:hAnsi="Times New Roman" w:cs="Times New Roman"/>
                      <w:color w:val="000000"/>
                      <w:sz w:val="21"/>
                      <w:szCs w:val="21"/>
                      <w:bdr w:val="none" w:color="auto" w:sz="0" w:space="0"/>
                      <w:lang w:val="en-US" w:eastAsia="zh-CN"/>
                    </w:rPr>
                    <w:t>1</w:t>
                  </w:r>
                  <w:r>
                    <w:rPr>
                      <w:rFonts w:ascii="Times New Roman" w:hAnsi="Times New Roman"/>
                      <w:color w:val="000000"/>
                      <w:sz w:val="21"/>
                      <w:szCs w:val="21"/>
                      <w:bdr w:val="none" w:color="auto" w:sz="0" w:space="0"/>
                      <w:lang w:val="en-US" w:eastAsia="zh-CN"/>
                    </w:rPr>
                    <w:t>、废气中有毒有害污染物指纳入《有毒有害大气污染物名录》的污染物（不包括无排放标准的污染物）。</w:t>
                  </w:r>
                  <w:r>
                    <w:rPr>
                      <w:rFonts w:hint="default" w:ascii="Times New Roman" w:hAnsi="Times New Roman" w:cs="Times New Roman"/>
                      <w:color w:val="000000"/>
                      <w:sz w:val="21"/>
                      <w:szCs w:val="21"/>
                      <w:bdr w:val="none" w:color="auto" w:sz="0" w:space="0"/>
                      <w:lang w:val="en-US" w:eastAsia="zh-CN"/>
                    </w:rPr>
                    <w:t>2</w:t>
                  </w:r>
                  <w:r>
                    <w:rPr>
                      <w:rFonts w:ascii="Times New Roman" w:hAnsi="Times New Roman"/>
                      <w:color w:val="000000"/>
                      <w:sz w:val="21"/>
                      <w:szCs w:val="21"/>
                      <w:bdr w:val="none" w:color="auto" w:sz="0" w:space="0"/>
                      <w:lang w:val="en-US" w:eastAsia="zh-CN"/>
                    </w:rPr>
                    <w:t>、环境空气保护目标指自然保护区、风景名胜区、居住区、文化区和农村地区中人群较集中的区域。</w:t>
                  </w:r>
                  <w:r>
                    <w:rPr>
                      <w:rFonts w:hint="default" w:ascii="Times New Roman" w:hAnsi="Times New Roman" w:cs="Times New Roman"/>
                      <w:color w:val="000000"/>
                      <w:sz w:val="21"/>
                      <w:szCs w:val="21"/>
                      <w:bdr w:val="none" w:color="auto" w:sz="0" w:space="0"/>
                      <w:lang w:val="en-US" w:eastAsia="zh-CN"/>
                    </w:rPr>
                    <w:t>3</w:t>
                  </w:r>
                  <w:r>
                    <w:rPr>
                      <w:rFonts w:ascii="Times New Roman" w:hAnsi="Times New Roman"/>
                      <w:color w:val="000000"/>
                      <w:sz w:val="21"/>
                      <w:szCs w:val="21"/>
                      <w:bdr w:val="none" w:color="auto" w:sz="0" w:space="0"/>
                      <w:lang w:val="en-US" w:eastAsia="zh-CN"/>
                    </w:rPr>
                    <w:t>、临界量及其计算方法可参考《建设项目环境风险评价技术导则》（</w:t>
                  </w:r>
                  <w:r>
                    <w:rPr>
                      <w:rFonts w:hint="default" w:ascii="Times New Roman" w:hAnsi="Times New Roman" w:cs="Times New Roman"/>
                      <w:color w:val="000000"/>
                      <w:sz w:val="21"/>
                      <w:szCs w:val="21"/>
                      <w:bdr w:val="none" w:color="auto" w:sz="0" w:space="0"/>
                      <w:lang w:val="en-US" w:eastAsia="zh-CN"/>
                    </w:rPr>
                    <w:t>HJ169</w:t>
                  </w:r>
                  <w:r>
                    <w:rPr>
                      <w:rFonts w:ascii="Times New Roman" w:hAnsi="Times New Roman"/>
                      <w:color w:val="000000"/>
                      <w:sz w:val="21"/>
                      <w:szCs w:val="21"/>
                      <w:bdr w:val="none" w:color="auto" w:sz="0" w:space="0"/>
                      <w:lang w:val="en-US" w:eastAsia="zh-CN"/>
                    </w:rPr>
                    <w:t>）附录</w:t>
                  </w:r>
                  <w:r>
                    <w:rPr>
                      <w:rFonts w:hint="default" w:ascii="Times New Roman" w:hAnsi="Times New Roman" w:cs="Times New Roman"/>
                      <w:color w:val="000000"/>
                      <w:sz w:val="21"/>
                      <w:szCs w:val="21"/>
                      <w:bdr w:val="none" w:color="auto" w:sz="0" w:space="0"/>
                      <w:lang w:val="en-US" w:eastAsia="zh-CN"/>
                    </w:rPr>
                    <w:t>B</w:t>
                  </w:r>
                  <w:r>
                    <w:rPr>
                      <w:rFonts w:ascii="Times New Roman" w:hAnsi="Times New Roman"/>
                      <w:color w:val="000000"/>
                      <w:sz w:val="21"/>
                      <w:szCs w:val="21"/>
                      <w:bdr w:val="none" w:color="auto" w:sz="0" w:space="0"/>
                      <w:lang w:val="en-US" w:eastAsia="zh-CN"/>
                    </w:rPr>
                    <w:t>、附录</w:t>
                  </w:r>
                  <w:r>
                    <w:rPr>
                      <w:rFonts w:hint="default" w:ascii="Times New Roman" w:hAnsi="Times New Roman" w:cs="Times New Roman"/>
                      <w:color w:val="000000"/>
                      <w:sz w:val="21"/>
                      <w:szCs w:val="21"/>
                      <w:bdr w:val="none" w:color="auto" w:sz="0" w:space="0"/>
                      <w:lang w:val="en-US" w:eastAsia="zh-CN"/>
                    </w:rPr>
                    <w:t>C</w:t>
                  </w:r>
                  <w:r>
                    <w:rPr>
                      <w:rFonts w:ascii="Times New Roman" w:hAnsi="Times New Roman"/>
                      <w:color w:val="000000"/>
                      <w:sz w:val="21"/>
                      <w:szCs w:val="21"/>
                      <w:bdr w:val="none" w:color="auto" w:sz="0" w:space="0"/>
                      <w:lang w:val="en-US" w:eastAsia="zh-CN"/>
                    </w:rPr>
                    <w:t>。</w:t>
                  </w:r>
                </w:p>
              </w:tc>
            </w:tr>
          </w:tbl>
          <w:p w14:paraId="11C0301B">
            <w:pPr>
              <w:keepNext w:val="0"/>
              <w:keepLines w:val="0"/>
              <w:widowControl w:val="0"/>
              <w:suppressLineNumbers w:val="0"/>
              <w:spacing w:before="0" w:beforeAutospacing="0" w:after="0" w:afterAutospacing="0" w:line="440" w:lineRule="exact"/>
              <w:ind w:left="0" w:right="0" w:firstLine="480"/>
              <w:jc w:val="center"/>
              <w:rPr>
                <w:rFonts w:hint="eastAsia" w:ascii="宋体" w:hAnsi="宋体" w:eastAsia="宋体" w:cs="宋体"/>
                <w:color w:val="000000"/>
                <w:kern w:val="0"/>
                <w:szCs w:val="21"/>
                <w:bdr w:val="none" w:color="auto" w:sz="0" w:space="0"/>
                <w:lang w:val="en-US"/>
              </w:rPr>
            </w:pPr>
          </w:p>
        </w:tc>
      </w:tr>
      <w:tr w14:paraId="588139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585" w:hRule="atLeast"/>
          <w:jc w:val="center"/>
        </w:trPr>
        <w:tc>
          <w:tcPr>
            <w:tcW w:w="1856" w:type="dxa"/>
            <w:tcBorders>
              <w:top w:val="single" w:color="auto" w:sz="4" w:space="0"/>
              <w:left w:val="single" w:color="auto" w:sz="8" w:space="0"/>
              <w:bottom w:val="single" w:color="auto" w:sz="4" w:space="0"/>
              <w:right w:val="single" w:color="auto" w:sz="4" w:space="0"/>
            </w:tcBorders>
            <w:shd w:val="clear"/>
            <w:tcMar>
              <w:left w:w="108" w:type="dxa"/>
              <w:right w:w="108" w:type="dxa"/>
            </w:tcMar>
            <w:vAlign w:val="center"/>
          </w:tcPr>
          <w:p w14:paraId="5C1E29F6">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000000"/>
                <w:kern w:val="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规划情况</w:t>
            </w:r>
          </w:p>
        </w:tc>
        <w:tc>
          <w:tcPr>
            <w:tcW w:w="7014" w:type="dxa"/>
            <w:gridSpan w:val="4"/>
            <w:tcBorders>
              <w:top w:val="single" w:color="auto" w:sz="4" w:space="0"/>
              <w:left w:val="single" w:color="auto" w:sz="4" w:space="0"/>
              <w:bottom w:val="single" w:color="auto" w:sz="4" w:space="0"/>
              <w:right w:val="single" w:color="auto" w:sz="8" w:space="0"/>
            </w:tcBorders>
            <w:shd w:val="clear"/>
            <w:tcMar>
              <w:left w:w="108" w:type="dxa"/>
              <w:right w:w="108" w:type="dxa"/>
            </w:tcMar>
            <w:vAlign w:val="center"/>
          </w:tcPr>
          <w:p w14:paraId="29D349EF">
            <w:pPr>
              <w:keepNext w:val="0"/>
              <w:keepLines w:val="0"/>
              <w:widowControl w:val="0"/>
              <w:suppressLineNumbers w:val="0"/>
              <w:spacing w:before="0" w:beforeAutospacing="0" w:after="0" w:afterAutospacing="0" w:line="440" w:lineRule="exact"/>
              <w:ind w:left="0" w:right="0"/>
              <w:jc w:val="left"/>
              <w:rPr>
                <w:rFonts w:hint="default" w:ascii="Times New Roman" w:hAnsi="Times New Roman" w:cs="Times New Roman"/>
                <w:color w:val="000000"/>
                <w:kern w:val="0"/>
                <w:sz w:val="24"/>
                <w:szCs w:val="24"/>
                <w:bdr w:val="none" w:color="auto" w:sz="0" w:space="0"/>
                <w:lang w:val="en-US"/>
              </w:rPr>
            </w:pPr>
            <w:r>
              <w:rPr>
                <w:rFonts w:hint="eastAsia" w:ascii="Times New Roman" w:hAnsi="Times New Roman" w:eastAsia="宋体" w:cs="宋体"/>
                <w:color w:val="000000"/>
                <w:kern w:val="0"/>
                <w:sz w:val="24"/>
                <w:szCs w:val="24"/>
                <w:bdr w:val="none" w:color="auto" w:sz="0" w:space="0"/>
                <w:lang w:val="en-US" w:eastAsia="zh-CN" w:bidi="ar"/>
              </w:rPr>
              <w:t>规划名称：《重庆市合川工业园区南溪组团南溪片区控制性详细规划</w:t>
            </w:r>
            <w:r>
              <w:rPr>
                <w:rFonts w:hint="default" w:ascii="Times New Roman" w:hAnsi="Times New Roman" w:eastAsia="宋体" w:cs="Times New Roman"/>
                <w:color w:val="000000"/>
                <w:kern w:val="0"/>
                <w:sz w:val="24"/>
                <w:szCs w:val="24"/>
                <w:bdr w:val="none" w:color="auto" w:sz="0" w:space="0"/>
                <w:lang w:val="en-US" w:eastAsia="zh-CN" w:bidi="ar"/>
              </w:rPr>
              <w:t>(</w:t>
            </w:r>
            <w:r>
              <w:rPr>
                <w:rFonts w:hint="eastAsia" w:ascii="Times New Roman" w:hAnsi="Times New Roman" w:eastAsia="宋体" w:cs="宋体"/>
                <w:color w:val="000000"/>
                <w:kern w:val="0"/>
                <w:sz w:val="24"/>
                <w:szCs w:val="24"/>
                <w:bdr w:val="none" w:color="auto" w:sz="0" w:space="0"/>
                <w:lang w:val="en-US" w:eastAsia="zh-CN" w:bidi="ar"/>
              </w:rPr>
              <w:t>修改</w:t>
            </w:r>
            <w:r>
              <w:rPr>
                <w:rFonts w:hint="default" w:ascii="Times New Roman" w:hAnsi="Times New Roman" w:eastAsia="宋体" w:cs="Times New Roman"/>
                <w:color w:val="000000"/>
                <w:kern w:val="0"/>
                <w:sz w:val="24"/>
                <w:szCs w:val="24"/>
                <w:bdr w:val="none" w:color="auto" w:sz="0" w:space="0"/>
                <w:lang w:val="en-US" w:eastAsia="zh-CN" w:bidi="ar"/>
              </w:rPr>
              <w:t>)</w:t>
            </w:r>
            <w:r>
              <w:rPr>
                <w:rFonts w:hint="eastAsia" w:ascii="Times New Roman" w:hAnsi="Times New Roman" w:eastAsia="宋体" w:cs="宋体"/>
                <w:color w:val="000000"/>
                <w:kern w:val="0"/>
                <w:sz w:val="24"/>
                <w:szCs w:val="24"/>
                <w:bdr w:val="none" w:color="auto" w:sz="0" w:space="0"/>
                <w:lang w:val="en-US" w:eastAsia="zh-CN" w:bidi="ar"/>
              </w:rPr>
              <w:t>》</w:t>
            </w:r>
          </w:p>
          <w:p w14:paraId="2F5EE438">
            <w:pPr>
              <w:keepNext w:val="0"/>
              <w:keepLines w:val="0"/>
              <w:widowControl w:val="0"/>
              <w:suppressLineNumbers w:val="0"/>
              <w:spacing w:before="0" w:beforeAutospacing="0" w:after="0" w:afterAutospacing="0" w:line="440" w:lineRule="exact"/>
              <w:ind w:left="0" w:right="0"/>
              <w:jc w:val="left"/>
              <w:rPr>
                <w:rFonts w:hint="default" w:ascii="Times New Roman" w:hAnsi="Times New Roman" w:cs="Times New Roman"/>
                <w:color w:val="000000"/>
                <w:kern w:val="0"/>
                <w:sz w:val="24"/>
                <w:szCs w:val="24"/>
                <w:bdr w:val="none" w:color="auto" w:sz="0" w:space="0"/>
                <w:lang w:val="en-US"/>
              </w:rPr>
            </w:pPr>
            <w:r>
              <w:rPr>
                <w:rFonts w:hint="eastAsia" w:ascii="Times New Roman" w:hAnsi="Times New Roman" w:eastAsia="宋体" w:cs="宋体"/>
                <w:color w:val="000000"/>
                <w:kern w:val="0"/>
                <w:sz w:val="24"/>
                <w:szCs w:val="24"/>
                <w:bdr w:val="none" w:color="auto" w:sz="0" w:space="0"/>
                <w:lang w:val="en-US" w:eastAsia="zh-CN" w:bidi="ar"/>
              </w:rPr>
              <w:t>审批机关：重庆市合川区人民政府</w:t>
            </w:r>
          </w:p>
          <w:p w14:paraId="33E95773">
            <w:pPr>
              <w:keepNext w:val="0"/>
              <w:keepLines w:val="0"/>
              <w:widowControl w:val="0"/>
              <w:suppressLineNumbers w:val="0"/>
              <w:spacing w:before="0" w:beforeAutospacing="0" w:after="0" w:afterAutospacing="0" w:line="440" w:lineRule="exact"/>
              <w:ind w:left="0" w:right="0"/>
              <w:jc w:val="left"/>
              <w:rPr>
                <w:rFonts w:hint="default" w:ascii="Times New Roman" w:hAnsi="Times New Roman" w:cs="Times New Roman"/>
                <w:color w:val="000000"/>
                <w:kern w:val="0"/>
                <w:sz w:val="24"/>
                <w:szCs w:val="24"/>
                <w:bdr w:val="none" w:color="auto" w:sz="0" w:space="0"/>
                <w:lang w:val="en-US"/>
              </w:rPr>
            </w:pPr>
            <w:r>
              <w:rPr>
                <w:rFonts w:hint="eastAsia" w:ascii="Times New Roman" w:hAnsi="Times New Roman" w:eastAsia="宋体" w:cs="宋体"/>
                <w:color w:val="000000"/>
                <w:kern w:val="0"/>
                <w:sz w:val="24"/>
                <w:szCs w:val="24"/>
                <w:bdr w:val="none" w:color="auto" w:sz="0" w:space="0"/>
                <w:lang w:val="en-US" w:eastAsia="zh-CN" w:bidi="ar"/>
              </w:rPr>
              <w:t>审批文号：合川府</w:t>
            </w:r>
            <w:r>
              <w:rPr>
                <w:rFonts w:hint="default" w:ascii="Times New Roman" w:hAnsi="Times New Roman" w:eastAsia="宋体" w:cs="Times New Roman"/>
                <w:color w:val="000000"/>
                <w:kern w:val="0"/>
                <w:sz w:val="24"/>
                <w:szCs w:val="24"/>
                <w:bdr w:val="none" w:color="auto" w:sz="0" w:space="0"/>
                <w:lang w:val="en-US" w:eastAsia="zh-CN" w:bidi="ar"/>
              </w:rPr>
              <w:t>[2016]61</w:t>
            </w:r>
            <w:r>
              <w:rPr>
                <w:rFonts w:hint="eastAsia" w:ascii="Times New Roman" w:hAnsi="Times New Roman" w:eastAsia="宋体" w:cs="宋体"/>
                <w:color w:val="000000"/>
                <w:kern w:val="0"/>
                <w:sz w:val="24"/>
                <w:szCs w:val="24"/>
                <w:bdr w:val="none" w:color="auto" w:sz="0" w:space="0"/>
                <w:lang w:val="en-US" w:eastAsia="zh-CN" w:bidi="ar"/>
              </w:rPr>
              <w:t>号</w:t>
            </w:r>
          </w:p>
        </w:tc>
      </w:tr>
      <w:tr w14:paraId="349DD6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98" w:hRule="atLeast"/>
          <w:jc w:val="center"/>
        </w:trPr>
        <w:tc>
          <w:tcPr>
            <w:tcW w:w="1856" w:type="dxa"/>
            <w:tcBorders>
              <w:top w:val="single" w:color="auto" w:sz="4" w:space="0"/>
              <w:left w:val="single" w:color="auto" w:sz="8" w:space="0"/>
              <w:bottom w:val="single" w:color="auto" w:sz="8" w:space="0"/>
              <w:right w:val="single" w:color="auto" w:sz="4" w:space="0"/>
            </w:tcBorders>
            <w:shd w:val="clear"/>
            <w:tcMar>
              <w:left w:w="108" w:type="dxa"/>
              <w:right w:w="108" w:type="dxa"/>
            </w:tcMar>
            <w:vAlign w:val="center"/>
          </w:tcPr>
          <w:p w14:paraId="3337E9EF">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规划环境影响</w:t>
            </w:r>
          </w:p>
          <w:p w14:paraId="5735AE29">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kern w:val="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评价情况</w:t>
            </w:r>
          </w:p>
        </w:tc>
        <w:tc>
          <w:tcPr>
            <w:tcW w:w="7014" w:type="dxa"/>
            <w:gridSpan w:val="4"/>
            <w:tcBorders>
              <w:top w:val="single" w:color="auto" w:sz="4" w:space="0"/>
              <w:left w:val="single" w:color="auto" w:sz="4" w:space="0"/>
              <w:bottom w:val="single" w:color="auto" w:sz="8" w:space="0"/>
              <w:right w:val="single" w:color="auto" w:sz="8" w:space="0"/>
            </w:tcBorders>
            <w:shd w:val="clear"/>
            <w:tcMar>
              <w:left w:w="108" w:type="dxa"/>
              <w:right w:w="108" w:type="dxa"/>
            </w:tcMar>
            <w:vAlign w:val="center"/>
          </w:tcPr>
          <w:p w14:paraId="6BA18270">
            <w:pPr>
              <w:keepNext w:val="0"/>
              <w:keepLines w:val="0"/>
              <w:widowControl w:val="0"/>
              <w:suppressLineNumbers w:val="0"/>
              <w:spacing w:before="0" w:beforeAutospacing="0" w:after="0" w:afterAutospacing="0" w:line="440" w:lineRule="exact"/>
              <w:ind w:left="0" w:right="0"/>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规划环评名称：《重庆合川工业园区南溪组团、渭沱组团</w:t>
            </w:r>
            <w:r>
              <w:rPr>
                <w:rFonts w:hint="default" w:ascii="Times New Roman" w:hAnsi="Calibri" w:eastAsia="宋体" w:cs="Times New Roman"/>
                <w:color w:val="000000"/>
                <w:kern w:val="2"/>
                <w:sz w:val="24"/>
                <w:szCs w:val="24"/>
                <w:bdr w:val="none" w:color="auto" w:sz="0" w:space="0"/>
                <w:lang w:val="en-US" w:eastAsia="zh-CN" w:bidi="ar"/>
              </w:rPr>
              <w:t>B</w:t>
            </w:r>
            <w:r>
              <w:rPr>
                <w:rFonts w:hint="eastAsia" w:ascii="Times New Roman" w:hAnsi="Calibri" w:eastAsia="宋体" w:cs="宋体"/>
                <w:color w:val="000000"/>
                <w:kern w:val="2"/>
                <w:sz w:val="24"/>
                <w:szCs w:val="24"/>
                <w:bdr w:val="none" w:color="auto" w:sz="0" w:space="0"/>
                <w:lang w:val="en-US" w:eastAsia="zh-CN" w:bidi="ar"/>
              </w:rPr>
              <w:t>区环境影响跟踪评价报告书》</w:t>
            </w:r>
          </w:p>
          <w:p w14:paraId="3D08FD04">
            <w:pPr>
              <w:keepNext w:val="0"/>
              <w:keepLines w:val="0"/>
              <w:widowControl w:val="0"/>
              <w:suppressLineNumbers w:val="0"/>
              <w:spacing w:before="0" w:beforeAutospacing="0" w:after="0" w:afterAutospacing="0" w:line="440" w:lineRule="exact"/>
              <w:ind w:left="0" w:right="0"/>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审批机关：重庆市生态环境局</w:t>
            </w:r>
          </w:p>
          <w:p w14:paraId="6A5463BD">
            <w:pPr>
              <w:keepNext w:val="0"/>
              <w:keepLines w:val="0"/>
              <w:widowControl w:val="0"/>
              <w:suppressLineNumbers w:val="0"/>
              <w:spacing w:before="0" w:beforeAutospacing="0" w:after="0" w:afterAutospacing="0" w:line="440" w:lineRule="exact"/>
              <w:ind w:left="0" w:right="0"/>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审批文件名称及文号：《重庆市生态环境局关于合川工业园区南溪组团、渭沱组团</w:t>
            </w:r>
            <w:r>
              <w:rPr>
                <w:rFonts w:hint="default" w:ascii="Times New Roman" w:hAnsi="Calibri" w:eastAsia="宋体" w:cs="Times New Roman"/>
                <w:color w:val="000000"/>
                <w:kern w:val="2"/>
                <w:sz w:val="24"/>
                <w:szCs w:val="24"/>
                <w:bdr w:val="none" w:color="auto" w:sz="0" w:space="0"/>
                <w:lang w:val="en-US" w:eastAsia="zh-CN" w:bidi="ar"/>
              </w:rPr>
              <w:t>B</w:t>
            </w:r>
            <w:r>
              <w:rPr>
                <w:rFonts w:hint="eastAsia" w:ascii="Times New Roman" w:hAnsi="Calibri" w:eastAsia="宋体" w:cs="宋体"/>
                <w:color w:val="000000"/>
                <w:kern w:val="2"/>
                <w:sz w:val="24"/>
                <w:szCs w:val="24"/>
                <w:bdr w:val="none" w:color="auto" w:sz="0" w:space="0"/>
                <w:lang w:val="en-US" w:eastAsia="zh-CN" w:bidi="ar"/>
              </w:rPr>
              <w:t>区规划环境影响报告书审查意见的函》（渝环函</w:t>
            </w:r>
            <w:r>
              <w:rPr>
                <w:rFonts w:hint="default" w:ascii="Times New Roman" w:hAnsi="Calibri" w:eastAsia="宋体" w:cs="Times New Roman"/>
                <w:color w:val="000000"/>
                <w:kern w:val="2"/>
                <w:sz w:val="24"/>
                <w:szCs w:val="24"/>
                <w:bdr w:val="none" w:color="auto" w:sz="0" w:space="0"/>
                <w:lang w:val="en-US" w:eastAsia="zh-CN" w:bidi="ar"/>
              </w:rPr>
              <w:t>[2019]1169</w:t>
            </w:r>
            <w:r>
              <w:rPr>
                <w:rFonts w:hint="eastAsia" w:ascii="Times New Roman" w:hAnsi="Calibri" w:eastAsia="宋体" w:cs="宋体"/>
                <w:color w:val="000000"/>
                <w:kern w:val="2"/>
                <w:sz w:val="24"/>
                <w:szCs w:val="24"/>
                <w:bdr w:val="none" w:color="auto" w:sz="0" w:space="0"/>
                <w:lang w:val="en-US" w:eastAsia="zh-CN" w:bidi="ar"/>
              </w:rPr>
              <w:t>号）</w:t>
            </w:r>
          </w:p>
          <w:p w14:paraId="4370A668">
            <w:pPr>
              <w:keepNext w:val="0"/>
              <w:keepLines w:val="0"/>
              <w:widowControl w:val="0"/>
              <w:suppressLineNumbers w:val="0"/>
              <w:spacing w:before="0" w:beforeAutospacing="0" w:after="0" w:afterAutospacing="0" w:line="440" w:lineRule="exact"/>
              <w:ind w:left="0" w:right="0"/>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审批时间：</w:t>
            </w:r>
            <w:r>
              <w:rPr>
                <w:rFonts w:hint="default" w:ascii="Times New Roman" w:hAnsi="Calibri" w:eastAsia="宋体" w:cs="Times New Roman"/>
                <w:color w:val="000000"/>
                <w:kern w:val="2"/>
                <w:sz w:val="24"/>
                <w:szCs w:val="24"/>
                <w:bdr w:val="none" w:color="auto" w:sz="0" w:space="0"/>
                <w:lang w:val="en-US" w:eastAsia="zh-CN" w:bidi="ar"/>
              </w:rPr>
              <w:t>2019</w:t>
            </w:r>
            <w:r>
              <w:rPr>
                <w:rFonts w:hint="eastAsia" w:ascii="Times New Roman" w:hAnsi="Calibri" w:eastAsia="宋体" w:cs="宋体"/>
                <w:color w:val="000000"/>
                <w:kern w:val="2"/>
                <w:sz w:val="24"/>
                <w:szCs w:val="24"/>
                <w:bdr w:val="none" w:color="auto" w:sz="0" w:space="0"/>
                <w:lang w:val="en-US" w:eastAsia="zh-CN" w:bidi="ar"/>
              </w:rPr>
              <w:t>年</w:t>
            </w:r>
            <w:r>
              <w:rPr>
                <w:rFonts w:hint="default" w:ascii="Times New Roman" w:hAnsi="Calibri" w:eastAsia="宋体" w:cs="Times New Roman"/>
                <w:color w:val="000000"/>
                <w:kern w:val="2"/>
                <w:sz w:val="24"/>
                <w:szCs w:val="24"/>
                <w:bdr w:val="none" w:color="auto" w:sz="0" w:space="0"/>
                <w:lang w:val="en-US" w:eastAsia="zh-CN" w:bidi="ar"/>
              </w:rPr>
              <w:t>10</w:t>
            </w:r>
            <w:r>
              <w:rPr>
                <w:rFonts w:hint="eastAsia" w:ascii="Times New Roman" w:hAnsi="Calibri" w:eastAsia="宋体" w:cs="宋体"/>
                <w:color w:val="000000"/>
                <w:kern w:val="2"/>
                <w:sz w:val="24"/>
                <w:szCs w:val="24"/>
                <w:bdr w:val="none" w:color="auto" w:sz="0" w:space="0"/>
                <w:lang w:val="en-US" w:eastAsia="zh-CN" w:bidi="ar"/>
              </w:rPr>
              <w:t>月</w:t>
            </w:r>
            <w:r>
              <w:rPr>
                <w:rFonts w:hint="default" w:ascii="Times New Roman" w:hAnsi="Calibri" w:eastAsia="宋体" w:cs="Times New Roman"/>
                <w:color w:val="000000"/>
                <w:kern w:val="2"/>
                <w:sz w:val="24"/>
                <w:szCs w:val="24"/>
                <w:bdr w:val="none" w:color="auto" w:sz="0" w:space="0"/>
                <w:lang w:val="en-US" w:eastAsia="zh-CN" w:bidi="ar"/>
              </w:rPr>
              <w:t>17</w:t>
            </w:r>
            <w:r>
              <w:rPr>
                <w:rFonts w:hint="eastAsia" w:ascii="Times New Roman" w:hAnsi="Calibri" w:eastAsia="宋体" w:cs="宋体"/>
                <w:color w:val="000000"/>
                <w:kern w:val="2"/>
                <w:sz w:val="24"/>
                <w:szCs w:val="24"/>
                <w:bdr w:val="none" w:color="auto" w:sz="0" w:space="0"/>
                <w:lang w:val="en-US" w:eastAsia="zh-CN" w:bidi="ar"/>
              </w:rPr>
              <w:t>日</w:t>
            </w:r>
          </w:p>
        </w:tc>
      </w:tr>
    </w:tbl>
    <w:p w14:paraId="46B2E472">
      <w:pPr>
        <w:keepNext w:val="0"/>
        <w:keepLines w:val="0"/>
        <w:widowControl w:val="0"/>
        <w:suppressLineNumbers w:val="0"/>
        <w:spacing w:before="0" w:beforeAutospacing="0" w:after="0" w:afterAutospacing="0"/>
        <w:ind w:left="0" w:right="0"/>
        <w:jc w:val="both"/>
        <w:rPr>
          <w:color w:val="000000"/>
          <w:lang w:val="en-US"/>
        </w:rPr>
      </w:pPr>
    </w:p>
    <w:p w14:paraId="3D4AB89E">
      <w:pPr>
        <w:keepNext w:val="0"/>
        <w:keepLines w:val="0"/>
        <w:widowControl w:val="0"/>
        <w:suppressLineNumbers w:val="0"/>
        <w:spacing w:before="0" w:beforeAutospacing="0" w:after="0" w:afterAutospacing="0"/>
        <w:ind w:left="0" w:right="0"/>
        <w:jc w:val="both"/>
        <w:rPr>
          <w:color w:val="000000"/>
          <w:lang w:val="en-US"/>
        </w:rPr>
      </w:pP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tblLayout w:type="fixed"/>
        <w:tblCellMar>
          <w:top w:w="0" w:type="dxa"/>
          <w:left w:w="108" w:type="dxa"/>
          <w:bottom w:w="0" w:type="dxa"/>
          <w:right w:w="108" w:type="dxa"/>
        </w:tblCellMar>
      </w:tblPr>
      <w:tblGrid>
        <w:gridCol w:w="722"/>
        <w:gridCol w:w="8148"/>
      </w:tblGrid>
      <w:tr w14:paraId="0389FB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tblCellMar>
            <w:top w:w="0" w:type="dxa"/>
            <w:left w:w="108" w:type="dxa"/>
            <w:bottom w:w="0" w:type="dxa"/>
            <w:right w:w="108" w:type="dxa"/>
          </w:tblCellMar>
        </w:tblPrEx>
        <w:trPr>
          <w:trHeight w:val="946" w:hRule="atLeast"/>
          <w:jc w:val="center"/>
        </w:trPr>
        <w:tc>
          <w:tcPr>
            <w:tcW w:w="722" w:type="dxa"/>
            <w:tcBorders>
              <w:top w:val="single" w:color="auto" w:sz="8" w:space="0"/>
              <w:left w:val="single" w:color="auto" w:sz="8" w:space="0"/>
              <w:bottom w:val="single" w:color="auto" w:sz="4" w:space="0"/>
              <w:right w:val="single" w:color="auto" w:sz="4" w:space="0"/>
            </w:tcBorders>
            <w:shd w:val="clear"/>
            <w:vAlign w:val="center"/>
          </w:tcPr>
          <w:p w14:paraId="6D66E5EC">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000000"/>
                <w:kern w:val="0"/>
                <w:sz w:val="24"/>
                <w:szCs w:val="24"/>
                <w:bdr w:val="none" w:color="auto" w:sz="0" w:space="0"/>
                <w:lang w:val="en-US"/>
              </w:rPr>
            </w:pPr>
            <w:r>
              <w:rPr>
                <w:rFonts w:hint="eastAsia" w:ascii="宋体" w:hAnsi="宋体" w:eastAsia="宋体" w:cs="宋体"/>
                <w:color w:val="000000"/>
                <w:kern w:val="0"/>
                <w:sz w:val="24"/>
                <w:szCs w:val="24"/>
                <w:bdr w:val="none" w:color="auto" w:sz="0" w:space="0"/>
                <w:lang w:val="en-US" w:eastAsia="zh-CN" w:bidi="ar"/>
              </w:rPr>
              <w:t>规划及规划环境影响评价符合性分析</w:t>
            </w:r>
          </w:p>
        </w:tc>
        <w:tc>
          <w:tcPr>
            <w:tcW w:w="8148" w:type="dxa"/>
            <w:tcBorders>
              <w:top w:val="single" w:color="auto" w:sz="8" w:space="0"/>
              <w:left w:val="single" w:color="auto" w:sz="4" w:space="0"/>
              <w:bottom w:val="single" w:color="auto" w:sz="4" w:space="0"/>
              <w:right w:val="single" w:color="auto" w:sz="8" w:space="0"/>
            </w:tcBorders>
            <w:shd w:val="clear"/>
            <w:vAlign w:val="center"/>
          </w:tcPr>
          <w:p w14:paraId="6CC38D8F">
            <w:pPr>
              <w:keepNext w:val="0"/>
              <w:keepLines w:val="0"/>
              <w:widowControl w:val="0"/>
              <w:suppressLineNumbers w:val="0"/>
              <w:spacing w:before="0" w:beforeAutospacing="0" w:after="0" w:afterAutospacing="0" w:line="440" w:lineRule="exact"/>
              <w:ind w:left="0" w:right="0"/>
              <w:jc w:val="both"/>
              <w:outlineLvl w:val="1"/>
              <w:rPr>
                <w:rFonts w:hint="default" w:ascii="Times New Roman" w:hAnsi="Calibri" w:cs="Times New Roman"/>
                <w:b/>
                <w:bCs w:val="0"/>
                <w:color w:val="000000"/>
                <w:sz w:val="24"/>
                <w:szCs w:val="24"/>
                <w:bdr w:val="none" w:color="auto" w:sz="0" w:space="0"/>
                <w:lang w:val="en-US"/>
              </w:rPr>
            </w:pPr>
            <w:r>
              <w:rPr>
                <w:rFonts w:hint="default" w:ascii="Times New Roman" w:hAnsi="Calibri" w:eastAsia="宋体" w:cs="Times New Roman"/>
                <w:b/>
                <w:bCs w:val="0"/>
                <w:color w:val="000000"/>
                <w:kern w:val="2"/>
                <w:sz w:val="24"/>
                <w:szCs w:val="24"/>
                <w:bdr w:val="none" w:color="auto" w:sz="0" w:space="0"/>
                <w:lang w:val="en-US" w:eastAsia="zh-CN" w:bidi="ar"/>
              </w:rPr>
              <w:t>1.1</w:t>
            </w:r>
            <w:r>
              <w:rPr>
                <w:rFonts w:hint="eastAsia" w:ascii="Times New Roman" w:hAnsi="Calibri" w:eastAsia="宋体" w:cs="宋体"/>
                <w:b/>
                <w:bCs w:val="0"/>
                <w:color w:val="000000"/>
                <w:kern w:val="2"/>
                <w:sz w:val="24"/>
                <w:szCs w:val="24"/>
                <w:bdr w:val="none" w:color="auto" w:sz="0" w:space="0"/>
                <w:lang w:val="en-US" w:eastAsia="zh-CN" w:bidi="ar"/>
              </w:rPr>
              <w:t>规划及规划环境影响评价符合性分析</w:t>
            </w:r>
          </w:p>
          <w:p w14:paraId="4BCB004F">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Calibri" w:cs="Times New Roman"/>
                <w:b/>
                <w:bCs w:val="0"/>
                <w:color w:val="000000"/>
                <w:sz w:val="24"/>
                <w:szCs w:val="24"/>
                <w:bdr w:val="none" w:color="auto" w:sz="0" w:space="0"/>
                <w:lang w:val="en-US"/>
              </w:rPr>
            </w:pPr>
            <w:r>
              <w:rPr>
                <w:rFonts w:hint="default" w:ascii="Times New Roman" w:hAnsi="Calibri" w:eastAsia="宋体" w:cs="Times New Roman"/>
                <w:b/>
                <w:bCs w:val="0"/>
                <w:color w:val="000000"/>
                <w:kern w:val="2"/>
                <w:sz w:val="24"/>
                <w:szCs w:val="24"/>
                <w:bdr w:val="none" w:color="auto" w:sz="0" w:space="0"/>
                <w:lang w:val="en-US" w:eastAsia="zh-CN" w:bidi="ar"/>
              </w:rPr>
              <w:t>1.1.1</w:t>
            </w:r>
            <w:r>
              <w:rPr>
                <w:rFonts w:hint="eastAsia" w:ascii="Calibri" w:hAnsi="Calibri" w:eastAsia="宋体" w:cs="宋体"/>
                <w:b/>
                <w:bCs/>
                <w:color w:val="000000"/>
                <w:kern w:val="2"/>
                <w:sz w:val="24"/>
                <w:szCs w:val="24"/>
                <w:bdr w:val="none" w:color="auto" w:sz="0" w:space="0"/>
                <w:lang w:val="en-US" w:eastAsia="zh-CN" w:bidi="ar"/>
              </w:rPr>
              <w:t>与《重庆市合川工业园区南溪组团南溪片区控制性详细规划（修改）》的符合性分析</w:t>
            </w:r>
          </w:p>
          <w:p w14:paraId="567A2292">
            <w:pPr>
              <w:keepNext w:val="0"/>
              <w:keepLines w:val="0"/>
              <w:widowControl/>
              <w:suppressLineNumbers w:val="0"/>
              <w:spacing w:before="0" w:beforeAutospacing="0" w:after="0" w:afterAutospacing="0" w:line="440" w:lineRule="exact"/>
              <w:ind w:left="0" w:right="0" w:firstLine="48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根据《重庆市合川工业园区南溪组团南溪片区控制性详细规划（修改）》及其批复：</w:t>
            </w:r>
          </w:p>
          <w:p w14:paraId="097D14CA">
            <w:pPr>
              <w:keepNext w:val="0"/>
              <w:keepLines w:val="0"/>
              <w:widowControl/>
              <w:suppressLineNumbers w:val="0"/>
              <w:spacing w:before="0" w:beforeAutospacing="0" w:after="0" w:afterAutospacing="0" w:line="440" w:lineRule="exact"/>
              <w:ind w:left="0" w:right="0" w:firstLine="48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园区规划范围：北起东津沱，南至米坊村、进士村，西至南津街街道花园村、南屏村，东至盐井街街道石庙村、建梁村。</w:t>
            </w:r>
          </w:p>
          <w:p w14:paraId="16BD356E">
            <w:pPr>
              <w:keepNext w:val="0"/>
              <w:keepLines w:val="0"/>
              <w:widowControl/>
              <w:suppressLineNumbers w:val="0"/>
              <w:spacing w:before="0" w:beforeAutospacing="0" w:after="0" w:afterAutospacing="0" w:line="440" w:lineRule="exact"/>
              <w:ind w:left="0" w:right="0" w:firstLine="48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园区功能定位：以发展电子信息、装备制造、医药、食品为主，居住商业配套为辅的科技领先、经济繁荣、环境优美的工业园。</w:t>
            </w:r>
          </w:p>
          <w:p w14:paraId="36512613">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扩建项目属于</w:t>
            </w:r>
            <w:r>
              <w:rPr>
                <w:rFonts w:hint="default" w:ascii="Times New Roman" w:hAnsi="Times New Roman" w:eastAsia="宋体" w:cs="Times New Roman"/>
                <w:bCs/>
                <w:color w:val="000000"/>
                <w:kern w:val="2"/>
                <w:sz w:val="24"/>
                <w:szCs w:val="24"/>
                <w:bdr w:val="none" w:color="auto" w:sz="0" w:space="0"/>
                <w:lang w:val="en-US" w:eastAsia="zh-CN" w:bidi="ar"/>
              </w:rPr>
              <w:t>C3670</w:t>
            </w:r>
            <w:r>
              <w:rPr>
                <w:rFonts w:hint="eastAsia" w:ascii="Times New Roman" w:hAnsi="Times New Roman" w:eastAsia="宋体" w:cs="宋体"/>
                <w:bCs/>
                <w:color w:val="000000"/>
                <w:kern w:val="2"/>
                <w:sz w:val="24"/>
                <w:szCs w:val="24"/>
                <w:bdr w:val="none" w:color="auto" w:sz="0" w:space="0"/>
                <w:lang w:val="en-US" w:eastAsia="zh-CN" w:bidi="ar"/>
              </w:rPr>
              <w:t>汽车零部件及配件制造</w:t>
            </w:r>
            <w:r>
              <w:rPr>
                <w:rFonts w:hint="eastAsia" w:ascii="Times New Roman" w:hAnsi="宋体" w:eastAsia="宋体" w:cs="宋体"/>
                <w:color w:val="000000"/>
                <w:kern w:val="2"/>
                <w:sz w:val="24"/>
                <w:szCs w:val="24"/>
                <w:bdr w:val="none" w:color="auto" w:sz="0" w:space="0"/>
                <w:lang w:val="en-US" w:eastAsia="zh-CN" w:bidi="ar"/>
              </w:rPr>
              <w:t>，选址位于合川工业园区南溪组团</w:t>
            </w:r>
            <w:r>
              <w:rPr>
                <w:rFonts w:hint="default" w:ascii="Times New Roman" w:hAnsi="宋体" w:eastAsia="宋体" w:cs="Times New Roman"/>
                <w:color w:val="000000"/>
                <w:kern w:val="2"/>
                <w:sz w:val="24"/>
                <w:szCs w:val="24"/>
                <w:bdr w:val="none" w:color="auto" w:sz="0" w:space="0"/>
                <w:lang w:val="en-US" w:eastAsia="zh-CN" w:bidi="ar"/>
              </w:rPr>
              <w:t>B</w:t>
            </w:r>
            <w:r>
              <w:rPr>
                <w:rFonts w:hint="eastAsia" w:ascii="Times New Roman" w:hAnsi="宋体" w:eastAsia="宋体" w:cs="宋体"/>
                <w:color w:val="000000"/>
                <w:kern w:val="2"/>
                <w:sz w:val="24"/>
                <w:szCs w:val="24"/>
                <w:bdr w:val="none" w:color="auto" w:sz="0" w:space="0"/>
                <w:lang w:val="en-US" w:eastAsia="zh-CN" w:bidi="ar"/>
              </w:rPr>
              <w:t>区，用地性质属工业用地，项目建设不与园区产业规划功能定位相冲突，符合区域土地利用规划要求。</w:t>
            </w:r>
            <w:r>
              <w:rPr>
                <w:rFonts w:hint="default" w:ascii="Times New Roman" w:hAnsi="宋体" w:eastAsia="宋体" w:cs="Times New Roman"/>
                <w:color w:val="000000"/>
                <w:kern w:val="2"/>
                <w:sz w:val="24"/>
                <w:szCs w:val="24"/>
                <w:bdr w:val="none" w:color="auto" w:sz="0" w:space="0"/>
                <w:lang w:val="en-US" w:eastAsia="zh-CN" w:bidi="ar"/>
              </w:rPr>
              <w:t xml:space="preserve"> </w:t>
            </w:r>
          </w:p>
          <w:p w14:paraId="63D9D14B">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Calibri" w:cs="Times New Roman"/>
                <w:b/>
                <w:bCs w:val="0"/>
                <w:color w:val="000000"/>
                <w:sz w:val="24"/>
                <w:szCs w:val="24"/>
                <w:bdr w:val="none" w:color="auto" w:sz="0" w:space="0"/>
                <w:lang w:val="en-US"/>
              </w:rPr>
            </w:pPr>
            <w:r>
              <w:rPr>
                <w:rFonts w:hint="default" w:ascii="Times New Roman" w:hAnsi="Calibri" w:eastAsia="宋体" w:cs="Times New Roman"/>
                <w:b/>
                <w:bCs w:val="0"/>
                <w:color w:val="000000"/>
                <w:kern w:val="2"/>
                <w:sz w:val="24"/>
                <w:szCs w:val="24"/>
                <w:bdr w:val="none" w:color="auto" w:sz="0" w:space="0"/>
                <w:lang w:val="en-US" w:eastAsia="zh-CN" w:bidi="ar"/>
              </w:rPr>
              <w:t>1.1.2</w:t>
            </w:r>
            <w:r>
              <w:rPr>
                <w:rFonts w:hint="default" w:ascii="Times New Roman" w:hAnsi="Times New Roman" w:eastAsia="宋体" w:cs="Times New Roman"/>
                <w:b/>
                <w:bCs w:val="0"/>
                <w:color w:val="000000"/>
                <w:kern w:val="2"/>
                <w:sz w:val="24"/>
                <w:szCs w:val="24"/>
                <w:bdr w:val="none" w:color="auto" w:sz="0" w:space="0"/>
                <w:lang w:val="en-US" w:eastAsia="zh-CN" w:bidi="ar"/>
              </w:rPr>
              <w:t xml:space="preserve"> </w:t>
            </w:r>
            <w:r>
              <w:rPr>
                <w:rFonts w:hint="eastAsia" w:ascii="Times New Roman" w:hAnsi="Times New Roman" w:eastAsia="宋体" w:cs="宋体"/>
                <w:b/>
                <w:bCs w:val="0"/>
                <w:color w:val="000000"/>
                <w:kern w:val="2"/>
                <w:sz w:val="24"/>
                <w:szCs w:val="24"/>
                <w:bdr w:val="none" w:color="auto" w:sz="0" w:space="0"/>
                <w:lang w:val="en-US" w:eastAsia="zh-CN" w:bidi="ar"/>
              </w:rPr>
              <w:t>与</w:t>
            </w:r>
            <w:r>
              <w:rPr>
                <w:rFonts w:hint="eastAsia" w:ascii="Times New Roman" w:hAnsi="Calibri" w:eastAsia="宋体" w:cs="宋体"/>
                <w:b/>
                <w:bCs w:val="0"/>
                <w:color w:val="000000"/>
                <w:kern w:val="2"/>
                <w:sz w:val="24"/>
                <w:szCs w:val="24"/>
                <w:bdr w:val="none" w:color="auto" w:sz="0" w:space="0"/>
                <w:lang w:val="en-US" w:eastAsia="zh-CN" w:bidi="ar"/>
              </w:rPr>
              <w:t>《合川工业园区南溪组团、渭沱组团</w:t>
            </w:r>
            <w:r>
              <w:rPr>
                <w:rFonts w:hint="default" w:ascii="Times New Roman" w:hAnsi="Times New Roman" w:eastAsia="宋体" w:cs="Times New Roman"/>
                <w:b/>
                <w:bCs w:val="0"/>
                <w:color w:val="000000"/>
                <w:kern w:val="2"/>
                <w:sz w:val="24"/>
                <w:szCs w:val="24"/>
                <w:bdr w:val="none" w:color="auto" w:sz="0" w:space="0"/>
                <w:lang w:val="en-US" w:eastAsia="zh-CN" w:bidi="ar"/>
              </w:rPr>
              <w:t>B</w:t>
            </w:r>
            <w:r>
              <w:rPr>
                <w:rFonts w:hint="eastAsia" w:ascii="Times New Roman" w:hAnsi="Calibri" w:eastAsia="宋体" w:cs="宋体"/>
                <w:b/>
                <w:bCs w:val="0"/>
                <w:color w:val="000000"/>
                <w:kern w:val="2"/>
                <w:sz w:val="24"/>
                <w:szCs w:val="24"/>
                <w:bdr w:val="none" w:color="auto" w:sz="0" w:space="0"/>
                <w:lang w:val="en-US" w:eastAsia="zh-CN" w:bidi="ar"/>
              </w:rPr>
              <w:t>区规划环境影响报告书》</w:t>
            </w:r>
            <w:r>
              <w:rPr>
                <w:rFonts w:hint="eastAsia" w:ascii="Times New Roman" w:hAnsi="Times New Roman" w:eastAsia="宋体" w:cs="宋体"/>
                <w:b/>
                <w:bCs w:val="0"/>
                <w:color w:val="000000"/>
                <w:kern w:val="2"/>
                <w:sz w:val="24"/>
                <w:szCs w:val="24"/>
                <w:bdr w:val="none" w:color="auto" w:sz="0" w:space="0"/>
                <w:lang w:val="en-US" w:eastAsia="zh-CN" w:bidi="ar"/>
              </w:rPr>
              <w:t>及其审查意见（渝环函</w:t>
            </w:r>
            <w:r>
              <w:rPr>
                <w:rFonts w:hint="default" w:ascii="Times New Roman" w:hAnsi="Times New Roman" w:eastAsia="宋体" w:cs="Times New Roman"/>
                <w:b/>
                <w:bCs w:val="0"/>
                <w:color w:val="000000"/>
                <w:kern w:val="2"/>
                <w:sz w:val="24"/>
                <w:szCs w:val="24"/>
                <w:bdr w:val="none" w:color="auto" w:sz="0" w:space="0"/>
                <w:lang w:val="en-US" w:eastAsia="zh-CN" w:bidi="ar"/>
              </w:rPr>
              <w:t>[2019]1169</w:t>
            </w:r>
            <w:r>
              <w:rPr>
                <w:rFonts w:hint="eastAsia" w:ascii="Times New Roman" w:hAnsi="Times New Roman" w:eastAsia="宋体" w:cs="宋体"/>
                <w:b/>
                <w:bCs w:val="0"/>
                <w:color w:val="000000"/>
                <w:kern w:val="2"/>
                <w:sz w:val="24"/>
                <w:szCs w:val="24"/>
                <w:bdr w:val="none" w:color="auto" w:sz="0" w:space="0"/>
                <w:lang w:val="en-US" w:eastAsia="zh-CN" w:bidi="ar"/>
              </w:rPr>
              <w:t>号）的符合性分析</w:t>
            </w:r>
          </w:p>
          <w:p w14:paraId="5BEAF84D">
            <w:pPr>
              <w:keepNext w:val="0"/>
              <w:keepLines w:val="0"/>
              <w:widowControl/>
              <w:suppressLineNumbers w:val="0"/>
              <w:spacing w:before="0" w:beforeAutospacing="0" w:after="0" w:afterAutospacing="0" w:line="440" w:lineRule="exact"/>
              <w:ind w:left="0" w:right="0" w:firstLine="48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（一）土地利用性质</w:t>
            </w:r>
          </w:p>
          <w:p w14:paraId="382B186A">
            <w:pPr>
              <w:keepNext w:val="0"/>
              <w:keepLines w:val="0"/>
              <w:widowControl/>
              <w:suppressLineNumbers w:val="0"/>
              <w:spacing w:before="0" w:beforeAutospacing="0" w:after="0" w:afterAutospacing="0" w:line="440" w:lineRule="exact"/>
              <w:ind w:left="0" w:right="0" w:firstLine="48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扩建项目位于合川工业园区南溪组团</w:t>
            </w:r>
            <w:r>
              <w:rPr>
                <w:rFonts w:hint="default" w:ascii="Times New Roman" w:hAnsi="宋体" w:eastAsia="宋体" w:cs="Times New Roman"/>
                <w:color w:val="000000"/>
                <w:kern w:val="2"/>
                <w:sz w:val="24"/>
                <w:szCs w:val="24"/>
                <w:bdr w:val="none" w:color="auto" w:sz="0" w:space="0"/>
                <w:lang w:val="en-US" w:eastAsia="zh-CN" w:bidi="ar"/>
              </w:rPr>
              <w:t>B</w:t>
            </w:r>
            <w:r>
              <w:rPr>
                <w:rFonts w:hint="eastAsia" w:ascii="Times New Roman" w:hAnsi="宋体" w:eastAsia="宋体" w:cs="宋体"/>
                <w:color w:val="000000"/>
                <w:kern w:val="2"/>
                <w:sz w:val="24"/>
                <w:szCs w:val="24"/>
                <w:bdr w:val="none" w:color="auto" w:sz="0" w:space="0"/>
                <w:lang w:val="en-US" w:eastAsia="zh-CN" w:bidi="ar"/>
              </w:rPr>
              <w:t>区，根据土地利用规划图，项目区域用地性质为工业用地，符合土地利用性质。</w:t>
            </w:r>
          </w:p>
          <w:p w14:paraId="1FA54BC3">
            <w:pPr>
              <w:keepNext w:val="0"/>
              <w:keepLines w:val="0"/>
              <w:widowControl/>
              <w:suppressLineNumbers w:val="0"/>
              <w:spacing w:before="0" w:beforeAutospacing="0" w:after="0" w:afterAutospacing="0" w:line="440" w:lineRule="exact"/>
              <w:ind w:left="0" w:right="0" w:firstLine="48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（二）产业定位</w:t>
            </w:r>
          </w:p>
          <w:p w14:paraId="1F8306A6">
            <w:pPr>
              <w:keepNext w:val="0"/>
              <w:keepLines w:val="0"/>
              <w:widowControl/>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32"/>
                <w:bdr w:val="none" w:color="auto" w:sz="0" w:space="0"/>
                <w:lang w:val="en-US"/>
              </w:rPr>
            </w:pPr>
            <w:r>
              <w:rPr>
                <w:rFonts w:hint="eastAsia" w:ascii="Times New Roman" w:hAnsi="Times New Roman" w:eastAsia="宋体" w:cs="宋体"/>
                <w:color w:val="000000"/>
                <w:kern w:val="2"/>
                <w:sz w:val="24"/>
                <w:szCs w:val="32"/>
                <w:bdr w:val="none" w:color="auto" w:sz="0" w:space="0"/>
                <w:lang w:val="en-US" w:eastAsia="zh-CN" w:bidi="ar"/>
              </w:rPr>
              <w:t>南溪组团</w:t>
            </w:r>
            <w:r>
              <w:rPr>
                <w:rFonts w:hint="default" w:ascii="Times New Roman" w:hAnsi="Times New Roman" w:eastAsia="宋体" w:cs="Times New Roman"/>
                <w:color w:val="000000"/>
                <w:kern w:val="2"/>
                <w:sz w:val="24"/>
                <w:szCs w:val="32"/>
                <w:bdr w:val="none" w:color="auto" w:sz="0" w:space="0"/>
                <w:lang w:val="en-US" w:eastAsia="zh-CN" w:bidi="ar"/>
              </w:rPr>
              <w:t>B</w:t>
            </w:r>
            <w:r>
              <w:rPr>
                <w:rFonts w:hint="eastAsia" w:ascii="Times New Roman" w:hAnsi="Times New Roman" w:eastAsia="宋体" w:cs="宋体"/>
                <w:color w:val="000000"/>
                <w:kern w:val="2"/>
                <w:sz w:val="24"/>
                <w:szCs w:val="32"/>
                <w:bdr w:val="none" w:color="auto" w:sz="0" w:space="0"/>
                <w:lang w:val="en-US" w:eastAsia="zh-CN" w:bidi="ar"/>
              </w:rPr>
              <w:t>区主导产业由通用机械机械及汽摩零部件调整为信息安全产业，重点研发、设计及生产包括物联网芯片、控制芯片、电池芯片、终端芯片、存储芯片、组合芯片、集成电路芯片、</w:t>
            </w:r>
            <w:r>
              <w:rPr>
                <w:rFonts w:hint="default" w:ascii="Times New Roman" w:hAnsi="Times New Roman" w:eastAsia="宋体" w:cs="Times New Roman"/>
                <w:color w:val="000000"/>
                <w:kern w:val="2"/>
                <w:sz w:val="24"/>
                <w:szCs w:val="32"/>
                <w:bdr w:val="none" w:color="auto" w:sz="0" w:space="0"/>
                <w:lang w:val="en-US" w:eastAsia="zh-CN" w:bidi="ar"/>
              </w:rPr>
              <w:t>5G</w:t>
            </w:r>
            <w:r>
              <w:rPr>
                <w:rFonts w:hint="eastAsia" w:ascii="Times New Roman" w:hAnsi="Times New Roman" w:eastAsia="宋体" w:cs="宋体"/>
                <w:color w:val="000000"/>
                <w:kern w:val="2"/>
                <w:sz w:val="24"/>
                <w:szCs w:val="32"/>
                <w:bdr w:val="none" w:color="auto" w:sz="0" w:space="0"/>
                <w:lang w:val="en-US" w:eastAsia="zh-CN" w:bidi="ar"/>
              </w:rPr>
              <w:t>核心芯片等为主的自主安全可控芯片。</w:t>
            </w:r>
            <w:r>
              <w:rPr>
                <w:rFonts w:hint="eastAsia" w:ascii="Times New Roman" w:hAnsi="宋体" w:eastAsia="宋体" w:cs="宋体"/>
                <w:color w:val="000000"/>
                <w:kern w:val="2"/>
                <w:sz w:val="24"/>
                <w:szCs w:val="24"/>
                <w:bdr w:val="none" w:color="auto" w:sz="0" w:space="0"/>
                <w:lang w:val="en-US" w:eastAsia="zh-CN" w:bidi="ar"/>
              </w:rPr>
              <w:t>扩建项目属于汽车零部件及配件制造，符合园区准入条件和发展规划。</w:t>
            </w:r>
          </w:p>
          <w:p w14:paraId="0111ECA6">
            <w:pPr>
              <w:keepNext w:val="0"/>
              <w:keepLines w:val="0"/>
              <w:widowControl/>
              <w:suppressLineNumbers w:val="0"/>
              <w:spacing w:before="0" w:beforeAutospacing="0" w:after="0" w:afterAutospacing="0" w:line="440" w:lineRule="exact"/>
              <w:ind w:left="0" w:right="0" w:firstLine="48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（三）环境准入清单</w:t>
            </w:r>
          </w:p>
          <w:p w14:paraId="08CF8F8A">
            <w:pPr>
              <w:keepNext w:val="0"/>
              <w:keepLines w:val="0"/>
              <w:widowControl/>
              <w:suppressLineNumbers w:val="0"/>
              <w:spacing w:before="0" w:beforeAutospacing="0" w:after="0" w:afterAutospacing="0" w:line="440" w:lineRule="exact"/>
              <w:ind w:left="0" w:right="0" w:firstLine="48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项目与园区环境准入清单的符合性见表</w:t>
            </w:r>
            <w:r>
              <w:rPr>
                <w:rFonts w:hint="default" w:ascii="Times New Roman" w:hAnsi="宋体" w:eastAsia="宋体" w:cs="Times New Roman"/>
                <w:color w:val="000000"/>
                <w:kern w:val="2"/>
                <w:sz w:val="24"/>
                <w:szCs w:val="24"/>
                <w:bdr w:val="none" w:color="auto" w:sz="0" w:space="0"/>
                <w:lang w:val="en-US" w:eastAsia="zh-CN" w:bidi="ar"/>
              </w:rPr>
              <w:t>1.1-1</w:t>
            </w:r>
            <w:r>
              <w:rPr>
                <w:rFonts w:hint="eastAsia" w:ascii="Times New Roman" w:hAnsi="宋体" w:eastAsia="宋体" w:cs="宋体"/>
                <w:color w:val="000000"/>
                <w:kern w:val="2"/>
                <w:sz w:val="24"/>
                <w:szCs w:val="24"/>
                <w:bdr w:val="none" w:color="auto" w:sz="0" w:space="0"/>
                <w:lang w:val="en-US" w:eastAsia="zh-CN" w:bidi="ar"/>
              </w:rPr>
              <w:t>。</w:t>
            </w:r>
          </w:p>
          <w:p w14:paraId="58B98383">
            <w:pPr>
              <w:keepNext w:val="0"/>
              <w:keepLines w:val="0"/>
              <w:widowControl/>
              <w:suppressLineNumbers w:val="0"/>
              <w:spacing w:before="0" w:beforeAutospacing="0" w:after="0" w:afterAutospacing="0" w:line="440" w:lineRule="exact"/>
              <w:ind w:left="0" w:right="0" w:firstLine="480"/>
              <w:jc w:val="center"/>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表</w:t>
            </w:r>
            <w:r>
              <w:rPr>
                <w:rFonts w:hint="default" w:ascii="Times New Roman" w:hAnsi="宋体" w:eastAsia="宋体" w:cs="Times New Roman"/>
                <w:color w:val="000000"/>
                <w:kern w:val="2"/>
                <w:sz w:val="24"/>
                <w:szCs w:val="24"/>
                <w:bdr w:val="none" w:color="auto" w:sz="0" w:space="0"/>
                <w:lang w:val="en-US" w:eastAsia="zh-CN" w:bidi="ar"/>
              </w:rPr>
              <w:t xml:space="preserve">1.1-1 </w:t>
            </w:r>
            <w:r>
              <w:rPr>
                <w:rFonts w:hint="eastAsia" w:ascii="Times New Roman" w:hAnsi="宋体" w:eastAsia="宋体" w:cs="宋体"/>
                <w:color w:val="000000"/>
                <w:kern w:val="2"/>
                <w:sz w:val="24"/>
                <w:szCs w:val="24"/>
                <w:bdr w:val="none" w:color="auto" w:sz="0" w:space="0"/>
                <w:lang w:val="en-US" w:eastAsia="zh-CN" w:bidi="ar"/>
              </w:rPr>
              <w:t>环境准入清单</w:t>
            </w:r>
          </w:p>
          <w:tbl>
            <w:tblPr>
              <w:tblStyle w:val="18"/>
              <w:tblW w:w="495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Layout w:type="fixed"/>
              <w:tblCellMar>
                <w:top w:w="0" w:type="dxa"/>
                <w:left w:w="108" w:type="dxa"/>
                <w:bottom w:w="0" w:type="dxa"/>
                <w:right w:w="108" w:type="dxa"/>
              </w:tblCellMar>
            </w:tblPr>
            <w:tblGrid>
              <w:gridCol w:w="454"/>
              <w:gridCol w:w="282"/>
              <w:gridCol w:w="840"/>
              <w:gridCol w:w="3932"/>
              <w:gridCol w:w="2345"/>
            </w:tblGrid>
            <w:tr w14:paraId="7E1D12E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CellMar>
                  <w:top w:w="0" w:type="dxa"/>
                  <w:left w:w="108" w:type="dxa"/>
                  <w:bottom w:w="0" w:type="dxa"/>
                  <w:right w:w="108" w:type="dxa"/>
                </w:tblCellMar>
              </w:tblPrEx>
              <w:trPr>
                <w:tblHeader/>
                <w:jc w:val="center"/>
              </w:trPr>
              <w:tc>
                <w:tcPr>
                  <w:tcW w:w="1003" w:type="pct"/>
                  <w:gridSpan w:val="3"/>
                  <w:tcBorders>
                    <w:top w:val="single" w:color="auto" w:sz="12" w:space="0"/>
                    <w:left w:val="nil"/>
                    <w:bottom w:val="single" w:color="auto" w:sz="4" w:space="0"/>
                    <w:right w:val="single" w:color="auto" w:sz="4" w:space="0"/>
                  </w:tcBorders>
                  <w:shd w:val="clear"/>
                  <w:vAlign w:val="center"/>
                </w:tcPr>
                <w:p w14:paraId="4E557D9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kern w:val="0"/>
                      <w:szCs w:val="21"/>
                      <w:bdr w:val="none" w:color="auto" w:sz="0" w:space="0"/>
                      <w:lang w:val="en-US"/>
                    </w:rPr>
                  </w:pPr>
                  <w:r>
                    <w:rPr>
                      <w:rFonts w:hint="eastAsia" w:ascii="Times New Roman" w:hAnsi="Calibri" w:eastAsia="宋体" w:cs="宋体"/>
                      <w:bCs/>
                      <w:color w:val="000000"/>
                      <w:kern w:val="0"/>
                      <w:sz w:val="21"/>
                      <w:szCs w:val="21"/>
                      <w:bdr w:val="none" w:color="auto" w:sz="0" w:space="0"/>
                      <w:lang w:val="en-US" w:eastAsia="zh-CN" w:bidi="ar"/>
                    </w:rPr>
                    <w:t>分类</w:t>
                  </w:r>
                </w:p>
              </w:tc>
              <w:tc>
                <w:tcPr>
                  <w:tcW w:w="2503" w:type="pct"/>
                  <w:tcBorders>
                    <w:top w:val="single" w:color="auto" w:sz="12" w:space="0"/>
                    <w:left w:val="single" w:color="auto" w:sz="4" w:space="0"/>
                    <w:bottom w:val="single" w:color="auto" w:sz="4" w:space="0"/>
                    <w:right w:val="single" w:color="auto" w:sz="4" w:space="0"/>
                  </w:tcBorders>
                  <w:shd w:val="clear"/>
                  <w:vAlign w:val="center"/>
                </w:tcPr>
                <w:p w14:paraId="6F436DB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kern w:val="0"/>
                      <w:szCs w:val="21"/>
                      <w:bdr w:val="none" w:color="auto" w:sz="0" w:space="0"/>
                      <w:lang w:val="en-US"/>
                    </w:rPr>
                  </w:pPr>
                  <w:r>
                    <w:rPr>
                      <w:rFonts w:hint="eastAsia" w:ascii="Times New Roman" w:hAnsi="Calibri" w:eastAsia="宋体" w:cs="宋体"/>
                      <w:bCs/>
                      <w:color w:val="000000"/>
                      <w:kern w:val="0"/>
                      <w:sz w:val="21"/>
                      <w:szCs w:val="21"/>
                      <w:bdr w:val="none" w:color="auto" w:sz="0" w:space="0"/>
                      <w:lang w:val="en-US" w:eastAsia="zh-CN" w:bidi="ar"/>
                    </w:rPr>
                    <w:t>清单内容</w:t>
                  </w:r>
                </w:p>
              </w:tc>
              <w:tc>
                <w:tcPr>
                  <w:tcW w:w="1492" w:type="pct"/>
                  <w:tcBorders>
                    <w:top w:val="single" w:color="auto" w:sz="12" w:space="0"/>
                    <w:left w:val="single" w:color="auto" w:sz="4" w:space="0"/>
                    <w:bottom w:val="single" w:color="auto" w:sz="4" w:space="0"/>
                    <w:right w:val="nil"/>
                  </w:tcBorders>
                  <w:shd w:val="clear"/>
                  <w:vAlign w:val="center"/>
                </w:tcPr>
                <w:p w14:paraId="03490D7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kern w:val="0"/>
                      <w:szCs w:val="21"/>
                      <w:bdr w:val="none" w:color="auto" w:sz="0" w:space="0"/>
                      <w:lang w:val="en-US"/>
                    </w:rPr>
                  </w:pPr>
                  <w:r>
                    <w:rPr>
                      <w:rFonts w:hint="eastAsia" w:ascii="Times New Roman" w:hAnsi="Calibri" w:eastAsia="宋体" w:cs="宋体"/>
                      <w:bCs/>
                      <w:color w:val="000000"/>
                      <w:kern w:val="0"/>
                      <w:sz w:val="21"/>
                      <w:szCs w:val="21"/>
                      <w:bdr w:val="none" w:color="auto" w:sz="0" w:space="0"/>
                      <w:lang w:val="en-US" w:eastAsia="zh-CN" w:bidi="ar"/>
                    </w:rPr>
                    <w:t>符合性分析</w:t>
                  </w:r>
                </w:p>
              </w:tc>
            </w:tr>
            <w:tr w14:paraId="2A78C74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03" w:type="pct"/>
                  <w:gridSpan w:val="3"/>
                  <w:tcBorders>
                    <w:top w:val="single" w:color="auto" w:sz="4" w:space="0"/>
                    <w:left w:val="nil"/>
                    <w:bottom w:val="single" w:color="auto" w:sz="4" w:space="0"/>
                    <w:right w:val="single" w:color="auto" w:sz="4" w:space="0"/>
                  </w:tcBorders>
                  <w:shd w:val="clear"/>
                  <w:vAlign w:val="center"/>
                </w:tcPr>
                <w:p w14:paraId="339B5BB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空间布局</w:t>
                  </w:r>
                </w:p>
              </w:tc>
              <w:tc>
                <w:tcPr>
                  <w:tcW w:w="2503" w:type="pct"/>
                  <w:tcBorders>
                    <w:top w:val="single" w:color="auto" w:sz="4" w:space="0"/>
                    <w:left w:val="single" w:color="auto" w:sz="4" w:space="0"/>
                    <w:bottom w:val="single" w:color="auto" w:sz="4" w:space="0"/>
                    <w:right w:val="single" w:color="auto" w:sz="4" w:space="0"/>
                  </w:tcBorders>
                  <w:shd w:val="clear"/>
                  <w:vAlign w:val="center"/>
                </w:tcPr>
                <w:p w14:paraId="6CD4F21F">
                  <w:pPr>
                    <w:keepNext w:val="0"/>
                    <w:keepLines w:val="0"/>
                    <w:widowControl w:val="0"/>
                    <w:suppressLineNumbers w:val="0"/>
                    <w:adjustRightInd w:val="0"/>
                    <w:snapToGrid w:val="0"/>
                    <w:spacing w:before="0" w:beforeAutospacing="0" w:after="0" w:afterAutospacing="0"/>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规划区内企业入驻时应优化环境防护距离设置，以防范产业园区涉生态环境</w:t>
                  </w:r>
                  <w:r>
                    <w:rPr>
                      <w:rFonts w:hint="default" w:ascii="Calibri" w:hAnsi="Calibri" w:eastAsia="宋体" w:cs="Times New Roman"/>
                      <w:color w:val="000000"/>
                      <w:kern w:val="2"/>
                      <w:sz w:val="21"/>
                      <w:szCs w:val="21"/>
                      <w:bdr w:val="none" w:color="auto" w:sz="0" w:space="0"/>
                      <w:lang w:val="en-US" w:eastAsia="zh-CN" w:bidi="ar"/>
                    </w:rPr>
                    <w:t>“</w:t>
                  </w:r>
                  <w:r>
                    <w:rPr>
                      <w:rFonts w:hint="eastAsia" w:ascii="Calibri" w:hAnsi="Calibri" w:eastAsia="宋体" w:cs="宋体"/>
                      <w:color w:val="000000"/>
                      <w:kern w:val="2"/>
                      <w:sz w:val="21"/>
                      <w:szCs w:val="21"/>
                      <w:bdr w:val="none" w:color="auto" w:sz="0" w:space="0"/>
                      <w:lang w:val="en-US" w:eastAsia="zh-CN" w:bidi="ar"/>
                    </w:rPr>
                    <w:t>邻避</w:t>
                  </w:r>
                  <w:r>
                    <w:rPr>
                      <w:rFonts w:hint="default" w:ascii="Calibri" w:hAnsi="Calibri" w:eastAsia="宋体" w:cs="Times New Roman"/>
                      <w:color w:val="000000"/>
                      <w:kern w:val="2"/>
                      <w:sz w:val="21"/>
                      <w:szCs w:val="21"/>
                      <w:bdr w:val="none" w:color="auto" w:sz="0" w:space="0"/>
                      <w:lang w:val="en-US" w:eastAsia="zh-CN" w:bidi="ar"/>
                    </w:rPr>
                    <w:t>”</w:t>
                  </w:r>
                  <w:r>
                    <w:rPr>
                      <w:rFonts w:hint="eastAsia" w:ascii="Calibri" w:hAnsi="Calibri" w:eastAsia="宋体" w:cs="宋体"/>
                      <w:color w:val="000000"/>
                      <w:kern w:val="2"/>
                      <w:sz w:val="21"/>
                      <w:szCs w:val="21"/>
                      <w:bdr w:val="none" w:color="auto" w:sz="0" w:space="0"/>
                      <w:lang w:val="en-US" w:eastAsia="zh-CN" w:bidi="ar"/>
                    </w:rPr>
                    <w:t>问题为出发点，将环境防护距离优化控制在园区边界或用地红线以内</w:t>
                  </w:r>
                </w:p>
              </w:tc>
              <w:tc>
                <w:tcPr>
                  <w:tcW w:w="1492" w:type="pct"/>
                  <w:tcBorders>
                    <w:top w:val="single" w:color="auto" w:sz="4" w:space="0"/>
                    <w:left w:val="single" w:color="auto" w:sz="4" w:space="0"/>
                    <w:bottom w:val="single" w:color="auto" w:sz="4" w:space="0"/>
                    <w:right w:val="nil"/>
                  </w:tcBorders>
                  <w:shd w:val="clear"/>
                  <w:vAlign w:val="center"/>
                </w:tcPr>
                <w:p w14:paraId="0C4EB010">
                  <w:pPr>
                    <w:keepNext w:val="0"/>
                    <w:keepLines w:val="0"/>
                    <w:widowControl w:val="0"/>
                    <w:suppressLineNumbers w:val="0"/>
                    <w:adjustRightInd w:val="0"/>
                    <w:snapToGrid w:val="0"/>
                    <w:spacing w:before="0" w:beforeAutospacing="0" w:after="0" w:afterAutospacing="0"/>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扩建项目无须设置环境防护距离。符合要求</w:t>
                  </w:r>
                </w:p>
              </w:tc>
            </w:tr>
            <w:tr w14:paraId="5EDC79F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restart"/>
                  <w:tcBorders>
                    <w:top w:val="single" w:color="auto" w:sz="4" w:space="0"/>
                    <w:left w:val="nil"/>
                    <w:bottom w:val="single" w:color="auto" w:sz="4" w:space="0"/>
                    <w:right w:val="single" w:color="auto" w:sz="4" w:space="0"/>
                  </w:tcBorders>
                  <w:shd w:val="clear"/>
                  <w:vAlign w:val="center"/>
                </w:tcPr>
                <w:p w14:paraId="4ADCF8F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污染物排放管控</w:t>
                  </w:r>
                </w:p>
              </w:tc>
              <w:tc>
                <w:tcPr>
                  <w:tcW w:w="713" w:type="pct"/>
                  <w:gridSpan w:val="2"/>
                  <w:vMerge w:val="restart"/>
                  <w:tcBorders>
                    <w:top w:val="single" w:color="auto" w:sz="4" w:space="0"/>
                    <w:left w:val="single" w:color="auto" w:sz="4" w:space="0"/>
                    <w:bottom w:val="single" w:color="auto" w:sz="4" w:space="0"/>
                    <w:right w:val="single" w:color="auto" w:sz="4" w:space="0"/>
                  </w:tcBorders>
                  <w:shd w:val="clear"/>
                  <w:vAlign w:val="center"/>
                </w:tcPr>
                <w:p w14:paraId="7BC68B4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水污染控制措施要求</w:t>
                  </w:r>
                </w:p>
              </w:tc>
              <w:tc>
                <w:tcPr>
                  <w:tcW w:w="2503" w:type="pct"/>
                  <w:tcBorders>
                    <w:top w:val="single" w:color="auto" w:sz="4" w:space="0"/>
                    <w:left w:val="single" w:color="auto" w:sz="4" w:space="0"/>
                    <w:bottom w:val="single" w:color="auto" w:sz="4" w:space="0"/>
                    <w:right w:val="single" w:color="auto" w:sz="4" w:space="0"/>
                  </w:tcBorders>
                  <w:shd w:val="clear"/>
                  <w:vAlign w:val="center"/>
                </w:tcPr>
                <w:p w14:paraId="4941A40A">
                  <w:pPr>
                    <w:pStyle w:val="109"/>
                    <w:keepNext w:val="0"/>
                    <w:keepLines w:val="0"/>
                    <w:widowControl/>
                    <w:suppressLineNumbers w:val="0"/>
                    <w:kinsoku w:val="0"/>
                    <w:autoSpaceDE w:val="0"/>
                    <w:autoSpaceDN w:val="0"/>
                    <w:adjustRightInd w:val="0"/>
                    <w:snapToGrid w:val="0"/>
                    <w:spacing w:line="240" w:lineRule="auto"/>
                    <w:ind w:left="0" w:firstLine="0" w:firstLineChars="0"/>
                    <w:textAlignment w:val="baseline"/>
                    <w:rPr>
                      <w:color w:val="000000"/>
                      <w:bdr w:val="none" w:color="auto" w:sz="0" w:space="0"/>
                      <w:vertAlign w:val="baseline"/>
                      <w:lang w:val="en-US" w:eastAsia="zh-CN"/>
                    </w:rPr>
                  </w:pPr>
                  <w:r>
                    <w:rPr>
                      <w:color w:val="000000"/>
                      <w:spacing w:val="9"/>
                      <w:bdr w:val="none" w:color="auto" w:sz="0" w:space="0"/>
                      <w:vertAlign w:val="baseline"/>
                      <w:lang w:eastAsia="zh-CN"/>
                    </w:rPr>
                    <w:t>含重金属（铬、镉、汞、铅、砷）废水禁止外排，其余特征因子应满足</w:t>
                  </w:r>
                  <w:r>
                    <w:rPr>
                      <w:color w:val="000000"/>
                      <w:spacing w:val="6"/>
                      <w:bdr w:val="none" w:color="auto" w:sz="0" w:space="0"/>
                      <w:vertAlign w:val="baseline"/>
                      <w:lang w:eastAsia="zh-CN"/>
                    </w:rPr>
                    <w:t>《污水综合排放标准》（</w:t>
                  </w:r>
                  <w:r>
                    <w:rPr>
                      <w:rFonts w:hint="default" w:ascii="Times New Roman" w:hAnsi="Times New Roman" w:eastAsia="Times New Roman" w:cs="Times New Roman"/>
                      <w:color w:val="000000"/>
                      <w:bdr w:val="none" w:color="auto" w:sz="0" w:space="0"/>
                      <w:vertAlign w:val="baseline"/>
                      <w:lang w:val="en-US" w:eastAsia="zh-CN"/>
                    </w:rPr>
                    <w:t>GB</w:t>
                  </w:r>
                  <w:r>
                    <w:rPr>
                      <w:rFonts w:hint="default" w:ascii="Times New Roman" w:hAnsi="Times New Roman" w:eastAsia="Times New Roman" w:cs="Times New Roman"/>
                      <w:color w:val="000000"/>
                      <w:spacing w:val="6"/>
                      <w:bdr w:val="none" w:color="auto" w:sz="0" w:space="0"/>
                      <w:vertAlign w:val="baseline"/>
                      <w:lang w:val="en-US" w:eastAsia="zh-CN"/>
                    </w:rPr>
                    <w:t>8978-1996</w:t>
                  </w:r>
                  <w:r>
                    <w:rPr>
                      <w:color w:val="000000"/>
                      <w:spacing w:val="6"/>
                      <w:bdr w:val="none" w:color="auto" w:sz="0" w:space="0"/>
                      <w:vertAlign w:val="baseline"/>
                      <w:lang w:eastAsia="zh-CN"/>
                    </w:rPr>
                    <w:t>）中一级标准后方可排入污水处理</w:t>
                  </w:r>
                  <w:r>
                    <w:rPr>
                      <w:color w:val="000000"/>
                      <w:spacing w:val="28"/>
                      <w:bdr w:val="none" w:color="auto" w:sz="0" w:space="0"/>
                      <w:vertAlign w:val="baseline"/>
                      <w:lang w:eastAsia="zh-CN"/>
                    </w:rPr>
                    <w:t>厂，废水中</w:t>
                  </w:r>
                  <w:r>
                    <w:rPr>
                      <w:rFonts w:hint="default" w:ascii="Times New Roman" w:hAnsi="Times New Roman" w:eastAsia="Times New Roman" w:cs="Times New Roman"/>
                      <w:color w:val="000000"/>
                      <w:bdr w:val="none" w:color="auto" w:sz="0" w:space="0"/>
                      <w:vertAlign w:val="baseline"/>
                      <w:lang w:val="en-US" w:eastAsia="zh-CN"/>
                    </w:rPr>
                    <w:t>Cu</w:t>
                  </w:r>
                  <w:r>
                    <w:rPr>
                      <w:color w:val="000000"/>
                      <w:spacing w:val="28"/>
                      <w:bdr w:val="none" w:color="auto" w:sz="0" w:space="0"/>
                      <w:vertAlign w:val="baseline"/>
                      <w:lang w:eastAsia="zh-CN"/>
                    </w:rPr>
                    <w:t>排放应满足参考的《电镀工业污染</w:t>
                  </w:r>
                  <w:r>
                    <w:rPr>
                      <w:color w:val="000000"/>
                      <w:spacing w:val="27"/>
                      <w:bdr w:val="none" w:color="auto" w:sz="0" w:space="0"/>
                      <w:vertAlign w:val="baseline"/>
                      <w:lang w:eastAsia="zh-CN"/>
                    </w:rPr>
                    <w:t>物排放标准》</w:t>
                  </w:r>
                  <w:r>
                    <w:rPr>
                      <w:color w:val="000000"/>
                      <w:spacing w:val="8"/>
                      <w:bdr w:val="none" w:color="auto" w:sz="0" w:space="0"/>
                      <w:vertAlign w:val="baseline"/>
                      <w:lang w:eastAsia="zh-CN"/>
                    </w:rPr>
                    <w:t>（</w:t>
                  </w:r>
                  <w:r>
                    <w:rPr>
                      <w:rFonts w:hint="default" w:ascii="Times New Roman" w:hAnsi="Times New Roman" w:eastAsia="Times New Roman" w:cs="Times New Roman"/>
                      <w:color w:val="000000"/>
                      <w:bdr w:val="none" w:color="auto" w:sz="0" w:space="0"/>
                      <w:vertAlign w:val="baseline"/>
                      <w:lang w:val="en-US" w:eastAsia="zh-CN"/>
                    </w:rPr>
                    <w:t>GB</w:t>
                  </w:r>
                  <w:r>
                    <w:rPr>
                      <w:rFonts w:hint="default" w:ascii="Times New Roman" w:hAnsi="Times New Roman" w:eastAsia="Times New Roman" w:cs="Times New Roman"/>
                      <w:color w:val="000000"/>
                      <w:spacing w:val="8"/>
                      <w:bdr w:val="none" w:color="auto" w:sz="0" w:space="0"/>
                      <w:vertAlign w:val="baseline"/>
                      <w:lang w:val="en-US" w:eastAsia="zh-CN"/>
                    </w:rPr>
                    <w:t>21900-2008</w:t>
                  </w:r>
                  <w:r>
                    <w:rPr>
                      <w:color w:val="000000"/>
                      <w:spacing w:val="8"/>
                      <w:bdr w:val="none" w:color="auto" w:sz="0" w:space="0"/>
                      <w:vertAlign w:val="baseline"/>
                      <w:lang w:eastAsia="zh-CN"/>
                    </w:rPr>
                    <w:t>）中表</w:t>
                  </w:r>
                  <w:r>
                    <w:rPr>
                      <w:rFonts w:hint="default" w:ascii="Times New Roman" w:hAnsi="Times New Roman" w:eastAsia="Times New Roman" w:cs="Times New Roman"/>
                      <w:color w:val="000000"/>
                      <w:spacing w:val="8"/>
                      <w:bdr w:val="none" w:color="auto" w:sz="0" w:space="0"/>
                      <w:vertAlign w:val="baseline"/>
                      <w:lang w:val="en-US" w:eastAsia="zh-CN"/>
                    </w:rPr>
                    <w:t>3</w:t>
                  </w:r>
                  <w:r>
                    <w:rPr>
                      <w:color w:val="000000"/>
                      <w:spacing w:val="8"/>
                      <w:bdr w:val="none" w:color="auto" w:sz="0" w:space="0"/>
                      <w:vertAlign w:val="baseline"/>
                      <w:lang w:eastAsia="zh-CN"/>
                    </w:rPr>
                    <w:t>特别排放限值要</w:t>
                  </w:r>
                  <w:r>
                    <w:rPr>
                      <w:color w:val="000000"/>
                      <w:spacing w:val="7"/>
                      <w:bdr w:val="none" w:color="auto" w:sz="0" w:space="0"/>
                      <w:vertAlign w:val="baseline"/>
                      <w:lang w:eastAsia="zh-CN"/>
                    </w:rPr>
                    <w:t>求。污水处理厂适时进行提标</w:t>
                  </w:r>
                  <w:r>
                    <w:rPr>
                      <w:color w:val="000000"/>
                      <w:spacing w:val="9"/>
                      <w:bdr w:val="none" w:color="auto" w:sz="0" w:space="0"/>
                      <w:vertAlign w:val="baseline"/>
                      <w:lang w:eastAsia="zh-CN"/>
                    </w:rPr>
                    <w:t>改造，增设电子工业特征水污染物处理工艺</w:t>
                  </w:r>
                </w:p>
              </w:tc>
              <w:tc>
                <w:tcPr>
                  <w:tcW w:w="1492" w:type="pct"/>
                  <w:tcBorders>
                    <w:top w:val="single" w:color="auto" w:sz="4" w:space="0"/>
                    <w:left w:val="single" w:color="auto" w:sz="4" w:space="0"/>
                    <w:bottom w:val="single" w:color="auto" w:sz="4" w:space="0"/>
                    <w:right w:val="nil"/>
                  </w:tcBorders>
                  <w:shd w:val="clear"/>
                  <w:vAlign w:val="center"/>
                </w:tcPr>
                <w:p w14:paraId="061B0E16">
                  <w:pPr>
                    <w:keepNext w:val="0"/>
                    <w:keepLines w:val="0"/>
                    <w:widowControl w:val="0"/>
                    <w:suppressLineNumbers w:val="0"/>
                    <w:adjustRightInd w:val="0"/>
                    <w:snapToGrid w:val="0"/>
                    <w:spacing w:before="0" w:beforeAutospacing="0" w:after="0" w:afterAutospacing="0"/>
                    <w:ind w:left="0" w:right="0"/>
                    <w:jc w:val="both"/>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扩建项目无生产废水，新增员工的生活污水依托盈田</w:t>
                  </w:r>
                  <w:r>
                    <w:rPr>
                      <w:rFonts w:hint="default" w:ascii="Calibri" w:hAnsi="Calibri" w:eastAsia="宋体" w:cs="Times New Roman"/>
                      <w:color w:val="000000"/>
                      <w:kern w:val="2"/>
                      <w:sz w:val="21"/>
                      <w:szCs w:val="21"/>
                      <w:bdr w:val="none" w:color="auto" w:sz="0" w:space="0"/>
                      <w:lang w:val="en-US" w:eastAsia="zh-CN" w:bidi="ar"/>
                    </w:rPr>
                    <w:t>·</w:t>
                  </w:r>
                  <w:r>
                    <w:rPr>
                      <w:rFonts w:hint="eastAsia" w:ascii="Calibri" w:hAnsi="Calibri" w:eastAsia="宋体" w:cs="宋体"/>
                      <w:color w:val="000000"/>
                      <w:kern w:val="2"/>
                      <w:sz w:val="21"/>
                      <w:szCs w:val="21"/>
                      <w:bdr w:val="none" w:color="auto" w:sz="0" w:space="0"/>
                      <w:lang w:val="en-US" w:eastAsia="zh-CN" w:bidi="ar"/>
                    </w:rPr>
                    <w:t>合川工谷已建污水设施处理达标后排放。</w:t>
                  </w:r>
                </w:p>
              </w:tc>
            </w:tr>
            <w:tr w14:paraId="5FD557A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tcBorders>
                    <w:top w:val="single" w:color="auto" w:sz="4" w:space="0"/>
                    <w:left w:val="nil"/>
                    <w:bottom w:val="single" w:color="auto" w:sz="4" w:space="0"/>
                    <w:right w:val="single" w:color="auto" w:sz="4" w:space="0"/>
                  </w:tcBorders>
                  <w:shd w:val="clear"/>
                  <w:vAlign w:val="center"/>
                </w:tcPr>
                <w:p w14:paraId="749401DE">
                  <w:pPr>
                    <w:rPr>
                      <w:rFonts w:hint="default" w:ascii="Calibri" w:hAnsi="Calibri" w:cs="Calibri"/>
                      <w:sz w:val="20"/>
                      <w:szCs w:val="20"/>
                    </w:rPr>
                  </w:pPr>
                </w:p>
              </w:tc>
              <w:tc>
                <w:tcPr>
                  <w:tcW w:w="713" w:type="pct"/>
                  <w:gridSpan w:val="2"/>
                  <w:vMerge w:val="continue"/>
                  <w:tcBorders>
                    <w:top w:val="single" w:color="auto" w:sz="4" w:space="0"/>
                    <w:left w:val="single" w:color="auto" w:sz="4" w:space="0"/>
                    <w:bottom w:val="single" w:color="auto" w:sz="4" w:space="0"/>
                    <w:right w:val="single" w:color="auto" w:sz="4" w:space="0"/>
                  </w:tcBorders>
                  <w:shd w:val="clear"/>
                  <w:vAlign w:val="center"/>
                </w:tcPr>
                <w:p w14:paraId="4DC0A18E">
                  <w:pPr>
                    <w:rPr>
                      <w:rFonts w:hint="default" w:ascii="Calibri" w:hAnsi="Calibri" w:cs="Calibri"/>
                      <w:sz w:val="20"/>
                      <w:szCs w:val="20"/>
                    </w:rPr>
                  </w:pPr>
                </w:p>
              </w:tc>
              <w:tc>
                <w:tcPr>
                  <w:tcW w:w="2503" w:type="pct"/>
                  <w:tcBorders>
                    <w:top w:val="single" w:color="auto" w:sz="4" w:space="0"/>
                    <w:left w:val="single" w:color="auto" w:sz="4" w:space="0"/>
                    <w:bottom w:val="single" w:color="auto" w:sz="4" w:space="0"/>
                    <w:right w:val="single" w:color="auto" w:sz="4" w:space="0"/>
                  </w:tcBorders>
                  <w:shd w:val="clear"/>
                  <w:vAlign w:val="center"/>
                </w:tcPr>
                <w:p w14:paraId="642FD923">
                  <w:pPr>
                    <w:pStyle w:val="109"/>
                    <w:keepNext w:val="0"/>
                    <w:keepLines w:val="0"/>
                    <w:widowControl/>
                    <w:suppressLineNumbers w:val="0"/>
                    <w:kinsoku w:val="0"/>
                    <w:autoSpaceDE w:val="0"/>
                    <w:autoSpaceDN w:val="0"/>
                    <w:adjustRightInd w:val="0"/>
                    <w:snapToGrid w:val="0"/>
                    <w:spacing w:line="240" w:lineRule="auto"/>
                    <w:ind w:left="0" w:firstLine="0" w:firstLineChars="0"/>
                    <w:textAlignment w:val="baseline"/>
                    <w:rPr>
                      <w:rFonts w:hint="default" w:ascii="Times New Roman" w:hAnsi="Times New Roman" w:cs="Times New Roman"/>
                      <w:color w:val="000000"/>
                      <w:bdr w:val="none" w:color="auto" w:sz="0" w:space="0"/>
                      <w:vertAlign w:val="baseline"/>
                      <w:lang w:val="en-US" w:eastAsia="zh-CN"/>
                    </w:rPr>
                  </w:pPr>
                  <w:r>
                    <w:rPr>
                      <w:color w:val="000000"/>
                      <w:spacing w:val="8"/>
                      <w:bdr w:val="none" w:color="auto" w:sz="0" w:space="0"/>
                      <w:vertAlign w:val="baseline"/>
                      <w:lang w:eastAsia="zh-CN"/>
                    </w:rPr>
                    <w:t>南溪组团</w:t>
                  </w:r>
                  <w:r>
                    <w:rPr>
                      <w:rFonts w:hint="default" w:ascii="Times New Roman" w:hAnsi="Times New Roman" w:eastAsia="Times New Roman" w:cs="Times New Roman"/>
                      <w:color w:val="000000"/>
                      <w:spacing w:val="8"/>
                      <w:bdr w:val="none" w:color="auto" w:sz="0" w:space="0"/>
                      <w:vertAlign w:val="baseline"/>
                      <w:lang w:val="en-US" w:eastAsia="zh-CN"/>
                    </w:rPr>
                    <w:t>B</w:t>
                  </w:r>
                  <w:r>
                    <w:rPr>
                      <w:color w:val="000000"/>
                      <w:spacing w:val="8"/>
                      <w:bdr w:val="none" w:color="auto" w:sz="0" w:space="0"/>
                      <w:vertAlign w:val="baseline"/>
                      <w:lang w:eastAsia="zh-CN"/>
                    </w:rPr>
                    <w:t>所在的信息安全产业城规划区废水排放总量不得突破</w:t>
                  </w:r>
                  <w:r>
                    <w:rPr>
                      <w:rFonts w:hint="default" w:ascii="Times New Roman" w:hAnsi="Times New Roman" w:eastAsia="Times New Roman" w:cs="Times New Roman"/>
                      <w:color w:val="000000"/>
                      <w:spacing w:val="8"/>
                      <w:bdr w:val="none" w:color="auto" w:sz="0" w:space="0"/>
                      <w:vertAlign w:val="baseline"/>
                      <w:lang w:val="en-US" w:eastAsia="zh-CN"/>
                    </w:rPr>
                    <w:t>2</w:t>
                  </w:r>
                  <w:r>
                    <w:rPr>
                      <w:color w:val="000000"/>
                      <w:spacing w:val="8"/>
                      <w:bdr w:val="none" w:color="auto" w:sz="0" w:space="0"/>
                      <w:vertAlign w:val="baseline"/>
                      <w:lang w:eastAsia="zh-CN"/>
                    </w:rPr>
                    <w:t>万</w:t>
                  </w:r>
                  <w:r>
                    <w:rPr>
                      <w:rFonts w:hint="default" w:ascii="Times New Roman" w:hAnsi="Times New Roman" w:eastAsia="Times New Roman" w:cs="Times New Roman"/>
                      <w:color w:val="000000"/>
                      <w:spacing w:val="3"/>
                      <w:bdr w:val="none" w:color="auto" w:sz="0" w:space="0"/>
                      <w:vertAlign w:val="baseline"/>
                      <w:lang w:val="en-US" w:eastAsia="zh-CN"/>
                    </w:rPr>
                    <w:t>m</w:t>
                  </w:r>
                  <w:r>
                    <w:rPr>
                      <w:rFonts w:hint="default" w:ascii="Times New Roman" w:hAnsi="Times New Roman" w:cs="Times New Roman"/>
                      <w:color w:val="000000"/>
                      <w:spacing w:val="3"/>
                      <w:bdr w:val="none" w:color="auto" w:sz="0" w:space="0"/>
                      <w:vertAlign w:val="superscript"/>
                      <w:lang w:val="en-US" w:eastAsia="zh-CN"/>
                    </w:rPr>
                    <w:t>3</w:t>
                  </w:r>
                  <w:r>
                    <w:rPr>
                      <w:rFonts w:hint="default" w:ascii="Times New Roman" w:hAnsi="Times New Roman" w:eastAsia="Times New Roman" w:cs="Times New Roman"/>
                      <w:color w:val="000000"/>
                      <w:spacing w:val="3"/>
                      <w:bdr w:val="none" w:color="auto" w:sz="0" w:space="0"/>
                      <w:vertAlign w:val="baseline"/>
                      <w:lang w:val="en-US" w:eastAsia="zh-CN"/>
                    </w:rPr>
                    <w:t>/d</w:t>
                  </w:r>
                  <w:r>
                    <w:rPr>
                      <w:rFonts w:ascii="Times New Roman" w:hAnsi="Times New Roman" w:cs="Times New Roman"/>
                      <w:color w:val="000000"/>
                      <w:spacing w:val="3"/>
                      <w:bdr w:val="none" w:color="auto" w:sz="0" w:space="0"/>
                      <w:vertAlign w:val="baseline"/>
                      <w:lang w:eastAsia="zh-CN"/>
                    </w:rPr>
                    <w:t>。</w:t>
                  </w:r>
                </w:p>
              </w:tc>
              <w:tc>
                <w:tcPr>
                  <w:tcW w:w="1492" w:type="pct"/>
                  <w:tcBorders>
                    <w:top w:val="single" w:color="auto" w:sz="4" w:space="0"/>
                    <w:left w:val="single" w:color="auto" w:sz="4" w:space="0"/>
                    <w:bottom w:val="single" w:color="auto" w:sz="4" w:space="0"/>
                    <w:right w:val="nil"/>
                  </w:tcBorders>
                  <w:shd w:val="clear"/>
                  <w:vAlign w:val="center"/>
                </w:tcPr>
                <w:p w14:paraId="50355424">
                  <w:pPr>
                    <w:keepNext w:val="0"/>
                    <w:keepLines w:val="0"/>
                    <w:widowControl w:val="0"/>
                    <w:suppressLineNumbers w:val="0"/>
                    <w:adjustRightInd w:val="0"/>
                    <w:snapToGrid w:val="0"/>
                    <w:spacing w:before="0" w:beforeAutospacing="0" w:after="0" w:afterAutospacing="0"/>
                    <w:ind w:left="0" w:right="0"/>
                    <w:jc w:val="both"/>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信息安全产业城规划区废水排放总量未突</w:t>
                  </w:r>
                  <w:r>
                    <w:rPr>
                      <w:rFonts w:hint="eastAsia" w:ascii="Times New Roman" w:hAnsi="Calibri" w:eastAsia="宋体" w:cs="宋体"/>
                      <w:color w:val="000000"/>
                      <w:kern w:val="2"/>
                      <w:sz w:val="21"/>
                      <w:szCs w:val="21"/>
                      <w:bdr w:val="none" w:color="auto" w:sz="0" w:space="0"/>
                      <w:lang w:val="en-US" w:eastAsia="zh-CN" w:bidi="ar"/>
                    </w:rPr>
                    <w:t>破</w:t>
                  </w:r>
                  <w:r>
                    <w:rPr>
                      <w:rFonts w:hint="default" w:ascii="Times New Roman" w:hAnsi="Times New Roman" w:eastAsia="宋体" w:cs="Times New Roman"/>
                      <w:color w:val="000000"/>
                      <w:kern w:val="2"/>
                      <w:sz w:val="21"/>
                      <w:szCs w:val="21"/>
                      <w:bdr w:val="none" w:color="auto" w:sz="0" w:space="0"/>
                      <w:lang w:val="en-US" w:eastAsia="zh-CN" w:bidi="ar"/>
                    </w:rPr>
                    <w:t>2</w:t>
                  </w:r>
                  <w:r>
                    <w:rPr>
                      <w:rFonts w:hint="eastAsia" w:ascii="Times New Roman" w:hAnsi="Calibri" w:eastAsia="宋体" w:cs="宋体"/>
                      <w:color w:val="000000"/>
                      <w:kern w:val="2"/>
                      <w:sz w:val="21"/>
                      <w:szCs w:val="21"/>
                      <w:bdr w:val="none" w:color="auto" w:sz="0" w:space="0"/>
                      <w:lang w:val="en-US" w:eastAsia="zh-CN" w:bidi="ar"/>
                    </w:rPr>
                    <w:t>万</w:t>
                  </w:r>
                  <w:r>
                    <w:rPr>
                      <w:rFonts w:hint="default" w:ascii="Times New Roman" w:hAnsi="Times New Roman" w:eastAsia="宋体" w:cs="Times New Roman"/>
                      <w:color w:val="000000"/>
                      <w:kern w:val="2"/>
                      <w:sz w:val="21"/>
                      <w:szCs w:val="21"/>
                      <w:bdr w:val="none" w:color="auto" w:sz="0" w:space="0"/>
                      <w:lang w:val="en-US" w:eastAsia="zh-CN" w:bidi="ar"/>
                    </w:rPr>
                    <w:t>m</w:t>
                  </w:r>
                  <w:r>
                    <w:rPr>
                      <w:rFonts w:hint="default" w:ascii="Times New Roman" w:hAnsi="Times New Roman" w:eastAsia="宋体" w:cs="Times New Roman"/>
                      <w:color w:val="000000"/>
                      <w:kern w:val="2"/>
                      <w:sz w:val="21"/>
                      <w:szCs w:val="21"/>
                      <w:bdr w:val="none" w:color="auto" w:sz="0" w:space="0"/>
                      <w:vertAlign w:val="superscript"/>
                      <w:lang w:val="en-US" w:eastAsia="zh-CN" w:bidi="ar"/>
                    </w:rPr>
                    <w:t>3</w:t>
                  </w:r>
                  <w:r>
                    <w:rPr>
                      <w:rFonts w:hint="default" w:ascii="Times New Roman" w:hAnsi="Times New Roman" w:eastAsia="宋体" w:cs="Times New Roman"/>
                      <w:color w:val="000000"/>
                      <w:kern w:val="2"/>
                      <w:sz w:val="21"/>
                      <w:szCs w:val="21"/>
                      <w:bdr w:val="none" w:color="auto" w:sz="0" w:space="0"/>
                      <w:lang w:val="en-US" w:eastAsia="zh-CN" w:bidi="ar"/>
                    </w:rPr>
                    <w:t>/d</w:t>
                  </w:r>
                  <w:r>
                    <w:rPr>
                      <w:rFonts w:hint="eastAsia" w:ascii="Times New Roman" w:hAnsi="Calibri" w:eastAsia="宋体" w:cs="宋体"/>
                      <w:color w:val="000000"/>
                      <w:kern w:val="2"/>
                      <w:sz w:val="21"/>
                      <w:szCs w:val="21"/>
                      <w:bdr w:val="none" w:color="auto" w:sz="0" w:space="0"/>
                      <w:lang w:val="en-US" w:eastAsia="zh-CN" w:bidi="ar"/>
                    </w:rPr>
                    <w:t>。</w:t>
                  </w:r>
                </w:p>
              </w:tc>
            </w:tr>
            <w:tr w14:paraId="790ADEE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tcBorders>
                    <w:top w:val="single" w:color="auto" w:sz="4" w:space="0"/>
                    <w:left w:val="nil"/>
                    <w:bottom w:val="single" w:color="auto" w:sz="4" w:space="0"/>
                    <w:right w:val="single" w:color="auto" w:sz="4" w:space="0"/>
                  </w:tcBorders>
                  <w:shd w:val="clear"/>
                  <w:vAlign w:val="center"/>
                </w:tcPr>
                <w:p w14:paraId="24C8BABC">
                  <w:pPr>
                    <w:rPr>
                      <w:rFonts w:hint="default" w:ascii="Calibri" w:hAnsi="Calibri" w:cs="Calibri"/>
                      <w:sz w:val="20"/>
                      <w:szCs w:val="20"/>
                    </w:rPr>
                  </w:pPr>
                </w:p>
              </w:tc>
              <w:tc>
                <w:tcPr>
                  <w:tcW w:w="713" w:type="pct"/>
                  <w:gridSpan w:val="2"/>
                  <w:tcBorders>
                    <w:top w:val="single" w:color="auto" w:sz="4" w:space="0"/>
                    <w:left w:val="single" w:color="auto" w:sz="4" w:space="0"/>
                    <w:bottom w:val="single" w:color="auto" w:sz="4" w:space="0"/>
                    <w:right w:val="single" w:color="auto" w:sz="4" w:space="0"/>
                  </w:tcBorders>
                  <w:shd w:val="clear"/>
                  <w:vAlign w:val="center"/>
                </w:tcPr>
                <w:p w14:paraId="17A4E51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spacing w:val="-4"/>
                      <w:kern w:val="2"/>
                      <w:sz w:val="21"/>
                      <w:szCs w:val="21"/>
                      <w:bdr w:val="none" w:color="auto" w:sz="0" w:space="0"/>
                      <w:lang w:val="en-US" w:eastAsia="zh-CN" w:bidi="ar"/>
                    </w:rPr>
                    <w:t>大气污染物控制措施要求</w:t>
                  </w:r>
                </w:p>
              </w:tc>
              <w:tc>
                <w:tcPr>
                  <w:tcW w:w="2503" w:type="pct"/>
                  <w:tcBorders>
                    <w:top w:val="single" w:color="auto" w:sz="4" w:space="0"/>
                    <w:left w:val="single" w:color="auto" w:sz="4" w:space="0"/>
                    <w:bottom w:val="single" w:color="auto" w:sz="4" w:space="0"/>
                    <w:right w:val="single" w:color="auto" w:sz="4" w:space="0"/>
                  </w:tcBorders>
                  <w:shd w:val="clear"/>
                  <w:vAlign w:val="center"/>
                </w:tcPr>
                <w:p w14:paraId="19D3EFE6">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采取严格废气收集、控制措施，最大程度减少主导产业涉及的重金属废气排放量，规划区含砷废气总量不得超过</w:t>
                  </w:r>
                  <w:r>
                    <w:rPr>
                      <w:rFonts w:hint="default" w:ascii="Times New Roman" w:hAnsi="Times New Roman" w:eastAsia="宋体" w:cs="Times New Roman"/>
                      <w:color w:val="000000"/>
                      <w:kern w:val="2"/>
                      <w:sz w:val="21"/>
                      <w:szCs w:val="21"/>
                      <w:bdr w:val="none" w:color="auto" w:sz="0" w:space="0"/>
                      <w:lang w:val="en-US" w:eastAsia="zh-CN" w:bidi="ar"/>
                    </w:rPr>
                    <w:t>0.0025t/a</w:t>
                  </w:r>
                  <w:r>
                    <w:rPr>
                      <w:rFonts w:hint="eastAsia" w:ascii="Times New Roman" w:hAnsi="Calibri" w:eastAsia="宋体" w:cs="宋体"/>
                      <w:color w:val="000000"/>
                      <w:kern w:val="2"/>
                      <w:sz w:val="21"/>
                      <w:szCs w:val="21"/>
                      <w:bdr w:val="none" w:color="auto" w:sz="0" w:space="0"/>
                      <w:lang w:val="en-US" w:eastAsia="zh-CN" w:bidi="ar"/>
                    </w:rPr>
                    <w:t>，严格控制砷化镓外延片制造规模，砷化镓外延片（以</w:t>
                  </w:r>
                  <w:r>
                    <w:rPr>
                      <w:rFonts w:hint="default" w:ascii="Times New Roman" w:hAnsi="Times New Roman" w:eastAsia="宋体" w:cs="Times New Roman"/>
                      <w:color w:val="000000"/>
                      <w:kern w:val="2"/>
                      <w:sz w:val="21"/>
                      <w:szCs w:val="21"/>
                      <w:bdr w:val="none" w:color="auto" w:sz="0" w:space="0"/>
                      <w:lang w:val="en-US" w:eastAsia="zh-CN" w:bidi="ar"/>
                    </w:rPr>
                    <w:t>6</w:t>
                  </w:r>
                  <w:r>
                    <w:rPr>
                      <w:rFonts w:hint="eastAsia" w:ascii="Times New Roman" w:hAnsi="Calibri" w:eastAsia="宋体" w:cs="宋体"/>
                      <w:color w:val="000000"/>
                      <w:kern w:val="2"/>
                      <w:sz w:val="21"/>
                      <w:szCs w:val="21"/>
                      <w:bdr w:val="none" w:color="auto" w:sz="0" w:space="0"/>
                      <w:lang w:val="en-US" w:eastAsia="zh-CN" w:bidi="ar"/>
                    </w:rPr>
                    <w:t>英寸计）制造规模不得超过</w:t>
                  </w:r>
                  <w:r>
                    <w:rPr>
                      <w:rFonts w:hint="default" w:ascii="Times New Roman" w:hAnsi="Times New Roman" w:eastAsia="宋体" w:cs="Times New Roman"/>
                      <w:color w:val="000000"/>
                      <w:kern w:val="2"/>
                      <w:sz w:val="21"/>
                      <w:szCs w:val="21"/>
                      <w:bdr w:val="none" w:color="auto" w:sz="0" w:space="0"/>
                      <w:lang w:val="en-US" w:eastAsia="zh-CN" w:bidi="ar"/>
                    </w:rPr>
                    <w:t>10</w:t>
                  </w:r>
                  <w:r>
                    <w:rPr>
                      <w:rFonts w:hint="eastAsia" w:ascii="Times New Roman" w:hAnsi="Calibri" w:eastAsia="宋体" w:cs="宋体"/>
                      <w:color w:val="000000"/>
                      <w:kern w:val="2"/>
                      <w:sz w:val="21"/>
                      <w:szCs w:val="21"/>
                      <w:bdr w:val="none" w:color="auto" w:sz="0" w:space="0"/>
                      <w:lang w:val="en-US" w:eastAsia="zh-CN" w:bidi="ar"/>
                    </w:rPr>
                    <w:t>万片；</w:t>
                  </w:r>
                </w:p>
              </w:tc>
              <w:tc>
                <w:tcPr>
                  <w:tcW w:w="1492" w:type="pct"/>
                  <w:tcBorders>
                    <w:top w:val="single" w:color="auto" w:sz="4" w:space="0"/>
                    <w:left w:val="single" w:color="auto" w:sz="4" w:space="0"/>
                    <w:bottom w:val="single" w:color="auto" w:sz="4" w:space="0"/>
                    <w:right w:val="nil"/>
                  </w:tcBorders>
                  <w:shd w:val="clear"/>
                  <w:vAlign w:val="center"/>
                </w:tcPr>
                <w:p w14:paraId="0FFCD5D8">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扩建项目大气污染物主要为非甲烷总烃、颗粒物等，经“布袋</w:t>
                  </w:r>
                  <w:r>
                    <w:rPr>
                      <w:rFonts w:hint="default" w:ascii="Times New Roman" w:hAnsi="Times New Roman" w:eastAsia="宋体" w:cs="Times New Roman"/>
                      <w:color w:val="000000"/>
                      <w:kern w:val="0"/>
                      <w:sz w:val="21"/>
                      <w:szCs w:val="21"/>
                      <w:bdr w:val="none" w:color="auto" w:sz="0" w:space="0"/>
                      <w:lang w:val="en-US" w:eastAsia="zh-CN" w:bidi="ar"/>
                    </w:rPr>
                    <w:t>+UV</w:t>
                  </w:r>
                  <w:r>
                    <w:rPr>
                      <w:rFonts w:hint="eastAsia" w:ascii="Times New Roman" w:hAnsi="Times New Roman" w:eastAsia="宋体" w:cs="宋体"/>
                      <w:color w:val="000000"/>
                      <w:kern w:val="0"/>
                      <w:sz w:val="21"/>
                      <w:szCs w:val="21"/>
                      <w:bdr w:val="none" w:color="auto" w:sz="0" w:space="0"/>
                      <w:lang w:val="en-US" w:eastAsia="zh-CN" w:bidi="ar"/>
                    </w:rPr>
                    <w:t>光解</w:t>
                  </w:r>
                  <w:r>
                    <w:rPr>
                      <w:rFonts w:hint="default" w:ascii="Times New Roman" w:hAnsi="Times New Roman" w:eastAsia="宋体" w:cs="Times New Roman"/>
                      <w:color w:val="000000"/>
                      <w:kern w:val="0"/>
                      <w:sz w:val="21"/>
                      <w:szCs w:val="21"/>
                      <w:bdr w:val="none" w:color="auto" w:sz="0" w:space="0"/>
                      <w:lang w:val="en-US" w:eastAsia="zh-CN" w:bidi="ar"/>
                    </w:rPr>
                    <w:t>+</w:t>
                  </w:r>
                  <w:r>
                    <w:rPr>
                      <w:rFonts w:hint="eastAsia" w:ascii="Times New Roman" w:hAnsi="Times New Roman" w:eastAsia="宋体" w:cs="宋体"/>
                      <w:color w:val="000000"/>
                      <w:kern w:val="0"/>
                      <w:sz w:val="21"/>
                      <w:szCs w:val="21"/>
                      <w:bdr w:val="none" w:color="auto" w:sz="0" w:space="0"/>
                      <w:lang w:val="en-US" w:eastAsia="zh-CN" w:bidi="ar"/>
                    </w:rPr>
                    <w:t>活性炭”处理后达标排放，不含重金属废气。</w:t>
                  </w:r>
                </w:p>
              </w:tc>
            </w:tr>
            <w:tr w14:paraId="0261A83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tcBorders>
                    <w:top w:val="single" w:color="auto" w:sz="4" w:space="0"/>
                    <w:left w:val="nil"/>
                    <w:bottom w:val="single" w:color="auto" w:sz="4" w:space="0"/>
                    <w:right w:val="single" w:color="auto" w:sz="4" w:space="0"/>
                  </w:tcBorders>
                  <w:shd w:val="clear"/>
                  <w:vAlign w:val="center"/>
                </w:tcPr>
                <w:p w14:paraId="73FFC2DE">
                  <w:pPr>
                    <w:rPr>
                      <w:rFonts w:hint="default" w:ascii="Calibri" w:hAnsi="Calibri" w:cs="Calibri"/>
                      <w:sz w:val="20"/>
                      <w:szCs w:val="20"/>
                    </w:rPr>
                  </w:pPr>
                </w:p>
              </w:tc>
              <w:tc>
                <w:tcPr>
                  <w:tcW w:w="713" w:type="pct"/>
                  <w:gridSpan w:val="2"/>
                  <w:tcBorders>
                    <w:top w:val="single" w:color="auto" w:sz="4" w:space="0"/>
                    <w:left w:val="single" w:color="auto" w:sz="4" w:space="0"/>
                    <w:bottom w:val="single" w:color="auto" w:sz="4" w:space="0"/>
                    <w:right w:val="single" w:color="auto" w:sz="4" w:space="0"/>
                  </w:tcBorders>
                  <w:shd w:val="clear"/>
                  <w:vAlign w:val="center"/>
                </w:tcPr>
                <w:p w14:paraId="36A74EFF">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Times New Roman" w:eastAsia="宋体" w:cs="宋体"/>
                      <w:color w:val="000000"/>
                      <w:spacing w:val="-4"/>
                      <w:kern w:val="2"/>
                      <w:sz w:val="21"/>
                      <w:szCs w:val="21"/>
                      <w:bdr w:val="none" w:color="auto" w:sz="0" w:space="0"/>
                      <w:lang w:val="en-US" w:eastAsia="zh-CN" w:bidi="ar"/>
                    </w:rPr>
                    <w:t>固体废物处置措施</w:t>
                  </w:r>
                </w:p>
              </w:tc>
              <w:tc>
                <w:tcPr>
                  <w:tcW w:w="2503" w:type="pct"/>
                  <w:tcBorders>
                    <w:top w:val="single" w:color="auto" w:sz="4" w:space="0"/>
                    <w:left w:val="single" w:color="auto" w:sz="4" w:space="0"/>
                    <w:bottom w:val="single" w:color="auto" w:sz="4" w:space="0"/>
                    <w:right w:val="single" w:color="auto" w:sz="4" w:space="0"/>
                  </w:tcBorders>
                  <w:shd w:val="clear"/>
                  <w:vAlign w:val="center"/>
                </w:tcPr>
                <w:p w14:paraId="1C092F25">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工业固体废物综合利用率达到</w:t>
                  </w:r>
                  <w:r>
                    <w:rPr>
                      <w:rFonts w:hint="default" w:ascii="Times New Roman" w:hAnsi="Times New Roman" w:eastAsia="宋体" w:cs="Times New Roman"/>
                      <w:color w:val="000000"/>
                      <w:kern w:val="0"/>
                      <w:sz w:val="21"/>
                      <w:szCs w:val="21"/>
                      <w:bdr w:val="none" w:color="auto" w:sz="0" w:space="0"/>
                      <w:lang w:val="en-US" w:eastAsia="zh-CN" w:bidi="ar"/>
                    </w:rPr>
                    <w:t>95.5%</w:t>
                  </w:r>
                  <w:r>
                    <w:rPr>
                      <w:rFonts w:hint="eastAsia" w:ascii="Times New Roman" w:hAnsi="Times New Roman" w:eastAsia="宋体" w:cs="宋体"/>
                      <w:color w:val="000000"/>
                      <w:kern w:val="0"/>
                      <w:sz w:val="21"/>
                      <w:szCs w:val="21"/>
                      <w:bdr w:val="none" w:color="auto" w:sz="0" w:space="0"/>
                      <w:lang w:val="en-US" w:eastAsia="zh-CN" w:bidi="ar"/>
                    </w:rPr>
                    <w:t>。</w:t>
                  </w:r>
                </w:p>
              </w:tc>
              <w:tc>
                <w:tcPr>
                  <w:tcW w:w="1492" w:type="pct"/>
                  <w:tcBorders>
                    <w:top w:val="single" w:color="auto" w:sz="4" w:space="0"/>
                    <w:left w:val="single" w:color="auto" w:sz="4" w:space="0"/>
                    <w:bottom w:val="single" w:color="auto" w:sz="4" w:space="0"/>
                    <w:right w:val="nil"/>
                  </w:tcBorders>
                  <w:shd w:val="clear"/>
                  <w:vAlign w:val="center"/>
                </w:tcPr>
                <w:p w14:paraId="1005FC34">
                  <w:pPr>
                    <w:keepNext w:val="0"/>
                    <w:keepLines w:val="0"/>
                    <w:widowControl/>
                    <w:suppressLineNumbers w:val="0"/>
                    <w:adjustRightInd w:val="0"/>
                    <w:snapToGrid w:val="0"/>
                    <w:spacing w:before="0" w:beforeAutospacing="0" w:after="0" w:afterAutospacing="0"/>
                    <w:ind w:left="0" w:right="0"/>
                    <w:jc w:val="both"/>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扩建项目产生的工业固体废物定期交由资源回收单位回收利用。</w:t>
                  </w:r>
                </w:p>
              </w:tc>
            </w:tr>
            <w:tr w14:paraId="516DCEA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gridSpan w:val="3"/>
                  <w:tcBorders>
                    <w:top w:val="single" w:color="auto" w:sz="4" w:space="0"/>
                    <w:left w:val="nil"/>
                    <w:bottom w:val="single" w:color="auto" w:sz="4" w:space="0"/>
                    <w:right w:val="single" w:color="auto" w:sz="4" w:space="0"/>
                  </w:tcBorders>
                  <w:shd w:val="clear"/>
                  <w:vAlign w:val="center"/>
                </w:tcPr>
                <w:p w14:paraId="16E81D9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环境风险防控</w:t>
                  </w:r>
                </w:p>
              </w:tc>
              <w:tc>
                <w:tcPr>
                  <w:tcW w:w="2503" w:type="pct"/>
                  <w:tcBorders>
                    <w:top w:val="single" w:color="auto" w:sz="4" w:space="0"/>
                    <w:left w:val="single" w:color="auto" w:sz="4" w:space="0"/>
                    <w:bottom w:val="single" w:color="auto" w:sz="4" w:space="0"/>
                    <w:right w:val="single" w:color="auto" w:sz="4" w:space="0"/>
                  </w:tcBorders>
                  <w:shd w:val="clear"/>
                  <w:vAlign w:val="center"/>
                </w:tcPr>
                <w:p w14:paraId="4D8AA226">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规划区建设三级（车间、厂区、规划区）环境风险防控体系；督促规划区内各企业加强环境风险防控，建设防止环境风险物质泄漏扩散的封堵、围栏、喷淋、吸收、收集、处理等应急设施。</w:t>
                  </w:r>
                </w:p>
              </w:tc>
              <w:tc>
                <w:tcPr>
                  <w:tcW w:w="1492" w:type="pct"/>
                  <w:tcBorders>
                    <w:top w:val="single" w:color="auto" w:sz="4" w:space="0"/>
                    <w:left w:val="single" w:color="auto" w:sz="4" w:space="0"/>
                    <w:bottom w:val="single" w:color="auto" w:sz="4" w:space="0"/>
                    <w:right w:val="nil"/>
                  </w:tcBorders>
                  <w:shd w:val="clear"/>
                  <w:vAlign w:val="center"/>
                </w:tcPr>
                <w:p w14:paraId="37AC7C63">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cs="Times New Roman"/>
                      <w:color w:val="000000"/>
                      <w:kern w:val="0"/>
                      <w:szCs w:val="21"/>
                      <w:bdr w:val="none" w:color="auto" w:sz="0" w:space="0"/>
                      <w:lang w:val="en-US"/>
                    </w:rPr>
                  </w:pPr>
                  <w:r>
                    <w:rPr>
                      <w:rFonts w:hint="eastAsia" w:ascii="Calibri" w:hAnsi="Calibri" w:eastAsia="宋体" w:cs="宋体"/>
                      <w:color w:val="000000"/>
                      <w:kern w:val="2"/>
                      <w:sz w:val="21"/>
                      <w:szCs w:val="24"/>
                      <w:bdr w:val="none" w:color="auto" w:sz="0" w:space="0"/>
                      <w:lang w:val="en-US" w:eastAsia="zh-CN" w:bidi="ar"/>
                    </w:rPr>
                    <w:t>扩建项目采取分区防渗，危废暂存区为重点防渗，地面进行防腐防渗处理，并设置托盘，环境风险可控。</w:t>
                  </w:r>
                </w:p>
              </w:tc>
            </w:tr>
            <w:tr w14:paraId="3C584C3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gridSpan w:val="3"/>
                  <w:vMerge w:val="restart"/>
                  <w:tcBorders>
                    <w:top w:val="single" w:color="auto" w:sz="4" w:space="0"/>
                    <w:left w:val="nil"/>
                    <w:bottom w:val="single" w:color="auto" w:sz="4" w:space="0"/>
                    <w:right w:val="single" w:color="auto" w:sz="4" w:space="0"/>
                  </w:tcBorders>
                  <w:shd w:val="clear"/>
                  <w:vAlign w:val="center"/>
                </w:tcPr>
                <w:p w14:paraId="114A9FA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资源利用效率</w:t>
                  </w:r>
                </w:p>
              </w:tc>
              <w:tc>
                <w:tcPr>
                  <w:tcW w:w="2503" w:type="pct"/>
                  <w:tcBorders>
                    <w:top w:val="single" w:color="auto" w:sz="4" w:space="0"/>
                    <w:left w:val="single" w:color="auto" w:sz="4" w:space="0"/>
                    <w:bottom w:val="single" w:color="auto" w:sz="4" w:space="0"/>
                    <w:right w:val="single" w:color="auto" w:sz="4" w:space="0"/>
                  </w:tcBorders>
                  <w:shd w:val="clear"/>
                  <w:vAlign w:val="center"/>
                </w:tcPr>
                <w:p w14:paraId="7423E1D2">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新建和改造的工业项目清洁生产水平不得低于国家清洁生产标准的国内先进水平。新建高耗能项目单位产品（产值）能耗要达到国际先进水平。</w:t>
                  </w:r>
                </w:p>
              </w:tc>
              <w:tc>
                <w:tcPr>
                  <w:tcW w:w="1492" w:type="pct"/>
                  <w:vMerge w:val="restart"/>
                  <w:tcBorders>
                    <w:top w:val="single" w:color="auto" w:sz="4" w:space="0"/>
                    <w:left w:val="single" w:color="auto" w:sz="4" w:space="0"/>
                    <w:bottom w:val="single" w:color="auto" w:sz="4" w:space="0"/>
                    <w:right w:val="nil"/>
                  </w:tcBorders>
                  <w:shd w:val="clear"/>
                  <w:vAlign w:val="center"/>
                </w:tcPr>
                <w:p w14:paraId="3CB5D4D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eastAsia" w:ascii="Calibri" w:hAnsi="Calibri" w:eastAsia="宋体" w:cs="宋体"/>
                      <w:color w:val="000000"/>
                      <w:kern w:val="2"/>
                      <w:sz w:val="21"/>
                      <w:szCs w:val="24"/>
                      <w:bdr w:val="none" w:color="auto" w:sz="0" w:space="0"/>
                      <w:lang w:val="en-US" w:eastAsia="zh-CN" w:bidi="ar"/>
                    </w:rPr>
                    <w:t>扩建项目不属于高耗能项目，项目清洁生产水平不低于国家清洁生产标准的国内先进水平。</w:t>
                  </w:r>
                </w:p>
              </w:tc>
            </w:tr>
            <w:tr w14:paraId="45CC666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gridSpan w:val="3"/>
                  <w:vMerge w:val="continue"/>
                  <w:tcBorders>
                    <w:top w:val="single" w:color="auto" w:sz="4" w:space="0"/>
                    <w:left w:val="nil"/>
                    <w:bottom w:val="single" w:color="auto" w:sz="4" w:space="0"/>
                    <w:right w:val="single" w:color="auto" w:sz="4" w:space="0"/>
                  </w:tcBorders>
                  <w:shd w:val="clear"/>
                  <w:vAlign w:val="center"/>
                </w:tcPr>
                <w:p w14:paraId="7B8994D7">
                  <w:pPr>
                    <w:rPr>
                      <w:rFonts w:hint="default" w:ascii="Calibri" w:hAnsi="Calibri" w:cs="Calibri"/>
                      <w:sz w:val="20"/>
                      <w:szCs w:val="20"/>
                    </w:rPr>
                  </w:pPr>
                </w:p>
              </w:tc>
              <w:tc>
                <w:tcPr>
                  <w:tcW w:w="2503" w:type="pct"/>
                  <w:tcBorders>
                    <w:top w:val="single" w:color="auto" w:sz="4" w:space="0"/>
                    <w:left w:val="single" w:color="auto" w:sz="4" w:space="0"/>
                    <w:bottom w:val="single" w:color="auto" w:sz="4" w:space="0"/>
                    <w:right w:val="single" w:color="auto" w:sz="4" w:space="0"/>
                  </w:tcBorders>
                  <w:shd w:val="clear"/>
                  <w:vAlign w:val="center"/>
                </w:tcPr>
                <w:p w14:paraId="6D914C59">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万元工业增加值用水量（</w:t>
                  </w:r>
                  <w:r>
                    <w:rPr>
                      <w:rFonts w:hint="default" w:ascii="Times New Roman" w:hAnsi="Calibri" w:eastAsia="宋体" w:cs="Times New Roman"/>
                      <w:color w:val="000000"/>
                      <w:kern w:val="0"/>
                      <w:sz w:val="21"/>
                      <w:szCs w:val="21"/>
                      <w:bdr w:val="none" w:color="auto" w:sz="0" w:space="0"/>
                      <w:lang w:val="en-US" w:eastAsia="zh-CN" w:bidi="ar"/>
                    </w:rPr>
                    <w:t>m³/</w:t>
                  </w:r>
                  <w:r>
                    <w:rPr>
                      <w:rFonts w:hint="eastAsia" w:ascii="Times New Roman" w:hAnsi="Calibri" w:eastAsia="宋体" w:cs="宋体"/>
                      <w:color w:val="000000"/>
                      <w:kern w:val="0"/>
                      <w:sz w:val="21"/>
                      <w:szCs w:val="21"/>
                      <w:bdr w:val="none" w:color="auto" w:sz="0" w:space="0"/>
                      <w:lang w:val="en-US" w:eastAsia="zh-CN" w:bidi="ar"/>
                    </w:rPr>
                    <w:t>万元）</w:t>
                  </w:r>
                  <w:r>
                    <w:rPr>
                      <w:rFonts w:hint="default" w:ascii="Times New Roman" w:hAnsi="Calibri" w:eastAsia="宋体" w:cs="Times New Roman"/>
                      <w:color w:val="000000"/>
                      <w:kern w:val="0"/>
                      <w:sz w:val="21"/>
                      <w:szCs w:val="21"/>
                      <w:bdr w:val="none" w:color="auto" w:sz="0" w:space="0"/>
                      <w:lang w:val="en-US" w:eastAsia="zh-CN" w:bidi="ar"/>
                    </w:rPr>
                    <w:t>&lt;36.9</w:t>
                  </w:r>
                  <w:r>
                    <w:rPr>
                      <w:rFonts w:hint="eastAsia" w:ascii="Times New Roman" w:hAnsi="Calibri" w:eastAsia="宋体" w:cs="宋体"/>
                      <w:color w:val="000000"/>
                      <w:kern w:val="0"/>
                      <w:sz w:val="21"/>
                      <w:szCs w:val="21"/>
                      <w:bdr w:val="none" w:color="auto" w:sz="0" w:space="0"/>
                      <w:lang w:val="en-US" w:eastAsia="zh-CN" w:bidi="ar"/>
                    </w:rPr>
                    <w:t>。</w:t>
                  </w:r>
                </w:p>
              </w:tc>
              <w:tc>
                <w:tcPr>
                  <w:tcW w:w="1492" w:type="pct"/>
                  <w:vMerge w:val="continue"/>
                  <w:tcBorders>
                    <w:top w:val="single" w:color="auto" w:sz="4" w:space="0"/>
                    <w:left w:val="single" w:color="auto" w:sz="4" w:space="0"/>
                    <w:bottom w:val="single" w:color="auto" w:sz="4" w:space="0"/>
                    <w:right w:val="nil"/>
                  </w:tcBorders>
                  <w:shd w:val="clear"/>
                  <w:vAlign w:val="center"/>
                </w:tcPr>
                <w:p w14:paraId="0EDB59CB">
                  <w:pPr>
                    <w:rPr>
                      <w:rFonts w:hint="default" w:ascii="Calibri" w:hAnsi="Calibri" w:cs="Calibri"/>
                      <w:sz w:val="20"/>
                      <w:szCs w:val="20"/>
                    </w:rPr>
                  </w:pPr>
                </w:p>
              </w:tc>
            </w:tr>
            <w:tr w14:paraId="7C1D993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gridSpan w:val="3"/>
                  <w:vMerge w:val="restart"/>
                  <w:tcBorders>
                    <w:top w:val="single" w:color="auto" w:sz="4" w:space="0"/>
                    <w:left w:val="nil"/>
                    <w:bottom w:val="single" w:color="auto" w:sz="4" w:space="0"/>
                    <w:right w:val="single" w:color="auto" w:sz="4" w:space="0"/>
                  </w:tcBorders>
                  <w:shd w:val="clear"/>
                  <w:vAlign w:val="center"/>
                </w:tcPr>
                <w:p w14:paraId="63606AC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禁止准入产业</w:t>
                  </w:r>
                </w:p>
              </w:tc>
              <w:tc>
                <w:tcPr>
                  <w:tcW w:w="2503" w:type="pct"/>
                  <w:tcBorders>
                    <w:top w:val="single" w:color="auto" w:sz="4" w:space="0"/>
                    <w:left w:val="single" w:color="auto" w:sz="4" w:space="0"/>
                    <w:bottom w:val="single" w:color="auto" w:sz="4" w:space="0"/>
                    <w:right w:val="single" w:color="auto" w:sz="4" w:space="0"/>
                  </w:tcBorders>
                  <w:shd w:val="clear"/>
                  <w:vAlign w:val="center"/>
                </w:tcPr>
                <w:p w14:paraId="4C17FB8C">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禁止《市场准入负面清单》《关于发布长江经济带发展负面清单（指南）的通知》《重庆市长江经济带发展负面清单实施细则（试行）》《重庆市产业投资准入工作手册》（渝发改投</w:t>
                  </w:r>
                  <w:r>
                    <w:rPr>
                      <w:rFonts w:hint="default" w:ascii="Times New Roman" w:hAnsi="Times New Roman" w:eastAsia="宋体" w:cs="Times New Roman"/>
                      <w:color w:val="000000"/>
                      <w:kern w:val="0"/>
                      <w:sz w:val="21"/>
                      <w:szCs w:val="21"/>
                      <w:bdr w:val="none" w:color="auto" w:sz="0" w:space="0"/>
                      <w:lang w:val="en-US" w:eastAsia="zh-CN" w:bidi="ar"/>
                    </w:rPr>
                    <w:t>[2018]541</w:t>
                  </w:r>
                  <w:r>
                    <w:rPr>
                      <w:rFonts w:hint="eastAsia" w:ascii="Times New Roman" w:hAnsi="Times New Roman" w:eastAsia="宋体" w:cs="宋体"/>
                      <w:color w:val="000000"/>
                      <w:kern w:val="0"/>
                      <w:sz w:val="21"/>
                      <w:szCs w:val="21"/>
                      <w:bdr w:val="none" w:color="auto" w:sz="0" w:space="0"/>
                      <w:lang w:val="en-US" w:eastAsia="zh-CN" w:bidi="ar"/>
                    </w:rPr>
                    <w:t>号）、《重庆市关于严格工业布局和准入的通知》（渝发改投</w:t>
                  </w:r>
                  <w:r>
                    <w:rPr>
                      <w:rFonts w:hint="default" w:ascii="Times New Roman" w:hAnsi="Times New Roman" w:eastAsia="宋体" w:cs="Times New Roman"/>
                      <w:color w:val="000000"/>
                      <w:kern w:val="0"/>
                      <w:sz w:val="21"/>
                      <w:szCs w:val="21"/>
                      <w:bdr w:val="none" w:color="auto" w:sz="0" w:space="0"/>
                      <w:lang w:val="en-US" w:eastAsia="zh-CN" w:bidi="ar"/>
                    </w:rPr>
                    <w:t>[2018]781</w:t>
                  </w:r>
                  <w:r>
                    <w:rPr>
                      <w:rFonts w:hint="eastAsia" w:ascii="Times New Roman" w:hAnsi="Times New Roman" w:eastAsia="宋体" w:cs="宋体"/>
                      <w:color w:val="000000"/>
                      <w:kern w:val="0"/>
                      <w:sz w:val="21"/>
                      <w:szCs w:val="21"/>
                      <w:bdr w:val="none" w:color="auto" w:sz="0" w:space="0"/>
                      <w:lang w:val="en-US" w:eastAsia="zh-CN" w:bidi="ar"/>
                    </w:rPr>
                    <w:t>号）中提出的负面清单以及不予准入类项目；禁止引入资源环境绩效水平超过《重庆市工业项目环境准入规定》限值以及不符合生态建设和环境保护规划区域布局规定的工业项目。</w:t>
                  </w:r>
                </w:p>
              </w:tc>
              <w:tc>
                <w:tcPr>
                  <w:tcW w:w="1492" w:type="pct"/>
                  <w:tcBorders>
                    <w:top w:val="single" w:color="auto" w:sz="4" w:space="0"/>
                    <w:left w:val="single" w:color="auto" w:sz="4" w:space="0"/>
                    <w:bottom w:val="single" w:color="auto" w:sz="4" w:space="0"/>
                    <w:right w:val="nil"/>
                  </w:tcBorders>
                  <w:shd w:val="clear"/>
                  <w:vAlign w:val="center"/>
                </w:tcPr>
                <w:p w14:paraId="1E316F97">
                  <w:pPr>
                    <w:keepNext w:val="0"/>
                    <w:keepLines w:val="0"/>
                    <w:widowControl w:val="0"/>
                    <w:suppressLineNumbers w:val="0"/>
                    <w:adjustRightInd w:val="0"/>
                    <w:snapToGrid w:val="0"/>
                    <w:spacing w:before="0" w:beforeAutospacing="0" w:after="0" w:afterAutospacing="0"/>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扩建项目不属于负面清单及不予准入类项目。</w:t>
                  </w:r>
                </w:p>
              </w:tc>
            </w:tr>
            <w:tr w14:paraId="0B2037C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gridSpan w:val="3"/>
                  <w:vMerge w:val="continue"/>
                  <w:tcBorders>
                    <w:top w:val="single" w:color="auto" w:sz="4" w:space="0"/>
                    <w:left w:val="nil"/>
                    <w:bottom w:val="single" w:color="auto" w:sz="4" w:space="0"/>
                    <w:right w:val="single" w:color="auto" w:sz="4" w:space="0"/>
                  </w:tcBorders>
                  <w:shd w:val="clear"/>
                  <w:vAlign w:val="center"/>
                </w:tcPr>
                <w:p w14:paraId="3C06CC83">
                  <w:pPr>
                    <w:rPr>
                      <w:rFonts w:hint="default" w:ascii="Calibri" w:hAnsi="Calibri" w:cs="Calibri"/>
                      <w:sz w:val="20"/>
                      <w:szCs w:val="20"/>
                    </w:rPr>
                  </w:pPr>
                </w:p>
              </w:tc>
              <w:tc>
                <w:tcPr>
                  <w:tcW w:w="2503" w:type="pct"/>
                  <w:tcBorders>
                    <w:top w:val="single" w:color="auto" w:sz="4" w:space="0"/>
                    <w:left w:val="single" w:color="auto" w:sz="4" w:space="0"/>
                    <w:bottom w:val="single" w:color="auto" w:sz="4" w:space="0"/>
                    <w:right w:val="single" w:color="auto" w:sz="4" w:space="0"/>
                  </w:tcBorders>
                  <w:shd w:val="clear"/>
                  <w:vAlign w:val="center"/>
                </w:tcPr>
                <w:p w14:paraId="1FCC3389">
                  <w:pPr>
                    <w:keepNext w:val="0"/>
                    <w:keepLines w:val="0"/>
                    <w:widowControl w:val="0"/>
                    <w:suppressLineNumbers w:val="0"/>
                    <w:adjustRightInd w:val="0"/>
                    <w:snapToGrid w:val="0"/>
                    <w:spacing w:before="0" w:beforeAutospacing="0" w:after="0" w:afterAutospacing="0"/>
                    <w:ind w:left="0" w:right="0"/>
                    <w:jc w:val="left"/>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禁止引入涉及重金属等有毒有害物质排放的电子专用材料制造项目（砷化镓外延工序除外）。</w:t>
                  </w:r>
                </w:p>
              </w:tc>
              <w:tc>
                <w:tcPr>
                  <w:tcW w:w="1492" w:type="pct"/>
                  <w:tcBorders>
                    <w:top w:val="single" w:color="auto" w:sz="4" w:space="0"/>
                    <w:left w:val="single" w:color="auto" w:sz="4" w:space="0"/>
                    <w:bottom w:val="single" w:color="auto" w:sz="4" w:space="0"/>
                    <w:right w:val="nil"/>
                  </w:tcBorders>
                  <w:shd w:val="clear"/>
                  <w:vAlign w:val="center"/>
                </w:tcPr>
                <w:p w14:paraId="1FBD1FCB">
                  <w:pPr>
                    <w:keepNext w:val="0"/>
                    <w:keepLines w:val="0"/>
                    <w:widowControl w:val="0"/>
                    <w:suppressLineNumbers w:val="0"/>
                    <w:adjustRightInd w:val="0"/>
                    <w:snapToGrid w:val="0"/>
                    <w:spacing w:before="0" w:beforeAutospacing="0" w:after="0" w:afterAutospacing="0"/>
                    <w:ind w:left="0" w:right="0"/>
                    <w:jc w:val="center"/>
                    <w:rPr>
                      <w:snapToGrid w:val="0"/>
                      <w:color w:val="000000"/>
                      <w:szCs w:val="21"/>
                      <w:bdr w:val="none" w:color="auto" w:sz="0" w:space="0"/>
                      <w:lang w:val="en-US"/>
                    </w:rPr>
                  </w:pPr>
                  <w:r>
                    <w:rPr>
                      <w:rFonts w:hint="eastAsia" w:ascii="Calibri" w:hAnsi="Calibri" w:eastAsia="宋体" w:cs="宋体"/>
                      <w:snapToGrid w:val="0"/>
                      <w:color w:val="000000"/>
                      <w:kern w:val="2"/>
                      <w:sz w:val="21"/>
                      <w:szCs w:val="21"/>
                      <w:bdr w:val="none" w:color="auto" w:sz="0" w:space="0"/>
                      <w:lang w:val="en-US" w:eastAsia="zh-CN" w:bidi="ar"/>
                    </w:rPr>
                    <w:t>扩建项目为</w:t>
                  </w:r>
                  <w:r>
                    <w:rPr>
                      <w:rFonts w:hint="eastAsia" w:ascii="Calibri" w:hAnsi="Calibri" w:eastAsia="宋体" w:cs="宋体"/>
                      <w:color w:val="000000"/>
                      <w:kern w:val="2"/>
                      <w:sz w:val="21"/>
                      <w:szCs w:val="21"/>
                      <w:bdr w:val="none" w:color="auto" w:sz="0" w:space="0"/>
                      <w:lang w:val="en-US" w:eastAsia="zh-CN" w:bidi="ar"/>
                    </w:rPr>
                    <w:t>汽车零部件及配件制造项目，不涉及重金属等有毒有害物质</w:t>
                  </w:r>
                </w:p>
              </w:tc>
            </w:tr>
            <w:tr w14:paraId="483F30F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gridSpan w:val="3"/>
                  <w:vMerge w:val="continue"/>
                  <w:tcBorders>
                    <w:top w:val="single" w:color="auto" w:sz="4" w:space="0"/>
                    <w:left w:val="nil"/>
                    <w:bottom w:val="single" w:color="auto" w:sz="4" w:space="0"/>
                    <w:right w:val="single" w:color="auto" w:sz="4" w:space="0"/>
                  </w:tcBorders>
                  <w:shd w:val="clear"/>
                  <w:vAlign w:val="center"/>
                </w:tcPr>
                <w:p w14:paraId="32DDE360">
                  <w:pPr>
                    <w:rPr>
                      <w:rFonts w:hint="default" w:ascii="Calibri" w:hAnsi="Calibri" w:cs="Calibri"/>
                      <w:sz w:val="20"/>
                      <w:szCs w:val="20"/>
                    </w:rPr>
                  </w:pPr>
                </w:p>
              </w:tc>
              <w:tc>
                <w:tcPr>
                  <w:tcW w:w="2503" w:type="pct"/>
                  <w:tcBorders>
                    <w:top w:val="single" w:color="auto" w:sz="4" w:space="0"/>
                    <w:left w:val="single" w:color="auto" w:sz="4" w:space="0"/>
                    <w:bottom w:val="single" w:color="auto" w:sz="4" w:space="0"/>
                    <w:right w:val="single" w:color="auto" w:sz="4" w:space="0"/>
                  </w:tcBorders>
                  <w:shd w:val="clear"/>
                  <w:vAlign w:val="center"/>
                </w:tcPr>
                <w:p w14:paraId="3DBFD374">
                  <w:pPr>
                    <w:keepNext w:val="0"/>
                    <w:keepLines w:val="0"/>
                    <w:widowControl w:val="0"/>
                    <w:suppressLineNumbers w:val="0"/>
                    <w:adjustRightInd w:val="0"/>
                    <w:snapToGrid w:val="0"/>
                    <w:spacing w:before="0" w:beforeAutospacing="0" w:after="0" w:afterAutospacing="0"/>
                    <w:ind w:left="0" w:right="0"/>
                    <w:jc w:val="left"/>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嘉陵江及其一级支流沿岸地区（江河</w:t>
                  </w:r>
                  <w:r>
                    <w:rPr>
                      <w:rFonts w:hint="default" w:ascii="Calibri" w:hAnsi="Calibri" w:eastAsia="宋体" w:cs="Times New Roman"/>
                      <w:color w:val="000000"/>
                      <w:kern w:val="2"/>
                      <w:sz w:val="21"/>
                      <w:szCs w:val="21"/>
                      <w:bdr w:val="none" w:color="auto" w:sz="0" w:space="0"/>
                      <w:lang w:val="en-US" w:eastAsia="zh-CN" w:bidi="ar"/>
                    </w:rPr>
                    <w:t>50</w:t>
                  </w:r>
                  <w:r>
                    <w:rPr>
                      <w:rFonts w:hint="eastAsia" w:ascii="Calibri" w:hAnsi="Calibri" w:eastAsia="宋体" w:cs="宋体"/>
                      <w:color w:val="000000"/>
                      <w:kern w:val="2"/>
                      <w:sz w:val="21"/>
                      <w:szCs w:val="21"/>
                      <w:bdr w:val="none" w:color="auto" w:sz="0" w:space="0"/>
                      <w:lang w:val="en-US" w:eastAsia="zh-CN" w:bidi="ar"/>
                    </w:rPr>
                    <w:t>年一遇洪水位向陆域一侧</w:t>
                  </w:r>
                  <w:r>
                    <w:rPr>
                      <w:rFonts w:hint="default" w:ascii="Calibri" w:hAnsi="Calibri" w:eastAsia="宋体" w:cs="Times New Roman"/>
                      <w:color w:val="000000"/>
                      <w:kern w:val="2"/>
                      <w:sz w:val="21"/>
                      <w:szCs w:val="21"/>
                      <w:bdr w:val="none" w:color="auto" w:sz="0" w:space="0"/>
                      <w:lang w:val="en-US" w:eastAsia="zh-CN" w:bidi="ar"/>
                    </w:rPr>
                    <w:t>1</w:t>
                  </w:r>
                  <w:r>
                    <w:rPr>
                      <w:rFonts w:hint="eastAsia" w:ascii="Calibri" w:hAnsi="Calibri" w:eastAsia="宋体" w:cs="宋体"/>
                      <w:color w:val="000000"/>
                      <w:kern w:val="2"/>
                      <w:sz w:val="21"/>
                      <w:szCs w:val="21"/>
                      <w:bdr w:val="none" w:color="auto" w:sz="0" w:space="0"/>
                      <w:lang w:val="en-US" w:eastAsia="zh-CN" w:bidi="ar"/>
                    </w:rPr>
                    <w:t>公里范围内）禁止新建、扩建排放重金属（铬、镉、汞、砷、铅等五类重金属）、剧毒物质和持久性有机污染物的工业项目。</w:t>
                  </w:r>
                </w:p>
              </w:tc>
              <w:tc>
                <w:tcPr>
                  <w:tcW w:w="1492" w:type="pct"/>
                  <w:tcBorders>
                    <w:top w:val="single" w:color="auto" w:sz="4" w:space="0"/>
                    <w:left w:val="single" w:color="auto" w:sz="4" w:space="0"/>
                    <w:bottom w:val="single" w:color="auto" w:sz="4" w:space="0"/>
                    <w:right w:val="nil"/>
                  </w:tcBorders>
                  <w:shd w:val="clear"/>
                  <w:vAlign w:val="center"/>
                </w:tcPr>
                <w:p w14:paraId="740011BE">
                  <w:pPr>
                    <w:keepNext w:val="0"/>
                    <w:keepLines w:val="0"/>
                    <w:widowControl w:val="0"/>
                    <w:suppressLineNumbers w:val="0"/>
                    <w:adjustRightInd w:val="0"/>
                    <w:snapToGrid w:val="0"/>
                    <w:spacing w:before="0" w:beforeAutospacing="0" w:after="0" w:afterAutospacing="0"/>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扩建项目不属于新建、扩建排放重金属（铬、镉、汞、砷、铅等五</w:t>
                  </w:r>
                  <w:r>
                    <w:rPr>
                      <w:rFonts w:hint="eastAsia" w:ascii="Calibri" w:hAnsi="Calibri" w:eastAsia="宋体" w:cs="宋体"/>
                      <w:color w:val="000000"/>
                      <w:spacing w:val="-6"/>
                      <w:kern w:val="2"/>
                      <w:sz w:val="21"/>
                      <w:szCs w:val="21"/>
                      <w:bdr w:val="none" w:color="auto" w:sz="0" w:space="0"/>
                      <w:lang w:val="en-US" w:eastAsia="zh-CN" w:bidi="ar"/>
                    </w:rPr>
                    <w:t>类重金属）、剧毒物质和持久性有机污染物的工业项目。</w:t>
                  </w:r>
                </w:p>
              </w:tc>
            </w:tr>
            <w:tr w14:paraId="579B752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gridSpan w:val="3"/>
                  <w:vMerge w:val="continue"/>
                  <w:tcBorders>
                    <w:top w:val="single" w:color="auto" w:sz="4" w:space="0"/>
                    <w:left w:val="nil"/>
                    <w:bottom w:val="single" w:color="auto" w:sz="4" w:space="0"/>
                    <w:right w:val="single" w:color="auto" w:sz="4" w:space="0"/>
                  </w:tcBorders>
                  <w:shd w:val="clear"/>
                  <w:vAlign w:val="center"/>
                </w:tcPr>
                <w:p w14:paraId="515D0DF3">
                  <w:pPr>
                    <w:rPr>
                      <w:rFonts w:hint="default" w:ascii="Calibri" w:hAnsi="Calibri" w:cs="Calibri"/>
                      <w:sz w:val="20"/>
                      <w:szCs w:val="20"/>
                    </w:rPr>
                  </w:pPr>
                </w:p>
              </w:tc>
              <w:tc>
                <w:tcPr>
                  <w:tcW w:w="2503" w:type="pct"/>
                  <w:tcBorders>
                    <w:top w:val="single" w:color="auto" w:sz="4" w:space="0"/>
                    <w:left w:val="single" w:color="auto" w:sz="4" w:space="0"/>
                    <w:bottom w:val="single" w:color="auto" w:sz="4" w:space="0"/>
                    <w:right w:val="single" w:color="auto" w:sz="4" w:space="0"/>
                  </w:tcBorders>
                  <w:shd w:val="clear"/>
                  <w:vAlign w:val="center"/>
                </w:tcPr>
                <w:p w14:paraId="790186F3">
                  <w:pPr>
                    <w:keepNext w:val="0"/>
                    <w:keepLines w:val="0"/>
                    <w:widowControl w:val="0"/>
                    <w:suppressLineNumbers w:val="0"/>
                    <w:adjustRightInd w:val="0"/>
                    <w:snapToGrid w:val="0"/>
                    <w:spacing w:before="0" w:beforeAutospacing="0" w:after="0" w:afterAutospacing="0"/>
                    <w:ind w:left="0" w:right="0"/>
                    <w:jc w:val="left"/>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禁止新建、扩建化工项目（为园区主导产业配套必需的、对环境影响小、风险可控的化工项目除外）。</w:t>
                  </w:r>
                </w:p>
              </w:tc>
              <w:tc>
                <w:tcPr>
                  <w:tcW w:w="1492" w:type="pct"/>
                  <w:tcBorders>
                    <w:top w:val="single" w:color="auto" w:sz="4" w:space="0"/>
                    <w:left w:val="single" w:color="auto" w:sz="4" w:space="0"/>
                    <w:bottom w:val="single" w:color="auto" w:sz="4" w:space="0"/>
                    <w:right w:val="nil"/>
                  </w:tcBorders>
                  <w:shd w:val="clear"/>
                  <w:vAlign w:val="center"/>
                </w:tcPr>
                <w:p w14:paraId="7227E464">
                  <w:pPr>
                    <w:pStyle w:val="58"/>
                    <w:widowControl/>
                    <w:spacing w:beforeLines="10" w:beforeAutospacing="0" w:after="0" w:afterAutospacing="0" w:line="240" w:lineRule="auto"/>
                    <w:ind w:left="0" w:right="0"/>
                    <w:jc w:val="left"/>
                    <w:rPr>
                      <w:rFonts w:hint="default" w:ascii="Times New Roman" w:hAnsi="Calibri" w:cs="Times New Roman"/>
                      <w:color w:val="000000"/>
                      <w:szCs w:val="21"/>
                      <w:bdr w:val="none" w:color="auto" w:sz="0" w:space="0"/>
                      <w:lang w:val="en-US"/>
                    </w:rPr>
                  </w:pPr>
                  <w:r>
                    <w:rPr>
                      <w:rFonts w:ascii="Times New Roman"/>
                      <w:color w:val="000000"/>
                      <w:szCs w:val="21"/>
                      <w:bdr w:val="none" w:color="auto" w:sz="0" w:space="0"/>
                    </w:rPr>
                    <w:t>扩建项目为汽车零部件及配件制造项目，不属于新建、扩建化工项目。</w:t>
                  </w:r>
                </w:p>
              </w:tc>
            </w:tr>
            <w:tr w14:paraId="0CB28C0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gridSpan w:val="3"/>
                  <w:vMerge w:val="continue"/>
                  <w:tcBorders>
                    <w:top w:val="single" w:color="auto" w:sz="4" w:space="0"/>
                    <w:left w:val="nil"/>
                    <w:bottom w:val="single" w:color="auto" w:sz="4" w:space="0"/>
                    <w:right w:val="single" w:color="auto" w:sz="4" w:space="0"/>
                  </w:tcBorders>
                  <w:shd w:val="clear"/>
                  <w:vAlign w:val="center"/>
                </w:tcPr>
                <w:p w14:paraId="79DCD259">
                  <w:pPr>
                    <w:rPr>
                      <w:rFonts w:hint="default" w:ascii="Calibri" w:hAnsi="Calibri" w:cs="Calibri"/>
                      <w:sz w:val="20"/>
                      <w:szCs w:val="20"/>
                    </w:rPr>
                  </w:pPr>
                </w:p>
              </w:tc>
              <w:tc>
                <w:tcPr>
                  <w:tcW w:w="2503" w:type="pct"/>
                  <w:tcBorders>
                    <w:top w:val="single" w:color="auto" w:sz="4" w:space="0"/>
                    <w:left w:val="single" w:color="auto" w:sz="4" w:space="0"/>
                    <w:bottom w:val="single" w:color="auto" w:sz="4" w:space="0"/>
                    <w:right w:val="single" w:color="auto" w:sz="4" w:space="0"/>
                  </w:tcBorders>
                  <w:shd w:val="clear"/>
                  <w:vAlign w:val="center"/>
                </w:tcPr>
                <w:p w14:paraId="4526F144">
                  <w:pPr>
                    <w:keepNext w:val="0"/>
                    <w:keepLines w:val="0"/>
                    <w:widowControl w:val="0"/>
                    <w:suppressLineNumbers w:val="0"/>
                    <w:adjustRightInd w:val="0"/>
                    <w:snapToGrid w:val="0"/>
                    <w:spacing w:before="0" w:beforeAutospacing="0" w:after="0" w:afterAutospacing="0"/>
                    <w:ind w:left="0" w:right="0"/>
                    <w:jc w:val="left"/>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禁止新建、扩建造纸、印染、化学原料药、铅酸电池、危险废物利用和处置以及存在严重环境安全风险的工业项目。</w:t>
                  </w:r>
                </w:p>
              </w:tc>
              <w:tc>
                <w:tcPr>
                  <w:tcW w:w="1492" w:type="pct"/>
                  <w:tcBorders>
                    <w:top w:val="single" w:color="auto" w:sz="4" w:space="0"/>
                    <w:left w:val="single" w:color="auto" w:sz="4" w:space="0"/>
                    <w:bottom w:val="single" w:color="auto" w:sz="4" w:space="0"/>
                    <w:right w:val="nil"/>
                  </w:tcBorders>
                  <w:shd w:val="clear"/>
                  <w:vAlign w:val="center"/>
                </w:tcPr>
                <w:p w14:paraId="7B6CF7BA">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扩建项目不属于上述项目及存在严重环境安全风险的工业项目。</w:t>
                  </w:r>
                </w:p>
              </w:tc>
            </w:tr>
            <w:tr w14:paraId="03DDFDC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gridSpan w:val="3"/>
                  <w:vMerge w:val="continue"/>
                  <w:tcBorders>
                    <w:top w:val="single" w:color="auto" w:sz="4" w:space="0"/>
                    <w:left w:val="nil"/>
                    <w:bottom w:val="single" w:color="auto" w:sz="4" w:space="0"/>
                    <w:right w:val="single" w:color="auto" w:sz="4" w:space="0"/>
                  </w:tcBorders>
                  <w:shd w:val="clear"/>
                  <w:vAlign w:val="center"/>
                </w:tcPr>
                <w:p w14:paraId="002B1B0B">
                  <w:pPr>
                    <w:rPr>
                      <w:rFonts w:hint="default" w:ascii="Calibri" w:hAnsi="Calibri" w:cs="Calibri"/>
                      <w:sz w:val="20"/>
                      <w:szCs w:val="20"/>
                    </w:rPr>
                  </w:pPr>
                </w:p>
              </w:tc>
              <w:tc>
                <w:tcPr>
                  <w:tcW w:w="2503" w:type="pct"/>
                  <w:tcBorders>
                    <w:top w:val="single" w:color="auto" w:sz="4" w:space="0"/>
                    <w:left w:val="single" w:color="auto" w:sz="4" w:space="0"/>
                    <w:bottom w:val="single" w:color="auto" w:sz="4" w:space="0"/>
                    <w:right w:val="single" w:color="auto" w:sz="4" w:space="0"/>
                  </w:tcBorders>
                  <w:shd w:val="clear"/>
                  <w:vAlign w:val="center"/>
                </w:tcPr>
                <w:p w14:paraId="0F15EF2A">
                  <w:pPr>
                    <w:pStyle w:val="14"/>
                    <w:widowControl/>
                    <w:spacing w:before="0" w:beforeAutospacing="0" w:after="0" w:afterAutospacing="0"/>
                    <w:ind w:left="0" w:right="0"/>
                    <w:rPr>
                      <w:rFonts w:hint="default" w:ascii="Times New Roman" w:hAnsi="Times New Roman" w:cs="Times New Roman"/>
                      <w:color w:val="000000"/>
                      <w:sz w:val="21"/>
                      <w:szCs w:val="21"/>
                      <w:bdr w:val="none" w:color="auto" w:sz="0" w:space="0"/>
                      <w:lang w:val="en-US" w:eastAsia="zh-CN"/>
                    </w:rPr>
                  </w:pPr>
                  <w:r>
                    <w:rPr>
                      <w:rFonts w:ascii="Times New Roman" w:hAnsi="Times New Roman"/>
                      <w:color w:val="000000"/>
                      <w:sz w:val="21"/>
                      <w:szCs w:val="21"/>
                      <w:bdr w:val="none" w:color="auto" w:sz="0" w:space="0"/>
                      <w:lang w:val="en-US" w:eastAsia="zh-CN"/>
                    </w:rPr>
                    <w:t>禁止电镀（经论证确需在集中加工区外布局，投资额大于</w:t>
                  </w:r>
                  <w:r>
                    <w:rPr>
                      <w:rFonts w:hint="default" w:ascii="Times New Roman" w:hAnsi="Times New Roman" w:cs="Times New Roman"/>
                      <w:color w:val="000000"/>
                      <w:sz w:val="21"/>
                      <w:szCs w:val="21"/>
                      <w:bdr w:val="none" w:color="auto" w:sz="0" w:space="0"/>
                      <w:lang w:val="en-US" w:eastAsia="zh-CN"/>
                    </w:rPr>
                    <w:t>3000</w:t>
                  </w:r>
                  <w:r>
                    <w:rPr>
                      <w:rFonts w:ascii="Times New Roman" w:hAnsi="Times New Roman"/>
                      <w:color w:val="000000"/>
                      <w:sz w:val="21"/>
                      <w:szCs w:val="21"/>
                      <w:bdr w:val="none" w:color="auto" w:sz="0" w:space="0"/>
                      <w:lang w:val="en-US" w:eastAsia="zh-CN"/>
                    </w:rPr>
                    <w:t>万，且不排放重金属的除外）。</w:t>
                  </w:r>
                </w:p>
              </w:tc>
              <w:tc>
                <w:tcPr>
                  <w:tcW w:w="1492" w:type="pct"/>
                  <w:tcBorders>
                    <w:top w:val="single" w:color="auto" w:sz="4" w:space="0"/>
                    <w:left w:val="single" w:color="auto" w:sz="4" w:space="0"/>
                    <w:bottom w:val="single" w:color="auto" w:sz="4" w:space="0"/>
                    <w:right w:val="nil"/>
                  </w:tcBorders>
                  <w:shd w:val="clear"/>
                  <w:vAlign w:val="center"/>
                </w:tcPr>
                <w:p w14:paraId="0E00CCDA">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扩建项目不属于电镀项目，不涉及重金属排放。</w:t>
                  </w:r>
                </w:p>
              </w:tc>
            </w:tr>
            <w:tr w14:paraId="17FD79D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gridSpan w:val="3"/>
                  <w:vMerge w:val="continue"/>
                  <w:tcBorders>
                    <w:top w:val="single" w:color="auto" w:sz="4" w:space="0"/>
                    <w:left w:val="nil"/>
                    <w:bottom w:val="single" w:color="auto" w:sz="4" w:space="0"/>
                    <w:right w:val="single" w:color="auto" w:sz="4" w:space="0"/>
                  </w:tcBorders>
                  <w:shd w:val="clear"/>
                  <w:vAlign w:val="center"/>
                </w:tcPr>
                <w:p w14:paraId="75A5289B">
                  <w:pPr>
                    <w:rPr>
                      <w:rFonts w:hint="default" w:ascii="Calibri" w:hAnsi="Calibri" w:cs="Calibri"/>
                      <w:sz w:val="20"/>
                      <w:szCs w:val="20"/>
                    </w:rPr>
                  </w:pPr>
                </w:p>
              </w:tc>
              <w:tc>
                <w:tcPr>
                  <w:tcW w:w="2503" w:type="pct"/>
                  <w:tcBorders>
                    <w:top w:val="single" w:color="auto" w:sz="4" w:space="0"/>
                    <w:left w:val="single" w:color="auto" w:sz="4" w:space="0"/>
                    <w:bottom w:val="single" w:color="auto" w:sz="4" w:space="0"/>
                    <w:right w:val="single" w:color="auto" w:sz="4" w:space="0"/>
                  </w:tcBorders>
                  <w:shd w:val="clear"/>
                  <w:vAlign w:val="center"/>
                </w:tcPr>
                <w:p w14:paraId="6E5B725C">
                  <w:pPr>
                    <w:keepNext w:val="0"/>
                    <w:keepLines w:val="0"/>
                    <w:widowControl w:val="0"/>
                    <w:suppressLineNumbers w:val="0"/>
                    <w:adjustRightInd w:val="0"/>
                    <w:snapToGrid w:val="0"/>
                    <w:spacing w:before="0" w:beforeAutospacing="0" w:after="0" w:afterAutospacing="0"/>
                    <w:ind w:left="0" w:right="0"/>
                    <w:jc w:val="left"/>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含重金属（铬、镉、汞、铅、砷）废水禁止排放。</w:t>
                  </w:r>
                </w:p>
              </w:tc>
              <w:tc>
                <w:tcPr>
                  <w:tcW w:w="1492" w:type="pct"/>
                  <w:tcBorders>
                    <w:top w:val="single" w:color="auto" w:sz="4" w:space="0"/>
                    <w:left w:val="single" w:color="auto" w:sz="4" w:space="0"/>
                    <w:bottom w:val="single" w:color="auto" w:sz="4" w:space="0"/>
                    <w:right w:val="nil"/>
                  </w:tcBorders>
                  <w:shd w:val="clear"/>
                  <w:vAlign w:val="center"/>
                </w:tcPr>
                <w:p w14:paraId="51C15771">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扩建项目仅排放生活废水，不含重金属。</w:t>
                  </w:r>
                </w:p>
              </w:tc>
            </w:tr>
            <w:tr w14:paraId="587FA11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gridSpan w:val="2"/>
                  <w:tcBorders>
                    <w:top w:val="single" w:color="auto" w:sz="4" w:space="0"/>
                    <w:left w:val="nil"/>
                    <w:bottom w:val="single" w:color="auto" w:sz="12" w:space="0"/>
                    <w:right w:val="single" w:color="auto" w:sz="4" w:space="0"/>
                  </w:tcBorders>
                  <w:shd w:val="clear"/>
                  <w:vAlign w:val="center"/>
                </w:tcPr>
                <w:p w14:paraId="3F23827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限制准入产业</w:t>
                  </w:r>
                </w:p>
              </w:tc>
              <w:tc>
                <w:tcPr>
                  <w:tcW w:w="535" w:type="pct"/>
                  <w:tcBorders>
                    <w:top w:val="single" w:color="auto" w:sz="4" w:space="0"/>
                    <w:left w:val="single" w:color="auto" w:sz="4" w:space="0"/>
                    <w:bottom w:val="single" w:color="auto" w:sz="12" w:space="0"/>
                    <w:right w:val="single" w:color="auto" w:sz="4" w:space="0"/>
                  </w:tcBorders>
                  <w:shd w:val="clear"/>
                  <w:vAlign w:val="center"/>
                </w:tcPr>
                <w:p w14:paraId="094DAFA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总体</w:t>
                  </w:r>
                </w:p>
              </w:tc>
              <w:tc>
                <w:tcPr>
                  <w:tcW w:w="2503" w:type="pct"/>
                  <w:tcBorders>
                    <w:top w:val="single" w:color="auto" w:sz="4" w:space="0"/>
                    <w:left w:val="single" w:color="auto" w:sz="4" w:space="0"/>
                    <w:bottom w:val="single" w:color="auto" w:sz="12" w:space="0"/>
                    <w:right w:val="single" w:color="auto" w:sz="4" w:space="0"/>
                  </w:tcBorders>
                  <w:shd w:val="clear"/>
                  <w:vAlign w:val="center"/>
                </w:tcPr>
                <w:p w14:paraId="41AFBEE3">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在合川区、江津区、长寿区、璧山县等地区严格限制新建、扩建可能对主城区大气产生影响的燃煤、重油等高污染物工业项目。</w:t>
                  </w:r>
                </w:p>
              </w:tc>
              <w:tc>
                <w:tcPr>
                  <w:tcW w:w="1492" w:type="pct"/>
                  <w:tcBorders>
                    <w:top w:val="single" w:color="auto" w:sz="4" w:space="0"/>
                    <w:left w:val="single" w:color="auto" w:sz="4" w:space="0"/>
                    <w:bottom w:val="single" w:color="auto" w:sz="12" w:space="0"/>
                    <w:right w:val="nil"/>
                  </w:tcBorders>
                  <w:shd w:val="clear"/>
                  <w:vAlign w:val="center"/>
                </w:tcPr>
                <w:p w14:paraId="19905FC5">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不属于此类项目。</w:t>
                  </w:r>
                </w:p>
              </w:tc>
            </w:tr>
          </w:tbl>
          <w:p w14:paraId="49A361AB">
            <w:pPr>
              <w:keepNext w:val="0"/>
              <w:keepLines w:val="0"/>
              <w:widowControl/>
              <w:suppressLineNumbers w:val="0"/>
              <w:spacing w:before="0" w:beforeAutospacing="0" w:after="0" w:afterAutospacing="0" w:line="440" w:lineRule="exact"/>
              <w:ind w:left="0" w:right="0" w:firstLine="48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根据规划环评审查意见“渝环函</w:t>
            </w:r>
            <w:r>
              <w:rPr>
                <w:rFonts w:hint="default" w:ascii="Times New Roman" w:hAnsi="宋体" w:eastAsia="宋体" w:cs="Times New Roman"/>
                <w:color w:val="000000"/>
                <w:kern w:val="2"/>
                <w:sz w:val="24"/>
                <w:szCs w:val="24"/>
                <w:bdr w:val="none" w:color="auto" w:sz="0" w:space="0"/>
                <w:lang w:val="en-US" w:eastAsia="zh-CN" w:bidi="ar"/>
              </w:rPr>
              <w:t>[2019]1169</w:t>
            </w:r>
            <w:r>
              <w:rPr>
                <w:rFonts w:hint="eastAsia" w:ascii="Times New Roman" w:hAnsi="宋体" w:eastAsia="宋体" w:cs="宋体"/>
                <w:color w:val="000000"/>
                <w:kern w:val="2"/>
                <w:sz w:val="24"/>
                <w:szCs w:val="24"/>
                <w:bdr w:val="none" w:color="auto" w:sz="0" w:space="0"/>
                <w:lang w:val="en-US" w:eastAsia="zh-CN" w:bidi="ar"/>
              </w:rPr>
              <w:t>号”文件，扩建项目与其符合性分析详见表</w:t>
            </w:r>
            <w:r>
              <w:rPr>
                <w:rFonts w:hint="default" w:ascii="Times New Roman" w:hAnsi="宋体" w:eastAsia="宋体" w:cs="Times New Roman"/>
                <w:color w:val="000000"/>
                <w:kern w:val="2"/>
                <w:sz w:val="24"/>
                <w:szCs w:val="24"/>
                <w:bdr w:val="none" w:color="auto" w:sz="0" w:space="0"/>
                <w:lang w:val="en-US" w:eastAsia="zh-CN" w:bidi="ar"/>
              </w:rPr>
              <w:t>1.1-2</w:t>
            </w:r>
            <w:r>
              <w:rPr>
                <w:rFonts w:hint="eastAsia" w:ascii="Times New Roman" w:hAnsi="宋体" w:eastAsia="宋体" w:cs="宋体"/>
                <w:color w:val="000000"/>
                <w:kern w:val="2"/>
                <w:sz w:val="24"/>
                <w:szCs w:val="24"/>
                <w:bdr w:val="none" w:color="auto" w:sz="0" w:space="0"/>
                <w:lang w:val="en-US" w:eastAsia="zh-CN" w:bidi="ar"/>
              </w:rPr>
              <w:t>。</w:t>
            </w:r>
          </w:p>
          <w:p w14:paraId="36020F18">
            <w:pPr>
              <w:keepNext w:val="0"/>
              <w:keepLines w:val="0"/>
              <w:widowControl/>
              <w:suppressLineNumbers w:val="0"/>
              <w:spacing w:before="0" w:beforeAutospacing="0" w:after="0" w:afterAutospacing="0" w:line="440" w:lineRule="exact"/>
              <w:ind w:left="0" w:right="0" w:firstLine="480"/>
              <w:jc w:val="center"/>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表</w:t>
            </w:r>
            <w:r>
              <w:rPr>
                <w:rFonts w:hint="default" w:ascii="Times New Roman" w:hAnsi="宋体" w:eastAsia="宋体" w:cs="Times New Roman"/>
                <w:color w:val="000000"/>
                <w:kern w:val="2"/>
                <w:sz w:val="24"/>
                <w:szCs w:val="24"/>
                <w:bdr w:val="none" w:color="auto" w:sz="0" w:space="0"/>
                <w:lang w:val="en-US" w:eastAsia="zh-CN" w:bidi="ar"/>
              </w:rPr>
              <w:t xml:space="preserve">1.1-2  </w:t>
            </w:r>
            <w:r>
              <w:rPr>
                <w:rFonts w:hint="eastAsia" w:ascii="Times New Roman" w:hAnsi="宋体" w:eastAsia="宋体" w:cs="宋体"/>
                <w:color w:val="000000"/>
                <w:kern w:val="2"/>
                <w:sz w:val="24"/>
                <w:szCs w:val="24"/>
                <w:bdr w:val="none" w:color="auto" w:sz="0" w:space="0"/>
                <w:lang w:val="en-US" w:eastAsia="zh-CN" w:bidi="ar"/>
              </w:rPr>
              <w:t>扩建项目与规划环评审查意见符合性分析一览表</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Layout w:type="fixed"/>
              <w:tblCellMar>
                <w:top w:w="0" w:type="dxa"/>
                <w:left w:w="108" w:type="dxa"/>
                <w:bottom w:w="0" w:type="dxa"/>
                <w:right w:w="108" w:type="dxa"/>
              </w:tblCellMar>
            </w:tblPr>
            <w:tblGrid>
              <w:gridCol w:w="317"/>
              <w:gridCol w:w="709"/>
              <w:gridCol w:w="4679"/>
              <w:gridCol w:w="1649"/>
              <w:gridCol w:w="578"/>
            </w:tblGrid>
            <w:tr w14:paraId="4E41E27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CellMar>
                  <w:top w:w="0" w:type="dxa"/>
                  <w:left w:w="108" w:type="dxa"/>
                  <w:bottom w:w="0" w:type="dxa"/>
                  <w:right w:w="108" w:type="dxa"/>
                </w:tblCellMar>
              </w:tblPrEx>
              <w:trPr>
                <w:jc w:val="center"/>
              </w:trPr>
              <w:tc>
                <w:tcPr>
                  <w:tcW w:w="200" w:type="pct"/>
                  <w:tcBorders>
                    <w:top w:val="single" w:color="auto" w:sz="12" w:space="0"/>
                    <w:left w:val="nil"/>
                    <w:bottom w:val="single" w:color="auto" w:sz="4" w:space="0"/>
                    <w:right w:val="single" w:color="auto" w:sz="4" w:space="0"/>
                  </w:tcBorders>
                  <w:shd w:val="clear"/>
                  <w:vAlign w:val="center"/>
                </w:tcPr>
                <w:p w14:paraId="28BA2516">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序号</w:t>
                  </w:r>
                </w:p>
              </w:tc>
              <w:tc>
                <w:tcPr>
                  <w:tcW w:w="446" w:type="pct"/>
                  <w:tcBorders>
                    <w:top w:val="single" w:color="auto" w:sz="12" w:space="0"/>
                    <w:left w:val="single" w:color="auto" w:sz="4" w:space="0"/>
                    <w:bottom w:val="single" w:color="auto" w:sz="4" w:space="0"/>
                    <w:right w:val="single" w:color="auto" w:sz="4" w:space="0"/>
                  </w:tcBorders>
                  <w:shd w:val="clear"/>
                  <w:vAlign w:val="center"/>
                </w:tcPr>
                <w:p w14:paraId="555E4CA3">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类别</w:t>
                  </w:r>
                </w:p>
              </w:tc>
              <w:tc>
                <w:tcPr>
                  <w:tcW w:w="2949" w:type="pct"/>
                  <w:tcBorders>
                    <w:top w:val="single" w:color="auto" w:sz="12" w:space="0"/>
                    <w:left w:val="single" w:color="auto" w:sz="4" w:space="0"/>
                    <w:bottom w:val="single" w:color="auto" w:sz="4" w:space="0"/>
                    <w:right w:val="single" w:color="auto" w:sz="4" w:space="0"/>
                  </w:tcBorders>
                  <w:shd w:val="clear"/>
                  <w:vAlign w:val="center"/>
                </w:tcPr>
                <w:p w14:paraId="3E7545BD">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审查意见函（渝环函</w:t>
                  </w:r>
                  <w:r>
                    <w:rPr>
                      <w:rFonts w:hint="default" w:ascii="Times New Roman" w:hAnsi="Calibri" w:eastAsia="宋体" w:cs="Times New Roman"/>
                      <w:color w:val="000000"/>
                      <w:kern w:val="0"/>
                      <w:sz w:val="21"/>
                      <w:szCs w:val="21"/>
                      <w:bdr w:val="none" w:color="auto" w:sz="0" w:space="0"/>
                      <w:lang w:val="en-US" w:eastAsia="zh-CN" w:bidi="ar"/>
                    </w:rPr>
                    <w:t>[2019]1169</w:t>
                  </w:r>
                  <w:r>
                    <w:rPr>
                      <w:rFonts w:hint="eastAsia" w:ascii="Times New Roman" w:hAnsi="Calibri" w:eastAsia="宋体" w:cs="宋体"/>
                      <w:color w:val="000000"/>
                      <w:kern w:val="0"/>
                      <w:sz w:val="21"/>
                      <w:szCs w:val="21"/>
                      <w:bdr w:val="none" w:color="auto" w:sz="0" w:space="0"/>
                      <w:lang w:val="en-US" w:eastAsia="zh-CN" w:bidi="ar"/>
                    </w:rPr>
                    <w:t>号）</w:t>
                  </w:r>
                </w:p>
              </w:tc>
              <w:tc>
                <w:tcPr>
                  <w:tcW w:w="1039" w:type="pct"/>
                  <w:tcBorders>
                    <w:top w:val="single" w:color="auto" w:sz="12" w:space="0"/>
                    <w:left w:val="single" w:color="auto" w:sz="4" w:space="0"/>
                    <w:bottom w:val="single" w:color="auto" w:sz="4" w:space="0"/>
                    <w:right w:val="single" w:color="auto" w:sz="4" w:space="0"/>
                  </w:tcBorders>
                  <w:shd w:val="clear"/>
                  <w:vAlign w:val="center"/>
                </w:tcPr>
                <w:p w14:paraId="50EE0634">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项目情况</w:t>
                  </w:r>
                </w:p>
              </w:tc>
              <w:tc>
                <w:tcPr>
                  <w:tcW w:w="365" w:type="pct"/>
                  <w:tcBorders>
                    <w:top w:val="single" w:color="auto" w:sz="12" w:space="0"/>
                    <w:left w:val="single" w:color="auto" w:sz="4" w:space="0"/>
                    <w:bottom w:val="single" w:color="auto" w:sz="4" w:space="0"/>
                    <w:right w:val="nil"/>
                  </w:tcBorders>
                  <w:shd w:val="clear"/>
                  <w:vAlign w:val="center"/>
                </w:tcPr>
                <w:p w14:paraId="1EFD5BAF">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符合性</w:t>
                  </w:r>
                </w:p>
              </w:tc>
            </w:tr>
            <w:tr w14:paraId="026DDF7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00" w:type="pct"/>
                  <w:tcBorders>
                    <w:top w:val="single" w:color="auto" w:sz="4" w:space="0"/>
                    <w:left w:val="nil"/>
                    <w:bottom w:val="single" w:color="auto" w:sz="4" w:space="0"/>
                    <w:right w:val="single" w:color="auto" w:sz="4" w:space="0"/>
                  </w:tcBorders>
                  <w:shd w:val="clear"/>
                  <w:vAlign w:val="center"/>
                </w:tcPr>
                <w:p w14:paraId="632B8A85">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bdr w:val="none" w:color="auto" w:sz="0" w:space="0"/>
                      <w:lang w:val="en-US"/>
                    </w:rPr>
                  </w:pPr>
                  <w:r>
                    <w:rPr>
                      <w:rFonts w:hint="default" w:ascii="Times New Roman" w:hAnsi="Calibri" w:eastAsia="宋体" w:cs="Times New Roman"/>
                      <w:color w:val="000000"/>
                      <w:kern w:val="0"/>
                      <w:sz w:val="21"/>
                      <w:szCs w:val="21"/>
                      <w:bdr w:val="none" w:color="auto" w:sz="0" w:space="0"/>
                      <w:lang w:val="en-US" w:eastAsia="zh-CN" w:bidi="ar"/>
                    </w:rPr>
                    <w:t>1</w:t>
                  </w:r>
                </w:p>
              </w:tc>
              <w:tc>
                <w:tcPr>
                  <w:tcW w:w="446" w:type="pct"/>
                  <w:tcBorders>
                    <w:top w:val="single" w:color="auto" w:sz="4" w:space="0"/>
                    <w:left w:val="single" w:color="auto" w:sz="4" w:space="0"/>
                    <w:bottom w:val="single" w:color="auto" w:sz="4" w:space="0"/>
                    <w:right w:val="single" w:color="auto" w:sz="4" w:space="0"/>
                  </w:tcBorders>
                  <w:shd w:val="clear"/>
                  <w:vAlign w:val="center"/>
                </w:tcPr>
                <w:p w14:paraId="703148E8">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加强空间管制</w:t>
                  </w:r>
                </w:p>
              </w:tc>
              <w:tc>
                <w:tcPr>
                  <w:tcW w:w="2949" w:type="pct"/>
                  <w:tcBorders>
                    <w:top w:val="single" w:color="auto" w:sz="4" w:space="0"/>
                    <w:left w:val="single" w:color="auto" w:sz="4" w:space="0"/>
                    <w:bottom w:val="single" w:color="auto" w:sz="4" w:space="0"/>
                    <w:right w:val="single" w:color="auto" w:sz="4" w:space="0"/>
                  </w:tcBorders>
                  <w:shd w:val="clear"/>
                  <w:vAlign w:val="center"/>
                </w:tcPr>
                <w:p w14:paraId="7C32469D">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规划区后续开发建设时应在嘉陵江沿岸布置不少于</w:t>
                  </w:r>
                  <w:r>
                    <w:rPr>
                      <w:rFonts w:hint="default" w:ascii="Times New Roman" w:hAnsi="Calibri" w:eastAsia="宋体" w:cs="Times New Roman"/>
                      <w:color w:val="000000"/>
                      <w:kern w:val="0"/>
                      <w:sz w:val="21"/>
                      <w:szCs w:val="21"/>
                      <w:bdr w:val="none" w:color="auto" w:sz="0" w:space="0"/>
                      <w:lang w:val="en-US" w:eastAsia="zh-CN" w:bidi="ar"/>
                    </w:rPr>
                    <w:t>50</w:t>
                  </w:r>
                  <w:r>
                    <w:rPr>
                      <w:rFonts w:hint="eastAsia" w:ascii="Times New Roman" w:hAnsi="Calibri" w:eastAsia="宋体" w:cs="宋体"/>
                      <w:color w:val="000000"/>
                      <w:kern w:val="0"/>
                      <w:sz w:val="21"/>
                      <w:szCs w:val="21"/>
                      <w:bdr w:val="none" w:color="auto" w:sz="0" w:space="0"/>
                      <w:lang w:val="en-US" w:eastAsia="zh-CN" w:bidi="ar"/>
                    </w:rPr>
                    <w:t>米的绿化缓冲带。嘉陵江及其一级支流汇入口上游</w:t>
                  </w:r>
                  <w:r>
                    <w:rPr>
                      <w:rFonts w:hint="default" w:ascii="Times New Roman" w:hAnsi="Calibri" w:eastAsia="宋体" w:cs="Times New Roman"/>
                      <w:color w:val="000000"/>
                      <w:kern w:val="0"/>
                      <w:sz w:val="21"/>
                      <w:szCs w:val="21"/>
                      <w:bdr w:val="none" w:color="auto" w:sz="0" w:space="0"/>
                      <w:lang w:val="en-US" w:eastAsia="zh-CN" w:bidi="ar"/>
                    </w:rPr>
                    <w:t>20</w:t>
                  </w:r>
                  <w:r>
                    <w:rPr>
                      <w:rFonts w:hint="eastAsia" w:ascii="Times New Roman" w:hAnsi="Calibri" w:eastAsia="宋体" w:cs="宋体"/>
                      <w:color w:val="000000"/>
                      <w:kern w:val="0"/>
                      <w:sz w:val="21"/>
                      <w:szCs w:val="21"/>
                      <w:bdr w:val="none" w:color="auto" w:sz="0" w:space="0"/>
                      <w:lang w:val="en-US" w:eastAsia="zh-CN" w:bidi="ar"/>
                    </w:rPr>
                    <w:t>公里、集中式饮用水水源取水口上游</w:t>
                  </w:r>
                  <w:r>
                    <w:rPr>
                      <w:rFonts w:hint="default" w:ascii="Times New Roman" w:hAnsi="Calibri" w:eastAsia="宋体" w:cs="Times New Roman"/>
                      <w:color w:val="000000"/>
                      <w:kern w:val="0"/>
                      <w:sz w:val="21"/>
                      <w:szCs w:val="21"/>
                      <w:bdr w:val="none" w:color="auto" w:sz="0" w:space="0"/>
                      <w:lang w:val="en-US" w:eastAsia="zh-CN" w:bidi="ar"/>
                    </w:rPr>
                    <w:t>20</w:t>
                  </w:r>
                  <w:r>
                    <w:rPr>
                      <w:rFonts w:hint="eastAsia" w:ascii="Times New Roman" w:hAnsi="Calibri" w:eastAsia="宋体" w:cs="宋体"/>
                      <w:color w:val="000000"/>
                      <w:kern w:val="0"/>
                      <w:sz w:val="21"/>
                      <w:szCs w:val="21"/>
                      <w:bdr w:val="none" w:color="auto" w:sz="0" w:space="0"/>
                      <w:lang w:val="en-US" w:eastAsia="zh-CN" w:bidi="ar"/>
                    </w:rPr>
                    <w:t>公里范围内的沿岸地区（江河</w:t>
                  </w:r>
                  <w:r>
                    <w:rPr>
                      <w:rFonts w:hint="default" w:ascii="Times New Roman" w:hAnsi="Calibri" w:eastAsia="宋体" w:cs="Times New Roman"/>
                      <w:color w:val="000000"/>
                      <w:kern w:val="0"/>
                      <w:sz w:val="21"/>
                      <w:szCs w:val="21"/>
                      <w:bdr w:val="none" w:color="auto" w:sz="0" w:space="0"/>
                      <w:lang w:val="en-US" w:eastAsia="zh-CN" w:bidi="ar"/>
                    </w:rPr>
                    <w:t>50</w:t>
                  </w:r>
                  <w:r>
                    <w:rPr>
                      <w:rFonts w:hint="eastAsia" w:ascii="Times New Roman" w:hAnsi="Calibri" w:eastAsia="宋体" w:cs="宋体"/>
                      <w:color w:val="000000"/>
                      <w:kern w:val="0"/>
                      <w:sz w:val="21"/>
                      <w:szCs w:val="21"/>
                      <w:bdr w:val="none" w:color="auto" w:sz="0" w:space="0"/>
                      <w:lang w:val="en-US" w:eastAsia="zh-CN" w:bidi="ar"/>
                    </w:rPr>
                    <w:t>年一遇洪水位向陆域一侧</w:t>
                  </w:r>
                  <w:r>
                    <w:rPr>
                      <w:rFonts w:hint="default" w:ascii="Times New Roman" w:hAnsi="Calibri" w:eastAsia="宋体" w:cs="Times New Roman"/>
                      <w:color w:val="000000"/>
                      <w:kern w:val="0"/>
                      <w:sz w:val="21"/>
                      <w:szCs w:val="21"/>
                      <w:bdr w:val="none" w:color="auto" w:sz="0" w:space="0"/>
                      <w:lang w:val="en-US" w:eastAsia="zh-CN" w:bidi="ar"/>
                    </w:rPr>
                    <w:t>1</w:t>
                  </w:r>
                  <w:r>
                    <w:rPr>
                      <w:rFonts w:hint="eastAsia" w:ascii="Times New Roman" w:hAnsi="Calibri" w:eastAsia="宋体" w:cs="宋体"/>
                      <w:color w:val="000000"/>
                      <w:kern w:val="0"/>
                      <w:sz w:val="21"/>
                      <w:szCs w:val="21"/>
                      <w:bdr w:val="none" w:color="auto" w:sz="0" w:space="0"/>
                      <w:lang w:val="en-US" w:eastAsia="zh-CN" w:bidi="ar"/>
                    </w:rPr>
                    <w:t>公里范围内），禁止新建、扩建排放重金属（铬、镉、汞、砷、铅）、剧毒物质和持久性有机污染物的工业项目。</w:t>
                  </w:r>
                </w:p>
                <w:p w14:paraId="781A1138">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bdr w:val="none" w:color="auto" w:sz="0" w:space="0"/>
                      <w:lang w:val="en-US"/>
                    </w:rPr>
                  </w:pPr>
                  <w:r>
                    <w:rPr>
                      <w:rFonts w:hint="eastAsia" w:ascii="Calibri" w:hAnsi="Calibri" w:eastAsia="宋体" w:cs="宋体"/>
                      <w:color w:val="000000"/>
                      <w:kern w:val="2"/>
                      <w:sz w:val="21"/>
                      <w:szCs w:val="24"/>
                      <w:bdr w:val="none" w:color="auto" w:sz="0" w:space="0"/>
                      <w:lang w:val="en-US" w:eastAsia="zh-CN" w:bidi="ar"/>
                    </w:rPr>
                    <w:t>规划区内企业环境防护距离应优化控制在规划区边界或用地红线以内。</w:t>
                  </w:r>
                </w:p>
              </w:tc>
              <w:tc>
                <w:tcPr>
                  <w:tcW w:w="1039" w:type="pct"/>
                  <w:tcBorders>
                    <w:top w:val="single" w:color="auto" w:sz="4" w:space="0"/>
                    <w:left w:val="single" w:color="auto" w:sz="4" w:space="0"/>
                    <w:bottom w:val="single" w:color="auto" w:sz="4" w:space="0"/>
                    <w:right w:val="single" w:color="auto" w:sz="4" w:space="0"/>
                  </w:tcBorders>
                  <w:shd w:val="clear"/>
                  <w:vAlign w:val="center"/>
                </w:tcPr>
                <w:p w14:paraId="1AB85511">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扩建项目位于南溪组团</w:t>
                  </w:r>
                  <w:r>
                    <w:rPr>
                      <w:rFonts w:hint="default" w:ascii="Times New Roman" w:hAnsi="Calibri" w:eastAsia="宋体" w:cs="Times New Roman"/>
                      <w:color w:val="000000"/>
                      <w:kern w:val="0"/>
                      <w:sz w:val="21"/>
                      <w:szCs w:val="21"/>
                      <w:bdr w:val="none" w:color="auto" w:sz="0" w:space="0"/>
                      <w:lang w:val="en-US" w:eastAsia="zh-CN" w:bidi="ar"/>
                    </w:rPr>
                    <w:t>B</w:t>
                  </w:r>
                  <w:r>
                    <w:rPr>
                      <w:rFonts w:hint="eastAsia" w:ascii="Times New Roman" w:hAnsi="Calibri" w:eastAsia="宋体" w:cs="宋体"/>
                      <w:color w:val="000000"/>
                      <w:kern w:val="0"/>
                      <w:sz w:val="21"/>
                      <w:szCs w:val="21"/>
                      <w:bdr w:val="none" w:color="auto" w:sz="0" w:space="0"/>
                      <w:lang w:val="en-US" w:eastAsia="zh-CN" w:bidi="ar"/>
                    </w:rPr>
                    <w:t>区，不属于排放重金属（铬、镉、汞、砷、铅）、剧毒物质和持久性有机污染物的工业项目。</w:t>
                  </w:r>
                  <w:r>
                    <w:rPr>
                      <w:rFonts w:hint="eastAsia" w:ascii="Calibri" w:hAnsi="Calibri" w:eastAsia="宋体" w:cs="宋体"/>
                      <w:color w:val="000000"/>
                      <w:kern w:val="2"/>
                      <w:sz w:val="21"/>
                      <w:szCs w:val="24"/>
                      <w:bdr w:val="none" w:color="auto" w:sz="0" w:space="0"/>
                      <w:lang w:val="en-US" w:eastAsia="zh-CN" w:bidi="ar"/>
                    </w:rPr>
                    <w:t>项目用地未超出园区边界红线，不涉及环境防护距离设置。</w:t>
                  </w:r>
                </w:p>
              </w:tc>
              <w:tc>
                <w:tcPr>
                  <w:tcW w:w="365" w:type="pct"/>
                  <w:tcBorders>
                    <w:top w:val="single" w:color="auto" w:sz="4" w:space="0"/>
                    <w:left w:val="single" w:color="auto" w:sz="4" w:space="0"/>
                    <w:bottom w:val="single" w:color="auto" w:sz="4" w:space="0"/>
                    <w:right w:val="nil"/>
                  </w:tcBorders>
                  <w:shd w:val="clear"/>
                  <w:vAlign w:val="center"/>
                </w:tcPr>
                <w:p w14:paraId="6ADED528">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符合</w:t>
                  </w:r>
                </w:p>
              </w:tc>
            </w:tr>
            <w:tr w14:paraId="7BA34E7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00" w:type="pct"/>
                  <w:tcBorders>
                    <w:top w:val="single" w:color="auto" w:sz="4" w:space="0"/>
                    <w:left w:val="nil"/>
                    <w:bottom w:val="single" w:color="auto" w:sz="4" w:space="0"/>
                    <w:right w:val="single" w:color="auto" w:sz="4" w:space="0"/>
                  </w:tcBorders>
                  <w:shd w:val="clear"/>
                  <w:vAlign w:val="center"/>
                </w:tcPr>
                <w:p w14:paraId="4C0447AC">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bdr w:val="none" w:color="auto" w:sz="0" w:space="0"/>
                      <w:lang w:val="en-US"/>
                    </w:rPr>
                  </w:pPr>
                  <w:r>
                    <w:rPr>
                      <w:rFonts w:hint="default" w:ascii="Times New Roman" w:hAnsi="Calibri" w:eastAsia="宋体" w:cs="Times New Roman"/>
                      <w:color w:val="000000"/>
                      <w:kern w:val="0"/>
                      <w:sz w:val="21"/>
                      <w:szCs w:val="21"/>
                      <w:bdr w:val="none" w:color="auto" w:sz="0" w:space="0"/>
                      <w:lang w:val="en-US" w:eastAsia="zh-CN" w:bidi="ar"/>
                    </w:rPr>
                    <w:t>2</w:t>
                  </w:r>
                </w:p>
              </w:tc>
              <w:tc>
                <w:tcPr>
                  <w:tcW w:w="446" w:type="pct"/>
                  <w:tcBorders>
                    <w:top w:val="single" w:color="auto" w:sz="4" w:space="0"/>
                    <w:left w:val="single" w:color="auto" w:sz="4" w:space="0"/>
                    <w:bottom w:val="single" w:color="auto" w:sz="4" w:space="0"/>
                    <w:right w:val="single" w:color="auto" w:sz="4" w:space="0"/>
                  </w:tcBorders>
                  <w:shd w:val="clear"/>
                  <w:vAlign w:val="center"/>
                </w:tcPr>
                <w:p w14:paraId="53709D11">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严格环境准入</w:t>
                  </w:r>
                </w:p>
              </w:tc>
              <w:tc>
                <w:tcPr>
                  <w:tcW w:w="2949" w:type="pct"/>
                  <w:tcBorders>
                    <w:top w:val="single" w:color="auto" w:sz="4" w:space="0"/>
                    <w:left w:val="single" w:color="auto" w:sz="4" w:space="0"/>
                    <w:bottom w:val="single" w:color="auto" w:sz="4" w:space="0"/>
                    <w:right w:val="single" w:color="auto" w:sz="4" w:space="0"/>
                  </w:tcBorders>
                  <w:shd w:val="clear"/>
                  <w:vAlign w:val="center"/>
                </w:tcPr>
                <w:p w14:paraId="63327937">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强化规划环评与合川区“三线一单”</w:t>
                  </w:r>
                  <w:r>
                    <w:rPr>
                      <w:rFonts w:hint="default" w:ascii="Times New Roman" w:hAnsi="Calibri" w:eastAsia="宋体" w:cs="Times New Roman"/>
                      <w:color w:val="000000"/>
                      <w:kern w:val="0"/>
                      <w:sz w:val="21"/>
                      <w:szCs w:val="21"/>
                      <w:bdr w:val="none" w:color="auto" w:sz="0" w:space="0"/>
                      <w:lang w:val="en-US" w:eastAsia="zh-CN" w:bidi="ar"/>
                    </w:rPr>
                    <w:t>(</w:t>
                  </w:r>
                  <w:r>
                    <w:rPr>
                      <w:rFonts w:hint="eastAsia" w:ascii="Times New Roman" w:hAnsi="Calibri" w:eastAsia="宋体" w:cs="宋体"/>
                      <w:color w:val="000000"/>
                      <w:kern w:val="0"/>
                      <w:sz w:val="21"/>
                      <w:szCs w:val="21"/>
                      <w:bdr w:val="none" w:color="auto" w:sz="0" w:space="0"/>
                      <w:lang w:val="en-US" w:eastAsia="zh-CN" w:bidi="ar"/>
                    </w:rPr>
                    <w:t>生态保护红线、环境质量底线、资源利用上线，生态环境准入清单</w:t>
                  </w:r>
                  <w:r>
                    <w:rPr>
                      <w:rFonts w:hint="default" w:ascii="Times New Roman" w:hAnsi="Calibri" w:eastAsia="宋体" w:cs="Times New Roman"/>
                      <w:color w:val="000000"/>
                      <w:kern w:val="0"/>
                      <w:sz w:val="21"/>
                      <w:szCs w:val="21"/>
                      <w:bdr w:val="none" w:color="auto" w:sz="0" w:space="0"/>
                      <w:lang w:val="en-US" w:eastAsia="zh-CN" w:bidi="ar"/>
                    </w:rPr>
                    <w:t>)</w:t>
                  </w:r>
                  <w:r>
                    <w:rPr>
                      <w:rFonts w:hint="eastAsia" w:ascii="Times New Roman" w:hAnsi="Calibri" w:eastAsia="宋体" w:cs="宋体"/>
                      <w:color w:val="000000"/>
                      <w:kern w:val="0"/>
                      <w:sz w:val="21"/>
                      <w:szCs w:val="21"/>
                      <w:bdr w:val="none" w:color="auto" w:sz="0" w:space="0"/>
                      <w:lang w:val="en-US" w:eastAsia="zh-CN" w:bidi="ar"/>
                    </w:rPr>
                    <w:t>的联动，主要管控措施应符合合川区“三线一单”要求。规划区应优化产业发展方向，落实生态环境准入清单，严格建设项目环境准入。坚持源头防控，倡导循环经济，提高清洁生产水平，从源头控制和减少污染物的产排量，按照清洁生产的要求，不断提升现有工业企业清洁生产水平，新建、改扩建项目清洁生产水平不得低于国内先进水平。</w:t>
                  </w:r>
                </w:p>
              </w:tc>
              <w:tc>
                <w:tcPr>
                  <w:tcW w:w="1039" w:type="pct"/>
                  <w:tcBorders>
                    <w:top w:val="single" w:color="auto" w:sz="4" w:space="0"/>
                    <w:left w:val="single" w:color="auto" w:sz="4" w:space="0"/>
                    <w:bottom w:val="single" w:color="auto" w:sz="4" w:space="0"/>
                    <w:right w:val="single" w:color="auto" w:sz="4" w:space="0"/>
                  </w:tcBorders>
                  <w:shd w:val="clear"/>
                  <w:vAlign w:val="center"/>
                </w:tcPr>
                <w:p w14:paraId="4C2446CC">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扩建项目符合园区规划，符合园区</w:t>
                  </w:r>
                  <w:r>
                    <w:rPr>
                      <w:rFonts w:hint="default" w:ascii="Times New Roman" w:hAnsi="Calibri" w:eastAsia="宋体" w:cs="Times New Roman"/>
                      <w:color w:val="000000"/>
                      <w:kern w:val="0"/>
                      <w:sz w:val="21"/>
                      <w:szCs w:val="21"/>
                      <w:bdr w:val="none" w:color="auto" w:sz="0" w:space="0"/>
                      <w:lang w:val="en-US" w:eastAsia="zh-CN" w:bidi="ar"/>
                    </w:rPr>
                    <w:t>“</w:t>
                  </w:r>
                  <w:r>
                    <w:rPr>
                      <w:rFonts w:hint="eastAsia" w:ascii="Times New Roman" w:hAnsi="Calibri" w:eastAsia="宋体" w:cs="宋体"/>
                      <w:color w:val="000000"/>
                      <w:kern w:val="0"/>
                      <w:sz w:val="21"/>
                      <w:szCs w:val="21"/>
                      <w:bdr w:val="none" w:color="auto" w:sz="0" w:space="0"/>
                      <w:lang w:val="en-US" w:eastAsia="zh-CN" w:bidi="ar"/>
                    </w:rPr>
                    <w:t>三线一单</w:t>
                  </w:r>
                  <w:r>
                    <w:rPr>
                      <w:rFonts w:hint="default" w:ascii="Times New Roman" w:hAnsi="Calibri" w:eastAsia="宋体" w:cs="Times New Roman"/>
                      <w:color w:val="000000"/>
                      <w:kern w:val="0"/>
                      <w:sz w:val="21"/>
                      <w:szCs w:val="21"/>
                      <w:bdr w:val="none" w:color="auto" w:sz="0" w:space="0"/>
                      <w:lang w:val="en-US" w:eastAsia="zh-CN" w:bidi="ar"/>
                    </w:rPr>
                    <w:t>”</w:t>
                  </w:r>
                  <w:r>
                    <w:rPr>
                      <w:rFonts w:hint="eastAsia" w:ascii="Times New Roman" w:hAnsi="Calibri" w:eastAsia="宋体" w:cs="宋体"/>
                      <w:color w:val="000000"/>
                      <w:kern w:val="0"/>
                      <w:sz w:val="21"/>
                      <w:szCs w:val="21"/>
                      <w:bdr w:val="none" w:color="auto" w:sz="0" w:space="0"/>
                      <w:lang w:val="en-US" w:eastAsia="zh-CN" w:bidi="ar"/>
                    </w:rPr>
                    <w:t>要求，</w:t>
                  </w:r>
                  <w:r>
                    <w:rPr>
                      <w:rFonts w:hint="eastAsia" w:ascii="Calibri" w:hAnsi="Calibri" w:eastAsia="宋体" w:cs="宋体"/>
                      <w:color w:val="000000"/>
                      <w:kern w:val="2"/>
                      <w:sz w:val="21"/>
                      <w:szCs w:val="24"/>
                      <w:bdr w:val="none" w:color="auto" w:sz="0" w:space="0"/>
                      <w:lang w:val="en-US" w:eastAsia="zh-CN" w:bidi="ar"/>
                    </w:rPr>
                    <w:t>清洁生产水平不低于国</w:t>
                  </w:r>
                  <w:r>
                    <w:rPr>
                      <w:rFonts w:hint="eastAsia" w:ascii="Calibri" w:hAnsi="Calibri" w:eastAsia="宋体" w:cs="宋体"/>
                      <w:color w:val="000000"/>
                      <w:spacing w:val="-1"/>
                      <w:kern w:val="2"/>
                      <w:sz w:val="21"/>
                      <w:szCs w:val="24"/>
                      <w:bdr w:val="none" w:color="auto" w:sz="0" w:space="0"/>
                      <w:lang w:val="en-US" w:eastAsia="zh-CN" w:bidi="ar"/>
                    </w:rPr>
                    <w:t>家清洁生产标准的国内基</w:t>
                  </w:r>
                  <w:r>
                    <w:rPr>
                      <w:rFonts w:hint="eastAsia" w:ascii="Calibri" w:hAnsi="Calibri" w:eastAsia="宋体" w:cs="宋体"/>
                      <w:color w:val="000000"/>
                      <w:kern w:val="2"/>
                      <w:sz w:val="21"/>
                      <w:szCs w:val="24"/>
                      <w:bdr w:val="none" w:color="auto" w:sz="0" w:space="0"/>
                      <w:lang w:val="en-US" w:eastAsia="zh-CN" w:bidi="ar"/>
                    </w:rPr>
                    <w:t>本水平。</w:t>
                  </w:r>
                </w:p>
              </w:tc>
              <w:tc>
                <w:tcPr>
                  <w:tcW w:w="365" w:type="pct"/>
                  <w:tcBorders>
                    <w:top w:val="single" w:color="auto" w:sz="4" w:space="0"/>
                    <w:left w:val="single" w:color="auto" w:sz="4" w:space="0"/>
                    <w:bottom w:val="single" w:color="auto" w:sz="4" w:space="0"/>
                    <w:right w:val="nil"/>
                  </w:tcBorders>
                  <w:shd w:val="clear"/>
                  <w:vAlign w:val="center"/>
                </w:tcPr>
                <w:p w14:paraId="2A373B5B">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符合</w:t>
                  </w:r>
                </w:p>
              </w:tc>
            </w:tr>
            <w:tr w14:paraId="22FF646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00" w:type="pct"/>
                  <w:tcBorders>
                    <w:top w:val="single" w:color="auto" w:sz="4" w:space="0"/>
                    <w:left w:val="nil"/>
                    <w:bottom w:val="single" w:color="auto" w:sz="4" w:space="0"/>
                    <w:right w:val="single" w:color="auto" w:sz="4" w:space="0"/>
                  </w:tcBorders>
                  <w:shd w:val="clear"/>
                  <w:vAlign w:val="center"/>
                </w:tcPr>
                <w:p w14:paraId="2C9AA209">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bdr w:val="none" w:color="auto" w:sz="0" w:space="0"/>
                      <w:lang w:val="en-US"/>
                    </w:rPr>
                  </w:pPr>
                  <w:r>
                    <w:rPr>
                      <w:rFonts w:hint="default" w:ascii="Times New Roman" w:hAnsi="Calibri" w:eastAsia="宋体" w:cs="Times New Roman"/>
                      <w:color w:val="000000"/>
                      <w:kern w:val="0"/>
                      <w:sz w:val="21"/>
                      <w:szCs w:val="21"/>
                      <w:bdr w:val="none" w:color="auto" w:sz="0" w:space="0"/>
                      <w:lang w:val="en-US" w:eastAsia="zh-CN" w:bidi="ar"/>
                    </w:rPr>
                    <w:t>3</w:t>
                  </w:r>
                </w:p>
              </w:tc>
              <w:tc>
                <w:tcPr>
                  <w:tcW w:w="446" w:type="pct"/>
                  <w:tcBorders>
                    <w:top w:val="single" w:color="auto" w:sz="4" w:space="0"/>
                    <w:left w:val="single" w:color="auto" w:sz="4" w:space="0"/>
                    <w:bottom w:val="single" w:color="auto" w:sz="4" w:space="0"/>
                    <w:right w:val="single" w:color="auto" w:sz="4" w:space="0"/>
                  </w:tcBorders>
                  <w:shd w:val="clear"/>
                  <w:vAlign w:val="center"/>
                </w:tcPr>
                <w:p w14:paraId="3AC4FD94">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加强大气污染防治</w:t>
                  </w:r>
                </w:p>
              </w:tc>
              <w:tc>
                <w:tcPr>
                  <w:tcW w:w="2949" w:type="pct"/>
                  <w:tcBorders>
                    <w:top w:val="single" w:color="auto" w:sz="4" w:space="0"/>
                    <w:left w:val="single" w:color="auto" w:sz="4" w:space="0"/>
                    <w:bottom w:val="single" w:color="auto" w:sz="4" w:space="0"/>
                    <w:right w:val="single" w:color="auto" w:sz="4" w:space="0"/>
                  </w:tcBorders>
                  <w:shd w:val="clear"/>
                  <w:vAlign w:val="center"/>
                </w:tcPr>
                <w:p w14:paraId="60FD0068">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加强现有企业大气污染治理和监管，确保各类大气污染物持续稳定达标排放。通过工艺改进、清洁生产、完善措施等手段减少废气无组织排放。鼓励规划区内企业以天然气、电等为能源，除现有的水泥厂、合川盐化外禁止燃煤；规划区内水泥生产等企业应当按照市政府及有关部门关于错峰生产的调度要求，限产停产；排放挥发性有机物的企业其废气收集和处理必须满足国家及重庆市“十三五”挥发性有机物污染防治工作方案的相关要求。南溪组团</w:t>
                  </w:r>
                  <w:r>
                    <w:rPr>
                      <w:rFonts w:hint="default" w:ascii="Times New Roman" w:hAnsi="Calibri" w:eastAsia="宋体" w:cs="Times New Roman"/>
                      <w:color w:val="000000"/>
                      <w:kern w:val="0"/>
                      <w:sz w:val="21"/>
                      <w:szCs w:val="21"/>
                      <w:bdr w:val="none" w:color="auto" w:sz="0" w:space="0"/>
                      <w:lang w:val="en-US" w:eastAsia="zh-CN" w:bidi="ar"/>
                    </w:rPr>
                    <w:t>B</w:t>
                  </w:r>
                  <w:r>
                    <w:rPr>
                      <w:rFonts w:hint="eastAsia" w:ascii="Times New Roman" w:hAnsi="Calibri" w:eastAsia="宋体" w:cs="宋体"/>
                      <w:color w:val="000000"/>
                      <w:kern w:val="0"/>
                      <w:sz w:val="21"/>
                      <w:szCs w:val="21"/>
                      <w:bdr w:val="none" w:color="auto" w:sz="0" w:space="0"/>
                      <w:lang w:val="en-US" w:eastAsia="zh-CN" w:bidi="ar"/>
                    </w:rPr>
                    <w:t>区应控制砷化嫁芯片外延工序生产规模，采取严格的废气收集及处理措施，最大程度减少重金属废气排放对周边环境的影响。</w:t>
                  </w:r>
                </w:p>
              </w:tc>
              <w:tc>
                <w:tcPr>
                  <w:tcW w:w="1039" w:type="pct"/>
                  <w:tcBorders>
                    <w:top w:val="single" w:color="auto" w:sz="4" w:space="0"/>
                    <w:left w:val="single" w:color="auto" w:sz="4" w:space="0"/>
                    <w:bottom w:val="single" w:color="auto" w:sz="4" w:space="0"/>
                    <w:right w:val="single" w:color="auto" w:sz="4" w:space="0"/>
                  </w:tcBorders>
                  <w:shd w:val="clear"/>
                  <w:vAlign w:val="center"/>
                </w:tcPr>
                <w:p w14:paraId="491BCD34">
                  <w:pPr>
                    <w:keepNext w:val="0"/>
                    <w:keepLines w:val="0"/>
                    <w:widowControl/>
                    <w:suppressLineNumbers w:val="0"/>
                    <w:adjustRightInd w:val="0"/>
                    <w:snapToGrid w:val="0"/>
                    <w:spacing w:before="0" w:beforeAutospacing="0" w:after="0" w:afterAutospacing="0"/>
                    <w:ind w:left="0" w:right="0"/>
                    <w:jc w:val="left"/>
                    <w:rPr>
                      <w:bCs/>
                      <w:color w:val="00000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扩建项目使用电能，废气收集和处理满足挥发性有机物污染防治要求。不涉及重金属废气排放。</w:t>
                  </w:r>
                </w:p>
              </w:tc>
              <w:tc>
                <w:tcPr>
                  <w:tcW w:w="365" w:type="pct"/>
                  <w:tcBorders>
                    <w:top w:val="single" w:color="auto" w:sz="4" w:space="0"/>
                    <w:left w:val="single" w:color="auto" w:sz="4" w:space="0"/>
                    <w:bottom w:val="single" w:color="auto" w:sz="4" w:space="0"/>
                    <w:right w:val="nil"/>
                  </w:tcBorders>
                  <w:shd w:val="clear"/>
                  <w:vAlign w:val="center"/>
                </w:tcPr>
                <w:p w14:paraId="6313C366">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符合</w:t>
                  </w:r>
                </w:p>
              </w:tc>
            </w:tr>
            <w:tr w14:paraId="0788F9E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00" w:type="pct"/>
                  <w:tcBorders>
                    <w:top w:val="single" w:color="auto" w:sz="4" w:space="0"/>
                    <w:left w:val="nil"/>
                    <w:bottom w:val="single" w:color="auto" w:sz="4" w:space="0"/>
                    <w:right w:val="single" w:color="auto" w:sz="4" w:space="0"/>
                  </w:tcBorders>
                  <w:shd w:val="clear"/>
                  <w:vAlign w:val="center"/>
                </w:tcPr>
                <w:p w14:paraId="5D31CD6C">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bdr w:val="none" w:color="auto" w:sz="0" w:space="0"/>
                      <w:lang w:val="en-US"/>
                    </w:rPr>
                  </w:pPr>
                  <w:r>
                    <w:rPr>
                      <w:rFonts w:hint="default" w:ascii="Times New Roman" w:hAnsi="Calibri" w:eastAsia="宋体" w:cs="Times New Roman"/>
                      <w:color w:val="000000"/>
                      <w:kern w:val="0"/>
                      <w:sz w:val="21"/>
                      <w:szCs w:val="21"/>
                      <w:bdr w:val="none" w:color="auto" w:sz="0" w:space="0"/>
                      <w:lang w:val="en-US" w:eastAsia="zh-CN" w:bidi="ar"/>
                    </w:rPr>
                    <w:t>4</w:t>
                  </w:r>
                </w:p>
              </w:tc>
              <w:tc>
                <w:tcPr>
                  <w:tcW w:w="446" w:type="pct"/>
                  <w:tcBorders>
                    <w:top w:val="single" w:color="auto" w:sz="4" w:space="0"/>
                    <w:left w:val="single" w:color="auto" w:sz="4" w:space="0"/>
                    <w:bottom w:val="single" w:color="auto" w:sz="4" w:space="0"/>
                    <w:right w:val="single" w:color="auto" w:sz="4" w:space="0"/>
                  </w:tcBorders>
                  <w:shd w:val="clear"/>
                  <w:vAlign w:val="center"/>
                </w:tcPr>
                <w:p w14:paraId="2BC34B07">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加强水环境保护</w:t>
                  </w:r>
                </w:p>
              </w:tc>
              <w:tc>
                <w:tcPr>
                  <w:tcW w:w="2949" w:type="pct"/>
                  <w:tcBorders>
                    <w:top w:val="single" w:color="auto" w:sz="4" w:space="0"/>
                    <w:left w:val="single" w:color="auto" w:sz="4" w:space="0"/>
                    <w:bottom w:val="single" w:color="auto" w:sz="4" w:space="0"/>
                    <w:right w:val="single" w:color="auto" w:sz="4" w:space="0"/>
                  </w:tcBorders>
                  <w:shd w:val="clear"/>
                  <w:vAlign w:val="center"/>
                </w:tcPr>
                <w:p w14:paraId="0827B432">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提高废水回用率，减少废水污染物排放。加强现有企业废水排放监管，确保规划区废水经污水处理厂处理达标后排放。规划区禁止含重金属</w:t>
                  </w:r>
                  <w:r>
                    <w:rPr>
                      <w:rFonts w:hint="default" w:ascii="Times New Roman" w:hAnsi="Calibri" w:eastAsia="宋体" w:cs="Times New Roman"/>
                      <w:color w:val="000000"/>
                      <w:kern w:val="0"/>
                      <w:sz w:val="21"/>
                      <w:szCs w:val="21"/>
                      <w:bdr w:val="none" w:color="auto" w:sz="0" w:space="0"/>
                      <w:lang w:val="en-US" w:eastAsia="zh-CN" w:bidi="ar"/>
                    </w:rPr>
                    <w:t>(</w:t>
                  </w:r>
                  <w:r>
                    <w:rPr>
                      <w:rFonts w:hint="eastAsia" w:ascii="Times New Roman" w:hAnsi="Calibri" w:eastAsia="宋体" w:cs="宋体"/>
                      <w:color w:val="000000"/>
                      <w:kern w:val="0"/>
                      <w:sz w:val="21"/>
                      <w:szCs w:val="21"/>
                      <w:bdr w:val="none" w:color="auto" w:sz="0" w:space="0"/>
                      <w:lang w:val="en-US" w:eastAsia="zh-CN" w:bidi="ar"/>
                    </w:rPr>
                    <w:t>汞、铬、镉、铅、砷</w:t>
                  </w:r>
                  <w:r>
                    <w:rPr>
                      <w:rFonts w:hint="default" w:ascii="Times New Roman" w:hAnsi="Calibri" w:eastAsia="宋体" w:cs="Times New Roman"/>
                      <w:color w:val="000000"/>
                      <w:kern w:val="0"/>
                      <w:sz w:val="21"/>
                      <w:szCs w:val="21"/>
                      <w:bdr w:val="none" w:color="auto" w:sz="0" w:space="0"/>
                      <w:lang w:val="en-US" w:eastAsia="zh-CN" w:bidi="ar"/>
                    </w:rPr>
                    <w:t>)</w:t>
                  </w:r>
                  <w:r>
                    <w:rPr>
                      <w:rFonts w:hint="eastAsia" w:ascii="Times New Roman" w:hAnsi="Calibri" w:eastAsia="宋体" w:cs="宋体"/>
                      <w:color w:val="000000"/>
                      <w:kern w:val="0"/>
                      <w:sz w:val="21"/>
                      <w:szCs w:val="21"/>
                      <w:bdr w:val="none" w:color="auto" w:sz="0" w:space="0"/>
                      <w:lang w:val="en-US" w:eastAsia="zh-CN" w:bidi="ar"/>
                    </w:rPr>
                    <w:t>废水排放。南溪组团</w:t>
                  </w:r>
                  <w:r>
                    <w:rPr>
                      <w:rFonts w:hint="default" w:ascii="Times New Roman" w:hAnsi="Calibri" w:eastAsia="宋体" w:cs="Times New Roman"/>
                      <w:color w:val="000000"/>
                      <w:kern w:val="0"/>
                      <w:sz w:val="21"/>
                      <w:szCs w:val="21"/>
                      <w:bdr w:val="none" w:color="auto" w:sz="0" w:space="0"/>
                      <w:lang w:val="en-US" w:eastAsia="zh-CN" w:bidi="ar"/>
                    </w:rPr>
                    <w:t>B</w:t>
                  </w:r>
                  <w:r>
                    <w:rPr>
                      <w:rFonts w:hint="eastAsia" w:ascii="Times New Roman" w:hAnsi="Calibri" w:eastAsia="宋体" w:cs="宋体"/>
                      <w:color w:val="000000"/>
                      <w:kern w:val="0"/>
                      <w:sz w:val="21"/>
                      <w:szCs w:val="21"/>
                      <w:bdr w:val="none" w:color="auto" w:sz="0" w:space="0"/>
                      <w:lang w:val="en-US" w:eastAsia="zh-CN" w:bidi="ar"/>
                    </w:rPr>
                    <w:t>区污水处理厂应尽快进行提标改造，增设电子工业特征水污染物处理工艺。渭沱组团污水处理厂加快建设进度，确保洞组团</w:t>
                  </w:r>
                  <w:r>
                    <w:rPr>
                      <w:rFonts w:hint="default" w:ascii="Times New Roman" w:hAnsi="Calibri" w:eastAsia="宋体" w:cs="Times New Roman"/>
                      <w:color w:val="000000"/>
                      <w:kern w:val="0"/>
                      <w:sz w:val="21"/>
                      <w:szCs w:val="21"/>
                      <w:bdr w:val="none" w:color="auto" w:sz="0" w:space="0"/>
                      <w:lang w:val="en-US" w:eastAsia="zh-CN" w:bidi="ar"/>
                    </w:rPr>
                    <w:t>B</w:t>
                  </w:r>
                  <w:r>
                    <w:rPr>
                      <w:rFonts w:hint="eastAsia" w:ascii="Times New Roman" w:hAnsi="Calibri" w:eastAsia="宋体" w:cs="宋体"/>
                      <w:color w:val="000000"/>
                      <w:kern w:val="0"/>
                      <w:sz w:val="21"/>
                      <w:szCs w:val="21"/>
                      <w:bdr w:val="none" w:color="auto" w:sz="0" w:space="0"/>
                      <w:lang w:val="en-US" w:eastAsia="zh-CN" w:bidi="ar"/>
                    </w:rPr>
                    <w:t>区生产废水、生活污水能进入污水处理厂集中处理达标后外排。</w:t>
                  </w:r>
                </w:p>
              </w:tc>
              <w:tc>
                <w:tcPr>
                  <w:tcW w:w="1039" w:type="pct"/>
                  <w:tcBorders>
                    <w:top w:val="single" w:color="auto" w:sz="4" w:space="0"/>
                    <w:left w:val="single" w:color="auto" w:sz="4" w:space="0"/>
                    <w:bottom w:val="single" w:color="auto" w:sz="4" w:space="0"/>
                    <w:right w:val="single" w:color="auto" w:sz="4" w:space="0"/>
                  </w:tcBorders>
                  <w:shd w:val="clear"/>
                  <w:vAlign w:val="center"/>
                </w:tcPr>
                <w:p w14:paraId="6F3D4009">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扩建项目无生产废水，新增员工生活污水依托盈田</w:t>
                  </w:r>
                  <w:r>
                    <w:rPr>
                      <w:rFonts w:hint="default" w:ascii="Calibri" w:hAnsi="Calibri" w:eastAsia="宋体" w:cs="Times New Roman"/>
                      <w:color w:val="000000"/>
                      <w:kern w:val="2"/>
                      <w:sz w:val="21"/>
                      <w:szCs w:val="21"/>
                      <w:bdr w:val="none" w:color="auto" w:sz="0" w:space="0"/>
                      <w:lang w:val="en-US" w:eastAsia="zh-CN" w:bidi="ar"/>
                    </w:rPr>
                    <w:t>·</w:t>
                  </w:r>
                  <w:r>
                    <w:rPr>
                      <w:rFonts w:hint="eastAsia" w:ascii="Calibri" w:hAnsi="Calibri" w:eastAsia="宋体" w:cs="宋体"/>
                      <w:color w:val="000000"/>
                      <w:kern w:val="2"/>
                      <w:sz w:val="21"/>
                      <w:szCs w:val="21"/>
                      <w:bdr w:val="none" w:color="auto" w:sz="0" w:space="0"/>
                      <w:lang w:val="en-US" w:eastAsia="zh-CN" w:bidi="ar"/>
                    </w:rPr>
                    <w:t>合川工谷已建污水设施处理达标后排放。</w:t>
                  </w:r>
                  <w:r>
                    <w:rPr>
                      <w:rFonts w:hint="eastAsia" w:ascii="Calibri" w:hAnsi="Calibri" w:eastAsia="宋体" w:cs="宋体"/>
                      <w:bCs/>
                      <w:color w:val="000000"/>
                      <w:kern w:val="2"/>
                      <w:sz w:val="21"/>
                      <w:szCs w:val="21"/>
                      <w:bdr w:val="none" w:color="auto" w:sz="0" w:space="0"/>
                      <w:lang w:val="en-US" w:eastAsia="zh-CN" w:bidi="ar"/>
                    </w:rPr>
                    <w:t>不涉及重金属废水排放。</w:t>
                  </w:r>
                </w:p>
              </w:tc>
              <w:tc>
                <w:tcPr>
                  <w:tcW w:w="365" w:type="pct"/>
                  <w:tcBorders>
                    <w:top w:val="single" w:color="auto" w:sz="4" w:space="0"/>
                    <w:left w:val="single" w:color="auto" w:sz="4" w:space="0"/>
                    <w:bottom w:val="single" w:color="auto" w:sz="4" w:space="0"/>
                    <w:right w:val="nil"/>
                  </w:tcBorders>
                  <w:shd w:val="clear"/>
                  <w:vAlign w:val="center"/>
                </w:tcPr>
                <w:p w14:paraId="5778BB77">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符合</w:t>
                  </w:r>
                </w:p>
              </w:tc>
            </w:tr>
            <w:tr w14:paraId="1E7B100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00" w:type="pct"/>
                  <w:tcBorders>
                    <w:top w:val="single" w:color="auto" w:sz="4" w:space="0"/>
                    <w:left w:val="nil"/>
                    <w:bottom w:val="single" w:color="auto" w:sz="4" w:space="0"/>
                    <w:right w:val="single" w:color="auto" w:sz="4" w:space="0"/>
                  </w:tcBorders>
                  <w:shd w:val="clear"/>
                  <w:vAlign w:val="center"/>
                </w:tcPr>
                <w:p w14:paraId="15897678">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bdr w:val="none" w:color="auto" w:sz="0" w:space="0"/>
                      <w:lang w:val="en-US"/>
                    </w:rPr>
                  </w:pPr>
                  <w:r>
                    <w:rPr>
                      <w:rFonts w:hint="default" w:ascii="Times New Roman" w:hAnsi="Calibri" w:eastAsia="宋体" w:cs="Times New Roman"/>
                      <w:color w:val="000000"/>
                      <w:kern w:val="0"/>
                      <w:sz w:val="21"/>
                      <w:szCs w:val="21"/>
                      <w:bdr w:val="none" w:color="auto" w:sz="0" w:space="0"/>
                      <w:lang w:val="en-US" w:eastAsia="zh-CN" w:bidi="ar"/>
                    </w:rPr>
                    <w:t>5</w:t>
                  </w:r>
                </w:p>
              </w:tc>
              <w:tc>
                <w:tcPr>
                  <w:tcW w:w="446" w:type="pct"/>
                  <w:tcBorders>
                    <w:top w:val="single" w:color="auto" w:sz="4" w:space="0"/>
                    <w:left w:val="single" w:color="auto" w:sz="4" w:space="0"/>
                    <w:bottom w:val="single" w:color="auto" w:sz="4" w:space="0"/>
                    <w:right w:val="single" w:color="auto" w:sz="4" w:space="0"/>
                  </w:tcBorders>
                  <w:shd w:val="clear"/>
                  <w:vAlign w:val="center"/>
                </w:tcPr>
                <w:p w14:paraId="675D90A1">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重视地下水污染防控</w:t>
                  </w:r>
                </w:p>
              </w:tc>
              <w:tc>
                <w:tcPr>
                  <w:tcW w:w="2949" w:type="pct"/>
                  <w:tcBorders>
                    <w:top w:val="single" w:color="auto" w:sz="4" w:space="0"/>
                    <w:left w:val="single" w:color="auto" w:sz="4" w:space="0"/>
                    <w:bottom w:val="single" w:color="auto" w:sz="4" w:space="0"/>
                    <w:right w:val="single" w:color="auto" w:sz="4" w:space="0"/>
                  </w:tcBorders>
                  <w:shd w:val="clear"/>
                  <w:vAlign w:val="center"/>
                </w:tcPr>
                <w:p w14:paraId="186AC98E">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采取源头控制为主的原则，落实分区、分级防渗措施，防止规划实施对区域地下水环境的污染。按监测计划，应定期开展地下水跟踪监测工作，根据监测结果，督促相关企业完善相应的地下水污染防控措施。</w:t>
                  </w:r>
                </w:p>
              </w:tc>
              <w:tc>
                <w:tcPr>
                  <w:tcW w:w="1039" w:type="pct"/>
                  <w:tcBorders>
                    <w:top w:val="single" w:color="auto" w:sz="4" w:space="0"/>
                    <w:left w:val="single" w:color="auto" w:sz="4" w:space="0"/>
                    <w:bottom w:val="single" w:color="auto" w:sz="4" w:space="0"/>
                    <w:right w:val="single" w:color="auto" w:sz="4" w:space="0"/>
                  </w:tcBorders>
                  <w:shd w:val="clear"/>
                  <w:vAlign w:val="center"/>
                </w:tcPr>
                <w:p w14:paraId="796F9E16">
                  <w:pPr>
                    <w:pStyle w:val="96"/>
                    <w:widowControl/>
                    <w:jc w:val="left"/>
                    <w:rPr>
                      <w:rFonts w:hAnsi="Calibri"/>
                      <w:snapToGrid/>
                      <w:color w:val="000000"/>
                      <w:sz w:val="21"/>
                      <w:szCs w:val="21"/>
                      <w:bdr w:val="none" w:color="auto" w:sz="0" w:space="0"/>
                      <w:lang w:val="en-US"/>
                    </w:rPr>
                  </w:pPr>
                  <w:r>
                    <w:rPr>
                      <w:rFonts w:hint="eastAsia" w:ascii="Times New Roman" w:hAnsi="Calibri" w:eastAsia="宋体" w:cs="宋体"/>
                      <w:snapToGrid/>
                      <w:color w:val="000000"/>
                      <w:sz w:val="21"/>
                      <w:szCs w:val="21"/>
                      <w:bdr w:val="none" w:color="auto" w:sz="0" w:space="0"/>
                    </w:rPr>
                    <w:t>扩建项目采取源头控制为主的原则，落实分区防渗措施，可防止对地下水环境的污染。</w:t>
                  </w:r>
                </w:p>
              </w:tc>
              <w:tc>
                <w:tcPr>
                  <w:tcW w:w="365" w:type="pct"/>
                  <w:tcBorders>
                    <w:top w:val="single" w:color="auto" w:sz="4" w:space="0"/>
                    <w:left w:val="single" w:color="auto" w:sz="4" w:space="0"/>
                    <w:bottom w:val="single" w:color="auto" w:sz="4" w:space="0"/>
                    <w:right w:val="nil"/>
                  </w:tcBorders>
                  <w:shd w:val="clear"/>
                  <w:vAlign w:val="center"/>
                </w:tcPr>
                <w:p w14:paraId="53915248">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符合</w:t>
                  </w:r>
                </w:p>
              </w:tc>
            </w:tr>
            <w:tr w14:paraId="43C43DE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00" w:type="pct"/>
                  <w:tcBorders>
                    <w:top w:val="single" w:color="auto" w:sz="4" w:space="0"/>
                    <w:left w:val="nil"/>
                    <w:bottom w:val="single" w:color="auto" w:sz="4" w:space="0"/>
                    <w:right w:val="single" w:color="auto" w:sz="4" w:space="0"/>
                  </w:tcBorders>
                  <w:shd w:val="clear"/>
                  <w:vAlign w:val="center"/>
                </w:tcPr>
                <w:p w14:paraId="18AD7194">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bdr w:val="none" w:color="auto" w:sz="0" w:space="0"/>
                      <w:lang w:val="en-US"/>
                    </w:rPr>
                  </w:pPr>
                  <w:r>
                    <w:rPr>
                      <w:rFonts w:hint="default" w:ascii="Times New Roman" w:hAnsi="Calibri" w:eastAsia="宋体" w:cs="Times New Roman"/>
                      <w:color w:val="000000"/>
                      <w:kern w:val="0"/>
                      <w:sz w:val="21"/>
                      <w:szCs w:val="21"/>
                      <w:bdr w:val="none" w:color="auto" w:sz="0" w:space="0"/>
                      <w:lang w:val="en-US" w:eastAsia="zh-CN" w:bidi="ar"/>
                    </w:rPr>
                    <w:t>6</w:t>
                  </w:r>
                </w:p>
              </w:tc>
              <w:tc>
                <w:tcPr>
                  <w:tcW w:w="446" w:type="pct"/>
                  <w:tcBorders>
                    <w:top w:val="single" w:color="auto" w:sz="4" w:space="0"/>
                    <w:left w:val="single" w:color="auto" w:sz="4" w:space="0"/>
                    <w:bottom w:val="single" w:color="auto" w:sz="4" w:space="0"/>
                    <w:right w:val="single" w:color="auto" w:sz="4" w:space="0"/>
                  </w:tcBorders>
                  <w:shd w:val="clear"/>
                  <w:vAlign w:val="center"/>
                </w:tcPr>
                <w:p w14:paraId="3E9668D4">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强化噪声污染防控</w:t>
                  </w:r>
                </w:p>
              </w:tc>
              <w:tc>
                <w:tcPr>
                  <w:tcW w:w="2949" w:type="pct"/>
                  <w:tcBorders>
                    <w:top w:val="single" w:color="auto" w:sz="4" w:space="0"/>
                    <w:left w:val="single" w:color="auto" w:sz="4" w:space="0"/>
                    <w:bottom w:val="single" w:color="auto" w:sz="4" w:space="0"/>
                    <w:right w:val="single" w:color="auto" w:sz="4" w:space="0"/>
                  </w:tcBorders>
                  <w:shd w:val="clear"/>
                  <w:vAlign w:val="center"/>
                </w:tcPr>
                <w:p w14:paraId="52B054D3">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合理布局噪声源，高噪声源应尽量远离居住区布置。加强规划区现有企业噪声治理，采用低噪声设备，采取消声、隔声、减震等措施，确保厂界噪声达标，尽量减少对周边居民的影响。</w:t>
                  </w:r>
                </w:p>
              </w:tc>
              <w:tc>
                <w:tcPr>
                  <w:tcW w:w="1039" w:type="pct"/>
                  <w:tcBorders>
                    <w:top w:val="single" w:color="auto" w:sz="4" w:space="0"/>
                    <w:left w:val="single" w:color="auto" w:sz="4" w:space="0"/>
                    <w:bottom w:val="single" w:color="auto" w:sz="4" w:space="0"/>
                    <w:right w:val="single" w:color="auto" w:sz="4" w:space="0"/>
                  </w:tcBorders>
                  <w:shd w:val="clear"/>
                  <w:vAlign w:val="center"/>
                </w:tcPr>
                <w:p w14:paraId="19D9A011">
                  <w:pPr>
                    <w:pStyle w:val="96"/>
                    <w:widowControl/>
                    <w:jc w:val="left"/>
                    <w:rPr>
                      <w:rFonts w:hAnsi="Calibri"/>
                      <w:snapToGrid/>
                      <w:color w:val="000000"/>
                      <w:sz w:val="21"/>
                      <w:szCs w:val="21"/>
                      <w:bdr w:val="none" w:color="auto" w:sz="0" w:space="0"/>
                      <w:lang w:val="en-US"/>
                    </w:rPr>
                  </w:pPr>
                  <w:r>
                    <w:rPr>
                      <w:rFonts w:hint="eastAsia" w:ascii="Times New Roman" w:hAnsi="Calibri" w:eastAsia="宋体" w:cs="宋体"/>
                      <w:snapToGrid/>
                      <w:color w:val="000000"/>
                      <w:sz w:val="21"/>
                      <w:szCs w:val="21"/>
                      <w:bdr w:val="none" w:color="auto" w:sz="0" w:space="0"/>
                    </w:rPr>
                    <w:t>扩建项目选用低噪声设备，经厂房隔声等措施达标。</w:t>
                  </w:r>
                </w:p>
              </w:tc>
              <w:tc>
                <w:tcPr>
                  <w:tcW w:w="365" w:type="pct"/>
                  <w:tcBorders>
                    <w:top w:val="single" w:color="auto" w:sz="4" w:space="0"/>
                    <w:left w:val="single" w:color="auto" w:sz="4" w:space="0"/>
                    <w:bottom w:val="single" w:color="auto" w:sz="4" w:space="0"/>
                    <w:right w:val="nil"/>
                  </w:tcBorders>
                  <w:shd w:val="clear"/>
                  <w:vAlign w:val="center"/>
                </w:tcPr>
                <w:p w14:paraId="33F4913C">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符合</w:t>
                  </w:r>
                </w:p>
              </w:tc>
            </w:tr>
            <w:tr w14:paraId="2D52CDF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00" w:type="pct"/>
                  <w:tcBorders>
                    <w:top w:val="single" w:color="auto" w:sz="4" w:space="0"/>
                    <w:left w:val="nil"/>
                    <w:bottom w:val="single" w:color="auto" w:sz="4" w:space="0"/>
                    <w:right w:val="single" w:color="auto" w:sz="4" w:space="0"/>
                  </w:tcBorders>
                  <w:shd w:val="clear"/>
                  <w:vAlign w:val="center"/>
                </w:tcPr>
                <w:p w14:paraId="2B668A46">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bdr w:val="none" w:color="auto" w:sz="0" w:space="0"/>
                      <w:lang w:val="en-US"/>
                    </w:rPr>
                  </w:pPr>
                  <w:r>
                    <w:rPr>
                      <w:rFonts w:hint="default" w:ascii="Times New Roman" w:hAnsi="Calibri" w:eastAsia="宋体" w:cs="Times New Roman"/>
                      <w:color w:val="000000"/>
                      <w:kern w:val="0"/>
                      <w:sz w:val="21"/>
                      <w:szCs w:val="21"/>
                      <w:bdr w:val="none" w:color="auto" w:sz="0" w:space="0"/>
                      <w:lang w:val="en-US" w:eastAsia="zh-CN" w:bidi="ar"/>
                    </w:rPr>
                    <w:t>7</w:t>
                  </w:r>
                </w:p>
              </w:tc>
              <w:tc>
                <w:tcPr>
                  <w:tcW w:w="446" w:type="pct"/>
                  <w:tcBorders>
                    <w:top w:val="single" w:color="auto" w:sz="4" w:space="0"/>
                    <w:left w:val="single" w:color="auto" w:sz="4" w:space="0"/>
                    <w:bottom w:val="single" w:color="auto" w:sz="4" w:space="0"/>
                    <w:right w:val="single" w:color="auto" w:sz="4" w:space="0"/>
                  </w:tcBorders>
                  <w:shd w:val="clear"/>
                  <w:vAlign w:val="center"/>
                </w:tcPr>
                <w:p w14:paraId="28F7A351">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加强土壤和固体废物污染防治</w:t>
                  </w:r>
                </w:p>
              </w:tc>
              <w:tc>
                <w:tcPr>
                  <w:tcW w:w="2949" w:type="pct"/>
                  <w:tcBorders>
                    <w:top w:val="single" w:color="auto" w:sz="4" w:space="0"/>
                    <w:left w:val="single" w:color="auto" w:sz="4" w:space="0"/>
                    <w:bottom w:val="single" w:color="auto" w:sz="4" w:space="0"/>
                    <w:right w:val="single" w:color="auto" w:sz="4" w:space="0"/>
                  </w:tcBorders>
                  <w:shd w:val="clear"/>
                  <w:vAlign w:val="center"/>
                </w:tcPr>
                <w:p w14:paraId="6E1C7EA2">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按照《重庆市贯彻落实土壤污染防治行动计划工作方案》和土壤污染防治目标责任书相关要求，有效防控土壤环境风险，防范建设用地新增污染。加强工业固体废物综合利用和处置，统筹解决好一般工业固体废物处置配套不足的问题，结合工业园区各组团发展需求，科学论证，加紧规划设置一般工业固体废物处置场或工业固体废物综合利用和处置设施。规划区内土地利用性质调整，应按相关规定要求开展土壤调查和风险评估，经评估确定为污染地块的，应当在土地转让前开展治理修复。</w:t>
                  </w:r>
                </w:p>
              </w:tc>
              <w:tc>
                <w:tcPr>
                  <w:tcW w:w="1039" w:type="pct"/>
                  <w:tcBorders>
                    <w:top w:val="single" w:color="auto" w:sz="4" w:space="0"/>
                    <w:left w:val="single" w:color="auto" w:sz="4" w:space="0"/>
                    <w:bottom w:val="single" w:color="auto" w:sz="4" w:space="0"/>
                    <w:right w:val="single" w:color="auto" w:sz="4" w:space="0"/>
                  </w:tcBorders>
                  <w:shd w:val="clear"/>
                  <w:vAlign w:val="center"/>
                </w:tcPr>
                <w:p w14:paraId="6173C8E9">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扩建项目厂区现有危废贮存库已做好“六防”措施，从源头控制土壤污染途径。</w:t>
                  </w:r>
                </w:p>
              </w:tc>
              <w:tc>
                <w:tcPr>
                  <w:tcW w:w="365" w:type="pct"/>
                  <w:tcBorders>
                    <w:top w:val="single" w:color="auto" w:sz="4" w:space="0"/>
                    <w:left w:val="single" w:color="auto" w:sz="4" w:space="0"/>
                    <w:bottom w:val="single" w:color="auto" w:sz="4" w:space="0"/>
                    <w:right w:val="nil"/>
                  </w:tcBorders>
                  <w:shd w:val="clear"/>
                  <w:vAlign w:val="center"/>
                </w:tcPr>
                <w:p w14:paraId="08C2E224">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符合</w:t>
                  </w:r>
                </w:p>
              </w:tc>
            </w:tr>
            <w:tr w14:paraId="4084BAD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00" w:type="pct"/>
                  <w:tcBorders>
                    <w:top w:val="single" w:color="auto" w:sz="4" w:space="0"/>
                    <w:left w:val="nil"/>
                    <w:bottom w:val="single" w:color="auto" w:sz="12" w:space="0"/>
                    <w:right w:val="single" w:color="auto" w:sz="4" w:space="0"/>
                  </w:tcBorders>
                  <w:shd w:val="clear"/>
                  <w:vAlign w:val="center"/>
                </w:tcPr>
                <w:p w14:paraId="09B549F5">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bdr w:val="none" w:color="auto" w:sz="0" w:space="0"/>
                      <w:lang w:val="en-US"/>
                    </w:rPr>
                  </w:pPr>
                  <w:r>
                    <w:rPr>
                      <w:rFonts w:hint="default" w:ascii="Times New Roman" w:hAnsi="Calibri" w:eastAsia="宋体" w:cs="Times New Roman"/>
                      <w:color w:val="000000"/>
                      <w:kern w:val="0"/>
                      <w:sz w:val="21"/>
                      <w:szCs w:val="21"/>
                      <w:bdr w:val="none" w:color="auto" w:sz="0" w:space="0"/>
                      <w:lang w:val="en-US" w:eastAsia="zh-CN" w:bidi="ar"/>
                    </w:rPr>
                    <w:t>8</w:t>
                  </w:r>
                </w:p>
              </w:tc>
              <w:tc>
                <w:tcPr>
                  <w:tcW w:w="446" w:type="pct"/>
                  <w:tcBorders>
                    <w:top w:val="single" w:color="auto" w:sz="4" w:space="0"/>
                    <w:left w:val="single" w:color="auto" w:sz="4" w:space="0"/>
                    <w:bottom w:val="single" w:color="auto" w:sz="12" w:space="0"/>
                    <w:right w:val="single" w:color="auto" w:sz="4" w:space="0"/>
                  </w:tcBorders>
                  <w:shd w:val="clear"/>
                  <w:vAlign w:val="center"/>
                </w:tcPr>
                <w:p w14:paraId="4B4AE1D3">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强化环境风险防范</w:t>
                  </w:r>
                </w:p>
              </w:tc>
              <w:tc>
                <w:tcPr>
                  <w:tcW w:w="2949" w:type="pct"/>
                  <w:tcBorders>
                    <w:top w:val="single" w:color="auto" w:sz="4" w:space="0"/>
                    <w:left w:val="single" w:color="auto" w:sz="4" w:space="0"/>
                    <w:bottom w:val="single" w:color="auto" w:sz="12" w:space="0"/>
                    <w:right w:val="single" w:color="auto" w:sz="4" w:space="0"/>
                  </w:tcBorders>
                  <w:shd w:val="clear"/>
                  <w:vAlign w:val="center"/>
                </w:tcPr>
                <w:p w14:paraId="5E0A45A0">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进一步完善环境风险防范体系建设，相关企业尤其是涉及危化品的企业应严格落实各项环境风险防范措施，防范突发性环境风险事故。建立健全园区级风险防控体系，完善环境风险应急预案，加强对企业环境风险源的监督管理。强化事故废水应急收集及处理措施，完善园区“三级”环境风险防控体系，确保事故废水不对大口鲶县级自然保护区造成影响。应加快实施盐井水厂、方溪水厂搬迁关闭进度，确保居民饮用水安全。</w:t>
                  </w:r>
                </w:p>
              </w:tc>
              <w:tc>
                <w:tcPr>
                  <w:tcW w:w="1039" w:type="pct"/>
                  <w:tcBorders>
                    <w:top w:val="single" w:color="auto" w:sz="4" w:space="0"/>
                    <w:left w:val="single" w:color="auto" w:sz="4" w:space="0"/>
                    <w:bottom w:val="single" w:color="auto" w:sz="12" w:space="0"/>
                    <w:right w:val="single" w:color="auto" w:sz="4" w:space="0"/>
                  </w:tcBorders>
                  <w:shd w:val="clear"/>
                  <w:vAlign w:val="center"/>
                </w:tcPr>
                <w:p w14:paraId="3FEDFA6A">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扩建项目通过落实各项环境风险防范措施达到风险防范的目的。</w:t>
                  </w:r>
                </w:p>
              </w:tc>
              <w:tc>
                <w:tcPr>
                  <w:tcW w:w="365" w:type="pct"/>
                  <w:tcBorders>
                    <w:top w:val="single" w:color="auto" w:sz="4" w:space="0"/>
                    <w:left w:val="single" w:color="auto" w:sz="4" w:space="0"/>
                    <w:bottom w:val="single" w:color="auto" w:sz="12" w:space="0"/>
                    <w:right w:val="nil"/>
                  </w:tcBorders>
                  <w:shd w:val="clear"/>
                  <w:vAlign w:val="center"/>
                </w:tcPr>
                <w:p w14:paraId="2EF7E8F4">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符合</w:t>
                  </w:r>
                </w:p>
              </w:tc>
            </w:tr>
          </w:tbl>
          <w:p w14:paraId="44740EB3">
            <w:pPr>
              <w:keepNext w:val="0"/>
              <w:keepLines w:val="0"/>
              <w:widowControl/>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bdr w:val="none" w:color="auto" w:sz="0" w:space="0"/>
                <w:lang w:val="en-US"/>
              </w:rPr>
            </w:pPr>
            <w:r>
              <w:rPr>
                <w:rFonts w:hint="eastAsia" w:ascii="Times New Roman" w:hAnsi="Calibri" w:eastAsia="宋体" w:cs="宋体"/>
                <w:color w:val="000000"/>
                <w:kern w:val="0"/>
                <w:sz w:val="24"/>
                <w:szCs w:val="24"/>
                <w:bdr w:val="none" w:color="auto" w:sz="0" w:space="0"/>
                <w:lang w:val="en-US" w:eastAsia="zh-CN" w:bidi="ar"/>
              </w:rPr>
              <w:t>根据分析，扩建项目符合</w:t>
            </w:r>
            <w:r>
              <w:rPr>
                <w:rFonts w:hint="eastAsia" w:ascii="Times New Roman" w:hAnsi="Calibri" w:eastAsia="宋体" w:cs="宋体"/>
                <w:color w:val="000000"/>
                <w:kern w:val="2"/>
                <w:sz w:val="24"/>
                <w:szCs w:val="24"/>
                <w:bdr w:val="none" w:color="auto" w:sz="0" w:space="0"/>
                <w:lang w:val="en-US" w:eastAsia="zh-CN" w:bidi="ar"/>
              </w:rPr>
              <w:t>《合川工业园区南溪组团、渭沱组团</w:t>
            </w:r>
            <w:r>
              <w:rPr>
                <w:rFonts w:hint="default" w:ascii="Times New Roman" w:hAnsi="Calibri" w:eastAsia="宋体" w:cs="Times New Roman"/>
                <w:color w:val="000000"/>
                <w:kern w:val="2"/>
                <w:sz w:val="24"/>
                <w:szCs w:val="24"/>
                <w:bdr w:val="none" w:color="auto" w:sz="0" w:space="0"/>
                <w:lang w:val="en-US" w:eastAsia="zh-CN" w:bidi="ar"/>
              </w:rPr>
              <w:t>B</w:t>
            </w:r>
            <w:r>
              <w:rPr>
                <w:rFonts w:hint="eastAsia" w:ascii="Times New Roman" w:hAnsi="Calibri" w:eastAsia="宋体" w:cs="宋体"/>
                <w:color w:val="000000"/>
                <w:kern w:val="2"/>
                <w:sz w:val="24"/>
                <w:szCs w:val="24"/>
                <w:bdr w:val="none" w:color="auto" w:sz="0" w:space="0"/>
                <w:lang w:val="en-US" w:eastAsia="zh-CN" w:bidi="ar"/>
              </w:rPr>
              <w:t>区规划环境影响报告书》及其审查意见（渝环函</w:t>
            </w:r>
            <w:r>
              <w:rPr>
                <w:rFonts w:hint="default" w:ascii="Times New Roman" w:hAnsi="Calibri" w:eastAsia="宋体" w:cs="Times New Roman"/>
                <w:color w:val="000000"/>
                <w:kern w:val="2"/>
                <w:sz w:val="24"/>
                <w:szCs w:val="24"/>
                <w:bdr w:val="none" w:color="auto" w:sz="0" w:space="0"/>
                <w:lang w:val="en-US" w:eastAsia="zh-CN" w:bidi="ar"/>
              </w:rPr>
              <w:t>[2019]1169</w:t>
            </w:r>
            <w:r>
              <w:rPr>
                <w:rFonts w:hint="eastAsia" w:ascii="Times New Roman" w:hAnsi="Calibri" w:eastAsia="宋体" w:cs="宋体"/>
                <w:color w:val="000000"/>
                <w:kern w:val="2"/>
                <w:sz w:val="24"/>
                <w:szCs w:val="24"/>
                <w:bdr w:val="none" w:color="auto" w:sz="0" w:space="0"/>
                <w:lang w:val="en-US" w:eastAsia="zh-CN" w:bidi="ar"/>
              </w:rPr>
              <w:t>号）</w:t>
            </w:r>
            <w:r>
              <w:rPr>
                <w:rFonts w:hint="eastAsia" w:ascii="Times New Roman" w:hAnsi="Calibri" w:eastAsia="宋体" w:cs="宋体"/>
                <w:color w:val="000000"/>
                <w:kern w:val="0"/>
                <w:sz w:val="24"/>
                <w:szCs w:val="24"/>
                <w:bdr w:val="none" w:color="auto" w:sz="0" w:space="0"/>
                <w:lang w:val="en-US" w:eastAsia="zh-CN" w:bidi="ar"/>
              </w:rPr>
              <w:t>相关要求。</w:t>
            </w:r>
          </w:p>
        </w:tc>
      </w:tr>
      <w:tr w14:paraId="40D2A8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tblCellMar>
            <w:top w:w="0" w:type="dxa"/>
            <w:left w:w="108" w:type="dxa"/>
            <w:bottom w:w="0" w:type="dxa"/>
            <w:right w:w="108" w:type="dxa"/>
          </w:tblCellMar>
        </w:tblPrEx>
        <w:trPr>
          <w:trHeight w:val="841" w:hRule="atLeast"/>
          <w:jc w:val="center"/>
        </w:trPr>
        <w:tc>
          <w:tcPr>
            <w:tcW w:w="722" w:type="dxa"/>
            <w:tcBorders>
              <w:top w:val="single" w:color="auto" w:sz="4" w:space="0"/>
              <w:left w:val="single" w:color="auto" w:sz="8" w:space="0"/>
              <w:bottom w:val="single" w:color="auto" w:sz="8" w:space="0"/>
              <w:right w:val="single" w:color="auto" w:sz="4" w:space="0"/>
            </w:tcBorders>
            <w:shd w:val="clear"/>
            <w:vAlign w:val="center"/>
          </w:tcPr>
          <w:p w14:paraId="68A2975F">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000000"/>
                <w:kern w:val="0"/>
                <w:sz w:val="24"/>
                <w:szCs w:val="24"/>
                <w:bdr w:val="none" w:color="auto" w:sz="0" w:space="0"/>
                <w:lang w:val="en-US"/>
              </w:rPr>
            </w:pPr>
            <w:r>
              <w:rPr>
                <w:rFonts w:hint="eastAsia" w:ascii="宋体" w:hAnsi="宋体" w:eastAsia="宋体" w:cs="宋体"/>
                <w:color w:val="000000"/>
                <w:kern w:val="0"/>
                <w:sz w:val="24"/>
                <w:szCs w:val="24"/>
                <w:bdr w:val="none" w:color="auto" w:sz="0" w:space="0"/>
                <w:lang w:val="en-US" w:eastAsia="zh-CN" w:bidi="ar"/>
              </w:rPr>
              <w:t>其他符合性分析</w:t>
            </w:r>
          </w:p>
        </w:tc>
        <w:tc>
          <w:tcPr>
            <w:tcW w:w="8148" w:type="dxa"/>
            <w:tcBorders>
              <w:top w:val="single" w:color="auto" w:sz="4" w:space="0"/>
              <w:left w:val="single" w:color="auto" w:sz="4" w:space="0"/>
              <w:bottom w:val="single" w:color="auto" w:sz="8" w:space="0"/>
              <w:right w:val="single" w:color="auto" w:sz="8" w:space="0"/>
            </w:tcBorders>
            <w:shd w:val="clear"/>
            <w:vAlign w:val="center"/>
          </w:tcPr>
          <w:p w14:paraId="47A765CC">
            <w:pPr>
              <w:keepNext w:val="0"/>
              <w:keepLines w:val="0"/>
              <w:widowControl w:val="0"/>
              <w:suppressLineNumbers w:val="0"/>
              <w:spacing w:before="0" w:beforeAutospacing="0" w:after="0" w:afterAutospacing="0" w:line="440" w:lineRule="exact"/>
              <w:ind w:left="0" w:right="0"/>
              <w:jc w:val="both"/>
              <w:outlineLvl w:val="1"/>
              <w:rPr>
                <w:rFonts w:hint="default" w:ascii="Times New Roman" w:hAnsi="Calibri" w:cs="Times New Roman"/>
                <w:b/>
                <w:bCs w:val="0"/>
                <w:color w:val="000000"/>
                <w:sz w:val="24"/>
                <w:szCs w:val="24"/>
                <w:bdr w:val="none" w:color="auto" w:sz="0" w:space="0"/>
                <w:lang w:val="en-US"/>
              </w:rPr>
            </w:pPr>
            <w:r>
              <w:rPr>
                <w:rFonts w:hint="default" w:ascii="Times New Roman" w:hAnsi="Calibri" w:eastAsia="宋体" w:cs="Times New Roman"/>
                <w:b/>
                <w:bCs w:val="0"/>
                <w:color w:val="000000"/>
                <w:kern w:val="2"/>
                <w:sz w:val="24"/>
                <w:szCs w:val="24"/>
                <w:bdr w:val="none" w:color="auto" w:sz="0" w:space="0"/>
                <w:lang w:val="en-US" w:eastAsia="zh-CN" w:bidi="ar"/>
              </w:rPr>
              <w:t>1.2</w:t>
            </w:r>
            <w:r>
              <w:rPr>
                <w:rFonts w:hint="eastAsia" w:ascii="Times New Roman" w:hAnsi="Calibri" w:eastAsia="宋体" w:cs="宋体"/>
                <w:b/>
                <w:bCs w:val="0"/>
                <w:color w:val="000000"/>
                <w:kern w:val="2"/>
                <w:sz w:val="24"/>
                <w:szCs w:val="24"/>
                <w:bdr w:val="none" w:color="auto" w:sz="0" w:space="0"/>
                <w:lang w:val="en-US" w:eastAsia="zh-CN" w:bidi="ar"/>
              </w:rPr>
              <w:t>其他符合性分析</w:t>
            </w:r>
          </w:p>
          <w:p w14:paraId="5CA96461">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Times New Roman" w:cs="Times New Roman"/>
                <w:b/>
                <w:bCs w:val="0"/>
                <w:color w:val="000000"/>
                <w:sz w:val="24"/>
                <w:szCs w:val="24"/>
                <w:bdr w:val="none" w:color="auto" w:sz="0" w:space="0"/>
                <w:lang w:val="en-US"/>
              </w:rPr>
            </w:pPr>
            <w:r>
              <w:rPr>
                <w:rFonts w:hint="default" w:ascii="Times New Roman" w:hAnsi="Calibri" w:eastAsia="宋体" w:cs="Times New Roman"/>
                <w:b/>
                <w:bCs w:val="0"/>
                <w:color w:val="000000"/>
                <w:kern w:val="2"/>
                <w:sz w:val="24"/>
                <w:szCs w:val="24"/>
                <w:bdr w:val="none" w:color="auto" w:sz="0" w:space="0"/>
                <w:lang w:val="en-US" w:eastAsia="zh-CN" w:bidi="ar"/>
              </w:rPr>
              <w:t xml:space="preserve">1.2.1 </w:t>
            </w:r>
            <w:r>
              <w:rPr>
                <w:rFonts w:hint="eastAsia" w:ascii="Times New Roman" w:hAnsi="Calibri" w:eastAsia="宋体" w:cs="宋体"/>
                <w:b/>
                <w:bCs w:val="0"/>
                <w:color w:val="000000"/>
                <w:kern w:val="2"/>
                <w:sz w:val="24"/>
                <w:szCs w:val="24"/>
                <w:bdr w:val="none" w:color="auto" w:sz="0" w:space="0"/>
                <w:lang w:val="en-US" w:eastAsia="zh-CN" w:bidi="ar"/>
              </w:rPr>
              <w:t>与“三线一单”</w:t>
            </w:r>
            <w:r>
              <w:rPr>
                <w:rFonts w:hint="eastAsia" w:ascii="Times New Roman" w:hAnsi="Times New Roman" w:eastAsia="宋体" w:cs="宋体"/>
                <w:b/>
                <w:bCs/>
                <w:color w:val="000000"/>
                <w:kern w:val="2"/>
                <w:sz w:val="24"/>
                <w:szCs w:val="24"/>
                <w:bdr w:val="none" w:color="auto" w:sz="0" w:space="0"/>
                <w:lang w:val="en-US" w:eastAsia="zh-CN" w:bidi="ar"/>
              </w:rPr>
              <w:t>生态环境分区管控要求的</w:t>
            </w:r>
            <w:r>
              <w:rPr>
                <w:rFonts w:hint="eastAsia" w:ascii="Times New Roman" w:hAnsi="Times New Roman" w:eastAsia="宋体" w:cs="宋体"/>
                <w:b/>
                <w:bCs w:val="0"/>
                <w:color w:val="000000"/>
                <w:kern w:val="2"/>
                <w:sz w:val="24"/>
                <w:szCs w:val="24"/>
                <w:bdr w:val="none" w:color="auto" w:sz="0" w:space="0"/>
                <w:lang w:val="en-US" w:eastAsia="zh-CN" w:bidi="ar"/>
              </w:rPr>
              <w:t>符合性</w:t>
            </w:r>
          </w:p>
          <w:p w14:paraId="542CAE4A">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根据《重庆市人民政府关于落实生态保护红线、环境质量底线、资源利用上线制定生态环境准入清单实施生态环境分区管控的实施意见》（渝府发〔</w:t>
            </w:r>
            <w:r>
              <w:rPr>
                <w:rFonts w:hint="default" w:ascii="Times New Roman" w:hAnsi="Times New Roman" w:eastAsia="宋体" w:cs="Times New Roman"/>
                <w:color w:val="000000"/>
                <w:kern w:val="2"/>
                <w:sz w:val="24"/>
                <w:szCs w:val="24"/>
                <w:bdr w:val="none" w:color="auto" w:sz="0" w:space="0"/>
                <w:lang w:val="en-US" w:eastAsia="zh-CN" w:bidi="ar"/>
              </w:rPr>
              <w:t>2020</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11</w:t>
            </w:r>
            <w:r>
              <w:rPr>
                <w:rFonts w:hint="eastAsia" w:ascii="Times New Roman" w:hAnsi="Times New Roman" w:eastAsia="宋体" w:cs="宋体"/>
                <w:color w:val="000000"/>
                <w:kern w:val="2"/>
                <w:sz w:val="24"/>
                <w:szCs w:val="24"/>
                <w:bdr w:val="none" w:color="auto" w:sz="0" w:space="0"/>
                <w:lang w:val="en-US" w:eastAsia="zh-CN" w:bidi="ar"/>
              </w:rPr>
              <w:t>号）、《重庆市</w:t>
            </w:r>
            <w:r>
              <w:rPr>
                <w:rFonts w:hint="eastAsia" w:ascii="宋体" w:hAnsi="宋体" w:eastAsia="宋体" w:cs="宋体"/>
                <w:color w:val="000000"/>
                <w:kern w:val="2"/>
                <w:sz w:val="24"/>
                <w:szCs w:val="24"/>
                <w:bdr w:val="none" w:color="auto" w:sz="0" w:space="0"/>
                <w:lang w:val="en-US" w:eastAsia="zh-CN" w:bidi="ar"/>
              </w:rPr>
              <w:t>“三线一单”生态</w:t>
            </w:r>
            <w:r>
              <w:rPr>
                <w:rFonts w:hint="eastAsia" w:ascii="Times New Roman" w:hAnsi="Times New Roman" w:eastAsia="宋体" w:cs="宋体"/>
                <w:color w:val="000000"/>
                <w:kern w:val="2"/>
                <w:sz w:val="24"/>
                <w:szCs w:val="24"/>
                <w:bdr w:val="none" w:color="auto" w:sz="0" w:space="0"/>
                <w:lang w:val="en-US" w:eastAsia="zh-CN" w:bidi="ar"/>
              </w:rPr>
              <w:t>环境分区管控调整方案（</w:t>
            </w:r>
            <w:r>
              <w:rPr>
                <w:rFonts w:hint="default" w:ascii="Times New Roman" w:hAnsi="Times New Roman" w:eastAsia="宋体" w:cs="Times New Roman"/>
                <w:color w:val="000000"/>
                <w:kern w:val="2"/>
                <w:sz w:val="24"/>
                <w:szCs w:val="24"/>
                <w:bdr w:val="none" w:color="auto" w:sz="0" w:space="0"/>
                <w:lang w:val="en-US" w:eastAsia="zh-CN" w:bidi="ar"/>
              </w:rPr>
              <w:t>2023</w:t>
            </w:r>
            <w:r>
              <w:rPr>
                <w:rFonts w:hint="eastAsia" w:ascii="Times New Roman" w:hAnsi="Times New Roman" w:eastAsia="宋体" w:cs="宋体"/>
                <w:color w:val="000000"/>
                <w:kern w:val="2"/>
                <w:sz w:val="24"/>
                <w:szCs w:val="24"/>
                <w:bdr w:val="none" w:color="auto" w:sz="0" w:space="0"/>
                <w:lang w:val="en-US" w:eastAsia="zh-CN" w:bidi="ar"/>
              </w:rPr>
              <w:t>年）》（渝环规〔</w:t>
            </w:r>
            <w:r>
              <w:rPr>
                <w:rFonts w:hint="default" w:ascii="Times New Roman" w:hAnsi="Times New Roman" w:eastAsia="宋体" w:cs="Times New Roman"/>
                <w:color w:val="000000"/>
                <w:kern w:val="2"/>
                <w:sz w:val="24"/>
                <w:szCs w:val="24"/>
                <w:bdr w:val="none" w:color="auto" w:sz="0" w:space="0"/>
                <w:lang w:val="en-US" w:eastAsia="zh-CN" w:bidi="ar"/>
              </w:rPr>
              <w:t>2024</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2</w:t>
            </w:r>
            <w:r>
              <w:rPr>
                <w:rFonts w:hint="eastAsia" w:ascii="Times New Roman" w:hAnsi="Times New Roman" w:eastAsia="宋体" w:cs="宋体"/>
                <w:color w:val="000000"/>
                <w:kern w:val="2"/>
                <w:sz w:val="24"/>
                <w:szCs w:val="24"/>
                <w:bdr w:val="none" w:color="auto" w:sz="0" w:space="0"/>
                <w:lang w:val="en-US" w:eastAsia="zh-CN" w:bidi="ar"/>
              </w:rPr>
              <w:t>号）、《重庆市合川区</w:t>
            </w:r>
            <w:r>
              <w:rPr>
                <w:rFonts w:hint="eastAsia" w:ascii="宋体" w:hAnsi="宋体" w:eastAsia="宋体" w:cs="宋体"/>
                <w:color w:val="000000"/>
                <w:kern w:val="2"/>
                <w:sz w:val="24"/>
                <w:szCs w:val="24"/>
                <w:bdr w:val="none" w:color="auto" w:sz="0" w:space="0"/>
                <w:lang w:val="en-US" w:eastAsia="zh-CN" w:bidi="ar"/>
              </w:rPr>
              <w:t>“三线一单”</w:t>
            </w:r>
            <w:r>
              <w:rPr>
                <w:rFonts w:hint="eastAsia" w:ascii="Times New Roman" w:hAnsi="Times New Roman" w:eastAsia="宋体" w:cs="宋体"/>
                <w:color w:val="000000"/>
                <w:kern w:val="2"/>
                <w:sz w:val="24"/>
                <w:szCs w:val="24"/>
                <w:bdr w:val="none" w:color="auto" w:sz="0" w:space="0"/>
                <w:lang w:val="en-US" w:eastAsia="zh-CN" w:bidi="ar"/>
              </w:rPr>
              <w:t>生态环境分区管控调整方案（</w:t>
            </w:r>
            <w:r>
              <w:rPr>
                <w:rFonts w:hint="default" w:ascii="Times New Roman" w:hAnsi="Times New Roman" w:eastAsia="宋体" w:cs="Times New Roman"/>
                <w:color w:val="000000"/>
                <w:kern w:val="2"/>
                <w:sz w:val="24"/>
                <w:szCs w:val="24"/>
                <w:bdr w:val="none" w:color="auto" w:sz="0" w:space="0"/>
                <w:lang w:val="en-US" w:eastAsia="zh-CN" w:bidi="ar"/>
              </w:rPr>
              <w:t>2023</w:t>
            </w:r>
            <w:r>
              <w:rPr>
                <w:rFonts w:hint="eastAsia" w:ascii="Times New Roman" w:hAnsi="Times New Roman" w:eastAsia="宋体" w:cs="宋体"/>
                <w:color w:val="000000"/>
                <w:kern w:val="2"/>
                <w:sz w:val="24"/>
                <w:szCs w:val="24"/>
                <w:bdr w:val="none" w:color="auto" w:sz="0" w:space="0"/>
                <w:lang w:val="en-US" w:eastAsia="zh-CN" w:bidi="ar"/>
              </w:rPr>
              <w:t>年）》（合川府发〔</w:t>
            </w:r>
            <w:r>
              <w:rPr>
                <w:rFonts w:hint="default" w:ascii="Times New Roman" w:hAnsi="Times New Roman" w:eastAsia="宋体" w:cs="Times New Roman"/>
                <w:color w:val="000000"/>
                <w:kern w:val="2"/>
                <w:sz w:val="24"/>
                <w:szCs w:val="24"/>
                <w:bdr w:val="none" w:color="auto" w:sz="0" w:space="0"/>
                <w:lang w:val="en-US" w:eastAsia="zh-CN" w:bidi="ar"/>
              </w:rPr>
              <w:t>2024</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8</w:t>
            </w:r>
            <w:r>
              <w:rPr>
                <w:rFonts w:hint="eastAsia" w:ascii="Times New Roman" w:hAnsi="Times New Roman" w:eastAsia="宋体" w:cs="宋体"/>
                <w:color w:val="000000"/>
                <w:kern w:val="2"/>
                <w:sz w:val="24"/>
                <w:szCs w:val="24"/>
                <w:bdr w:val="none" w:color="auto" w:sz="0" w:space="0"/>
                <w:lang w:val="en-US" w:eastAsia="zh-CN" w:bidi="ar"/>
              </w:rPr>
              <w:t>号），环境管控单元包括优先保护单元、重点管控单元、一般管控单元三类。根据分区管控要求：优先保护单元突出系统性保护，保持空间格局基本稳定，部分单元对生态保护红线予以整合；重点管控单元突出精细化管理，空间格局与环境治理格局相匹配，部分单元根据产业园区和城镇开发边界进行细分；一般管控单元保持基本稳定，为经济社会发展和生态环境保护预留空间。</w:t>
            </w:r>
          </w:p>
          <w:p w14:paraId="7BDB4E05">
            <w:pPr>
              <w:keepNext w:val="0"/>
              <w:keepLines w:val="0"/>
              <w:widowControl w:val="0"/>
              <w:suppressLineNumbers w:val="0"/>
              <w:spacing w:before="0" w:beforeAutospacing="0" w:after="0" w:afterAutospacing="0" w:line="440" w:lineRule="exact"/>
              <w:ind w:left="0" w:right="0" w:firstLine="482"/>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根据重庆市</w:t>
            </w:r>
            <w:r>
              <w:rPr>
                <w:rFonts w:hint="eastAsia" w:ascii="宋体" w:hAnsi="宋体" w:eastAsia="宋体" w:cs="宋体"/>
                <w:color w:val="000000"/>
                <w:kern w:val="2"/>
                <w:sz w:val="24"/>
                <w:szCs w:val="24"/>
                <w:bdr w:val="none" w:color="auto" w:sz="0" w:space="0"/>
                <w:lang w:val="en-US" w:eastAsia="zh-CN" w:bidi="ar"/>
              </w:rPr>
              <w:t>“三线一单”智</w:t>
            </w:r>
            <w:r>
              <w:rPr>
                <w:rFonts w:hint="eastAsia" w:ascii="Times New Roman" w:hAnsi="Times New Roman" w:eastAsia="宋体" w:cs="宋体"/>
                <w:color w:val="000000"/>
                <w:kern w:val="2"/>
                <w:sz w:val="24"/>
                <w:szCs w:val="24"/>
                <w:bdr w:val="none" w:color="auto" w:sz="0" w:space="0"/>
                <w:lang w:val="en-US" w:eastAsia="zh-CN" w:bidi="ar"/>
              </w:rPr>
              <w:t>检服务系统查询结果，扩建项目位于重点管控单元。环境管控单元编码：</w:t>
            </w:r>
            <w:r>
              <w:rPr>
                <w:rFonts w:hint="default" w:ascii="Times New Roman" w:hAnsi="Times New Roman" w:eastAsia="宋体" w:cs="Times New Roman"/>
                <w:color w:val="000000"/>
                <w:kern w:val="2"/>
                <w:sz w:val="24"/>
                <w:szCs w:val="24"/>
                <w:bdr w:val="none" w:color="auto" w:sz="0" w:space="0"/>
                <w:lang w:val="en-US" w:eastAsia="zh-CN" w:bidi="ar"/>
              </w:rPr>
              <w:t>ZH50011720004</w:t>
            </w:r>
            <w:r>
              <w:rPr>
                <w:rFonts w:hint="eastAsia" w:ascii="Times New Roman" w:hAnsi="Times New Roman" w:eastAsia="宋体" w:cs="宋体"/>
                <w:color w:val="000000"/>
                <w:kern w:val="2"/>
                <w:sz w:val="24"/>
                <w:szCs w:val="24"/>
                <w:bdr w:val="none" w:color="auto" w:sz="0" w:space="0"/>
                <w:lang w:val="en-US" w:eastAsia="zh-CN" w:bidi="ar"/>
              </w:rPr>
              <w:t>；环境管控单元名称：合川区工业城镇重点管控单元</w:t>
            </w:r>
            <w:r>
              <w:rPr>
                <w:rFonts w:hint="default" w:ascii="Times New Roman" w:hAnsi="Times New Roman" w:eastAsia="宋体" w:cs="Times New Roman"/>
                <w:color w:val="000000"/>
                <w:kern w:val="2"/>
                <w:sz w:val="24"/>
                <w:szCs w:val="24"/>
                <w:bdr w:val="none" w:color="auto" w:sz="0" w:space="0"/>
                <w:lang w:val="en-US" w:eastAsia="zh-CN" w:bidi="ar"/>
              </w:rPr>
              <w:t>-</w:t>
            </w:r>
            <w:r>
              <w:rPr>
                <w:rFonts w:hint="eastAsia" w:ascii="Times New Roman" w:hAnsi="Times New Roman" w:eastAsia="宋体" w:cs="宋体"/>
                <w:color w:val="000000"/>
                <w:kern w:val="2"/>
                <w:sz w:val="24"/>
                <w:szCs w:val="24"/>
                <w:bdr w:val="none" w:color="auto" w:sz="0" w:space="0"/>
                <w:lang w:val="en-US" w:eastAsia="zh-CN" w:bidi="ar"/>
              </w:rPr>
              <w:t>网络安全产业城片区；环境管控单元类型：重点管控单元</w:t>
            </w:r>
            <w:r>
              <w:rPr>
                <w:rFonts w:hint="default" w:ascii="Times New Roman" w:hAnsi="Times New Roman" w:eastAsia="宋体" w:cs="Times New Roman"/>
                <w:color w:val="000000"/>
                <w:kern w:val="2"/>
                <w:sz w:val="24"/>
                <w:szCs w:val="24"/>
                <w:bdr w:val="none" w:color="auto" w:sz="0" w:space="0"/>
                <w:lang w:val="en-US" w:eastAsia="zh-CN" w:bidi="ar"/>
              </w:rPr>
              <w:t>4</w:t>
            </w:r>
            <w:r>
              <w:rPr>
                <w:rFonts w:hint="eastAsia" w:ascii="Times New Roman" w:hAnsi="Times New Roman" w:eastAsia="宋体" w:cs="宋体"/>
                <w:color w:val="000000"/>
                <w:kern w:val="2"/>
                <w:sz w:val="24"/>
                <w:szCs w:val="24"/>
                <w:bdr w:val="none" w:color="auto" w:sz="0" w:space="0"/>
                <w:lang w:val="en-US" w:eastAsia="zh-CN" w:bidi="ar"/>
              </w:rPr>
              <w:t>。</w:t>
            </w:r>
          </w:p>
          <w:p w14:paraId="2B8B1C46">
            <w:pPr>
              <w:keepNext w:val="0"/>
              <w:keepLines w:val="0"/>
              <w:widowControl w:val="0"/>
              <w:suppressLineNumbers w:val="0"/>
              <w:spacing w:before="0" w:beforeAutospacing="0" w:after="0" w:afterAutospacing="0" w:line="440" w:lineRule="exact"/>
              <w:ind w:left="0" w:right="0" w:firstLine="482"/>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扩建项目</w:t>
            </w:r>
            <w:r>
              <w:rPr>
                <w:rFonts w:hint="eastAsia" w:ascii="宋体" w:hAnsi="宋体" w:eastAsia="宋体" w:cs="宋体"/>
                <w:color w:val="000000"/>
                <w:kern w:val="2"/>
                <w:sz w:val="24"/>
                <w:szCs w:val="24"/>
                <w:bdr w:val="none" w:color="auto" w:sz="0" w:space="0"/>
                <w:lang w:val="en-US" w:eastAsia="zh-CN" w:bidi="ar"/>
              </w:rPr>
              <w:t>与“三线一单”生</w:t>
            </w:r>
            <w:r>
              <w:rPr>
                <w:rFonts w:hint="eastAsia" w:ascii="Times New Roman" w:hAnsi="Times New Roman" w:eastAsia="宋体" w:cs="宋体"/>
                <w:color w:val="000000"/>
                <w:kern w:val="2"/>
                <w:sz w:val="24"/>
                <w:szCs w:val="24"/>
                <w:bdr w:val="none" w:color="auto" w:sz="0" w:space="0"/>
                <w:lang w:val="en-US" w:eastAsia="zh-CN" w:bidi="ar"/>
              </w:rPr>
              <w:t>态环境分区管控要求的符合性分析见表</w:t>
            </w:r>
            <w:r>
              <w:rPr>
                <w:rFonts w:hint="default" w:ascii="Times New Roman" w:hAnsi="Times New Roman" w:eastAsia="宋体" w:cs="Times New Roman"/>
                <w:color w:val="000000"/>
                <w:kern w:val="2"/>
                <w:sz w:val="24"/>
                <w:szCs w:val="24"/>
                <w:bdr w:val="none" w:color="auto" w:sz="0" w:space="0"/>
                <w:lang w:val="en-US" w:eastAsia="zh-CN" w:bidi="ar"/>
              </w:rPr>
              <w:t>1.1</w:t>
            </w:r>
            <w:r>
              <w:rPr>
                <w:rFonts w:hint="eastAsia" w:ascii="Times New Roman" w:hAnsi="Times New Roman" w:eastAsia="宋体" w:cs="宋体"/>
                <w:color w:val="000000"/>
                <w:kern w:val="2"/>
                <w:sz w:val="24"/>
                <w:szCs w:val="24"/>
                <w:bdr w:val="none" w:color="auto" w:sz="0" w:space="0"/>
                <w:lang w:val="en-US" w:eastAsia="zh-CN" w:bidi="ar"/>
              </w:rPr>
              <w:t>。</w:t>
            </w:r>
          </w:p>
          <w:p w14:paraId="6271D7DC">
            <w:pPr>
              <w:keepNext w:val="0"/>
              <w:keepLines w:val="0"/>
              <w:widowControl w:val="0"/>
              <w:suppressLineNumbers w:val="0"/>
              <w:spacing w:before="0" w:beforeAutospacing="0" w:after="0" w:afterAutospacing="0" w:line="440" w:lineRule="exact"/>
              <w:ind w:left="0" w:right="0" w:firstLine="482"/>
              <w:jc w:val="center"/>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表</w:t>
            </w:r>
            <w:r>
              <w:rPr>
                <w:rFonts w:hint="default" w:ascii="Times New Roman" w:hAnsi="Calibri" w:eastAsia="宋体" w:cs="Times New Roman"/>
                <w:color w:val="000000"/>
                <w:kern w:val="2"/>
                <w:sz w:val="24"/>
                <w:szCs w:val="24"/>
                <w:bdr w:val="none" w:color="auto" w:sz="0" w:space="0"/>
                <w:lang w:val="en-US" w:eastAsia="zh-CN" w:bidi="ar"/>
              </w:rPr>
              <w:t xml:space="preserve">1.2-1  </w:t>
            </w:r>
            <w:r>
              <w:rPr>
                <w:rFonts w:hint="eastAsia" w:ascii="Times New Roman" w:hAnsi="Calibri" w:eastAsia="宋体" w:cs="宋体"/>
                <w:color w:val="000000"/>
                <w:kern w:val="2"/>
                <w:sz w:val="24"/>
                <w:szCs w:val="24"/>
                <w:bdr w:val="none" w:color="auto" w:sz="0" w:space="0"/>
                <w:lang w:val="en-US" w:eastAsia="zh-CN" w:bidi="ar"/>
              </w:rPr>
              <w:t>与“三线一单”生态环境分区管控要求的符合性</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Layout w:type="fixed"/>
              <w:tblCellMar>
                <w:top w:w="0" w:type="dxa"/>
                <w:left w:w="108" w:type="dxa"/>
                <w:bottom w:w="0" w:type="dxa"/>
                <w:right w:w="108" w:type="dxa"/>
              </w:tblCellMar>
            </w:tblPr>
            <w:tblGrid>
              <w:gridCol w:w="868"/>
              <w:gridCol w:w="14"/>
              <w:gridCol w:w="979"/>
              <w:gridCol w:w="3647"/>
              <w:gridCol w:w="1761"/>
              <w:gridCol w:w="7"/>
              <w:gridCol w:w="670"/>
            </w:tblGrid>
            <w:tr w14:paraId="42110EE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CellMar>
                  <w:top w:w="0" w:type="dxa"/>
                  <w:left w:w="108" w:type="dxa"/>
                  <w:bottom w:w="0" w:type="dxa"/>
                  <w:right w:w="108" w:type="dxa"/>
                </w:tblCellMar>
              </w:tblPrEx>
              <w:trPr>
                <w:jc w:val="center"/>
              </w:trPr>
              <w:tc>
                <w:tcPr>
                  <w:tcW w:w="1859" w:type="dxa"/>
                  <w:gridSpan w:val="3"/>
                  <w:tcBorders>
                    <w:top w:val="single" w:color="auto" w:sz="12" w:space="0"/>
                    <w:left w:val="nil"/>
                    <w:bottom w:val="single" w:color="auto" w:sz="4" w:space="0"/>
                    <w:right w:val="single" w:color="auto" w:sz="4" w:space="0"/>
                  </w:tcBorders>
                  <w:shd w:val="clear"/>
                  <w:noWrap/>
                  <w:tcMar>
                    <w:top w:w="28" w:type="dxa"/>
                    <w:left w:w="28" w:type="dxa"/>
                    <w:bottom w:w="28" w:type="dxa"/>
                    <w:right w:w="28" w:type="dxa"/>
                  </w:tcMar>
                  <w:vAlign w:val="center"/>
                </w:tcPr>
                <w:p w14:paraId="236C9E34">
                  <w:pPr>
                    <w:pStyle w:val="69"/>
                    <w:widowControl/>
                    <w:rPr>
                      <w:rFonts w:hint="default" w:ascii="Times New Roman" w:hAnsi="Calibri" w:cs="Times New Roman"/>
                      <w:color w:val="000000"/>
                      <w:bdr w:val="none" w:color="auto" w:sz="0" w:space="0"/>
                      <w:lang w:val="en-US"/>
                    </w:rPr>
                  </w:pPr>
                  <w:r>
                    <w:rPr>
                      <w:rFonts w:hint="eastAsia" w:ascii="Times New Roman" w:hAnsi="Calibri" w:eastAsia="宋体" w:cs="宋体"/>
                      <w:color w:val="000000"/>
                      <w:bdr w:val="none" w:color="auto" w:sz="0" w:space="0"/>
                    </w:rPr>
                    <w:t>环境管控单元</w:t>
                  </w:r>
                </w:p>
                <w:p w14:paraId="796B5B41">
                  <w:pPr>
                    <w:pStyle w:val="69"/>
                    <w:widowControl/>
                    <w:rPr>
                      <w:rFonts w:hint="default" w:ascii="Times New Roman" w:hAnsi="Times New Roman" w:cs="Times New Roman"/>
                      <w:color w:val="000000"/>
                      <w:bdr w:val="none" w:color="auto" w:sz="0" w:space="0"/>
                      <w:lang w:val="en-US"/>
                    </w:rPr>
                  </w:pPr>
                  <w:r>
                    <w:rPr>
                      <w:rFonts w:hint="eastAsia" w:ascii="Times New Roman" w:hAnsi="Calibri" w:eastAsia="宋体" w:cs="宋体"/>
                      <w:color w:val="000000"/>
                      <w:bdr w:val="none" w:color="auto" w:sz="0" w:space="0"/>
                    </w:rPr>
                    <w:t>编码</w:t>
                  </w:r>
                </w:p>
              </w:tc>
              <w:tc>
                <w:tcPr>
                  <w:tcW w:w="3639" w:type="dxa"/>
                  <w:tcBorders>
                    <w:top w:val="single" w:color="auto" w:sz="12"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1C7CEAEA">
                  <w:pPr>
                    <w:pStyle w:val="69"/>
                    <w:widowControl/>
                    <w:rPr>
                      <w:rFonts w:hint="default" w:ascii="Times New Roman" w:hAnsi="Times New Roman" w:cs="Times New Roman"/>
                      <w:color w:val="000000"/>
                      <w:bdr w:val="none" w:color="auto" w:sz="0" w:space="0"/>
                      <w:lang w:val="en-US"/>
                    </w:rPr>
                  </w:pPr>
                  <w:r>
                    <w:rPr>
                      <w:rFonts w:hint="eastAsia" w:ascii="Times New Roman" w:hAnsi="Calibri" w:eastAsia="宋体" w:cs="宋体"/>
                      <w:color w:val="000000"/>
                      <w:bdr w:val="none" w:color="auto" w:sz="0" w:space="0"/>
                    </w:rPr>
                    <w:t>环境管控单元名称</w:t>
                  </w:r>
                </w:p>
              </w:tc>
              <w:tc>
                <w:tcPr>
                  <w:tcW w:w="2434" w:type="dxa"/>
                  <w:gridSpan w:val="3"/>
                  <w:tcBorders>
                    <w:top w:val="single" w:color="auto" w:sz="12" w:space="0"/>
                    <w:left w:val="single" w:color="auto" w:sz="4" w:space="0"/>
                    <w:bottom w:val="single" w:color="auto" w:sz="4" w:space="0"/>
                    <w:right w:val="nil"/>
                  </w:tcBorders>
                  <w:shd w:val="clear"/>
                  <w:noWrap/>
                  <w:tcMar>
                    <w:top w:w="28" w:type="dxa"/>
                    <w:left w:w="28" w:type="dxa"/>
                    <w:bottom w:w="28" w:type="dxa"/>
                    <w:right w:w="28" w:type="dxa"/>
                  </w:tcMar>
                  <w:vAlign w:val="center"/>
                </w:tcPr>
                <w:p w14:paraId="231D0B0C">
                  <w:pPr>
                    <w:pStyle w:val="69"/>
                    <w:widowControl/>
                    <w:rPr>
                      <w:rFonts w:hint="default" w:ascii="Times New Roman" w:hAnsi="Times New Roman" w:cs="Times New Roman"/>
                      <w:color w:val="000000"/>
                      <w:bdr w:val="none" w:color="auto" w:sz="0" w:space="0"/>
                      <w:lang w:val="en-US"/>
                    </w:rPr>
                  </w:pPr>
                  <w:r>
                    <w:rPr>
                      <w:rFonts w:hint="eastAsia" w:ascii="Times New Roman" w:hAnsi="Calibri" w:eastAsia="宋体" w:cs="宋体"/>
                      <w:color w:val="000000"/>
                      <w:bdr w:val="none" w:color="auto" w:sz="0" w:space="0"/>
                    </w:rPr>
                    <w:t>环境管控单元类型</w:t>
                  </w:r>
                </w:p>
              </w:tc>
            </w:tr>
            <w:tr w14:paraId="70BA2A8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859" w:type="dxa"/>
                  <w:gridSpan w:val="3"/>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7BB9CE1B">
                  <w:pPr>
                    <w:pStyle w:val="69"/>
                    <w:widowControl/>
                    <w:rPr>
                      <w:rFonts w:hint="default" w:ascii="Times New Roman" w:hAnsi="Times New Roman" w:cs="Times New Roman"/>
                      <w:color w:val="000000"/>
                      <w:bdr w:val="none" w:color="auto" w:sz="0" w:space="0"/>
                      <w:lang w:val="en-US"/>
                    </w:rPr>
                  </w:pPr>
                  <w:r>
                    <w:rPr>
                      <w:rFonts w:hint="default" w:ascii="Times New Roman" w:hAnsi="Times New Roman" w:cs="Times New Roman"/>
                      <w:color w:val="000000"/>
                      <w:bdr w:val="none" w:color="auto" w:sz="0" w:space="0"/>
                      <w:lang w:val="en-US"/>
                    </w:rPr>
                    <w:t>ZH50011720004</w:t>
                  </w: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40706CBB">
                  <w:pPr>
                    <w:pStyle w:val="69"/>
                    <w:widowControl/>
                    <w:rPr>
                      <w:rFonts w:hint="default" w:ascii="Times New Roman" w:hAnsi="Times New Roman" w:cs="Times New Roman"/>
                      <w:color w:val="000000"/>
                      <w:bdr w:val="none" w:color="auto" w:sz="0" w:space="0"/>
                      <w:lang w:val="en-US"/>
                    </w:rPr>
                  </w:pPr>
                  <w:r>
                    <w:rPr>
                      <w:rFonts w:hint="eastAsia" w:ascii="Times New Roman" w:hAnsi="Calibri" w:eastAsia="宋体" w:cs="宋体"/>
                      <w:color w:val="000000"/>
                      <w:bdr w:val="none" w:color="auto" w:sz="0" w:space="0"/>
                    </w:rPr>
                    <w:t>合川区重点管控单元</w:t>
                  </w:r>
                  <w:r>
                    <w:rPr>
                      <w:rFonts w:hint="default" w:ascii="Times New Roman" w:hAnsi="Calibri" w:cs="Times New Roman"/>
                      <w:color w:val="000000"/>
                      <w:bdr w:val="none" w:color="auto" w:sz="0" w:space="0"/>
                      <w:lang w:val="en-US"/>
                    </w:rPr>
                    <w:t>-</w:t>
                  </w:r>
                  <w:r>
                    <w:rPr>
                      <w:rFonts w:hint="eastAsia" w:ascii="Times New Roman" w:hAnsi="Calibri" w:eastAsia="宋体" w:cs="宋体"/>
                      <w:color w:val="000000"/>
                      <w:bdr w:val="none" w:color="auto" w:sz="0" w:space="0"/>
                    </w:rPr>
                    <w:t>网络安全产业城片区</w:t>
                  </w:r>
                </w:p>
              </w:tc>
              <w:tc>
                <w:tcPr>
                  <w:tcW w:w="2434" w:type="dxa"/>
                  <w:gridSpan w:val="3"/>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67107F89">
                  <w:pPr>
                    <w:pStyle w:val="69"/>
                    <w:widowControl/>
                    <w:rPr>
                      <w:rFonts w:hint="default" w:ascii="Times New Roman" w:hAnsi="Times New Roman" w:cs="Times New Roman"/>
                      <w:color w:val="000000"/>
                      <w:bdr w:val="none" w:color="auto" w:sz="0" w:space="0"/>
                      <w:lang w:val="en-US"/>
                    </w:rPr>
                  </w:pPr>
                  <w:r>
                    <w:rPr>
                      <w:rFonts w:hint="eastAsia" w:ascii="Times New Roman" w:hAnsi="Calibri" w:eastAsia="宋体" w:cs="宋体"/>
                      <w:color w:val="000000"/>
                      <w:bdr w:val="none" w:color="auto" w:sz="0" w:space="0"/>
                    </w:rPr>
                    <w:t>重点管控单元</w:t>
                  </w:r>
                </w:p>
              </w:tc>
            </w:tr>
            <w:tr w14:paraId="71EBD3A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3AE01E83">
                  <w:pPr>
                    <w:pStyle w:val="69"/>
                    <w:widowControl/>
                    <w:rPr>
                      <w:rFonts w:hint="default" w:ascii="Times New Roman" w:hAnsi="Times New Roman" w:cs="Times New Roman"/>
                      <w:color w:val="000000"/>
                      <w:bdr w:val="none" w:color="auto" w:sz="0" w:space="0"/>
                      <w:lang w:val="en-US"/>
                    </w:rPr>
                  </w:pPr>
                  <w:r>
                    <w:rPr>
                      <w:rFonts w:hint="eastAsia" w:ascii="Times New Roman" w:hAnsi="Calibri" w:eastAsia="宋体" w:cs="宋体"/>
                      <w:color w:val="000000"/>
                      <w:bdr w:val="none" w:color="auto" w:sz="0" w:space="0"/>
                    </w:rPr>
                    <w:t>管控要求层级</w:t>
                  </w:r>
                </w:p>
              </w:tc>
              <w:tc>
                <w:tcPr>
                  <w:tcW w:w="978"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43F4D1A7">
                  <w:pPr>
                    <w:pStyle w:val="69"/>
                    <w:widowControl/>
                    <w:rPr>
                      <w:rFonts w:hint="default" w:ascii="Times New Roman" w:hAnsi="Times New Roman" w:cs="Times New Roman"/>
                      <w:color w:val="000000"/>
                      <w:bdr w:val="none" w:color="auto" w:sz="0" w:space="0"/>
                      <w:lang w:val="en-US"/>
                    </w:rPr>
                  </w:pPr>
                  <w:r>
                    <w:rPr>
                      <w:rFonts w:hint="eastAsia" w:ascii="Times New Roman" w:hAnsi="Calibri" w:eastAsia="宋体" w:cs="宋体"/>
                      <w:color w:val="000000"/>
                      <w:bdr w:val="none" w:color="auto" w:sz="0" w:space="0"/>
                    </w:rPr>
                    <w:t>管控</w:t>
                  </w:r>
                </w:p>
                <w:p w14:paraId="6FCA835F">
                  <w:pPr>
                    <w:pStyle w:val="69"/>
                    <w:widowControl/>
                    <w:rPr>
                      <w:rFonts w:hint="default" w:ascii="Times New Roman" w:hAnsi="Times New Roman" w:cs="Times New Roman"/>
                      <w:color w:val="000000"/>
                      <w:bdr w:val="none" w:color="auto" w:sz="0" w:space="0"/>
                      <w:lang w:val="en-US"/>
                    </w:rPr>
                  </w:pPr>
                  <w:r>
                    <w:rPr>
                      <w:rFonts w:hint="eastAsia" w:ascii="Times New Roman" w:hAnsi="Calibri" w:eastAsia="宋体" w:cs="宋体"/>
                      <w:color w:val="000000"/>
                      <w:bdr w:val="none" w:color="auto" w:sz="0" w:space="0"/>
                    </w:rPr>
                    <w:t>类型</w:t>
                  </w: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084132FD">
                  <w:pPr>
                    <w:pStyle w:val="69"/>
                    <w:widowControl/>
                    <w:rPr>
                      <w:rFonts w:hint="default" w:ascii="Times New Roman" w:hAnsi="Times New Roman" w:cs="Times New Roman"/>
                      <w:color w:val="000000"/>
                      <w:bdr w:val="none" w:color="auto" w:sz="0" w:space="0"/>
                      <w:lang w:val="en-US"/>
                    </w:rPr>
                  </w:pPr>
                  <w:r>
                    <w:rPr>
                      <w:rFonts w:hint="eastAsia" w:ascii="Times New Roman" w:hAnsi="Calibri" w:eastAsia="宋体" w:cs="宋体"/>
                      <w:color w:val="000000"/>
                      <w:bdr w:val="none" w:color="auto" w:sz="0" w:space="0"/>
                    </w:rPr>
                    <w:t>管控要求</w:t>
                  </w:r>
                </w:p>
              </w:tc>
              <w:tc>
                <w:tcPr>
                  <w:tcW w:w="1758"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262E9AEE">
                  <w:pPr>
                    <w:pStyle w:val="69"/>
                    <w:widowControl/>
                    <w:rPr>
                      <w:rFonts w:hint="default" w:ascii="Times New Roman" w:hAnsi="Times New Roman" w:cs="Times New Roman"/>
                      <w:color w:val="000000"/>
                      <w:bdr w:val="none" w:color="auto" w:sz="0" w:space="0"/>
                      <w:lang w:val="en-US"/>
                    </w:rPr>
                  </w:pPr>
                  <w:r>
                    <w:rPr>
                      <w:rFonts w:hint="eastAsia" w:ascii="Times New Roman" w:hAnsi="Calibri" w:eastAsia="宋体" w:cs="宋体"/>
                      <w:color w:val="000000"/>
                      <w:bdr w:val="none" w:color="auto" w:sz="0" w:space="0"/>
                    </w:rPr>
                    <w:t>建设项目相关情况</w:t>
                  </w:r>
                </w:p>
              </w:tc>
              <w:tc>
                <w:tcPr>
                  <w:tcW w:w="676" w:type="dxa"/>
                  <w:gridSpan w:val="2"/>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564478D5">
                  <w:pPr>
                    <w:pStyle w:val="69"/>
                    <w:widowControl/>
                    <w:rPr>
                      <w:rFonts w:hint="default" w:ascii="Times New Roman" w:hAnsi="Times New Roman" w:cs="Times New Roman"/>
                      <w:color w:val="000000"/>
                      <w:bdr w:val="none" w:color="auto" w:sz="0" w:space="0"/>
                      <w:lang w:val="en-US"/>
                    </w:rPr>
                  </w:pPr>
                  <w:r>
                    <w:rPr>
                      <w:rFonts w:hint="eastAsia" w:ascii="Times New Roman" w:hAnsi="Calibri" w:eastAsia="宋体" w:cs="宋体"/>
                      <w:color w:val="000000"/>
                      <w:bdr w:val="none" w:color="auto" w:sz="0" w:space="0"/>
                    </w:rPr>
                    <w:t>符合性</w:t>
                  </w:r>
                </w:p>
              </w:tc>
            </w:tr>
            <w:tr w14:paraId="5594025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restart"/>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69C16C5B">
                  <w:pPr>
                    <w:pStyle w:val="69"/>
                    <w:widowControl/>
                    <w:rPr>
                      <w:rFonts w:hint="default" w:ascii="Times New Roman" w:hAnsi="Times New Roman" w:cs="Times New Roman"/>
                      <w:color w:val="000000"/>
                      <w:bdr w:val="none" w:color="auto" w:sz="0" w:space="0"/>
                      <w:lang w:val="en-US"/>
                    </w:rPr>
                  </w:pPr>
                  <w:r>
                    <w:rPr>
                      <w:rFonts w:hint="eastAsia" w:ascii="Times New Roman" w:hAnsi="Calibri" w:eastAsia="宋体" w:cs="宋体"/>
                      <w:color w:val="000000"/>
                      <w:bdr w:val="none" w:color="auto" w:sz="0" w:space="0"/>
                    </w:rPr>
                    <w:t>全市总体管控要求</w:t>
                  </w:r>
                </w:p>
              </w:tc>
              <w:tc>
                <w:tcPr>
                  <w:tcW w:w="978" w:type="dxa"/>
                  <w:vMerge w:val="restart"/>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321D768C">
                  <w:pPr>
                    <w:pStyle w:val="69"/>
                    <w:widowControl/>
                    <w:rPr>
                      <w:rFonts w:hint="default" w:ascii="Times New Roman" w:hAnsi="Times New Roman" w:cs="Times New Roman"/>
                      <w:color w:val="000000"/>
                      <w:bdr w:val="none" w:color="auto" w:sz="0" w:space="0"/>
                      <w:lang w:val="en-US"/>
                    </w:rPr>
                  </w:pPr>
                  <w:r>
                    <w:rPr>
                      <w:rFonts w:hint="eastAsia" w:ascii="Times New Roman" w:hAnsi="Calibri" w:eastAsia="宋体" w:cs="宋体"/>
                      <w:color w:val="000000"/>
                      <w:bdr w:val="none" w:color="auto" w:sz="0" w:space="0"/>
                    </w:rPr>
                    <w:t>空间布局约束</w:t>
                  </w: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21141337">
                  <w:pPr>
                    <w:pStyle w:val="69"/>
                    <w:widowControl/>
                    <w:spacing w:line="300" w:lineRule="exact"/>
                    <w:jc w:val="left"/>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rPr>
                    <w:t>第一条</w:t>
                  </w:r>
                  <w:r>
                    <w:rPr>
                      <w:rFonts w:hint="default" w:ascii="Times New Roman" w:hAnsi="Times New Roman" w:cs="Times New Roman"/>
                      <w:color w:val="000000"/>
                      <w:szCs w:val="21"/>
                      <w:bdr w:val="none" w:color="auto" w:sz="0" w:space="0"/>
                    </w:rPr>
                    <w:t xml:space="preserve"> </w:t>
                  </w:r>
                  <w:r>
                    <w:rPr>
                      <w:rFonts w:hint="eastAsia" w:ascii="Times New Roman" w:hAnsi="Times New Roman" w:eastAsia="宋体" w:cs="宋体"/>
                      <w:color w:val="000000"/>
                      <w:szCs w:val="21"/>
                      <w:bdr w:val="none" w:color="auto" w:sz="0" w:space="0"/>
                    </w:rPr>
                    <w:t>深入贯彻习近平生态文明思想，筑牢长江上游重要生态屏障，推动优势区域重点发展、生态功能区重点保护、城乡融合发展，优化重点区域、流域、产业的空间布局。</w:t>
                  </w:r>
                </w:p>
              </w:tc>
              <w:tc>
                <w:tcPr>
                  <w:tcW w:w="1758"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5ABC5F55">
                  <w:pPr>
                    <w:pStyle w:val="69"/>
                    <w:widowControl/>
                    <w:spacing w:line="300" w:lineRule="exact"/>
                    <w:jc w:val="both"/>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rPr>
                    <w:t>扩建项目满足相关要求。</w:t>
                  </w:r>
                </w:p>
              </w:tc>
              <w:tc>
                <w:tcPr>
                  <w:tcW w:w="676" w:type="dxa"/>
                  <w:gridSpan w:val="2"/>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527AA508">
                  <w:pPr>
                    <w:pStyle w:val="69"/>
                    <w:widowControl/>
                    <w:rPr>
                      <w:rFonts w:hint="default" w:ascii="Times New Roman" w:hAnsi="Times New Roman" w:cs="Times New Roman"/>
                      <w:color w:val="000000"/>
                      <w:bdr w:val="none" w:color="auto" w:sz="0" w:space="0"/>
                      <w:lang w:val="en-US"/>
                    </w:rPr>
                  </w:pPr>
                  <w:r>
                    <w:rPr>
                      <w:rFonts w:hint="eastAsia" w:ascii="Times New Roman" w:hAnsi="Calibri" w:eastAsia="宋体" w:cs="宋体"/>
                      <w:color w:val="000000"/>
                      <w:bdr w:val="none" w:color="auto" w:sz="0" w:space="0"/>
                    </w:rPr>
                    <w:t>符合</w:t>
                  </w:r>
                </w:p>
              </w:tc>
            </w:tr>
            <w:tr w14:paraId="409B2ED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05E8F2F3">
                  <w:pPr>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188667E9">
                  <w:pPr>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734E7B5C">
                  <w:pPr>
                    <w:pStyle w:val="69"/>
                    <w:widowControl/>
                    <w:spacing w:line="300" w:lineRule="exact"/>
                    <w:jc w:val="left"/>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rPr>
                    <w:t>第二条</w:t>
                  </w:r>
                  <w:r>
                    <w:rPr>
                      <w:rFonts w:hint="default" w:ascii="Times New Roman" w:hAnsi="Times New Roman" w:cs="Times New Roman"/>
                      <w:color w:val="000000"/>
                      <w:szCs w:val="21"/>
                      <w:bdr w:val="none" w:color="auto" w:sz="0" w:space="0"/>
                    </w:rPr>
                    <w:t xml:space="preserve"> </w:t>
                  </w:r>
                  <w:r>
                    <w:rPr>
                      <w:rFonts w:hint="eastAsia" w:ascii="Times New Roman" w:hAnsi="Times New Roman" w:eastAsia="宋体" w:cs="宋体"/>
                      <w:color w:val="000000"/>
                      <w:szCs w:val="21"/>
                      <w:bdr w:val="none" w:color="auto" w:sz="0" w:space="0"/>
                    </w:rPr>
                    <w:t>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tc>
              <w:tc>
                <w:tcPr>
                  <w:tcW w:w="1758"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0178E095">
                  <w:pPr>
                    <w:pStyle w:val="69"/>
                    <w:widowControl/>
                    <w:spacing w:line="300" w:lineRule="exact"/>
                    <w:jc w:val="both"/>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rPr>
                    <w:t>扩建项目位于合川工业园南溪组团</w:t>
                  </w:r>
                  <w:r>
                    <w:rPr>
                      <w:rFonts w:hint="default" w:ascii="Times New Roman" w:hAnsi="Times New Roman" w:cs="Times New Roman"/>
                      <w:color w:val="000000"/>
                      <w:szCs w:val="21"/>
                      <w:bdr w:val="none" w:color="auto" w:sz="0" w:space="0"/>
                      <w:lang w:val="en-US"/>
                    </w:rPr>
                    <w:t>B</w:t>
                  </w:r>
                  <w:r>
                    <w:rPr>
                      <w:rFonts w:hint="eastAsia" w:ascii="Times New Roman" w:hAnsi="Times New Roman" w:eastAsia="宋体" w:cs="宋体"/>
                      <w:color w:val="000000"/>
                      <w:szCs w:val="21"/>
                      <w:bdr w:val="none" w:color="auto" w:sz="0" w:space="0"/>
                    </w:rPr>
                    <w:t>区，不在长江干支流、嘉陵江等岸线</w:t>
                  </w:r>
                  <w:r>
                    <w:rPr>
                      <w:rFonts w:hint="default" w:ascii="Times New Roman" w:hAnsi="Times New Roman" w:cs="Times New Roman"/>
                      <w:color w:val="000000"/>
                      <w:szCs w:val="21"/>
                      <w:bdr w:val="none" w:color="auto" w:sz="0" w:space="0"/>
                      <w:lang w:val="en-US"/>
                    </w:rPr>
                    <w:t>1km</w:t>
                  </w:r>
                  <w:r>
                    <w:rPr>
                      <w:rFonts w:hint="eastAsia" w:ascii="Times New Roman" w:hAnsi="Times New Roman" w:eastAsia="宋体" w:cs="宋体"/>
                      <w:color w:val="000000"/>
                      <w:szCs w:val="21"/>
                      <w:bdr w:val="none" w:color="auto" w:sz="0" w:space="0"/>
                    </w:rPr>
                    <w:t>范围内，不属于重化工、印染等污染风险大的项目。</w:t>
                  </w:r>
                </w:p>
              </w:tc>
              <w:tc>
                <w:tcPr>
                  <w:tcW w:w="676" w:type="dxa"/>
                  <w:gridSpan w:val="2"/>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780F1697">
                  <w:pPr>
                    <w:pStyle w:val="69"/>
                    <w:widowControl/>
                    <w:rPr>
                      <w:rFonts w:hint="default" w:ascii="Times New Roman" w:hAnsi="Times New Roman" w:cs="Times New Roman"/>
                      <w:color w:val="000000"/>
                      <w:bdr w:val="none" w:color="auto" w:sz="0" w:space="0"/>
                      <w:lang w:val="en-US"/>
                    </w:rPr>
                  </w:pPr>
                  <w:r>
                    <w:rPr>
                      <w:rFonts w:hint="eastAsia" w:ascii="Times New Roman" w:hAnsi="Calibri" w:eastAsia="宋体" w:cs="宋体"/>
                      <w:color w:val="000000"/>
                      <w:bdr w:val="none" w:color="auto" w:sz="0" w:space="0"/>
                    </w:rPr>
                    <w:t>符合</w:t>
                  </w:r>
                </w:p>
              </w:tc>
            </w:tr>
            <w:tr w14:paraId="55B1B1A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4CE1F163">
                  <w:pPr>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20FE2D09">
                  <w:pPr>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558FAC03">
                  <w:pPr>
                    <w:pStyle w:val="69"/>
                    <w:widowControl/>
                    <w:spacing w:line="300" w:lineRule="exact"/>
                    <w:jc w:val="left"/>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rPr>
                    <w:t>第三条</w:t>
                  </w:r>
                  <w:r>
                    <w:rPr>
                      <w:rFonts w:hint="default" w:ascii="Times New Roman" w:hAnsi="Times New Roman" w:cs="Times New Roman"/>
                      <w:color w:val="000000"/>
                      <w:szCs w:val="21"/>
                      <w:bdr w:val="none" w:color="auto" w:sz="0" w:space="0"/>
                    </w:rPr>
                    <w:t xml:space="preserve"> </w:t>
                  </w:r>
                  <w:r>
                    <w:rPr>
                      <w:rFonts w:hint="eastAsia" w:ascii="Times New Roman" w:hAnsi="Times New Roman" w:eastAsia="宋体" w:cs="宋体"/>
                      <w:color w:val="000000"/>
                      <w:szCs w:val="21"/>
                      <w:bdr w:val="none" w:color="auto" w:sz="0" w:space="0"/>
                    </w:rPr>
                    <w:t>禁止在合规园区外新建、扩建钢铁、石化、化工、焦化、建材、有色、制浆造纸等高污染项目（高污染项目严格按照《环境保护综合名录》</w:t>
                  </w:r>
                  <w:r>
                    <w:rPr>
                      <w:rFonts w:hint="default" w:ascii="Times New Roman" w:hAnsi="Times New Roman" w:cs="Times New Roman"/>
                      <w:color w:val="000000"/>
                      <w:szCs w:val="21"/>
                      <w:bdr w:val="none" w:color="auto" w:sz="0" w:space="0"/>
                      <w:lang w:val="en-US"/>
                    </w:rPr>
                    <w:t>“</w:t>
                  </w:r>
                  <w:r>
                    <w:rPr>
                      <w:rFonts w:hint="eastAsia" w:ascii="Times New Roman" w:hAnsi="Times New Roman" w:eastAsia="宋体" w:cs="宋体"/>
                      <w:color w:val="000000"/>
                      <w:szCs w:val="21"/>
                      <w:bdr w:val="none" w:color="auto" w:sz="0" w:space="0"/>
                    </w:rPr>
                    <w:t>高污染</w:t>
                  </w:r>
                  <w:r>
                    <w:rPr>
                      <w:rFonts w:hint="default" w:ascii="Times New Roman" w:hAnsi="Times New Roman" w:cs="Times New Roman"/>
                      <w:color w:val="000000"/>
                      <w:szCs w:val="21"/>
                      <w:bdr w:val="none" w:color="auto" w:sz="0" w:space="0"/>
                      <w:lang w:val="en-US"/>
                    </w:rPr>
                    <w:t>”</w:t>
                  </w:r>
                  <w:r>
                    <w:rPr>
                      <w:rFonts w:hint="eastAsia" w:ascii="Times New Roman" w:hAnsi="Times New Roman" w:eastAsia="宋体" w:cs="宋体"/>
                      <w:color w:val="000000"/>
                      <w:szCs w:val="21"/>
                      <w:bdr w:val="none" w:color="auto" w:sz="0" w:space="0"/>
                    </w:rPr>
                    <w:t>产品名录执行）。禁止新建、扩建不符合国家石化、现代煤化工等产业布局规划的项目。新建、改建、扩建</w:t>
                  </w:r>
                  <w:r>
                    <w:rPr>
                      <w:rFonts w:hint="default" w:ascii="Times New Roman" w:hAnsi="Times New Roman" w:cs="Times New Roman"/>
                      <w:color w:val="000000"/>
                      <w:szCs w:val="21"/>
                      <w:bdr w:val="none" w:color="auto" w:sz="0" w:space="0"/>
                      <w:lang w:val="en-US"/>
                    </w:rPr>
                    <w:t>“</w:t>
                  </w:r>
                  <w:r>
                    <w:rPr>
                      <w:rFonts w:hint="eastAsia" w:ascii="Times New Roman" w:hAnsi="Times New Roman" w:eastAsia="宋体" w:cs="宋体"/>
                      <w:color w:val="000000"/>
                      <w:szCs w:val="21"/>
                      <w:bdr w:val="none" w:color="auto" w:sz="0" w:space="0"/>
                    </w:rPr>
                    <w:t>两高</w:t>
                  </w:r>
                  <w:r>
                    <w:rPr>
                      <w:rFonts w:hint="default" w:ascii="Times New Roman" w:hAnsi="Times New Roman" w:cs="Times New Roman"/>
                      <w:color w:val="000000"/>
                      <w:szCs w:val="21"/>
                      <w:bdr w:val="none" w:color="auto" w:sz="0" w:space="0"/>
                      <w:lang w:val="en-US"/>
                    </w:rPr>
                    <w:t>”</w:t>
                  </w:r>
                  <w:r>
                    <w:rPr>
                      <w:rFonts w:hint="eastAsia" w:ascii="Times New Roman" w:hAnsi="Times New Roman" w:eastAsia="宋体" w:cs="宋体"/>
                      <w:color w:val="000000"/>
                      <w:szCs w:val="21"/>
                      <w:bdr w:val="none" w:color="auto" w:sz="0" w:space="0"/>
                    </w:rPr>
                    <w:t>项目须符合生态环境保护法律法规和相关法定规划，满足重点污染物排放总量控制、碳排放达峰目标、生态环境准入清单、相关规划环评和相应行业建设项目环境准入条件、环评文件审批原则要求。</w:t>
                  </w:r>
                </w:p>
              </w:tc>
              <w:tc>
                <w:tcPr>
                  <w:tcW w:w="1758"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4AFFAAB6">
                  <w:pPr>
                    <w:pStyle w:val="69"/>
                    <w:widowControl/>
                    <w:spacing w:line="300" w:lineRule="exact"/>
                    <w:jc w:val="both"/>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lang w:bidi="ar"/>
                    </w:rPr>
                    <w:t>扩建项目</w:t>
                  </w:r>
                  <w:r>
                    <w:rPr>
                      <w:rFonts w:hint="eastAsia" w:ascii="Times New Roman" w:hAnsi="Times New Roman" w:eastAsia="宋体" w:cs="宋体"/>
                      <w:color w:val="000000"/>
                      <w:szCs w:val="21"/>
                      <w:bdr w:val="none" w:color="auto" w:sz="0" w:space="0"/>
                    </w:rPr>
                    <w:t>不属于高污染项目，不属于</w:t>
                  </w:r>
                  <w:r>
                    <w:rPr>
                      <w:rFonts w:hint="default" w:ascii="Times New Roman" w:hAnsi="Times New Roman" w:cs="Times New Roman"/>
                      <w:color w:val="000000"/>
                      <w:szCs w:val="21"/>
                      <w:bdr w:val="none" w:color="auto" w:sz="0" w:space="0"/>
                      <w:lang w:val="en-US"/>
                    </w:rPr>
                    <w:t>“</w:t>
                  </w:r>
                  <w:r>
                    <w:rPr>
                      <w:rFonts w:hint="eastAsia" w:ascii="Times New Roman" w:hAnsi="Times New Roman" w:eastAsia="宋体" w:cs="宋体"/>
                      <w:color w:val="000000"/>
                      <w:szCs w:val="21"/>
                      <w:bdr w:val="none" w:color="auto" w:sz="0" w:space="0"/>
                    </w:rPr>
                    <w:t>两高</w:t>
                  </w:r>
                  <w:r>
                    <w:rPr>
                      <w:rFonts w:hint="default" w:ascii="Times New Roman" w:hAnsi="Times New Roman" w:cs="Times New Roman"/>
                      <w:color w:val="000000"/>
                      <w:szCs w:val="21"/>
                      <w:bdr w:val="none" w:color="auto" w:sz="0" w:space="0"/>
                      <w:lang w:val="en-US"/>
                    </w:rPr>
                    <w:t>”</w:t>
                  </w:r>
                  <w:r>
                    <w:rPr>
                      <w:rFonts w:hint="eastAsia" w:ascii="Times New Roman" w:hAnsi="Times New Roman" w:eastAsia="宋体" w:cs="宋体"/>
                      <w:color w:val="000000"/>
                      <w:szCs w:val="21"/>
                      <w:bdr w:val="none" w:color="auto" w:sz="0" w:space="0"/>
                    </w:rPr>
                    <w:t>项目，满足相关法规要求。符合园区准入要求。</w:t>
                  </w:r>
                </w:p>
              </w:tc>
              <w:tc>
                <w:tcPr>
                  <w:tcW w:w="676" w:type="dxa"/>
                  <w:gridSpan w:val="2"/>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3D9D7D3A">
                  <w:pPr>
                    <w:pStyle w:val="69"/>
                    <w:widowControl/>
                    <w:rPr>
                      <w:rFonts w:hint="default" w:ascii="Times New Roman" w:hAnsi="Times New Roman" w:cs="Times New Roman"/>
                      <w:color w:val="000000"/>
                      <w:bdr w:val="none" w:color="auto" w:sz="0" w:space="0"/>
                      <w:lang w:val="en-US"/>
                    </w:rPr>
                  </w:pPr>
                  <w:r>
                    <w:rPr>
                      <w:rFonts w:hint="eastAsia" w:ascii="Times New Roman" w:hAnsi="Calibri" w:eastAsia="宋体" w:cs="宋体"/>
                      <w:color w:val="000000"/>
                      <w:bdr w:val="none" w:color="auto" w:sz="0" w:space="0"/>
                    </w:rPr>
                    <w:t>符合</w:t>
                  </w:r>
                </w:p>
              </w:tc>
            </w:tr>
            <w:tr w14:paraId="3EB8982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31191D88">
                  <w:pPr>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4388ECE3">
                  <w:pPr>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66153817">
                  <w:pPr>
                    <w:pStyle w:val="69"/>
                    <w:widowControl/>
                    <w:spacing w:line="300" w:lineRule="exact"/>
                    <w:jc w:val="left"/>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rPr>
                    <w:t>第四条</w:t>
                  </w:r>
                  <w:r>
                    <w:rPr>
                      <w:rFonts w:hint="default" w:ascii="Times New Roman" w:hAnsi="Times New Roman" w:cs="Times New Roman"/>
                      <w:color w:val="000000"/>
                      <w:szCs w:val="21"/>
                      <w:bdr w:val="none" w:color="auto" w:sz="0" w:space="0"/>
                    </w:rPr>
                    <w:t xml:space="preserve"> </w:t>
                  </w:r>
                  <w:r>
                    <w:rPr>
                      <w:rFonts w:hint="eastAsia" w:ascii="Times New Roman" w:hAnsi="Times New Roman" w:eastAsia="宋体" w:cs="宋体"/>
                      <w:color w:val="000000"/>
                      <w:szCs w:val="21"/>
                      <w:bdr w:val="none" w:color="auto" w:sz="0" w:space="0"/>
                    </w:rPr>
                    <w:t>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tc>
              <w:tc>
                <w:tcPr>
                  <w:tcW w:w="1758"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671A11FD">
                  <w:pPr>
                    <w:pStyle w:val="69"/>
                    <w:widowControl/>
                    <w:spacing w:line="300" w:lineRule="exact"/>
                    <w:jc w:val="both"/>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rPr>
                    <w:t>扩建项目不属于高耗能、高排放项目；</w:t>
                  </w:r>
                  <w:r>
                    <w:rPr>
                      <w:rFonts w:hint="eastAsia" w:ascii="Times New Roman" w:hAnsi="Times New Roman" w:eastAsia="宋体" w:cs="宋体"/>
                      <w:color w:val="000000"/>
                      <w:szCs w:val="21"/>
                      <w:bdr w:val="none" w:color="auto" w:sz="0" w:space="0"/>
                      <w:lang w:bidi="ar"/>
                    </w:rPr>
                    <w:t>扩建项目</w:t>
                  </w:r>
                  <w:r>
                    <w:rPr>
                      <w:rFonts w:hint="eastAsia" w:ascii="Times New Roman" w:hAnsi="Times New Roman" w:eastAsia="宋体" w:cs="宋体"/>
                      <w:color w:val="000000"/>
                      <w:szCs w:val="21"/>
                      <w:bdr w:val="none" w:color="auto" w:sz="0" w:space="0"/>
                    </w:rPr>
                    <w:t>位于合川工业园南溪组团</w:t>
                  </w:r>
                  <w:r>
                    <w:rPr>
                      <w:rFonts w:hint="default" w:ascii="Times New Roman" w:hAnsi="Times New Roman" w:cs="Times New Roman"/>
                      <w:color w:val="000000"/>
                      <w:szCs w:val="21"/>
                      <w:bdr w:val="none" w:color="auto" w:sz="0" w:space="0"/>
                      <w:lang w:val="en-US"/>
                    </w:rPr>
                    <w:t>B</w:t>
                  </w:r>
                  <w:r>
                    <w:rPr>
                      <w:rFonts w:hint="eastAsia" w:ascii="Times New Roman" w:hAnsi="Times New Roman" w:eastAsia="宋体" w:cs="宋体"/>
                      <w:color w:val="000000"/>
                      <w:szCs w:val="21"/>
                      <w:bdr w:val="none" w:color="auto" w:sz="0" w:space="0"/>
                    </w:rPr>
                    <w:t>区，符合园区准入要求。</w:t>
                  </w:r>
                </w:p>
              </w:tc>
              <w:tc>
                <w:tcPr>
                  <w:tcW w:w="676" w:type="dxa"/>
                  <w:gridSpan w:val="2"/>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7EEE03DB">
                  <w:pPr>
                    <w:pStyle w:val="69"/>
                    <w:widowControl/>
                    <w:rPr>
                      <w:rFonts w:hint="default" w:ascii="Times New Roman" w:hAnsi="Times New Roman" w:cs="Times New Roman"/>
                      <w:color w:val="000000"/>
                      <w:bdr w:val="none" w:color="auto" w:sz="0" w:space="0"/>
                      <w:lang w:val="en-US"/>
                    </w:rPr>
                  </w:pPr>
                  <w:r>
                    <w:rPr>
                      <w:rFonts w:hint="eastAsia" w:ascii="Times New Roman" w:hAnsi="Times New Roman" w:eastAsia="宋体" w:cs="宋体"/>
                      <w:color w:val="000000"/>
                      <w:bdr w:val="none" w:color="auto" w:sz="0" w:space="0"/>
                    </w:rPr>
                    <w:t>符合</w:t>
                  </w:r>
                </w:p>
              </w:tc>
            </w:tr>
            <w:tr w14:paraId="55FF6E4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00142C53">
                  <w:pPr>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6540A8F9">
                  <w:pPr>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535AD4CD">
                  <w:pPr>
                    <w:pStyle w:val="69"/>
                    <w:widowControl/>
                    <w:spacing w:line="300" w:lineRule="exact"/>
                    <w:jc w:val="left"/>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rPr>
                    <w:t>第五条</w:t>
                  </w:r>
                  <w:r>
                    <w:rPr>
                      <w:rFonts w:hint="default" w:ascii="Times New Roman" w:hAnsi="Times New Roman" w:cs="Times New Roman"/>
                      <w:color w:val="000000"/>
                      <w:szCs w:val="21"/>
                      <w:bdr w:val="none" w:color="auto" w:sz="0" w:space="0"/>
                    </w:rPr>
                    <w:t xml:space="preserve"> </w:t>
                  </w:r>
                  <w:r>
                    <w:rPr>
                      <w:rFonts w:hint="eastAsia" w:ascii="Times New Roman" w:hAnsi="Times New Roman" w:eastAsia="宋体" w:cs="宋体"/>
                      <w:color w:val="000000"/>
                      <w:szCs w:val="21"/>
                      <w:bdr w:val="none" w:color="auto" w:sz="0" w:space="0"/>
                    </w:rPr>
                    <w:t>新建、扩建有色金属冶炼、电镀、铅蓄电池等企业应布设在依法合规设立并经过规划环评的产业园区。</w:t>
                  </w:r>
                </w:p>
              </w:tc>
              <w:tc>
                <w:tcPr>
                  <w:tcW w:w="1758"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6DA39CD4">
                  <w:pPr>
                    <w:pStyle w:val="69"/>
                    <w:widowControl/>
                    <w:rPr>
                      <w:rFonts w:hint="default" w:ascii="Times New Roman" w:hAnsi="Times New Roman" w:cs="Times New Roman"/>
                      <w:color w:val="000000"/>
                      <w:bdr w:val="none" w:color="auto" w:sz="0" w:space="0"/>
                      <w:lang w:val="en-US"/>
                    </w:rPr>
                  </w:pPr>
                  <w:r>
                    <w:rPr>
                      <w:rFonts w:hint="eastAsia" w:ascii="Times New Roman" w:hAnsi="Times New Roman" w:eastAsia="宋体" w:cs="宋体"/>
                      <w:color w:val="000000"/>
                      <w:szCs w:val="21"/>
                      <w:bdr w:val="none" w:color="auto" w:sz="0" w:space="0"/>
                    </w:rPr>
                    <w:t>扩建项目不涉及。</w:t>
                  </w:r>
                </w:p>
              </w:tc>
              <w:tc>
                <w:tcPr>
                  <w:tcW w:w="676" w:type="dxa"/>
                  <w:gridSpan w:val="2"/>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23C5FBA0">
                  <w:pPr>
                    <w:pStyle w:val="69"/>
                    <w:widowControl/>
                    <w:rPr>
                      <w:rFonts w:hint="default" w:ascii="Times New Roman" w:hAnsi="Times New Roman" w:cs="Times New Roman"/>
                      <w:color w:val="000000"/>
                      <w:bdr w:val="none" w:color="auto" w:sz="0" w:space="0"/>
                      <w:lang w:val="en-US"/>
                    </w:rPr>
                  </w:pPr>
                  <w:r>
                    <w:rPr>
                      <w:rFonts w:hint="eastAsia" w:ascii="Times New Roman" w:hAnsi="Times New Roman" w:eastAsia="宋体" w:cs="宋体"/>
                      <w:color w:val="000000"/>
                      <w:bdr w:val="none" w:color="auto" w:sz="0" w:space="0"/>
                    </w:rPr>
                    <w:t>符合</w:t>
                  </w:r>
                </w:p>
              </w:tc>
            </w:tr>
            <w:tr w14:paraId="46E7405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48A57E82">
                  <w:pPr>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231C9FE7">
                  <w:pPr>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3BA0353A">
                  <w:pPr>
                    <w:pStyle w:val="69"/>
                    <w:widowControl/>
                    <w:spacing w:line="300" w:lineRule="exact"/>
                    <w:jc w:val="left"/>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rPr>
                    <w:t>第六条</w:t>
                  </w:r>
                  <w:r>
                    <w:rPr>
                      <w:rFonts w:hint="default" w:ascii="Times New Roman" w:hAnsi="Times New Roman" w:cs="Times New Roman"/>
                      <w:color w:val="000000"/>
                      <w:szCs w:val="21"/>
                      <w:bdr w:val="none" w:color="auto" w:sz="0" w:space="0"/>
                    </w:rPr>
                    <w:t xml:space="preserve"> </w:t>
                  </w:r>
                  <w:r>
                    <w:rPr>
                      <w:rFonts w:hint="eastAsia" w:ascii="Times New Roman" w:hAnsi="Times New Roman" w:eastAsia="宋体" w:cs="宋体"/>
                      <w:color w:val="000000"/>
                      <w:szCs w:val="21"/>
                      <w:bdr w:val="none" w:color="auto" w:sz="0" w:space="0"/>
                    </w:rPr>
                    <w:t>涉及环境防护距离的工业企业或项目应通过选址或调整布局原则上将环境防护距离控制在园区边界或用地红线内，提前合理规划项目地块布置、预防环境风险。</w:t>
                  </w:r>
                </w:p>
              </w:tc>
              <w:tc>
                <w:tcPr>
                  <w:tcW w:w="1758"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0C5AC33F">
                  <w:pPr>
                    <w:pStyle w:val="69"/>
                    <w:widowControl/>
                    <w:rPr>
                      <w:rFonts w:hint="default" w:ascii="Times New Roman" w:hAnsi="Times New Roman" w:cs="Times New Roman"/>
                      <w:color w:val="000000"/>
                      <w:bdr w:val="none" w:color="auto" w:sz="0" w:space="0"/>
                      <w:lang w:val="en-US"/>
                    </w:rPr>
                  </w:pPr>
                  <w:r>
                    <w:rPr>
                      <w:rFonts w:hint="eastAsia" w:ascii="Times New Roman" w:hAnsi="Times New Roman" w:eastAsia="宋体" w:cs="宋体"/>
                      <w:color w:val="000000"/>
                      <w:szCs w:val="21"/>
                      <w:bdr w:val="none" w:color="auto" w:sz="0" w:space="0"/>
                    </w:rPr>
                    <w:t>扩建项目不涉及环境防护距离，生产建设内容未超过用地红线。</w:t>
                  </w:r>
                </w:p>
              </w:tc>
              <w:tc>
                <w:tcPr>
                  <w:tcW w:w="676" w:type="dxa"/>
                  <w:gridSpan w:val="2"/>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5525B69C">
                  <w:pPr>
                    <w:pStyle w:val="69"/>
                    <w:widowControl/>
                    <w:rPr>
                      <w:rFonts w:hint="default" w:ascii="Times New Roman" w:hAnsi="Times New Roman" w:cs="Times New Roman"/>
                      <w:color w:val="000000"/>
                      <w:bdr w:val="none" w:color="auto" w:sz="0" w:space="0"/>
                      <w:lang w:val="en-US"/>
                    </w:rPr>
                  </w:pPr>
                  <w:r>
                    <w:rPr>
                      <w:rFonts w:hint="eastAsia" w:ascii="Times New Roman" w:hAnsi="Times New Roman" w:eastAsia="宋体" w:cs="宋体"/>
                      <w:color w:val="000000"/>
                      <w:bdr w:val="none" w:color="auto" w:sz="0" w:space="0"/>
                    </w:rPr>
                    <w:t>符合</w:t>
                  </w:r>
                </w:p>
              </w:tc>
            </w:tr>
            <w:tr w14:paraId="2902A68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03D2BF42">
                  <w:pPr>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526B5F65">
                  <w:pPr>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3816DE80">
                  <w:pPr>
                    <w:pStyle w:val="69"/>
                    <w:widowControl/>
                    <w:spacing w:line="300" w:lineRule="exact"/>
                    <w:jc w:val="left"/>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rPr>
                    <w:t>第七条</w:t>
                  </w:r>
                  <w:r>
                    <w:rPr>
                      <w:rFonts w:hint="default" w:ascii="Times New Roman" w:hAnsi="Times New Roman" w:cs="Times New Roman"/>
                      <w:color w:val="000000"/>
                      <w:szCs w:val="21"/>
                      <w:bdr w:val="none" w:color="auto" w:sz="0" w:space="0"/>
                    </w:rPr>
                    <w:t xml:space="preserve"> </w:t>
                  </w:r>
                  <w:r>
                    <w:rPr>
                      <w:rFonts w:hint="eastAsia" w:ascii="Times New Roman" w:hAnsi="Times New Roman" w:eastAsia="宋体" w:cs="宋体"/>
                      <w:color w:val="000000"/>
                      <w:szCs w:val="21"/>
                      <w:bdr w:val="none" w:color="auto" w:sz="0" w:space="0"/>
                    </w:rPr>
                    <w:t>有效规范空间开发秩序，合理控制空间开发强度，切实将各类开发活动限制在资源环境承载能力之内，为构建高效协调可持续的国土空间开发格局奠定坚实基础。</w:t>
                  </w:r>
                </w:p>
              </w:tc>
              <w:tc>
                <w:tcPr>
                  <w:tcW w:w="1758"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7B92E546">
                  <w:pPr>
                    <w:pStyle w:val="69"/>
                    <w:widowControl/>
                    <w:rPr>
                      <w:rFonts w:hint="default" w:ascii="Times New Roman" w:hAnsi="Times New Roman" w:cs="Times New Roman"/>
                      <w:color w:val="000000"/>
                      <w:bdr w:val="none" w:color="auto" w:sz="0" w:space="0"/>
                      <w:lang w:val="en-US"/>
                    </w:rPr>
                  </w:pPr>
                  <w:r>
                    <w:rPr>
                      <w:rFonts w:hint="eastAsia" w:ascii="Times New Roman" w:hAnsi="Times New Roman" w:eastAsia="宋体" w:cs="宋体"/>
                      <w:color w:val="000000"/>
                      <w:szCs w:val="21"/>
                      <w:bdr w:val="none" w:color="auto" w:sz="0" w:space="0"/>
                    </w:rPr>
                    <w:t>扩建项目空间开发强度在资源环境承载能力之内。</w:t>
                  </w:r>
                </w:p>
              </w:tc>
              <w:tc>
                <w:tcPr>
                  <w:tcW w:w="676" w:type="dxa"/>
                  <w:gridSpan w:val="2"/>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2193AC17">
                  <w:pPr>
                    <w:pStyle w:val="69"/>
                    <w:widowControl/>
                    <w:rPr>
                      <w:rFonts w:hint="default" w:ascii="Times New Roman" w:hAnsi="Times New Roman" w:cs="Times New Roman"/>
                      <w:color w:val="000000"/>
                      <w:bdr w:val="none" w:color="auto" w:sz="0" w:space="0"/>
                      <w:lang w:val="en-US"/>
                    </w:rPr>
                  </w:pPr>
                  <w:r>
                    <w:rPr>
                      <w:rFonts w:hint="eastAsia" w:ascii="Times New Roman" w:hAnsi="Times New Roman" w:eastAsia="宋体" w:cs="宋体"/>
                      <w:color w:val="000000"/>
                      <w:bdr w:val="none" w:color="auto" w:sz="0" w:space="0"/>
                    </w:rPr>
                    <w:t>符合</w:t>
                  </w:r>
                </w:p>
              </w:tc>
            </w:tr>
            <w:tr w14:paraId="695715C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2AB08A4E">
                  <w:pPr>
                    <w:rPr>
                      <w:rFonts w:hint="default" w:ascii="Calibri" w:hAnsi="Calibri" w:cs="Calibri"/>
                      <w:sz w:val="20"/>
                      <w:szCs w:val="20"/>
                    </w:rPr>
                  </w:pPr>
                </w:p>
              </w:tc>
              <w:tc>
                <w:tcPr>
                  <w:tcW w:w="978" w:type="dxa"/>
                  <w:vMerge w:val="restart"/>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2222BEF0">
                  <w:pPr>
                    <w:pStyle w:val="69"/>
                    <w:widowControl/>
                    <w:rPr>
                      <w:rFonts w:hint="default" w:ascii="Times New Roman" w:hAnsi="Times New Roman" w:cs="Times New Roman"/>
                      <w:color w:val="000000"/>
                      <w:bdr w:val="none" w:color="auto" w:sz="0" w:space="0"/>
                      <w:lang w:val="en-US"/>
                    </w:rPr>
                  </w:pPr>
                  <w:r>
                    <w:rPr>
                      <w:rFonts w:hint="eastAsia" w:ascii="Times New Roman" w:hAnsi="Times New Roman" w:eastAsia="宋体" w:cs="宋体"/>
                      <w:color w:val="000000"/>
                      <w:bdr w:val="none" w:color="auto" w:sz="0" w:space="0"/>
                    </w:rPr>
                    <w:t>污染物排放管控</w:t>
                  </w: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53B06A2B">
                  <w:pPr>
                    <w:pStyle w:val="69"/>
                    <w:widowControl/>
                    <w:spacing w:line="300" w:lineRule="exact"/>
                    <w:jc w:val="left"/>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rPr>
                    <w:t>第八条</w:t>
                  </w:r>
                  <w:r>
                    <w:rPr>
                      <w:rFonts w:hint="default" w:ascii="Times New Roman" w:hAnsi="Times New Roman" w:cs="Times New Roman"/>
                      <w:color w:val="000000"/>
                      <w:szCs w:val="21"/>
                      <w:bdr w:val="none" w:color="auto" w:sz="0" w:space="0"/>
                    </w:rPr>
                    <w:t xml:space="preserve"> </w:t>
                  </w:r>
                  <w:r>
                    <w:rPr>
                      <w:rFonts w:hint="eastAsia" w:ascii="Times New Roman" w:hAnsi="Times New Roman" w:eastAsia="宋体" w:cs="宋体"/>
                      <w:color w:val="000000"/>
                      <w:szCs w:val="21"/>
                      <w:bdr w:val="none" w:color="auto" w:sz="0" w:space="0"/>
                    </w:rPr>
                    <w:t>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w:t>
                  </w:r>
                  <w:r>
                    <w:rPr>
                      <w:rFonts w:hint="default" w:ascii="Times New Roman" w:hAnsi="Times New Roman" w:cs="Times New Roman"/>
                      <w:color w:val="000000"/>
                      <w:szCs w:val="21"/>
                      <w:bdr w:val="none" w:color="auto" w:sz="0" w:space="0"/>
                      <w:lang w:val="en-US"/>
                    </w:rPr>
                    <w:t>“</w:t>
                  </w:r>
                  <w:r>
                    <w:rPr>
                      <w:rFonts w:hint="eastAsia" w:ascii="Times New Roman" w:hAnsi="Times New Roman" w:eastAsia="宋体" w:cs="宋体"/>
                      <w:color w:val="000000"/>
                      <w:szCs w:val="21"/>
                      <w:bdr w:val="none" w:color="auto" w:sz="0" w:space="0"/>
                    </w:rPr>
                    <w:t>两高</w:t>
                  </w:r>
                  <w:r>
                    <w:rPr>
                      <w:rFonts w:hint="default" w:ascii="Times New Roman" w:hAnsi="Times New Roman" w:cs="Times New Roman"/>
                      <w:color w:val="000000"/>
                      <w:szCs w:val="21"/>
                      <w:bdr w:val="none" w:color="auto" w:sz="0" w:space="0"/>
                      <w:lang w:val="en-US"/>
                    </w:rPr>
                    <w:t>”</w:t>
                  </w:r>
                  <w:r>
                    <w:rPr>
                      <w:rFonts w:hint="eastAsia" w:ascii="Times New Roman" w:hAnsi="Times New Roman" w:eastAsia="宋体" w:cs="宋体"/>
                      <w:color w:val="000000"/>
                      <w:szCs w:val="21"/>
                      <w:bdr w:val="none" w:color="auto" w:sz="0" w:space="0"/>
                    </w:rPr>
                    <w:t>行业建设项目应满足超低排放要求。加强水泥和平板玻璃行业差别化管理，新改扩建项目严格落实相关产业政策要求，满足能效标杆水平、环保绩效</w:t>
                  </w:r>
                  <w:r>
                    <w:rPr>
                      <w:rFonts w:hint="default" w:ascii="Times New Roman" w:hAnsi="Times New Roman" w:cs="Times New Roman"/>
                      <w:color w:val="000000"/>
                      <w:szCs w:val="21"/>
                      <w:bdr w:val="none" w:color="auto" w:sz="0" w:space="0"/>
                      <w:lang w:val="en-US"/>
                    </w:rPr>
                    <w:t>A</w:t>
                  </w:r>
                  <w:r>
                    <w:rPr>
                      <w:rFonts w:hint="eastAsia" w:ascii="Times New Roman" w:hAnsi="Times New Roman" w:eastAsia="宋体" w:cs="宋体"/>
                      <w:color w:val="000000"/>
                      <w:szCs w:val="21"/>
                      <w:bdr w:val="none" w:color="auto" w:sz="0" w:space="0"/>
                    </w:rPr>
                    <w:t>级指标要求。</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7F74F041">
                  <w:pPr>
                    <w:pStyle w:val="69"/>
                    <w:widowControl/>
                    <w:rPr>
                      <w:rFonts w:hint="default" w:ascii="Times New Roman" w:hAnsi="Times New Roman" w:cs="Times New Roman"/>
                      <w:color w:val="000000"/>
                      <w:bdr w:val="none" w:color="auto" w:sz="0" w:space="0"/>
                      <w:lang w:val="en-US"/>
                    </w:rPr>
                  </w:pPr>
                  <w:r>
                    <w:rPr>
                      <w:rFonts w:hint="eastAsia" w:ascii="Times New Roman" w:hAnsi="Times New Roman" w:eastAsia="宋体" w:cs="宋体"/>
                      <w:color w:val="000000"/>
                      <w:szCs w:val="21"/>
                      <w:bdr w:val="none" w:color="auto" w:sz="0" w:space="0"/>
                    </w:rPr>
                    <w:t>扩建项目不涉及新建钢铁、水泥熟料、平板玻璃、电解铝等行业，不属于</w:t>
                  </w:r>
                  <w:r>
                    <w:rPr>
                      <w:rFonts w:hint="default" w:ascii="Times New Roman" w:hAnsi="Times New Roman" w:cs="Times New Roman"/>
                      <w:color w:val="000000"/>
                      <w:szCs w:val="21"/>
                      <w:bdr w:val="none" w:color="auto" w:sz="0" w:space="0"/>
                      <w:lang w:val="en-US"/>
                    </w:rPr>
                    <w:t>“</w:t>
                  </w:r>
                  <w:r>
                    <w:rPr>
                      <w:rFonts w:hint="eastAsia" w:ascii="Times New Roman" w:hAnsi="Times New Roman" w:eastAsia="宋体" w:cs="宋体"/>
                      <w:color w:val="000000"/>
                      <w:szCs w:val="21"/>
                      <w:bdr w:val="none" w:color="auto" w:sz="0" w:space="0"/>
                    </w:rPr>
                    <w:t>两高</w:t>
                  </w:r>
                  <w:r>
                    <w:rPr>
                      <w:rFonts w:hint="default" w:ascii="Times New Roman" w:hAnsi="Times New Roman" w:cs="Times New Roman"/>
                      <w:color w:val="000000"/>
                      <w:szCs w:val="21"/>
                      <w:bdr w:val="none" w:color="auto" w:sz="0" w:space="0"/>
                      <w:lang w:val="en-US"/>
                    </w:rPr>
                    <w:t>”</w:t>
                  </w:r>
                  <w:r>
                    <w:rPr>
                      <w:rFonts w:hint="eastAsia" w:ascii="Times New Roman" w:hAnsi="Times New Roman" w:eastAsia="宋体" w:cs="宋体"/>
                      <w:color w:val="000000"/>
                      <w:szCs w:val="21"/>
                      <w:bdr w:val="none" w:color="auto" w:sz="0" w:space="0"/>
                    </w:rPr>
                    <w:t>项目，项目严格落实相关产业政策要求。</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2ED20C59">
                  <w:pPr>
                    <w:pStyle w:val="69"/>
                    <w:widowControl/>
                    <w:rPr>
                      <w:rFonts w:hint="default" w:ascii="Times New Roman" w:hAnsi="Times New Roman" w:cs="Times New Roman"/>
                      <w:color w:val="000000"/>
                      <w:bdr w:val="none" w:color="auto" w:sz="0" w:space="0"/>
                      <w:lang w:val="en-US"/>
                    </w:rPr>
                  </w:pPr>
                  <w:r>
                    <w:rPr>
                      <w:rFonts w:hint="eastAsia" w:ascii="Times New Roman" w:hAnsi="Times New Roman" w:eastAsia="宋体" w:cs="宋体"/>
                      <w:color w:val="000000"/>
                      <w:bdr w:val="none" w:color="auto" w:sz="0" w:space="0"/>
                    </w:rPr>
                    <w:t>符合</w:t>
                  </w:r>
                </w:p>
              </w:tc>
            </w:tr>
            <w:tr w14:paraId="1775DE0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4F976AA5">
                  <w:pPr>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5CA5C815">
                  <w:pPr>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5853618C">
                  <w:pPr>
                    <w:pStyle w:val="69"/>
                    <w:widowControl/>
                    <w:spacing w:before="24" w:beforeAutospacing="0" w:after="24" w:afterAutospacing="0"/>
                    <w:ind w:left="0" w:right="0"/>
                    <w:jc w:val="left"/>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rPr>
                    <w:t>第九条</w:t>
                  </w:r>
                  <w:r>
                    <w:rPr>
                      <w:rFonts w:hint="default" w:ascii="Times New Roman" w:hAnsi="Times New Roman" w:cs="Times New Roman"/>
                      <w:color w:val="000000"/>
                      <w:szCs w:val="21"/>
                      <w:bdr w:val="none" w:color="auto" w:sz="0" w:space="0"/>
                    </w:rPr>
                    <w:t xml:space="preserve"> </w:t>
                  </w:r>
                  <w:r>
                    <w:rPr>
                      <w:rFonts w:hint="eastAsia" w:ascii="Times New Roman" w:hAnsi="Times New Roman" w:eastAsia="宋体" w:cs="宋体"/>
                      <w:color w:val="000000"/>
                      <w:szCs w:val="21"/>
                      <w:bdr w:val="none" w:color="auto" w:sz="0" w:space="0"/>
                    </w:rPr>
                    <w:t>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49C088AD">
                  <w:pPr>
                    <w:pStyle w:val="69"/>
                    <w:widowControl/>
                    <w:rPr>
                      <w:rFonts w:hint="default" w:ascii="Times New Roman" w:hAnsi="Times New Roman" w:cs="Times New Roman"/>
                      <w:color w:val="000000"/>
                      <w:bdr w:val="none" w:color="auto" w:sz="0" w:space="0"/>
                      <w:lang w:val="en-US"/>
                    </w:rPr>
                  </w:pPr>
                  <w:r>
                    <w:rPr>
                      <w:rFonts w:hint="eastAsia" w:ascii="Calibri" w:hAnsi="Calibri" w:eastAsia="宋体" w:cs="宋体"/>
                      <w:color w:val="000000"/>
                      <w:bdr w:val="none" w:color="auto" w:sz="0" w:space="0"/>
                    </w:rPr>
                    <w:t>扩建项目位于合川区，</w:t>
                  </w:r>
                  <w:r>
                    <w:rPr>
                      <w:rFonts w:hint="default" w:ascii="Times New Roman" w:hAnsi="Times New Roman" w:cs="Times New Roman"/>
                      <w:color w:val="000000"/>
                      <w:bdr w:val="none" w:color="auto" w:sz="0" w:space="0"/>
                      <w:lang w:val="en-US"/>
                    </w:rPr>
                    <w:t>2023</w:t>
                  </w:r>
                  <w:r>
                    <w:rPr>
                      <w:rFonts w:hint="eastAsia" w:ascii="Times New Roman" w:hAnsi="Calibri" w:eastAsia="宋体" w:cs="宋体"/>
                      <w:color w:val="000000"/>
                      <w:bdr w:val="none" w:color="auto" w:sz="0" w:space="0"/>
                    </w:rPr>
                    <w:t>年为不达标区，项目废气污染物采取各项废气治理措施后达标排放，对大气环境影响较小。</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61F3D2AD">
                  <w:pPr>
                    <w:pStyle w:val="69"/>
                    <w:widowControl/>
                    <w:rPr>
                      <w:rFonts w:hint="default" w:ascii="Times New Roman" w:hAnsi="Times New Roman" w:cs="Times New Roman"/>
                      <w:color w:val="000000"/>
                      <w:bdr w:val="none" w:color="auto" w:sz="0" w:space="0"/>
                      <w:lang w:val="en-US"/>
                    </w:rPr>
                  </w:pPr>
                  <w:r>
                    <w:rPr>
                      <w:rFonts w:hint="eastAsia" w:ascii="Times New Roman" w:hAnsi="Times New Roman" w:eastAsia="宋体" w:cs="宋体"/>
                      <w:color w:val="000000"/>
                      <w:bdr w:val="none" w:color="auto" w:sz="0" w:space="0"/>
                    </w:rPr>
                    <w:t>符合</w:t>
                  </w:r>
                </w:p>
              </w:tc>
            </w:tr>
            <w:tr w14:paraId="7BA3FDF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779C55AE">
                  <w:pPr>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0FA6D944">
                  <w:pPr>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52700733">
                  <w:pPr>
                    <w:pStyle w:val="69"/>
                    <w:widowControl/>
                    <w:spacing w:before="24" w:beforeAutospacing="0" w:after="24" w:afterAutospacing="0"/>
                    <w:ind w:left="0" w:right="0"/>
                    <w:jc w:val="left"/>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rPr>
                    <w:t>第十条</w:t>
                  </w:r>
                  <w:r>
                    <w:rPr>
                      <w:rFonts w:hint="default" w:ascii="Times New Roman" w:hAnsi="Times New Roman" w:cs="Times New Roman"/>
                      <w:color w:val="000000"/>
                      <w:szCs w:val="21"/>
                      <w:bdr w:val="none" w:color="auto" w:sz="0" w:space="0"/>
                    </w:rPr>
                    <w:t xml:space="preserve"> </w:t>
                  </w:r>
                  <w:r>
                    <w:rPr>
                      <w:rFonts w:hint="eastAsia" w:ascii="Times New Roman" w:hAnsi="Times New Roman" w:eastAsia="宋体" w:cs="宋体"/>
                      <w:color w:val="000000"/>
                      <w:szCs w:val="21"/>
                      <w:bdr w:val="none" w:color="auto" w:sz="0" w:space="0"/>
                    </w:rPr>
                    <w:t>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73F00B0B">
                  <w:pPr>
                    <w:pStyle w:val="69"/>
                    <w:widowControl/>
                    <w:rPr>
                      <w:rFonts w:hint="default" w:ascii="Times New Roman" w:hAnsi="Calibri" w:cs="Times New Roman"/>
                      <w:color w:val="000000"/>
                      <w:szCs w:val="21"/>
                      <w:bdr w:val="none" w:color="auto" w:sz="0" w:space="0"/>
                      <w:lang w:val="en-US"/>
                    </w:rPr>
                  </w:pPr>
                  <w:r>
                    <w:rPr>
                      <w:rFonts w:hint="eastAsia" w:ascii="Times New Roman" w:hAnsi="Calibri" w:eastAsia="宋体" w:cs="宋体"/>
                      <w:color w:val="000000"/>
                      <w:szCs w:val="21"/>
                      <w:bdr w:val="none" w:color="auto" w:sz="0" w:space="0"/>
                    </w:rPr>
                    <w:t>扩建项目使用低挥发性有机物含量的原辅料，</w:t>
                  </w:r>
                  <w:r>
                    <w:rPr>
                      <w:rFonts w:hint="eastAsia" w:ascii="Calibri" w:hAnsi="Calibri" w:eastAsia="宋体" w:cs="宋体"/>
                      <w:color w:val="000000"/>
                      <w:szCs w:val="21"/>
                      <w:bdr w:val="none" w:color="auto" w:sz="0" w:space="0"/>
                    </w:rPr>
                    <w:t>在各产污节点均采取了废气收集措施，废气收集后经治理装置处理达标后排放。</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340BED18">
                  <w:pPr>
                    <w:pStyle w:val="69"/>
                    <w:widowControl/>
                    <w:rPr>
                      <w:rFonts w:hint="default" w:ascii="Times New Roman" w:hAnsi="Times New Roman" w:cs="Times New Roman"/>
                      <w:color w:val="000000"/>
                      <w:bdr w:val="none" w:color="auto" w:sz="0" w:space="0"/>
                      <w:lang w:val="en-US"/>
                    </w:rPr>
                  </w:pPr>
                  <w:r>
                    <w:rPr>
                      <w:rFonts w:hint="eastAsia" w:ascii="Times New Roman" w:hAnsi="Times New Roman" w:eastAsia="宋体" w:cs="宋体"/>
                      <w:color w:val="000000"/>
                      <w:bdr w:val="none" w:color="auto" w:sz="0" w:space="0"/>
                    </w:rPr>
                    <w:t>符合</w:t>
                  </w:r>
                </w:p>
              </w:tc>
            </w:tr>
            <w:tr w14:paraId="092DA42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0EA02ABF">
                  <w:pPr>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358B61C2">
                  <w:pPr>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58DA743C">
                  <w:pPr>
                    <w:pStyle w:val="69"/>
                    <w:widowControl/>
                    <w:spacing w:before="24" w:beforeAutospacing="0" w:after="24" w:afterAutospacing="0"/>
                    <w:ind w:left="0" w:right="0"/>
                    <w:jc w:val="left"/>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rPr>
                    <w:t>第十一条</w:t>
                  </w:r>
                  <w:r>
                    <w:rPr>
                      <w:rFonts w:hint="default" w:ascii="Times New Roman" w:hAnsi="Times New Roman" w:cs="Times New Roman"/>
                      <w:color w:val="000000"/>
                      <w:szCs w:val="21"/>
                      <w:bdr w:val="none" w:color="auto" w:sz="0" w:space="0"/>
                    </w:rPr>
                    <w:t xml:space="preserve"> </w:t>
                  </w:r>
                  <w:r>
                    <w:rPr>
                      <w:rFonts w:hint="eastAsia" w:ascii="Times New Roman" w:hAnsi="Times New Roman" w:eastAsia="宋体" w:cs="宋体"/>
                      <w:color w:val="000000"/>
                      <w:szCs w:val="21"/>
                      <w:bdr w:val="none" w:color="auto" w:sz="0" w:space="0"/>
                    </w:rPr>
                    <w:t>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6D1D2074">
                  <w:pPr>
                    <w:pStyle w:val="69"/>
                    <w:widowControl/>
                    <w:rPr>
                      <w:rFonts w:hint="default" w:ascii="Times New Roman" w:hAnsi="Calibri" w:cs="Times New Roman"/>
                      <w:color w:val="000000"/>
                      <w:szCs w:val="21"/>
                      <w:bdr w:val="none" w:color="auto" w:sz="0" w:space="0"/>
                      <w:lang w:val="en-US"/>
                    </w:rPr>
                  </w:pPr>
                  <w:r>
                    <w:rPr>
                      <w:rFonts w:hint="eastAsia" w:ascii="Calibri" w:hAnsi="Calibri" w:eastAsia="宋体" w:cs="宋体"/>
                      <w:color w:val="000000"/>
                      <w:szCs w:val="21"/>
                      <w:bdr w:val="none" w:color="auto" w:sz="0" w:space="0"/>
                    </w:rPr>
                    <w:t>扩建项目无生产废水，新增员工的生活污水依托盈田</w:t>
                  </w:r>
                  <w:r>
                    <w:rPr>
                      <w:color w:val="000000"/>
                      <w:szCs w:val="21"/>
                      <w:bdr w:val="none" w:color="auto" w:sz="0" w:space="0"/>
                      <w:lang w:val="en-US"/>
                    </w:rPr>
                    <w:t>·</w:t>
                  </w:r>
                  <w:r>
                    <w:rPr>
                      <w:rFonts w:hint="eastAsia" w:ascii="Calibri" w:hAnsi="Calibri" w:eastAsia="宋体" w:cs="宋体"/>
                      <w:color w:val="000000"/>
                      <w:szCs w:val="21"/>
                      <w:bdr w:val="none" w:color="auto" w:sz="0" w:space="0"/>
                    </w:rPr>
                    <w:t>合川工谷已建污水设施处理达标后排放。</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1D36E18C">
                  <w:pPr>
                    <w:pStyle w:val="69"/>
                    <w:widowControl/>
                    <w:rPr>
                      <w:rFonts w:hint="default" w:ascii="Times New Roman" w:hAnsi="Times New Roman" w:cs="Times New Roman"/>
                      <w:color w:val="000000"/>
                      <w:bdr w:val="none" w:color="auto" w:sz="0" w:space="0"/>
                      <w:lang w:val="en-US"/>
                    </w:rPr>
                  </w:pPr>
                  <w:r>
                    <w:rPr>
                      <w:rFonts w:hint="eastAsia" w:ascii="Times New Roman" w:hAnsi="Times New Roman" w:eastAsia="宋体" w:cs="宋体"/>
                      <w:color w:val="000000"/>
                      <w:bdr w:val="none" w:color="auto" w:sz="0" w:space="0"/>
                    </w:rPr>
                    <w:t>符合</w:t>
                  </w:r>
                </w:p>
              </w:tc>
            </w:tr>
            <w:tr w14:paraId="6A398E5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11EA0CF4">
                  <w:pPr>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4CB915BC">
                  <w:pPr>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1FF2B150">
                  <w:pPr>
                    <w:pStyle w:val="69"/>
                    <w:widowControl/>
                    <w:spacing w:before="24" w:beforeAutospacing="0" w:after="24" w:afterAutospacing="0"/>
                    <w:ind w:left="0" w:right="0"/>
                    <w:jc w:val="left"/>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rPr>
                    <w:t>第十二条</w:t>
                  </w:r>
                  <w:r>
                    <w:rPr>
                      <w:rFonts w:hint="default" w:ascii="Times New Roman" w:hAnsi="Times New Roman" w:cs="Times New Roman"/>
                      <w:color w:val="000000"/>
                      <w:szCs w:val="21"/>
                      <w:bdr w:val="none" w:color="auto" w:sz="0" w:space="0"/>
                    </w:rPr>
                    <w:t xml:space="preserve"> </w:t>
                  </w:r>
                  <w:r>
                    <w:rPr>
                      <w:rFonts w:hint="eastAsia" w:ascii="Times New Roman" w:hAnsi="Times New Roman" w:eastAsia="宋体" w:cs="宋体"/>
                      <w:color w:val="000000"/>
                      <w:szCs w:val="21"/>
                      <w:bdr w:val="none" w:color="auto" w:sz="0" w:space="0"/>
                    </w:rPr>
                    <w:t>推进乡镇生活污水处理设施达标改造。新建城市生活污水处理厂全部按照一级</w:t>
                  </w:r>
                  <w:r>
                    <w:rPr>
                      <w:rFonts w:hint="default" w:ascii="Times New Roman" w:hAnsi="Times New Roman" w:cs="Times New Roman"/>
                      <w:color w:val="000000"/>
                      <w:szCs w:val="21"/>
                      <w:bdr w:val="none" w:color="auto" w:sz="0" w:space="0"/>
                      <w:lang w:val="en-US"/>
                    </w:rPr>
                    <w:t>A</w:t>
                  </w:r>
                  <w:r>
                    <w:rPr>
                      <w:rFonts w:hint="eastAsia" w:ascii="Times New Roman" w:hAnsi="Times New Roman" w:eastAsia="宋体" w:cs="宋体"/>
                      <w:color w:val="000000"/>
                      <w:szCs w:val="21"/>
                      <w:bdr w:val="none" w:color="auto" w:sz="0" w:space="0"/>
                    </w:rPr>
                    <w:t>标及以上排放标准设计、施工、验收，建制乡镇生活污水处理设施出水水质不得低于一级</w:t>
                  </w:r>
                  <w:r>
                    <w:rPr>
                      <w:rFonts w:hint="default" w:ascii="Times New Roman" w:hAnsi="Times New Roman" w:cs="Times New Roman"/>
                      <w:color w:val="000000"/>
                      <w:szCs w:val="21"/>
                      <w:bdr w:val="none" w:color="auto" w:sz="0" w:space="0"/>
                      <w:lang w:val="en-US"/>
                    </w:rPr>
                    <w:t>B</w:t>
                  </w:r>
                  <w:r>
                    <w:rPr>
                      <w:rFonts w:hint="eastAsia" w:ascii="Times New Roman" w:hAnsi="Times New Roman" w:eastAsia="宋体" w:cs="宋体"/>
                      <w:color w:val="000000"/>
                      <w:szCs w:val="21"/>
                      <w:bdr w:val="none" w:color="auto" w:sz="0" w:space="0"/>
                    </w:rPr>
                    <w:t>标排放标准；对现有截留制排水管网实施雨污分流改造，针对无法彻底雨污分流的老城区，尊重现实合理保留截留制区域，合理提高截留倍数；对新建的排水管网，全部按照雨污分流模式实施建设。</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1CE253CC">
                  <w:pPr>
                    <w:pStyle w:val="69"/>
                    <w:widowControl/>
                    <w:rPr>
                      <w:rFonts w:hint="default" w:ascii="Times New Roman" w:hAnsi="Calibri" w:cs="Times New Roman"/>
                      <w:color w:val="000000"/>
                      <w:szCs w:val="21"/>
                      <w:bdr w:val="none" w:color="auto" w:sz="0" w:space="0"/>
                      <w:lang w:val="en-US"/>
                    </w:rPr>
                  </w:pPr>
                  <w:r>
                    <w:rPr>
                      <w:rFonts w:hint="eastAsia" w:ascii="Calibri" w:hAnsi="Calibri" w:eastAsia="宋体" w:cs="宋体"/>
                      <w:color w:val="000000"/>
                      <w:bdr w:val="none" w:color="auto" w:sz="0" w:space="0"/>
                    </w:rPr>
                    <w:t>扩建项目不涉及。</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47AFE4A9">
                  <w:pPr>
                    <w:pStyle w:val="69"/>
                    <w:widowControl/>
                    <w:rPr>
                      <w:rFonts w:hint="default" w:ascii="Times New Roman" w:hAnsi="Times New Roman" w:cs="Times New Roman"/>
                      <w:color w:val="000000"/>
                      <w:bdr w:val="none" w:color="auto" w:sz="0" w:space="0"/>
                      <w:lang w:val="en-US"/>
                    </w:rPr>
                  </w:pPr>
                  <w:r>
                    <w:rPr>
                      <w:rFonts w:hint="eastAsia" w:ascii="Times New Roman" w:hAnsi="Times New Roman" w:eastAsia="宋体" w:cs="宋体"/>
                      <w:color w:val="000000"/>
                      <w:bdr w:val="none" w:color="auto" w:sz="0" w:space="0"/>
                    </w:rPr>
                    <w:t>符合</w:t>
                  </w:r>
                </w:p>
              </w:tc>
            </w:tr>
            <w:tr w14:paraId="182F46D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63C200F2">
                  <w:pPr>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6022FED4">
                  <w:pPr>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056292EC">
                  <w:pPr>
                    <w:pStyle w:val="69"/>
                    <w:widowControl/>
                    <w:spacing w:before="24" w:beforeAutospacing="0" w:after="24" w:afterAutospacing="0"/>
                    <w:ind w:left="0" w:right="0"/>
                    <w:jc w:val="left"/>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rPr>
                    <w:t>第十三条</w:t>
                  </w:r>
                  <w:r>
                    <w:rPr>
                      <w:rFonts w:hint="default" w:ascii="Times New Roman" w:hAnsi="Times New Roman" w:cs="Times New Roman"/>
                      <w:color w:val="000000"/>
                      <w:szCs w:val="21"/>
                      <w:bdr w:val="none" w:color="auto" w:sz="0" w:space="0"/>
                    </w:rPr>
                    <w:t xml:space="preserve"> </w:t>
                  </w:r>
                  <w:r>
                    <w:rPr>
                      <w:rFonts w:hint="eastAsia" w:ascii="Times New Roman" w:hAnsi="Times New Roman" w:eastAsia="宋体" w:cs="宋体"/>
                      <w:color w:val="000000"/>
                      <w:szCs w:val="21"/>
                      <w:bdr w:val="none" w:color="auto" w:sz="0" w:space="0"/>
                    </w:rPr>
                    <w:t>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w:t>
                  </w:r>
                  <w:r>
                    <w:rPr>
                      <w:rFonts w:hint="default" w:ascii="Times New Roman" w:hAnsi="Times New Roman" w:cs="Times New Roman"/>
                      <w:color w:val="000000"/>
                      <w:szCs w:val="21"/>
                      <w:bdr w:val="none" w:color="auto" w:sz="0" w:space="0"/>
                      <w:lang w:val="en-US"/>
                    </w:rPr>
                    <w:t>“</w:t>
                  </w:r>
                  <w:r>
                    <w:rPr>
                      <w:rFonts w:hint="eastAsia" w:ascii="Times New Roman" w:hAnsi="Times New Roman" w:eastAsia="宋体" w:cs="宋体"/>
                      <w:color w:val="000000"/>
                      <w:szCs w:val="21"/>
                      <w:bdr w:val="none" w:color="auto" w:sz="0" w:space="0"/>
                    </w:rPr>
                    <w:t>等量替代</w:t>
                  </w:r>
                  <w:r>
                    <w:rPr>
                      <w:rFonts w:hint="default" w:ascii="Times New Roman" w:hAnsi="Times New Roman" w:cs="Times New Roman"/>
                      <w:color w:val="000000"/>
                      <w:szCs w:val="21"/>
                      <w:bdr w:val="none" w:color="auto" w:sz="0" w:space="0"/>
                      <w:lang w:val="en-US"/>
                    </w:rPr>
                    <w:t>”</w:t>
                  </w:r>
                  <w:r>
                    <w:rPr>
                      <w:rFonts w:hint="eastAsia" w:ascii="Times New Roman" w:hAnsi="Times New Roman" w:eastAsia="宋体" w:cs="宋体"/>
                      <w:color w:val="000000"/>
                      <w:szCs w:val="21"/>
                      <w:bdr w:val="none" w:color="auto" w:sz="0" w:space="0"/>
                    </w:rPr>
                    <w:t>原则。</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568EA390">
                  <w:pPr>
                    <w:pStyle w:val="69"/>
                    <w:widowControl/>
                    <w:rPr>
                      <w:rFonts w:hint="default" w:ascii="Times New Roman" w:hAnsi="Calibri"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rPr>
                    <w:t>扩建项目不属于以上行业，不涉及排放重金属等污染物。</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40075084">
                  <w:pPr>
                    <w:pStyle w:val="69"/>
                    <w:widowControl/>
                    <w:rPr>
                      <w:rFonts w:hint="default" w:ascii="Times New Roman" w:hAnsi="Times New Roman" w:cs="Times New Roman"/>
                      <w:color w:val="000000"/>
                      <w:bdr w:val="none" w:color="auto" w:sz="0" w:space="0"/>
                      <w:lang w:val="en-US"/>
                    </w:rPr>
                  </w:pPr>
                  <w:r>
                    <w:rPr>
                      <w:rFonts w:hint="eastAsia" w:ascii="Times New Roman" w:hAnsi="Times New Roman" w:eastAsia="宋体" w:cs="宋体"/>
                      <w:color w:val="000000"/>
                      <w:bdr w:val="none" w:color="auto" w:sz="0" w:space="0"/>
                    </w:rPr>
                    <w:t>符合</w:t>
                  </w:r>
                </w:p>
              </w:tc>
            </w:tr>
            <w:tr w14:paraId="04894C0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5317C7D6">
                  <w:pPr>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2D916BC0">
                  <w:pPr>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3E7CF814">
                  <w:pPr>
                    <w:pStyle w:val="69"/>
                    <w:widowControl/>
                    <w:spacing w:line="300" w:lineRule="exact"/>
                    <w:jc w:val="left"/>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rPr>
                    <w:t>第十四条</w:t>
                  </w:r>
                  <w:r>
                    <w:rPr>
                      <w:rFonts w:hint="default" w:ascii="Times New Roman" w:hAnsi="Times New Roman" w:cs="Times New Roman"/>
                      <w:color w:val="000000"/>
                      <w:szCs w:val="21"/>
                      <w:bdr w:val="none" w:color="auto" w:sz="0" w:space="0"/>
                    </w:rPr>
                    <w:t xml:space="preserve"> </w:t>
                  </w:r>
                  <w:r>
                    <w:rPr>
                      <w:rFonts w:hint="eastAsia" w:ascii="Times New Roman" w:hAnsi="Times New Roman" w:eastAsia="宋体" w:cs="宋体"/>
                      <w:color w:val="000000"/>
                      <w:szCs w:val="21"/>
                      <w:bdr w:val="none" w:color="auto" w:sz="0" w:space="0"/>
                    </w:rPr>
                    <w:t>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193E1323">
                  <w:pPr>
                    <w:pStyle w:val="69"/>
                    <w:widowControl/>
                    <w:rPr>
                      <w:rFonts w:hint="default" w:ascii="Times New Roman" w:hAnsi="Calibri" w:cs="Times New Roman"/>
                      <w:color w:val="000000"/>
                      <w:szCs w:val="21"/>
                      <w:bdr w:val="none" w:color="auto" w:sz="0" w:space="0"/>
                      <w:lang w:val="en-US"/>
                    </w:rPr>
                  </w:pPr>
                  <w:r>
                    <w:rPr>
                      <w:rFonts w:hint="eastAsia" w:ascii="Calibri" w:hAnsi="Calibri" w:eastAsia="宋体" w:cs="宋体"/>
                      <w:color w:val="000000"/>
                      <w:bdr w:val="none" w:color="auto" w:sz="0" w:space="0"/>
                    </w:rPr>
                    <w:t>扩建项目一般工业固体废物暂存于一般工业固体废物暂存间，分类收集；危险废物分类收集暂存于危险废物贮存间，定期交由具有资质单位处置。</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66594654">
                  <w:pPr>
                    <w:pStyle w:val="69"/>
                    <w:widowControl/>
                    <w:rPr>
                      <w:rFonts w:hint="default" w:ascii="Times New Roman" w:hAnsi="Times New Roman" w:cs="Times New Roman"/>
                      <w:color w:val="000000"/>
                      <w:bdr w:val="none" w:color="auto" w:sz="0" w:space="0"/>
                      <w:lang w:val="en-US"/>
                    </w:rPr>
                  </w:pPr>
                  <w:r>
                    <w:rPr>
                      <w:rFonts w:hint="eastAsia" w:ascii="Times New Roman" w:hAnsi="Times New Roman" w:eastAsia="宋体" w:cs="宋体"/>
                      <w:color w:val="000000"/>
                      <w:bdr w:val="none" w:color="auto" w:sz="0" w:space="0"/>
                    </w:rPr>
                    <w:t>符合</w:t>
                  </w:r>
                </w:p>
              </w:tc>
            </w:tr>
            <w:tr w14:paraId="1312A91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76DC8545">
                  <w:pPr>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32A9FF77">
                  <w:pPr>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3141D6F4">
                  <w:pPr>
                    <w:pStyle w:val="69"/>
                    <w:widowControl/>
                    <w:jc w:val="left"/>
                    <w:rPr>
                      <w:rFonts w:hint="default" w:ascii="Times New Roman" w:hAnsi="Times New Roman" w:cs="Times New Roman"/>
                      <w:color w:val="000000"/>
                      <w:bdr w:val="none" w:color="auto" w:sz="0" w:space="0"/>
                      <w:lang w:val="en-US"/>
                    </w:rPr>
                  </w:pPr>
                  <w:r>
                    <w:rPr>
                      <w:rFonts w:hint="eastAsia" w:ascii="Times New Roman" w:hAnsi="Times New Roman" w:eastAsia="宋体" w:cs="宋体"/>
                      <w:color w:val="000000"/>
                      <w:szCs w:val="21"/>
                      <w:bdr w:val="none" w:color="auto" w:sz="0" w:space="0"/>
                    </w:rPr>
                    <w:t>第十五条</w:t>
                  </w:r>
                  <w:r>
                    <w:rPr>
                      <w:rFonts w:hint="default" w:ascii="Times New Roman" w:hAnsi="Times New Roman" w:cs="Times New Roman"/>
                      <w:color w:val="000000"/>
                      <w:szCs w:val="21"/>
                      <w:bdr w:val="none" w:color="auto" w:sz="0" w:space="0"/>
                    </w:rPr>
                    <w:t xml:space="preserve"> </w:t>
                  </w:r>
                  <w:r>
                    <w:rPr>
                      <w:rFonts w:hint="eastAsia" w:ascii="Times New Roman" w:hAnsi="Times New Roman" w:eastAsia="宋体" w:cs="宋体"/>
                      <w:color w:val="000000"/>
                      <w:szCs w:val="21"/>
                      <w:bdr w:val="none" w:color="auto" w:sz="0" w:space="0"/>
                    </w:rPr>
                    <w:t>建设分类投放、分类收集、分类运输、分类处理的生活垃圾处理系统。合理布局生活垃圾分类收集站点，完善分类运输系统，加快补齐分类收集转运设施能力短板。强化</w:t>
                  </w:r>
                  <w:r>
                    <w:rPr>
                      <w:rFonts w:hint="default" w:ascii="Times New Roman" w:hAnsi="Times New Roman" w:cs="Times New Roman"/>
                      <w:color w:val="000000"/>
                      <w:szCs w:val="21"/>
                      <w:bdr w:val="none" w:color="auto" w:sz="0" w:space="0"/>
                      <w:lang w:val="en-US"/>
                    </w:rPr>
                    <w:t>“</w:t>
                  </w:r>
                  <w:r>
                    <w:rPr>
                      <w:rFonts w:hint="eastAsia" w:ascii="Times New Roman" w:hAnsi="Times New Roman" w:eastAsia="宋体" w:cs="宋体"/>
                      <w:color w:val="000000"/>
                      <w:szCs w:val="21"/>
                      <w:bdr w:val="none" w:color="auto" w:sz="0" w:space="0"/>
                    </w:rPr>
                    <w:t>无废城市</w:t>
                  </w:r>
                  <w:r>
                    <w:rPr>
                      <w:rFonts w:hint="default" w:ascii="Times New Roman" w:hAnsi="Times New Roman" w:cs="Times New Roman"/>
                      <w:color w:val="000000"/>
                      <w:szCs w:val="21"/>
                      <w:bdr w:val="none" w:color="auto" w:sz="0" w:space="0"/>
                      <w:lang w:val="en-US"/>
                    </w:rPr>
                    <w:t>”</w:t>
                  </w:r>
                  <w:r>
                    <w:rPr>
                      <w:rFonts w:hint="eastAsia" w:ascii="Times New Roman" w:hAnsi="Times New Roman" w:eastAsia="宋体" w:cs="宋体"/>
                      <w:color w:val="000000"/>
                      <w:szCs w:val="21"/>
                      <w:bdr w:val="none" w:color="auto" w:sz="0" w:space="0"/>
                    </w:rPr>
                    <w:t>制度、技术、市场、监管、全民行动</w:t>
                  </w:r>
                  <w:r>
                    <w:rPr>
                      <w:rFonts w:hint="default" w:ascii="Times New Roman" w:hAnsi="Times New Roman" w:cs="Times New Roman"/>
                      <w:color w:val="000000"/>
                      <w:szCs w:val="21"/>
                      <w:bdr w:val="none" w:color="auto" w:sz="0" w:space="0"/>
                      <w:lang w:val="en-US"/>
                    </w:rPr>
                    <w:t>“</w:t>
                  </w:r>
                  <w:r>
                    <w:rPr>
                      <w:rFonts w:hint="eastAsia" w:ascii="Times New Roman" w:hAnsi="Times New Roman" w:eastAsia="宋体" w:cs="宋体"/>
                      <w:color w:val="000000"/>
                      <w:szCs w:val="21"/>
                      <w:bdr w:val="none" w:color="auto" w:sz="0" w:space="0"/>
                    </w:rPr>
                    <w:t>五大体系</w:t>
                  </w:r>
                  <w:r>
                    <w:rPr>
                      <w:rFonts w:hint="default" w:ascii="Times New Roman" w:hAnsi="Times New Roman" w:cs="Times New Roman"/>
                      <w:color w:val="000000"/>
                      <w:szCs w:val="21"/>
                      <w:bdr w:val="none" w:color="auto" w:sz="0" w:space="0"/>
                      <w:lang w:val="en-US"/>
                    </w:rPr>
                    <w:t>”</w:t>
                  </w:r>
                  <w:r>
                    <w:rPr>
                      <w:rFonts w:hint="eastAsia" w:ascii="Times New Roman" w:hAnsi="Times New Roman" w:eastAsia="宋体" w:cs="宋体"/>
                      <w:color w:val="000000"/>
                      <w:szCs w:val="21"/>
                      <w:bdr w:val="none" w:color="auto" w:sz="0" w:space="0"/>
                    </w:rPr>
                    <w:t>建设，推进城市固体废物精细化管理。</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6273EAE9">
                  <w:pPr>
                    <w:pStyle w:val="69"/>
                    <w:widowControl/>
                    <w:rPr>
                      <w:rFonts w:hint="default" w:ascii="Times New Roman" w:hAnsi="Times New Roman" w:cs="Times New Roman"/>
                      <w:color w:val="000000"/>
                      <w:bdr w:val="none" w:color="auto" w:sz="0" w:space="0"/>
                      <w:lang w:val="en-US"/>
                    </w:rPr>
                  </w:pPr>
                  <w:r>
                    <w:rPr>
                      <w:rFonts w:hint="eastAsia" w:ascii="Calibri" w:hAnsi="Calibri" w:eastAsia="宋体" w:cs="宋体"/>
                      <w:color w:val="000000"/>
                      <w:bdr w:val="none" w:color="auto" w:sz="0" w:space="0"/>
                    </w:rPr>
                    <w:t>扩建项目不涉及</w:t>
                  </w:r>
                  <w:r>
                    <w:rPr>
                      <w:rFonts w:hint="eastAsia" w:ascii="Times New Roman" w:hAnsi="Calibri" w:eastAsia="宋体" w:cs="宋体"/>
                      <w:color w:val="000000"/>
                      <w:szCs w:val="21"/>
                      <w:bdr w:val="none" w:color="auto" w:sz="0" w:space="0"/>
                    </w:rPr>
                    <w:t>。</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7DC55CE6">
                  <w:pPr>
                    <w:pStyle w:val="69"/>
                    <w:widowControl/>
                    <w:rPr>
                      <w:rFonts w:hint="default" w:ascii="Times New Roman" w:hAnsi="Times New Roman" w:cs="Times New Roman"/>
                      <w:color w:val="000000"/>
                      <w:bdr w:val="none" w:color="auto" w:sz="0" w:space="0"/>
                      <w:lang w:val="en-US"/>
                    </w:rPr>
                  </w:pPr>
                  <w:r>
                    <w:rPr>
                      <w:rFonts w:hint="eastAsia" w:ascii="Times New Roman" w:hAnsi="Times New Roman" w:eastAsia="宋体" w:cs="宋体"/>
                      <w:color w:val="000000"/>
                      <w:bdr w:val="none" w:color="auto" w:sz="0" w:space="0"/>
                    </w:rPr>
                    <w:t>符合</w:t>
                  </w:r>
                </w:p>
              </w:tc>
            </w:tr>
            <w:tr w14:paraId="32C9967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5C86BB8B">
                  <w:pPr>
                    <w:rPr>
                      <w:rFonts w:hint="default" w:ascii="Calibri" w:hAnsi="Calibri" w:cs="Calibri"/>
                      <w:sz w:val="20"/>
                      <w:szCs w:val="20"/>
                    </w:rPr>
                  </w:pPr>
                </w:p>
              </w:tc>
              <w:tc>
                <w:tcPr>
                  <w:tcW w:w="978" w:type="dxa"/>
                  <w:vMerge w:val="restart"/>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0AC5AFF2">
                  <w:pPr>
                    <w:pStyle w:val="69"/>
                    <w:widowControl/>
                    <w:rPr>
                      <w:rFonts w:hint="default" w:ascii="Times New Roman" w:hAnsi="Times New Roman" w:cs="Times New Roman"/>
                      <w:color w:val="000000"/>
                      <w:bdr w:val="none" w:color="auto" w:sz="0" w:space="0"/>
                      <w:lang w:val="en-US"/>
                    </w:rPr>
                  </w:pPr>
                  <w:r>
                    <w:rPr>
                      <w:rFonts w:hint="eastAsia" w:ascii="Times New Roman" w:hAnsi="Times New Roman" w:eastAsia="宋体" w:cs="宋体"/>
                      <w:color w:val="000000"/>
                      <w:bdr w:val="none" w:color="auto" w:sz="0" w:space="0"/>
                    </w:rPr>
                    <w:t>环境风险防控</w:t>
                  </w: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5B0D4426">
                  <w:pPr>
                    <w:pStyle w:val="69"/>
                    <w:widowControl/>
                    <w:spacing w:line="300" w:lineRule="exact"/>
                    <w:jc w:val="left"/>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rPr>
                    <w:t>第十六条</w:t>
                  </w:r>
                  <w:r>
                    <w:rPr>
                      <w:rFonts w:hint="default" w:ascii="Times New Roman" w:hAnsi="Times New Roman" w:cs="Times New Roman"/>
                      <w:color w:val="000000"/>
                      <w:szCs w:val="21"/>
                      <w:bdr w:val="none" w:color="auto" w:sz="0" w:space="0"/>
                    </w:rPr>
                    <w:t xml:space="preserve"> </w:t>
                  </w:r>
                  <w:r>
                    <w:rPr>
                      <w:rFonts w:hint="eastAsia" w:ascii="Times New Roman" w:hAnsi="Times New Roman" w:eastAsia="宋体" w:cs="宋体"/>
                      <w:color w:val="000000"/>
                      <w:szCs w:val="21"/>
                      <w:bdr w:val="none" w:color="auto" w:sz="0" w:space="0"/>
                    </w:rPr>
                    <w:t>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67C958AA">
                  <w:pPr>
                    <w:pStyle w:val="69"/>
                    <w:widowControl/>
                    <w:spacing w:line="300" w:lineRule="exact"/>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rPr>
                    <w:t>扩建项目环境风险</w:t>
                  </w:r>
                  <w:r>
                    <w:rPr>
                      <w:rFonts w:hint="default" w:ascii="Times New Roman" w:hAnsi="Times New Roman" w:cs="Times New Roman"/>
                      <w:color w:val="000000"/>
                      <w:szCs w:val="21"/>
                      <w:bdr w:val="none" w:color="auto" w:sz="0" w:space="0"/>
                      <w:lang w:val="en-US"/>
                    </w:rPr>
                    <w:t>Q</w:t>
                  </w:r>
                  <w:r>
                    <w:rPr>
                      <w:rFonts w:hint="eastAsia" w:ascii="Times New Roman" w:hAnsi="Times New Roman" w:eastAsia="宋体" w:cs="宋体"/>
                      <w:color w:val="000000"/>
                      <w:szCs w:val="21"/>
                      <w:bdr w:val="none" w:color="auto" w:sz="0" w:space="0"/>
                    </w:rPr>
                    <w:t>值小于</w:t>
                  </w:r>
                  <w:r>
                    <w:rPr>
                      <w:rFonts w:hint="default" w:ascii="Times New Roman" w:hAnsi="Times New Roman" w:cs="Times New Roman"/>
                      <w:color w:val="000000"/>
                      <w:szCs w:val="21"/>
                      <w:bdr w:val="none" w:color="auto" w:sz="0" w:space="0"/>
                      <w:lang w:val="en-US"/>
                    </w:rPr>
                    <w:t>1</w:t>
                  </w:r>
                  <w:r>
                    <w:rPr>
                      <w:rFonts w:hint="eastAsia" w:ascii="Times New Roman" w:hAnsi="Times New Roman" w:eastAsia="宋体" w:cs="宋体"/>
                      <w:color w:val="000000"/>
                      <w:szCs w:val="21"/>
                      <w:bdr w:val="none" w:color="auto" w:sz="0" w:space="0"/>
                    </w:rPr>
                    <w:t>，未构成重大风险源，企业将</w:t>
                  </w:r>
                  <w:r>
                    <w:rPr>
                      <w:rFonts w:hint="eastAsia" w:ascii="Calibri" w:hAnsi="Calibri" w:eastAsia="宋体" w:cs="宋体"/>
                      <w:color w:val="000000"/>
                      <w:bdr w:val="none" w:color="auto" w:sz="0" w:space="0"/>
                    </w:rPr>
                    <w:t>严格落实各项环境风险防范措施。</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1CF7222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符合</w:t>
                  </w:r>
                </w:p>
              </w:tc>
            </w:tr>
            <w:tr w14:paraId="7A8CFAE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17C37B0F">
                  <w:pPr>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1972EEEC">
                  <w:pPr>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2D2B1B69">
                  <w:pPr>
                    <w:pStyle w:val="69"/>
                    <w:widowControl/>
                    <w:spacing w:line="300" w:lineRule="exact"/>
                    <w:jc w:val="left"/>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rPr>
                    <w:t>第十七条</w:t>
                  </w:r>
                  <w:r>
                    <w:rPr>
                      <w:rFonts w:hint="default" w:ascii="Times New Roman" w:hAnsi="Times New Roman" w:cs="Times New Roman"/>
                      <w:color w:val="000000"/>
                      <w:szCs w:val="21"/>
                      <w:bdr w:val="none" w:color="auto" w:sz="0" w:space="0"/>
                    </w:rPr>
                    <w:t xml:space="preserve"> </w:t>
                  </w:r>
                  <w:r>
                    <w:rPr>
                      <w:rFonts w:hint="eastAsia" w:ascii="Times New Roman" w:hAnsi="Times New Roman" w:eastAsia="宋体" w:cs="宋体"/>
                      <w:color w:val="000000"/>
                      <w:szCs w:val="21"/>
                      <w:bdr w:val="none" w:color="auto" w:sz="0" w:space="0"/>
                    </w:rPr>
                    <w:t>强化化工园区涉水突发环境事件四级环境风险防范体系建设。持续推进重点化工园区（化工集中区）建设有毒有害气体监测预警体系和水质生物毒性预警体系。</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091E6737">
                  <w:pPr>
                    <w:pStyle w:val="69"/>
                    <w:widowControl/>
                    <w:spacing w:line="300" w:lineRule="exact"/>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rPr>
                    <w:t>扩建项目不涉及。</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18BD8ECF">
                  <w:pPr>
                    <w:keepNext w:val="0"/>
                    <w:keepLines w:val="0"/>
                    <w:widowControl w:val="0"/>
                    <w:suppressLineNumbers w:val="0"/>
                    <w:spacing w:before="0" w:beforeAutospacing="0" w:after="0" w:afterAutospacing="0" w:line="300" w:lineRule="exact"/>
                    <w:ind w:left="0" w:right="0"/>
                    <w:jc w:val="center"/>
                    <w:rPr>
                      <w:rFonts w:hint="default" w:ascii="Times New Roman" w:hAnsi="宋体"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符合</w:t>
                  </w:r>
                </w:p>
              </w:tc>
            </w:tr>
            <w:tr w14:paraId="7239DF0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3A673D6B">
                  <w:pPr>
                    <w:rPr>
                      <w:rFonts w:hint="default" w:ascii="Calibri" w:hAnsi="Calibri" w:cs="Calibri"/>
                      <w:sz w:val="20"/>
                      <w:szCs w:val="20"/>
                    </w:rPr>
                  </w:pPr>
                </w:p>
              </w:tc>
              <w:tc>
                <w:tcPr>
                  <w:tcW w:w="978" w:type="dxa"/>
                  <w:vMerge w:val="restart"/>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5509A418">
                  <w:pPr>
                    <w:pStyle w:val="69"/>
                    <w:widowControl/>
                    <w:rPr>
                      <w:rFonts w:hint="default" w:ascii="Times New Roman" w:hAnsi="Times New Roman" w:cs="Times New Roman"/>
                      <w:color w:val="000000"/>
                      <w:bdr w:val="none" w:color="auto" w:sz="0" w:space="0"/>
                      <w:lang w:val="en-US"/>
                    </w:rPr>
                  </w:pPr>
                  <w:r>
                    <w:rPr>
                      <w:rFonts w:hint="eastAsia" w:ascii="Times New Roman" w:hAnsi="Times New Roman" w:eastAsia="宋体" w:cs="宋体"/>
                      <w:color w:val="000000"/>
                      <w:bdr w:val="none" w:color="auto" w:sz="0" w:space="0"/>
                    </w:rPr>
                    <w:t>资源开发利用效率</w:t>
                  </w: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338071E3">
                  <w:pPr>
                    <w:pStyle w:val="69"/>
                    <w:widowControl/>
                    <w:spacing w:line="300" w:lineRule="exact"/>
                    <w:jc w:val="left"/>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rPr>
                    <w:t>第十八条</w:t>
                  </w:r>
                  <w:r>
                    <w:rPr>
                      <w:rFonts w:hint="default" w:ascii="Times New Roman" w:hAnsi="Times New Roman" w:cs="Times New Roman"/>
                      <w:color w:val="000000"/>
                      <w:szCs w:val="21"/>
                      <w:bdr w:val="none" w:color="auto" w:sz="0" w:space="0"/>
                    </w:rPr>
                    <w:t xml:space="preserve"> </w:t>
                  </w:r>
                  <w:r>
                    <w:rPr>
                      <w:rFonts w:hint="eastAsia" w:ascii="Times New Roman" w:hAnsi="Times New Roman" w:eastAsia="宋体" w:cs="宋体"/>
                      <w:color w:val="000000"/>
                      <w:szCs w:val="21"/>
                      <w:bdr w:val="none" w:color="auto" w:sz="0" w:space="0"/>
                    </w:rPr>
                    <w:t>实施能源领域碳达峰碳中和行动，科学有序推动能源生产消费方式绿色低碳变革。实施可再生能源替代，减少化石能源消费。加强产业布局和能耗</w:t>
                  </w:r>
                  <w:r>
                    <w:rPr>
                      <w:rFonts w:hint="default" w:ascii="Times New Roman" w:hAnsi="Times New Roman" w:cs="Times New Roman"/>
                      <w:color w:val="000000"/>
                      <w:szCs w:val="21"/>
                      <w:bdr w:val="none" w:color="auto" w:sz="0" w:space="0"/>
                      <w:lang w:val="en-US"/>
                    </w:rPr>
                    <w:t>“</w:t>
                  </w:r>
                  <w:r>
                    <w:rPr>
                      <w:rFonts w:hint="eastAsia" w:ascii="Times New Roman" w:hAnsi="Times New Roman" w:eastAsia="宋体" w:cs="宋体"/>
                      <w:color w:val="000000"/>
                      <w:szCs w:val="21"/>
                      <w:bdr w:val="none" w:color="auto" w:sz="0" w:space="0"/>
                    </w:rPr>
                    <w:t>双控</w:t>
                  </w:r>
                  <w:r>
                    <w:rPr>
                      <w:rFonts w:hint="default" w:ascii="Times New Roman" w:hAnsi="Times New Roman" w:cs="Times New Roman"/>
                      <w:color w:val="000000"/>
                      <w:szCs w:val="21"/>
                      <w:bdr w:val="none" w:color="auto" w:sz="0" w:space="0"/>
                      <w:lang w:val="en-US"/>
                    </w:rPr>
                    <w:t>”</w:t>
                  </w:r>
                  <w:r>
                    <w:rPr>
                      <w:rFonts w:hint="eastAsia" w:ascii="Times New Roman" w:hAnsi="Times New Roman" w:eastAsia="宋体" w:cs="宋体"/>
                      <w:color w:val="000000"/>
                      <w:szCs w:val="21"/>
                      <w:bdr w:val="none" w:color="auto" w:sz="0" w:space="0"/>
                    </w:rPr>
                    <w:t>政策衔接，促进重点用能领域用能结构优化和能效提升。</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0ADFCA72">
                  <w:pPr>
                    <w:pStyle w:val="69"/>
                    <w:widowControl/>
                    <w:spacing w:line="300" w:lineRule="exact"/>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rPr>
                    <w:t>扩建项目不涉及。</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06E9008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符合</w:t>
                  </w:r>
                </w:p>
              </w:tc>
            </w:tr>
            <w:tr w14:paraId="6A554FA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5A90EB81">
                  <w:pPr>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29C8B0BE">
                  <w:pPr>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43A3D2B2">
                  <w:pPr>
                    <w:pStyle w:val="69"/>
                    <w:widowControl/>
                    <w:spacing w:line="300" w:lineRule="exact"/>
                    <w:jc w:val="left"/>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rPr>
                    <w:t>第十九条</w:t>
                  </w:r>
                  <w:r>
                    <w:rPr>
                      <w:rFonts w:hint="default" w:ascii="Times New Roman" w:hAnsi="Times New Roman" w:cs="Times New Roman"/>
                      <w:color w:val="000000"/>
                      <w:szCs w:val="21"/>
                      <w:bdr w:val="none" w:color="auto" w:sz="0" w:space="0"/>
                    </w:rPr>
                    <w:t xml:space="preserve"> </w:t>
                  </w:r>
                  <w:r>
                    <w:rPr>
                      <w:rFonts w:hint="eastAsia" w:ascii="Times New Roman" w:hAnsi="Times New Roman" w:eastAsia="宋体" w:cs="宋体"/>
                      <w:color w:val="000000"/>
                      <w:szCs w:val="21"/>
                      <w:bdr w:val="none" w:color="auto" w:sz="0" w:space="0"/>
                    </w:rPr>
                    <w:t>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49050111">
                  <w:pPr>
                    <w:pStyle w:val="69"/>
                    <w:widowControl/>
                    <w:spacing w:line="300" w:lineRule="exact"/>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rPr>
                    <w:t>扩建项目使用节能设备，减少相关能耗。</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6D74E039">
                  <w:pPr>
                    <w:pStyle w:val="69"/>
                    <w:widowControl/>
                    <w:rPr>
                      <w:rFonts w:hint="default" w:ascii="Times New Roman" w:hAnsi="Times New Roman" w:cs="Times New Roman"/>
                      <w:color w:val="000000"/>
                      <w:bdr w:val="none" w:color="auto" w:sz="0" w:space="0"/>
                      <w:lang w:val="en-US"/>
                    </w:rPr>
                  </w:pPr>
                  <w:r>
                    <w:rPr>
                      <w:rFonts w:hint="eastAsia" w:ascii="Times New Roman" w:hAnsi="Times New Roman" w:eastAsia="宋体" w:cs="宋体"/>
                      <w:color w:val="000000"/>
                      <w:bdr w:val="none" w:color="auto" w:sz="0" w:space="0"/>
                    </w:rPr>
                    <w:t>符合</w:t>
                  </w:r>
                </w:p>
              </w:tc>
            </w:tr>
            <w:tr w14:paraId="5D8581A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337CF2B2">
                  <w:pPr>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244D8E11">
                  <w:pPr>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7615FCEE">
                  <w:pPr>
                    <w:pStyle w:val="69"/>
                    <w:widowControl/>
                    <w:spacing w:line="300" w:lineRule="exact"/>
                    <w:jc w:val="left"/>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rPr>
                    <w:t>第二十条</w:t>
                  </w:r>
                  <w:r>
                    <w:rPr>
                      <w:rFonts w:hint="default" w:ascii="Times New Roman" w:hAnsi="Times New Roman" w:cs="Times New Roman"/>
                      <w:color w:val="000000"/>
                      <w:szCs w:val="21"/>
                      <w:bdr w:val="none" w:color="auto" w:sz="0" w:space="0"/>
                    </w:rPr>
                    <w:t xml:space="preserve"> </w:t>
                  </w:r>
                  <w:r>
                    <w:rPr>
                      <w:rFonts w:hint="eastAsia" w:ascii="Times New Roman" w:hAnsi="Times New Roman" w:eastAsia="宋体" w:cs="宋体"/>
                      <w:color w:val="000000"/>
                      <w:szCs w:val="21"/>
                      <w:bdr w:val="none" w:color="auto" w:sz="0" w:space="0"/>
                    </w:rPr>
                    <w:t>新建、扩建</w:t>
                  </w:r>
                  <w:r>
                    <w:rPr>
                      <w:rFonts w:hint="default" w:ascii="Times New Roman" w:hAnsi="Times New Roman" w:cs="Times New Roman"/>
                      <w:color w:val="000000"/>
                      <w:szCs w:val="21"/>
                      <w:bdr w:val="none" w:color="auto" w:sz="0" w:space="0"/>
                      <w:lang w:val="en-US"/>
                    </w:rPr>
                    <w:t>“</w:t>
                  </w:r>
                  <w:r>
                    <w:rPr>
                      <w:rFonts w:hint="eastAsia" w:ascii="Times New Roman" w:hAnsi="Times New Roman" w:eastAsia="宋体" w:cs="宋体"/>
                      <w:color w:val="000000"/>
                      <w:szCs w:val="21"/>
                      <w:bdr w:val="none" w:color="auto" w:sz="0" w:space="0"/>
                    </w:rPr>
                    <w:t>两高</w:t>
                  </w:r>
                  <w:r>
                    <w:rPr>
                      <w:rFonts w:hint="default" w:ascii="Times New Roman" w:hAnsi="Times New Roman" w:cs="Times New Roman"/>
                      <w:color w:val="000000"/>
                      <w:szCs w:val="21"/>
                      <w:bdr w:val="none" w:color="auto" w:sz="0" w:space="0"/>
                      <w:lang w:val="en-US"/>
                    </w:rPr>
                    <w:t>”</w:t>
                  </w:r>
                  <w:r>
                    <w:rPr>
                      <w:rFonts w:hint="eastAsia" w:ascii="Times New Roman" w:hAnsi="Times New Roman" w:eastAsia="宋体" w:cs="宋体"/>
                      <w:color w:val="000000"/>
                      <w:szCs w:val="21"/>
                      <w:bdr w:val="none" w:color="auto" w:sz="0" w:space="0"/>
                    </w:rPr>
                    <w:t>项目应采用先进适用的工艺技术和装备，单位产品物耗、能耗、水耗等达到清洁生产先进水平。</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67BD0B68">
                  <w:pPr>
                    <w:pStyle w:val="69"/>
                    <w:widowControl/>
                    <w:spacing w:line="300" w:lineRule="exact"/>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rPr>
                    <w:t>扩建项目不属于</w:t>
                  </w:r>
                  <w:r>
                    <w:rPr>
                      <w:rFonts w:hint="default" w:ascii="Times New Roman" w:hAnsi="Times New Roman" w:cs="Times New Roman"/>
                      <w:color w:val="000000"/>
                      <w:szCs w:val="21"/>
                      <w:bdr w:val="none" w:color="auto" w:sz="0" w:space="0"/>
                      <w:lang w:val="en-US"/>
                    </w:rPr>
                    <w:t>“</w:t>
                  </w:r>
                  <w:r>
                    <w:rPr>
                      <w:rFonts w:hint="eastAsia" w:ascii="Times New Roman" w:hAnsi="Times New Roman" w:eastAsia="宋体" w:cs="宋体"/>
                      <w:color w:val="000000"/>
                      <w:szCs w:val="21"/>
                      <w:bdr w:val="none" w:color="auto" w:sz="0" w:space="0"/>
                    </w:rPr>
                    <w:t>两高</w:t>
                  </w:r>
                  <w:r>
                    <w:rPr>
                      <w:rFonts w:hint="default" w:ascii="Times New Roman" w:hAnsi="Times New Roman" w:cs="Times New Roman"/>
                      <w:color w:val="000000"/>
                      <w:szCs w:val="21"/>
                      <w:bdr w:val="none" w:color="auto" w:sz="0" w:space="0"/>
                      <w:lang w:val="en-US"/>
                    </w:rPr>
                    <w:t>”</w:t>
                  </w:r>
                  <w:r>
                    <w:rPr>
                      <w:rFonts w:hint="eastAsia" w:ascii="Times New Roman" w:hAnsi="Times New Roman" w:eastAsia="宋体" w:cs="宋体"/>
                      <w:color w:val="000000"/>
                      <w:szCs w:val="21"/>
                      <w:bdr w:val="none" w:color="auto" w:sz="0" w:space="0"/>
                    </w:rPr>
                    <w:t>项目。</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5858E080">
                  <w:pPr>
                    <w:pStyle w:val="69"/>
                    <w:widowControl/>
                    <w:rPr>
                      <w:rFonts w:hint="default" w:ascii="Times New Roman" w:hAnsi="Times New Roman" w:cs="Times New Roman"/>
                      <w:color w:val="000000"/>
                      <w:bdr w:val="none" w:color="auto" w:sz="0" w:space="0"/>
                      <w:lang w:val="en-US"/>
                    </w:rPr>
                  </w:pPr>
                  <w:r>
                    <w:rPr>
                      <w:rFonts w:hint="eastAsia" w:ascii="Times New Roman" w:hAnsi="Times New Roman" w:eastAsia="宋体" w:cs="宋体"/>
                      <w:color w:val="000000"/>
                      <w:bdr w:val="none" w:color="auto" w:sz="0" w:space="0"/>
                    </w:rPr>
                    <w:t>符合</w:t>
                  </w:r>
                </w:p>
              </w:tc>
            </w:tr>
            <w:tr w14:paraId="01E2203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6B8EC941">
                  <w:pPr>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68A6983C">
                  <w:pPr>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47E6127E">
                  <w:pPr>
                    <w:pStyle w:val="69"/>
                    <w:widowControl/>
                    <w:spacing w:line="300" w:lineRule="exact"/>
                    <w:jc w:val="left"/>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rPr>
                    <w:t>第二十一条</w:t>
                  </w:r>
                  <w:r>
                    <w:rPr>
                      <w:rFonts w:hint="default" w:ascii="Times New Roman" w:hAnsi="Times New Roman" w:cs="Times New Roman"/>
                      <w:color w:val="000000"/>
                      <w:szCs w:val="21"/>
                      <w:bdr w:val="none" w:color="auto" w:sz="0" w:space="0"/>
                    </w:rPr>
                    <w:t xml:space="preserve"> </w:t>
                  </w:r>
                  <w:r>
                    <w:rPr>
                      <w:rFonts w:hint="eastAsia" w:ascii="Times New Roman" w:hAnsi="Times New Roman" w:eastAsia="宋体" w:cs="宋体"/>
                      <w:color w:val="000000"/>
                      <w:szCs w:val="21"/>
                      <w:bdr w:val="none" w:color="auto" w:sz="0" w:space="0"/>
                    </w:rPr>
                    <w:t>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5278B75B">
                  <w:pPr>
                    <w:pStyle w:val="69"/>
                    <w:widowControl/>
                    <w:spacing w:line="300" w:lineRule="exact"/>
                    <w:jc w:val="both"/>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rPr>
                    <w:t>扩建项目不属于高耗水工业项目。</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78CD7FAD">
                  <w:pPr>
                    <w:pStyle w:val="69"/>
                    <w:widowControl/>
                    <w:rPr>
                      <w:rFonts w:hint="default" w:ascii="Times New Roman" w:hAnsi="Times New Roman" w:cs="Times New Roman"/>
                      <w:color w:val="000000"/>
                      <w:bdr w:val="none" w:color="auto" w:sz="0" w:space="0"/>
                      <w:lang w:val="en-US"/>
                    </w:rPr>
                  </w:pPr>
                  <w:r>
                    <w:rPr>
                      <w:rFonts w:hint="eastAsia" w:ascii="Times New Roman" w:hAnsi="Times New Roman" w:eastAsia="宋体" w:cs="宋体"/>
                      <w:color w:val="000000"/>
                      <w:bdr w:val="none" w:color="auto" w:sz="0" w:space="0"/>
                    </w:rPr>
                    <w:t>符合</w:t>
                  </w:r>
                </w:p>
              </w:tc>
            </w:tr>
            <w:tr w14:paraId="43EB382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04B32CBC">
                  <w:pPr>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041F6864">
                  <w:pPr>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4B8AA047">
                  <w:pPr>
                    <w:pStyle w:val="69"/>
                    <w:widowControl/>
                    <w:spacing w:line="300" w:lineRule="exact"/>
                    <w:jc w:val="left"/>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rPr>
                    <w:t>第二十二条</w:t>
                  </w:r>
                  <w:r>
                    <w:rPr>
                      <w:rFonts w:hint="default" w:ascii="Times New Roman" w:hAnsi="Times New Roman" w:cs="Times New Roman"/>
                      <w:color w:val="000000"/>
                      <w:szCs w:val="21"/>
                      <w:bdr w:val="none" w:color="auto" w:sz="0" w:space="0"/>
                    </w:rPr>
                    <w:t xml:space="preserve"> </w:t>
                  </w:r>
                  <w:r>
                    <w:rPr>
                      <w:rFonts w:hint="eastAsia" w:ascii="Times New Roman" w:hAnsi="Times New Roman" w:eastAsia="宋体" w:cs="宋体"/>
                      <w:color w:val="000000"/>
                      <w:szCs w:val="21"/>
                      <w:bdr w:val="none" w:color="auto" w:sz="0" w:space="0"/>
                    </w:rPr>
                    <w:t>加快推进节水配套设施建设，加强再生水、雨水等非常规水多元、梯级和安全利用，逐年提高非常规水利用比例。结合现有污水处理设施提标升级扩能改造，系统规划城镇污水再生利用设施。</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30911A6C">
                  <w:pPr>
                    <w:pStyle w:val="69"/>
                    <w:widowControl/>
                    <w:spacing w:line="300" w:lineRule="exact"/>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rPr>
                    <w:t>扩建项目不涉及。</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74AAE712">
                  <w:pPr>
                    <w:pStyle w:val="69"/>
                    <w:widowControl/>
                    <w:rPr>
                      <w:rFonts w:hint="default" w:ascii="Times New Roman" w:hAnsi="Times New Roman" w:cs="Times New Roman"/>
                      <w:color w:val="000000"/>
                      <w:bdr w:val="none" w:color="auto" w:sz="0" w:space="0"/>
                      <w:lang w:val="en-US"/>
                    </w:rPr>
                  </w:pPr>
                  <w:r>
                    <w:rPr>
                      <w:rFonts w:hint="eastAsia" w:ascii="Times New Roman" w:hAnsi="Times New Roman" w:eastAsia="宋体" w:cs="宋体"/>
                      <w:color w:val="000000"/>
                      <w:bdr w:val="none" w:color="auto" w:sz="0" w:space="0"/>
                    </w:rPr>
                    <w:t>符合</w:t>
                  </w:r>
                </w:p>
              </w:tc>
            </w:tr>
            <w:tr w14:paraId="24A967D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restart"/>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137426F0">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00"/>
                      <w:bdr w:val="none" w:color="auto" w:sz="0" w:space="0"/>
                      <w:lang w:val="en-US"/>
                    </w:rPr>
                  </w:pPr>
                  <w:r>
                    <w:rPr>
                      <w:rFonts w:hint="eastAsia" w:ascii="Times New Roman" w:hAnsi="Calibri" w:eastAsia="宋体" w:cs="宋体"/>
                      <w:color w:val="000000"/>
                      <w:kern w:val="2"/>
                      <w:sz w:val="21"/>
                      <w:szCs w:val="24"/>
                      <w:bdr w:val="none" w:color="auto" w:sz="0" w:space="0"/>
                      <w:lang w:val="en-US" w:eastAsia="zh-CN" w:bidi="ar"/>
                    </w:rPr>
                    <w:t>合川区总体管控要求</w:t>
                  </w:r>
                </w:p>
              </w:tc>
              <w:tc>
                <w:tcPr>
                  <w:tcW w:w="992" w:type="dxa"/>
                  <w:gridSpan w:val="2"/>
                  <w:vMerge w:val="restart"/>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1D40FDCC">
                  <w:pPr>
                    <w:pStyle w:val="98"/>
                    <w:widowControl/>
                    <w:rPr>
                      <w:color w:val="000000"/>
                      <w:kern w:val="2"/>
                      <w:szCs w:val="21"/>
                      <w:bdr w:val="none" w:color="auto" w:sz="0" w:space="0"/>
                      <w:lang w:val="en-US"/>
                    </w:rPr>
                  </w:pPr>
                  <w:r>
                    <w:rPr>
                      <w:rFonts w:hint="eastAsia" w:ascii="Times New Roman" w:hAnsi="Times New Roman" w:eastAsia="宋体" w:cs="宋体"/>
                      <w:color w:val="000000"/>
                      <w:kern w:val="2"/>
                      <w:bdr w:val="none" w:color="auto" w:sz="0" w:space="0"/>
                    </w:rPr>
                    <w:t>空间布局约束</w:t>
                  </w: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449EBD86">
                  <w:pPr>
                    <w:pStyle w:val="110"/>
                    <w:widowControl/>
                  </w:pPr>
                  <w:r>
                    <w:rPr>
                      <w:rFonts w:hint="eastAsia" w:ascii="Times New Roman" w:hAnsi="Times New Roman" w:eastAsia="宋体" w:cs="宋体"/>
                      <w:bdr w:val="none" w:color="auto" w:sz="0" w:space="0"/>
                    </w:rPr>
                    <w:t>第一条</w:t>
                  </w:r>
                  <w:r>
                    <w:rPr>
                      <w:bdr w:val="none" w:color="auto" w:sz="0" w:space="0"/>
                    </w:rPr>
                    <w:t xml:space="preserve"> </w:t>
                  </w:r>
                  <w:r>
                    <w:rPr>
                      <w:rFonts w:hint="eastAsia" w:ascii="Times New Roman" w:hAnsi="Times New Roman" w:eastAsia="宋体" w:cs="宋体"/>
                      <w:bdr w:val="none" w:color="auto" w:sz="0" w:space="0"/>
                    </w:rPr>
                    <w:t>执行重点管控单元市级总体要求第一条、第二条、第三条、第四条、第五条、第六条和第七条。</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085A14AB">
                  <w:pPr>
                    <w:keepNext w:val="0"/>
                    <w:keepLines w:val="0"/>
                    <w:widowControl w:val="0"/>
                    <w:suppressLineNumbers w:val="0"/>
                    <w:snapToGrid w:val="0"/>
                    <w:spacing w:before="0" w:beforeAutospacing="0" w:after="0" w:afterAutospacing="0"/>
                    <w:ind w:left="0" w:right="0"/>
                    <w:jc w:val="both"/>
                    <w:rPr>
                      <w:color w:val="000000"/>
                      <w:sz w:val="22"/>
                      <w:szCs w:val="22"/>
                      <w:bdr w:val="none" w:color="auto" w:sz="0" w:space="0"/>
                      <w:lang w:val="en-US"/>
                    </w:rPr>
                  </w:pPr>
                  <w:r>
                    <w:rPr>
                      <w:rFonts w:hint="eastAsia" w:ascii="Calibri" w:hAnsi="Calibri" w:eastAsia="宋体" w:cs="宋体"/>
                      <w:color w:val="000000"/>
                      <w:kern w:val="2"/>
                      <w:sz w:val="22"/>
                      <w:szCs w:val="22"/>
                      <w:bdr w:val="none" w:color="auto" w:sz="0" w:space="0"/>
                      <w:lang w:val="en-US" w:eastAsia="zh-CN" w:bidi="ar"/>
                    </w:rPr>
                    <w:t>扩建项目满足市级总体要求。</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78FF78CF">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符合</w:t>
                  </w:r>
                </w:p>
              </w:tc>
            </w:tr>
            <w:tr w14:paraId="7334AEC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444ACDCA">
                  <w:pPr>
                    <w:rPr>
                      <w:rFonts w:hint="default" w:ascii="Calibri" w:hAnsi="Calibri" w:cs="Calibri"/>
                      <w:sz w:val="20"/>
                      <w:szCs w:val="20"/>
                    </w:rPr>
                  </w:pPr>
                </w:p>
              </w:tc>
              <w:tc>
                <w:tcPr>
                  <w:tcW w:w="992" w:type="dxa"/>
                  <w:gridSpan w:val="2"/>
                  <w:vMerge w:val="continue"/>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127560B7">
                  <w:pPr>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2DBB0A26">
                  <w:pPr>
                    <w:pStyle w:val="110"/>
                    <w:widowControl/>
                  </w:pPr>
                  <w:r>
                    <w:rPr>
                      <w:rFonts w:hint="eastAsia" w:ascii="Times New Roman" w:hAnsi="Times New Roman" w:eastAsia="宋体" w:cs="宋体"/>
                      <w:bdr w:val="none" w:color="auto" w:sz="0" w:space="0"/>
                    </w:rPr>
                    <w:t>第二条</w:t>
                  </w:r>
                  <w:r>
                    <w:rPr>
                      <w:bdr w:val="none" w:color="auto" w:sz="0" w:space="0"/>
                    </w:rPr>
                    <w:t xml:space="preserve"> </w:t>
                  </w:r>
                  <w:r>
                    <w:rPr>
                      <w:rFonts w:hint="eastAsia" w:ascii="Times New Roman" w:hAnsi="Times New Roman" w:eastAsia="宋体" w:cs="宋体"/>
                      <w:bdr w:val="none" w:color="auto" w:sz="0" w:space="0"/>
                    </w:rPr>
                    <w:t>嘉陵江岸线</w:t>
                  </w:r>
                  <w:r>
                    <w:rPr>
                      <w:bdr w:val="none" w:color="auto" w:sz="0" w:space="0"/>
                      <w:lang w:val="en-US"/>
                    </w:rPr>
                    <w:t>1</w:t>
                  </w:r>
                  <w:r>
                    <w:rPr>
                      <w:rFonts w:hint="eastAsia" w:ascii="Times New Roman" w:hAnsi="Times New Roman" w:eastAsia="宋体" w:cs="宋体"/>
                      <w:bdr w:val="none" w:color="auto" w:sz="0" w:space="0"/>
                    </w:rPr>
                    <w:t>公里范围内限制布局新建纸浆制造、印染等存在环境风险的项目。</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5427FCB6">
                  <w:pPr>
                    <w:keepNext w:val="0"/>
                    <w:keepLines w:val="0"/>
                    <w:widowControl w:val="0"/>
                    <w:suppressLineNumbers w:val="0"/>
                    <w:snapToGrid w:val="0"/>
                    <w:spacing w:before="0" w:beforeAutospacing="0" w:after="0" w:afterAutospacing="0"/>
                    <w:ind w:left="0" w:right="0"/>
                    <w:jc w:val="both"/>
                    <w:rPr>
                      <w:color w:val="000000"/>
                      <w:sz w:val="22"/>
                      <w:szCs w:val="22"/>
                      <w:bdr w:val="none" w:color="auto" w:sz="0" w:space="0"/>
                      <w:lang w:val="en-US"/>
                    </w:rPr>
                  </w:pPr>
                  <w:r>
                    <w:rPr>
                      <w:rFonts w:hint="eastAsia" w:ascii="Calibri" w:hAnsi="Calibri" w:eastAsia="宋体" w:cs="宋体"/>
                      <w:color w:val="000000"/>
                      <w:kern w:val="2"/>
                      <w:sz w:val="22"/>
                      <w:szCs w:val="22"/>
                      <w:bdr w:val="none" w:color="auto" w:sz="0" w:space="0"/>
                      <w:lang w:val="en-US" w:eastAsia="zh-CN" w:bidi="ar"/>
                    </w:rPr>
                    <w:t>扩建项目不属于纸浆制造、印染等存在环境风险的项目。</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1891B6DC">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符合</w:t>
                  </w:r>
                </w:p>
              </w:tc>
            </w:tr>
            <w:tr w14:paraId="3C480BE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6D00765C">
                  <w:pPr>
                    <w:rPr>
                      <w:rFonts w:hint="default" w:ascii="Calibri" w:hAnsi="Calibri" w:cs="Calibri"/>
                      <w:sz w:val="20"/>
                      <w:szCs w:val="20"/>
                    </w:rPr>
                  </w:pPr>
                </w:p>
              </w:tc>
              <w:tc>
                <w:tcPr>
                  <w:tcW w:w="992" w:type="dxa"/>
                  <w:gridSpan w:val="2"/>
                  <w:vMerge w:val="restart"/>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182C5B9C">
                  <w:pPr>
                    <w:pStyle w:val="98"/>
                    <w:widowControl/>
                    <w:rPr>
                      <w:color w:val="000000"/>
                      <w:kern w:val="2"/>
                      <w:sz w:val="24"/>
                      <w:szCs w:val="24"/>
                      <w:bdr w:val="none" w:color="auto" w:sz="0" w:space="0"/>
                      <w:lang w:val="en-US"/>
                    </w:rPr>
                  </w:pPr>
                  <w:r>
                    <w:rPr>
                      <w:rFonts w:hint="eastAsia" w:ascii="Times New Roman" w:hAnsi="Times New Roman" w:eastAsia="宋体" w:cs="宋体"/>
                      <w:color w:val="000000"/>
                      <w:kern w:val="2"/>
                      <w:bdr w:val="none" w:color="auto" w:sz="0" w:space="0"/>
                    </w:rPr>
                    <w:t>污染物排放管控</w:t>
                  </w: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78736C44">
                  <w:pPr>
                    <w:pStyle w:val="110"/>
                    <w:widowControl/>
                  </w:pPr>
                  <w:r>
                    <w:rPr>
                      <w:rFonts w:hint="eastAsia" w:ascii="Times New Roman" w:hAnsi="Times New Roman" w:eastAsia="宋体" w:cs="宋体"/>
                      <w:bdr w:val="none" w:color="auto" w:sz="0" w:space="0"/>
                    </w:rPr>
                    <w:t>第三条</w:t>
                  </w:r>
                  <w:r>
                    <w:rPr>
                      <w:bdr w:val="none" w:color="auto" w:sz="0" w:space="0"/>
                    </w:rPr>
                    <w:t xml:space="preserve"> </w:t>
                  </w:r>
                  <w:r>
                    <w:rPr>
                      <w:rFonts w:hint="eastAsia" w:ascii="Times New Roman" w:hAnsi="Times New Roman" w:eastAsia="宋体" w:cs="宋体"/>
                      <w:bdr w:val="none" w:color="auto" w:sz="0" w:space="0"/>
                    </w:rPr>
                    <w:t>执行重点管控单元市级总体要求第八条、第九条、第十条、第十一条、第十二条、第十三条、第十四条和第十五条。</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26521CEE">
                  <w:pPr>
                    <w:keepNext w:val="0"/>
                    <w:keepLines w:val="0"/>
                    <w:widowControl w:val="0"/>
                    <w:suppressLineNumbers w:val="0"/>
                    <w:snapToGrid w:val="0"/>
                    <w:spacing w:before="0" w:beforeAutospacing="0" w:after="0" w:afterAutospacing="0"/>
                    <w:ind w:left="0" w:right="0"/>
                    <w:jc w:val="both"/>
                    <w:rPr>
                      <w:color w:val="000000"/>
                      <w:sz w:val="22"/>
                      <w:szCs w:val="22"/>
                      <w:bdr w:val="none" w:color="auto" w:sz="0" w:space="0"/>
                      <w:lang w:val="en-US"/>
                    </w:rPr>
                  </w:pPr>
                  <w:r>
                    <w:rPr>
                      <w:rFonts w:hint="eastAsia" w:ascii="Calibri" w:hAnsi="Calibri" w:eastAsia="宋体" w:cs="宋体"/>
                      <w:color w:val="000000"/>
                      <w:kern w:val="2"/>
                      <w:sz w:val="22"/>
                      <w:szCs w:val="22"/>
                      <w:bdr w:val="none" w:color="auto" w:sz="0" w:space="0"/>
                      <w:lang w:val="en-US" w:eastAsia="zh-CN" w:bidi="ar"/>
                    </w:rPr>
                    <w:t>扩建项目满足市级总体要求。</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15B099A9">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符合</w:t>
                  </w:r>
                </w:p>
              </w:tc>
            </w:tr>
            <w:tr w14:paraId="094BCF1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552ADCEC">
                  <w:pPr>
                    <w:rPr>
                      <w:rFonts w:hint="default" w:ascii="Calibri" w:hAnsi="Calibri" w:cs="Calibri"/>
                      <w:sz w:val="20"/>
                      <w:szCs w:val="20"/>
                    </w:rPr>
                  </w:pPr>
                </w:p>
              </w:tc>
              <w:tc>
                <w:tcPr>
                  <w:tcW w:w="992" w:type="dxa"/>
                  <w:gridSpan w:val="2"/>
                  <w:vMerge w:val="continue"/>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2E34102F">
                  <w:pPr>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1EE20767">
                  <w:pPr>
                    <w:pStyle w:val="110"/>
                    <w:widowControl/>
                  </w:pPr>
                  <w:r>
                    <w:rPr>
                      <w:rFonts w:hint="eastAsia" w:ascii="Times New Roman" w:hAnsi="Times New Roman" w:eastAsia="宋体" w:cs="宋体"/>
                      <w:bdr w:val="none" w:color="auto" w:sz="0" w:space="0"/>
                    </w:rPr>
                    <w:t>第四条</w:t>
                  </w:r>
                  <w:r>
                    <w:rPr>
                      <w:bdr w:val="none" w:color="auto" w:sz="0" w:space="0"/>
                    </w:rPr>
                    <w:t xml:space="preserve"> </w:t>
                  </w:r>
                  <w:r>
                    <w:rPr>
                      <w:rFonts w:hint="eastAsia" w:ascii="Times New Roman" w:hAnsi="Times New Roman" w:eastAsia="宋体" w:cs="宋体"/>
                      <w:bdr w:val="none" w:color="auto" w:sz="0" w:space="0"/>
                    </w:rPr>
                    <w:t>持续推进农村人居环境整治，巩固拓展农村厕所革命成果，引导农村新建住房配套建设卫生厕所，推进人口规模较大村庄配套建设公共厕所；强化畜禽粪污资源化利用加强散养畜禽管理；推进农药化肥减量增效；加强水产养殖污染专项治理，在养殖区内新建、改扩建水产专用养殖场（池）应配套建设养殖尾水治理设施，实现养殖尾水达标排放、循环使用或资源化利用</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259CCECC">
                  <w:pPr>
                    <w:keepNext w:val="0"/>
                    <w:keepLines w:val="0"/>
                    <w:widowControl w:val="0"/>
                    <w:suppressLineNumbers w:val="0"/>
                    <w:snapToGrid w:val="0"/>
                    <w:spacing w:before="0" w:beforeAutospacing="0" w:after="0" w:afterAutospacing="0"/>
                    <w:ind w:left="0" w:right="0"/>
                    <w:jc w:val="both"/>
                    <w:rPr>
                      <w:color w:val="000000"/>
                      <w:sz w:val="22"/>
                      <w:szCs w:val="22"/>
                      <w:bdr w:val="none" w:color="auto" w:sz="0" w:space="0"/>
                      <w:lang w:val="en-US"/>
                    </w:rPr>
                  </w:pPr>
                  <w:r>
                    <w:rPr>
                      <w:rFonts w:hint="eastAsia" w:ascii="Calibri" w:hAnsi="Calibri" w:eastAsia="宋体" w:cs="宋体"/>
                      <w:color w:val="000000"/>
                      <w:kern w:val="2"/>
                      <w:sz w:val="22"/>
                      <w:szCs w:val="22"/>
                      <w:bdr w:val="none" w:color="auto" w:sz="0" w:space="0"/>
                      <w:lang w:val="en-US" w:eastAsia="zh-CN" w:bidi="ar"/>
                    </w:rPr>
                    <w:t>扩建项目不涉及左列内容。</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0E5EF5B3">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宋体"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符合</w:t>
                  </w:r>
                </w:p>
              </w:tc>
            </w:tr>
            <w:tr w14:paraId="206C673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6F985C04">
                  <w:pPr>
                    <w:rPr>
                      <w:rFonts w:hint="default" w:ascii="Calibri" w:hAnsi="Calibri" w:cs="Calibri"/>
                      <w:sz w:val="20"/>
                      <w:szCs w:val="20"/>
                    </w:rPr>
                  </w:pPr>
                </w:p>
              </w:tc>
              <w:tc>
                <w:tcPr>
                  <w:tcW w:w="992" w:type="dxa"/>
                  <w:gridSpan w:val="2"/>
                  <w:vMerge w:val="continue"/>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750F16FD">
                  <w:pPr>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69FF4739">
                  <w:pPr>
                    <w:pStyle w:val="110"/>
                    <w:widowControl/>
                  </w:pPr>
                  <w:r>
                    <w:rPr>
                      <w:rFonts w:hint="eastAsia" w:ascii="Times New Roman" w:hAnsi="Times New Roman" w:eastAsia="宋体" w:cs="宋体"/>
                      <w:bdr w:val="none" w:color="auto" w:sz="0" w:space="0"/>
                    </w:rPr>
                    <w:t>第五条</w:t>
                  </w:r>
                  <w:r>
                    <w:rPr>
                      <w:bdr w:val="none" w:color="auto" w:sz="0" w:space="0"/>
                    </w:rPr>
                    <w:t xml:space="preserve"> </w:t>
                  </w:r>
                  <w:r>
                    <w:rPr>
                      <w:rFonts w:hint="eastAsia" w:ascii="Times New Roman" w:hAnsi="Times New Roman" w:eastAsia="宋体" w:cs="宋体"/>
                      <w:bdr w:val="none" w:color="auto" w:sz="0" w:space="0"/>
                    </w:rPr>
                    <w:t>持续推进水泥等高排放重点管控企业超低排放改造，加大新型干法水泥窑、玻璃行业废气深度治理力度，深化烧结砖瓦窑生产企业深度治理，推进烧结砖瓦窑脱硫脱硝除尘改造；新建燃煤机组</w:t>
                  </w:r>
                  <w:r>
                    <w:rPr>
                      <w:bdr w:val="none" w:color="auto" w:sz="0" w:space="0"/>
                    </w:rPr>
                    <w:t xml:space="preserve"> </w:t>
                  </w:r>
                  <w:r>
                    <w:rPr>
                      <w:rFonts w:hint="eastAsia" w:ascii="Times New Roman" w:hAnsi="Times New Roman" w:eastAsia="宋体" w:cs="宋体"/>
                      <w:bdr w:val="none" w:color="auto" w:sz="0" w:space="0"/>
                    </w:rPr>
                    <w:t>实施超低排放；燃气锅炉实施低氮改造。</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3B175CFB">
                  <w:pPr>
                    <w:keepNext w:val="0"/>
                    <w:keepLines w:val="0"/>
                    <w:widowControl w:val="0"/>
                    <w:suppressLineNumbers w:val="0"/>
                    <w:snapToGrid w:val="0"/>
                    <w:spacing w:before="0" w:beforeAutospacing="0" w:after="0" w:afterAutospacing="0"/>
                    <w:ind w:left="0" w:right="0"/>
                    <w:jc w:val="both"/>
                    <w:rPr>
                      <w:color w:val="000000"/>
                      <w:sz w:val="22"/>
                      <w:szCs w:val="22"/>
                      <w:bdr w:val="none" w:color="auto" w:sz="0" w:space="0"/>
                      <w:lang w:val="en-US"/>
                    </w:rPr>
                  </w:pPr>
                  <w:r>
                    <w:rPr>
                      <w:rFonts w:hint="eastAsia" w:ascii="Calibri" w:hAnsi="Calibri" w:eastAsia="宋体" w:cs="宋体"/>
                      <w:color w:val="000000"/>
                      <w:kern w:val="2"/>
                      <w:sz w:val="22"/>
                      <w:szCs w:val="22"/>
                      <w:bdr w:val="none" w:color="auto" w:sz="0" w:space="0"/>
                      <w:lang w:val="en-US" w:eastAsia="zh-CN" w:bidi="ar"/>
                    </w:rPr>
                    <w:t>扩建项目不属于左列高排放重点管控企业。</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4D04060B">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宋体"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符合</w:t>
                  </w:r>
                </w:p>
              </w:tc>
            </w:tr>
            <w:tr w14:paraId="60C4817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47A02B82">
                  <w:pPr>
                    <w:rPr>
                      <w:rFonts w:hint="default" w:ascii="Calibri" w:hAnsi="Calibri" w:cs="Calibri"/>
                      <w:sz w:val="20"/>
                      <w:szCs w:val="20"/>
                    </w:rPr>
                  </w:pPr>
                </w:p>
              </w:tc>
              <w:tc>
                <w:tcPr>
                  <w:tcW w:w="992" w:type="dxa"/>
                  <w:gridSpan w:val="2"/>
                  <w:vMerge w:val="continue"/>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0E334349">
                  <w:pPr>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2BE3FB15">
                  <w:pPr>
                    <w:pStyle w:val="110"/>
                    <w:widowControl/>
                  </w:pPr>
                  <w:r>
                    <w:rPr>
                      <w:rFonts w:hint="eastAsia" w:ascii="Times New Roman" w:hAnsi="Times New Roman" w:eastAsia="宋体" w:cs="宋体"/>
                      <w:bdr w:val="none" w:color="auto" w:sz="0" w:space="0"/>
                    </w:rPr>
                    <w:t>第六条</w:t>
                  </w:r>
                  <w:r>
                    <w:rPr>
                      <w:bdr w:val="none" w:color="auto" w:sz="0" w:space="0"/>
                    </w:rPr>
                    <w:t xml:space="preserve"> </w:t>
                  </w:r>
                  <w:r>
                    <w:rPr>
                      <w:rFonts w:hint="eastAsia" w:ascii="Times New Roman" w:hAnsi="Times New Roman" w:eastAsia="宋体" w:cs="宋体"/>
                      <w:bdr w:val="none" w:color="auto" w:sz="0" w:space="0"/>
                    </w:rPr>
                    <w:t>严格施工扬尘管理，建筑面积</w:t>
                  </w:r>
                  <w:r>
                    <w:rPr>
                      <w:bdr w:val="none" w:color="auto" w:sz="0" w:space="0"/>
                      <w:lang w:val="en-US"/>
                    </w:rPr>
                    <w:t>8</w:t>
                  </w:r>
                  <w:r>
                    <w:rPr>
                      <w:rFonts w:hint="eastAsia" w:ascii="Times New Roman" w:hAnsi="Times New Roman" w:eastAsia="宋体" w:cs="宋体"/>
                      <w:bdr w:val="none" w:color="auto" w:sz="0" w:space="0"/>
                    </w:rPr>
                    <w:t>万平方米以上工地全部安装扬尘在线监测系统并联网。加强道路扬尘控制，强化运渣车辆冒装撒漏监管。推进混凝土搅拌站和非煤矿山物料储运系统密闭化改造、</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02650D53">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left"/>
                    <w:rPr>
                      <w:rFonts w:hint="default" w:ascii="Times New Roman" w:hAnsi="宋体" w:cs="Times New Roman"/>
                      <w:color w:val="000000"/>
                      <w:spacing w:val="-6"/>
                      <w:kern w:val="0"/>
                      <w:szCs w:val="21"/>
                      <w:bdr w:val="none" w:color="auto" w:sz="0" w:space="0"/>
                      <w:lang w:val="en-US"/>
                    </w:rPr>
                  </w:pPr>
                  <w:r>
                    <w:rPr>
                      <w:rFonts w:hint="eastAsia" w:ascii="Times New Roman" w:hAnsi="宋体" w:eastAsia="宋体" w:cs="宋体"/>
                      <w:color w:val="000000"/>
                      <w:spacing w:val="-6"/>
                      <w:kern w:val="0"/>
                      <w:sz w:val="21"/>
                      <w:szCs w:val="21"/>
                      <w:bdr w:val="none" w:color="auto" w:sz="0" w:space="0"/>
                      <w:lang w:val="en-US" w:eastAsia="zh-CN" w:bidi="ar"/>
                    </w:rPr>
                    <w:t>扩建项目施工期在已建厂房进行，仅进行设备安装，不涉及厂外的施工扬尘。</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32713B7E">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宋体"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符合</w:t>
                  </w:r>
                </w:p>
              </w:tc>
            </w:tr>
            <w:tr w14:paraId="4EB2FEC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34335F81">
                  <w:pPr>
                    <w:rPr>
                      <w:rFonts w:hint="default" w:ascii="Calibri" w:hAnsi="Calibri" w:cs="Calibri"/>
                      <w:sz w:val="20"/>
                      <w:szCs w:val="20"/>
                    </w:rPr>
                  </w:pPr>
                </w:p>
              </w:tc>
              <w:tc>
                <w:tcPr>
                  <w:tcW w:w="992" w:type="dxa"/>
                  <w:gridSpan w:val="2"/>
                  <w:vMerge w:val="continue"/>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7B82A091">
                  <w:pPr>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3CC5A559">
                  <w:pPr>
                    <w:pStyle w:val="110"/>
                    <w:widowControl/>
                  </w:pPr>
                  <w:r>
                    <w:rPr>
                      <w:rFonts w:hint="eastAsia" w:ascii="Times New Roman" w:hAnsi="Times New Roman" w:eastAsia="宋体" w:cs="宋体"/>
                      <w:bdr w:val="none" w:color="auto" w:sz="0" w:space="0"/>
                    </w:rPr>
                    <w:t>第七条</w:t>
                  </w:r>
                  <w:r>
                    <w:rPr>
                      <w:bdr w:val="none" w:color="auto" w:sz="0" w:space="0"/>
                    </w:rPr>
                    <w:t xml:space="preserve"> </w:t>
                  </w:r>
                  <w:r>
                    <w:rPr>
                      <w:rFonts w:hint="eastAsia" w:ascii="Times New Roman" w:hAnsi="Times New Roman" w:eastAsia="宋体" w:cs="宋体"/>
                      <w:bdr w:val="none" w:color="auto" w:sz="0" w:space="0"/>
                    </w:rPr>
                    <w:t>加快大宗货物和中长途货物运输“公转铁、公转水”大力发展铁水、公铁、公水等多式联运，大宗物料优先采用铁路、管道或水路运输，短途接驳优先使用新能源车辆运输；加强船舶和非道路移动机械排气污染防治，提高燃油车船能效标准，健全交通运输装备能效标识制度，加快淘汰高耗能高排放老旧车船。全面实施汽车国六排放标准和非道路移动柴油机械国四排放标准，</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392244D2">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left"/>
                    <w:rPr>
                      <w:rFonts w:hint="default" w:ascii="Times New Roman" w:hAnsi="宋体" w:cs="Times New Roman"/>
                      <w:color w:val="000000"/>
                      <w:spacing w:val="-6"/>
                      <w:kern w:val="0"/>
                      <w:szCs w:val="21"/>
                      <w:bdr w:val="none" w:color="auto" w:sz="0" w:space="0"/>
                      <w:lang w:val="en-US"/>
                    </w:rPr>
                  </w:pPr>
                  <w:r>
                    <w:rPr>
                      <w:rFonts w:hint="eastAsia" w:ascii="Calibri" w:hAnsi="Calibri" w:eastAsia="宋体" w:cs="宋体"/>
                      <w:color w:val="000000"/>
                      <w:kern w:val="2"/>
                      <w:sz w:val="21"/>
                      <w:szCs w:val="24"/>
                      <w:bdr w:val="none" w:color="auto" w:sz="0" w:space="0"/>
                      <w:lang w:val="en-US" w:eastAsia="zh-CN" w:bidi="ar"/>
                    </w:rPr>
                    <w:t>扩建项目不涉及。</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4FE3D481">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宋体"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符合</w:t>
                  </w:r>
                </w:p>
              </w:tc>
            </w:tr>
            <w:tr w14:paraId="051B147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303FE84E">
                  <w:pPr>
                    <w:rPr>
                      <w:rFonts w:hint="default" w:ascii="Calibri" w:hAnsi="Calibri" w:cs="Calibri"/>
                      <w:sz w:val="20"/>
                      <w:szCs w:val="20"/>
                    </w:rPr>
                  </w:pPr>
                </w:p>
              </w:tc>
              <w:tc>
                <w:tcPr>
                  <w:tcW w:w="992" w:type="dxa"/>
                  <w:gridSpan w:val="2"/>
                  <w:vMerge w:val="continue"/>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787A35AD">
                  <w:pPr>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30A30CC9">
                  <w:pPr>
                    <w:pStyle w:val="110"/>
                    <w:widowControl/>
                  </w:pPr>
                  <w:r>
                    <w:rPr>
                      <w:rFonts w:hint="eastAsia" w:ascii="Times New Roman" w:hAnsi="Times New Roman" w:eastAsia="宋体" w:cs="宋体"/>
                      <w:bdr w:val="none" w:color="auto" w:sz="0" w:space="0"/>
                    </w:rPr>
                    <w:t>第八条</w:t>
                  </w:r>
                  <w:r>
                    <w:rPr>
                      <w:bdr w:val="none" w:color="auto" w:sz="0" w:space="0"/>
                    </w:rPr>
                    <w:t xml:space="preserve"> </w:t>
                  </w:r>
                  <w:r>
                    <w:rPr>
                      <w:rFonts w:hint="eastAsia" w:ascii="Times New Roman" w:hAnsi="Times New Roman" w:eastAsia="宋体" w:cs="宋体"/>
                      <w:bdr w:val="none" w:color="auto" w:sz="0" w:space="0"/>
                    </w:rPr>
                    <w:t>推动新建小区公共烟道建设油烟集中处置设施，实现居民生活油烟达标排放，减少生活有机溶剂使用，针对建筑装修、汽修喷涂作业、干洗等行业，严格执行有机溶剂</w:t>
                  </w:r>
                  <w:r>
                    <w:rPr>
                      <w:bdr w:val="none" w:color="auto" w:sz="0" w:space="0"/>
                      <w:lang w:val="en-US"/>
                    </w:rPr>
                    <w:t>VOCs</w:t>
                  </w:r>
                  <w:r>
                    <w:rPr>
                      <w:rFonts w:hint="eastAsia" w:ascii="Times New Roman" w:hAnsi="Times New Roman" w:eastAsia="宋体" w:cs="宋体"/>
                      <w:bdr w:val="none" w:color="auto" w:sz="0" w:space="0"/>
                    </w:rPr>
                    <w:t>含量限值标准，鼓励使用低毒、低挥发性溶剂。</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1D265642">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left"/>
                    <w:rPr>
                      <w:rFonts w:hint="default" w:ascii="Times New Roman" w:hAnsi="宋体" w:cs="Times New Roman"/>
                      <w:color w:val="000000"/>
                      <w:spacing w:val="-6"/>
                      <w:kern w:val="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扩建项目使用低挥发性有机物含量的原辅料，</w:t>
                  </w:r>
                  <w:r>
                    <w:rPr>
                      <w:rFonts w:hint="eastAsia" w:ascii="Calibri" w:hAnsi="Calibri" w:eastAsia="宋体" w:cs="宋体"/>
                      <w:color w:val="000000"/>
                      <w:kern w:val="2"/>
                      <w:sz w:val="21"/>
                      <w:szCs w:val="21"/>
                      <w:bdr w:val="none" w:color="auto" w:sz="0" w:space="0"/>
                      <w:lang w:val="en-US" w:eastAsia="zh-CN" w:bidi="ar"/>
                    </w:rPr>
                    <w:t>在各产污节点均采取了废气收集措施，废气收集后经治理装置处理达标后排放。</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63408131">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符合</w:t>
                  </w:r>
                </w:p>
              </w:tc>
            </w:tr>
            <w:tr w14:paraId="51CA6BE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36EDEF8F">
                  <w:pPr>
                    <w:rPr>
                      <w:rFonts w:hint="default" w:ascii="Calibri" w:hAnsi="Calibri" w:cs="Calibri"/>
                      <w:sz w:val="20"/>
                      <w:szCs w:val="20"/>
                    </w:rPr>
                  </w:pPr>
                </w:p>
              </w:tc>
              <w:tc>
                <w:tcPr>
                  <w:tcW w:w="992" w:type="dxa"/>
                  <w:gridSpan w:val="2"/>
                  <w:vMerge w:val="restart"/>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6EEF3632">
                  <w:pPr>
                    <w:pStyle w:val="98"/>
                    <w:widowControl/>
                    <w:rPr>
                      <w:color w:val="000000"/>
                      <w:kern w:val="2"/>
                      <w:sz w:val="24"/>
                      <w:szCs w:val="24"/>
                      <w:bdr w:val="none" w:color="auto" w:sz="0" w:space="0"/>
                      <w:lang w:val="en-US"/>
                    </w:rPr>
                  </w:pPr>
                  <w:r>
                    <w:rPr>
                      <w:rFonts w:hint="eastAsia" w:ascii="Times New Roman" w:hAnsi="Times New Roman" w:eastAsia="宋体" w:cs="宋体"/>
                      <w:color w:val="000000"/>
                      <w:kern w:val="2"/>
                      <w:bdr w:val="none" w:color="auto" w:sz="0" w:space="0"/>
                    </w:rPr>
                    <w:t>环境风险防控</w:t>
                  </w: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5DF4AD73">
                  <w:pPr>
                    <w:pStyle w:val="110"/>
                    <w:widowControl/>
                  </w:pPr>
                  <w:r>
                    <w:rPr>
                      <w:rFonts w:hint="eastAsia" w:ascii="Times New Roman" w:hAnsi="Times New Roman" w:eastAsia="宋体" w:cs="宋体"/>
                      <w:bdr w:val="none" w:color="auto" w:sz="0" w:space="0"/>
                    </w:rPr>
                    <w:t>第九条</w:t>
                  </w:r>
                  <w:r>
                    <w:rPr>
                      <w:bdr w:val="none" w:color="auto" w:sz="0" w:space="0"/>
                    </w:rPr>
                    <w:t xml:space="preserve"> </w:t>
                  </w:r>
                  <w:r>
                    <w:rPr>
                      <w:rFonts w:hint="eastAsia" w:ascii="Times New Roman" w:hAnsi="Times New Roman" w:eastAsia="宋体" w:cs="宋体"/>
                      <w:bdr w:val="none" w:color="auto" w:sz="0" w:space="0"/>
                    </w:rPr>
                    <w:t>执行重点管控单元市级总体要求第十六条</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7CC6EEB9">
                  <w:pPr>
                    <w:keepNext w:val="0"/>
                    <w:keepLines w:val="0"/>
                    <w:widowControl w:val="0"/>
                    <w:suppressLineNumbers w:val="0"/>
                    <w:spacing w:before="0" w:beforeAutospacing="0" w:after="0" w:afterAutospacing="0"/>
                    <w:ind w:left="0" w:right="0"/>
                    <w:jc w:val="both"/>
                    <w:rPr>
                      <w:rFonts w:hint="default" w:ascii="Times New Roman" w:hAnsi="宋体" w:cs="Times New Roman"/>
                      <w:color w:val="000000"/>
                      <w:spacing w:val="-6"/>
                      <w:kern w:val="0"/>
                      <w:szCs w:val="21"/>
                      <w:bdr w:val="none" w:color="auto" w:sz="0" w:space="0"/>
                      <w:lang w:val="en-US"/>
                    </w:rPr>
                  </w:pPr>
                  <w:r>
                    <w:rPr>
                      <w:rFonts w:hint="eastAsia" w:ascii="Calibri" w:hAnsi="Calibri" w:eastAsia="宋体" w:cs="宋体"/>
                      <w:color w:val="000000"/>
                      <w:kern w:val="2"/>
                      <w:sz w:val="21"/>
                      <w:szCs w:val="24"/>
                      <w:bdr w:val="none" w:color="auto" w:sz="0" w:space="0"/>
                      <w:lang w:val="en-US" w:eastAsia="zh-CN" w:bidi="ar"/>
                    </w:rPr>
                    <w:t>扩建项目符合所列管控要求。</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0DFB9E60">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符合</w:t>
                  </w:r>
                </w:p>
              </w:tc>
            </w:tr>
            <w:tr w14:paraId="1975CE6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66B78CD3">
                  <w:pPr>
                    <w:rPr>
                      <w:rFonts w:hint="default" w:ascii="Calibri" w:hAnsi="Calibri" w:cs="Calibri"/>
                      <w:sz w:val="20"/>
                      <w:szCs w:val="20"/>
                    </w:rPr>
                  </w:pPr>
                </w:p>
              </w:tc>
              <w:tc>
                <w:tcPr>
                  <w:tcW w:w="992" w:type="dxa"/>
                  <w:gridSpan w:val="2"/>
                  <w:vMerge w:val="continue"/>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44C164D6">
                  <w:pPr>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4A20727D">
                  <w:pPr>
                    <w:pStyle w:val="110"/>
                    <w:widowControl/>
                  </w:pPr>
                  <w:r>
                    <w:rPr>
                      <w:rFonts w:hint="eastAsia" w:ascii="Times New Roman" w:hAnsi="Times New Roman" w:eastAsia="宋体" w:cs="宋体"/>
                      <w:bdr w:val="none" w:color="auto" w:sz="0" w:space="0"/>
                    </w:rPr>
                    <w:t>第十条</w:t>
                  </w:r>
                  <w:r>
                    <w:rPr>
                      <w:bdr w:val="none" w:color="auto" w:sz="0" w:space="0"/>
                    </w:rPr>
                    <w:t xml:space="preserve"> </w:t>
                  </w:r>
                  <w:r>
                    <w:rPr>
                      <w:rFonts w:hint="eastAsia" w:ascii="Times New Roman" w:hAnsi="Times New Roman" w:eastAsia="宋体" w:cs="宋体"/>
                      <w:bdr w:val="none" w:color="auto" w:sz="0" w:space="0"/>
                    </w:rPr>
                    <w:t>强化工业园区环境风险管控。完善工业园区现有重大风险源的风险防范体系和应急预案，定期开展应急事故演练，并加强监管；实施技术、工艺、设备等生态化、循环化改造，加快布局分散的企业向园区集中，按要求设置生态隔离带，建设相应的防护工程。强化环境应急队伍建设和物资储备。</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7BDBA7CF">
                  <w:pPr>
                    <w:keepNext w:val="0"/>
                    <w:keepLines w:val="0"/>
                    <w:widowControl w:val="0"/>
                    <w:suppressLineNumbers w:val="0"/>
                    <w:spacing w:before="0" w:beforeAutospacing="0" w:after="0" w:afterAutospacing="0"/>
                    <w:ind w:left="0" w:right="0"/>
                    <w:jc w:val="both"/>
                    <w:rPr>
                      <w:rFonts w:hint="default" w:ascii="Times New Roman" w:hAnsi="宋体" w:cs="Times New Roman"/>
                      <w:color w:val="000000"/>
                      <w:spacing w:val="-6"/>
                      <w:kern w:val="0"/>
                      <w:szCs w:val="21"/>
                      <w:bdr w:val="none" w:color="auto" w:sz="0" w:space="0"/>
                      <w:lang w:val="en-US"/>
                    </w:rPr>
                  </w:pPr>
                  <w:r>
                    <w:rPr>
                      <w:rFonts w:hint="eastAsia" w:ascii="Times New Roman" w:hAnsi="宋体" w:eastAsia="宋体" w:cs="宋体"/>
                      <w:color w:val="000000"/>
                      <w:spacing w:val="-6"/>
                      <w:kern w:val="0"/>
                      <w:sz w:val="21"/>
                      <w:szCs w:val="21"/>
                      <w:bdr w:val="none" w:color="auto" w:sz="0" w:space="0"/>
                      <w:lang w:val="en-US" w:eastAsia="zh-CN" w:bidi="ar"/>
                    </w:rPr>
                    <w:t>扩建项目位于</w:t>
                  </w:r>
                  <w:r>
                    <w:rPr>
                      <w:rFonts w:hint="eastAsia" w:ascii="Times New Roman" w:hAnsi="Times New Roman" w:eastAsia="宋体" w:cs="宋体"/>
                      <w:color w:val="000000"/>
                      <w:kern w:val="2"/>
                      <w:sz w:val="21"/>
                      <w:szCs w:val="21"/>
                      <w:bdr w:val="none" w:color="auto" w:sz="0" w:space="0"/>
                      <w:lang w:val="en-US" w:eastAsia="zh-CN" w:bidi="ar"/>
                    </w:rPr>
                    <w:t>合川工业园南溪组团</w:t>
                  </w:r>
                  <w:r>
                    <w:rPr>
                      <w:rFonts w:hint="default" w:ascii="Times New Roman" w:hAnsi="Times New Roman" w:eastAsia="宋体" w:cs="Times New Roman"/>
                      <w:color w:val="000000"/>
                      <w:kern w:val="2"/>
                      <w:sz w:val="21"/>
                      <w:szCs w:val="21"/>
                      <w:bdr w:val="none" w:color="auto" w:sz="0" w:space="0"/>
                      <w:lang w:val="en-US" w:eastAsia="zh-CN" w:bidi="ar"/>
                    </w:rPr>
                    <w:t>B</w:t>
                  </w:r>
                  <w:r>
                    <w:rPr>
                      <w:rFonts w:hint="eastAsia" w:ascii="Times New Roman" w:hAnsi="Times New Roman" w:eastAsia="宋体" w:cs="宋体"/>
                      <w:color w:val="000000"/>
                      <w:kern w:val="2"/>
                      <w:sz w:val="21"/>
                      <w:szCs w:val="21"/>
                      <w:bdr w:val="none" w:color="auto" w:sz="0" w:space="0"/>
                      <w:lang w:val="en-US" w:eastAsia="zh-CN" w:bidi="ar"/>
                    </w:rPr>
                    <w:t>区，将完善自身环境风险防范措施，与园区防范体系衔接。</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7DC67FC7">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宋体"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符合</w:t>
                  </w:r>
                </w:p>
              </w:tc>
            </w:tr>
            <w:tr w14:paraId="4984FFA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375B19A8">
                  <w:pPr>
                    <w:rPr>
                      <w:rFonts w:hint="default" w:ascii="Calibri" w:hAnsi="Calibri" w:cs="Calibri"/>
                      <w:sz w:val="20"/>
                      <w:szCs w:val="20"/>
                    </w:rPr>
                  </w:pPr>
                </w:p>
              </w:tc>
              <w:tc>
                <w:tcPr>
                  <w:tcW w:w="992" w:type="dxa"/>
                  <w:gridSpan w:val="2"/>
                  <w:vMerge w:val="continue"/>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5ED47A68">
                  <w:pPr>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2A9E39FD">
                  <w:pPr>
                    <w:pStyle w:val="110"/>
                    <w:widowControl/>
                  </w:pPr>
                  <w:r>
                    <w:rPr>
                      <w:rFonts w:hint="eastAsia" w:ascii="Times New Roman" w:hAnsi="Times New Roman" w:eastAsia="宋体" w:cs="宋体"/>
                      <w:bdr w:val="none" w:color="auto" w:sz="0" w:space="0"/>
                    </w:rPr>
                    <w:t>第十一条</w:t>
                  </w:r>
                  <w:r>
                    <w:rPr>
                      <w:bdr w:val="none" w:color="auto" w:sz="0" w:space="0"/>
                    </w:rPr>
                    <w:t xml:space="preserve"> </w:t>
                  </w:r>
                  <w:r>
                    <w:rPr>
                      <w:rFonts w:hint="eastAsia" w:ascii="Times New Roman" w:hAnsi="Times New Roman" w:eastAsia="宋体" w:cs="宋体"/>
                      <w:bdr w:val="none" w:color="auto" w:sz="0" w:space="0"/>
                    </w:rPr>
                    <w:t>工业集聚区内的项目对水环境存在安全隐患的应当建立车间、工厂和集聚区三级环境风险防范体系。</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6006438D">
                  <w:pPr>
                    <w:keepNext w:val="0"/>
                    <w:keepLines w:val="0"/>
                    <w:widowControl w:val="0"/>
                    <w:suppressLineNumbers w:val="0"/>
                    <w:spacing w:before="0" w:beforeAutospacing="0" w:after="0" w:afterAutospacing="0"/>
                    <w:ind w:left="0" w:right="0"/>
                    <w:jc w:val="both"/>
                    <w:rPr>
                      <w:rFonts w:hint="default" w:ascii="Times New Roman" w:hAnsi="宋体" w:cs="Times New Roman"/>
                      <w:color w:val="000000"/>
                      <w:spacing w:val="-6"/>
                      <w:kern w:val="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扩建项目无生产废水，新增员工的生活污水依托盈田</w:t>
                  </w:r>
                  <w:r>
                    <w:rPr>
                      <w:rFonts w:hint="default" w:ascii="Calibri" w:hAnsi="Calibri" w:eastAsia="宋体" w:cs="Times New Roman"/>
                      <w:color w:val="000000"/>
                      <w:kern w:val="2"/>
                      <w:sz w:val="21"/>
                      <w:szCs w:val="21"/>
                      <w:bdr w:val="none" w:color="auto" w:sz="0" w:space="0"/>
                      <w:lang w:val="en-US" w:eastAsia="zh-CN" w:bidi="ar"/>
                    </w:rPr>
                    <w:t>·</w:t>
                  </w:r>
                  <w:r>
                    <w:rPr>
                      <w:rFonts w:hint="eastAsia" w:ascii="Calibri" w:hAnsi="Calibri" w:eastAsia="宋体" w:cs="宋体"/>
                      <w:color w:val="000000"/>
                      <w:kern w:val="2"/>
                      <w:sz w:val="21"/>
                      <w:szCs w:val="21"/>
                      <w:bdr w:val="none" w:color="auto" w:sz="0" w:space="0"/>
                      <w:lang w:val="en-US" w:eastAsia="zh-CN" w:bidi="ar"/>
                    </w:rPr>
                    <w:t>合川工谷已建污水设施处理达标后排放。</w:t>
                  </w:r>
                  <w:r>
                    <w:rPr>
                      <w:rFonts w:hint="eastAsia" w:ascii="Times New Roman" w:hAnsi="宋体" w:eastAsia="宋体" w:cs="宋体"/>
                      <w:color w:val="000000"/>
                      <w:spacing w:val="-6"/>
                      <w:kern w:val="0"/>
                      <w:sz w:val="21"/>
                      <w:szCs w:val="21"/>
                      <w:bdr w:val="none" w:color="auto" w:sz="0" w:space="0"/>
                      <w:lang w:val="en-US" w:eastAsia="zh-CN" w:bidi="ar"/>
                    </w:rPr>
                    <w:t>不会对水环境造成安全隐患。</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047BF17A">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宋体"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符合</w:t>
                  </w:r>
                </w:p>
              </w:tc>
            </w:tr>
            <w:tr w14:paraId="7DEA029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4521679E">
                  <w:pPr>
                    <w:rPr>
                      <w:rFonts w:hint="default" w:ascii="Calibri" w:hAnsi="Calibri" w:cs="Calibri"/>
                      <w:sz w:val="20"/>
                      <w:szCs w:val="20"/>
                    </w:rPr>
                  </w:pPr>
                </w:p>
              </w:tc>
              <w:tc>
                <w:tcPr>
                  <w:tcW w:w="992" w:type="dxa"/>
                  <w:gridSpan w:val="2"/>
                  <w:vMerge w:val="continue"/>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4EA8F148">
                  <w:pPr>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429B258C">
                  <w:pPr>
                    <w:pStyle w:val="110"/>
                    <w:widowControl/>
                  </w:pPr>
                  <w:r>
                    <w:rPr>
                      <w:rFonts w:hint="eastAsia" w:ascii="Times New Roman" w:hAnsi="Times New Roman" w:eastAsia="宋体" w:cs="宋体"/>
                      <w:bdr w:val="none" w:color="auto" w:sz="0" w:space="0"/>
                    </w:rPr>
                    <w:t>第十二条</w:t>
                  </w:r>
                  <w:r>
                    <w:rPr>
                      <w:bdr w:val="none" w:color="auto" w:sz="0" w:space="0"/>
                    </w:rPr>
                    <w:t xml:space="preserve"> </w:t>
                  </w:r>
                  <w:r>
                    <w:rPr>
                      <w:rFonts w:hint="eastAsia" w:ascii="Times New Roman" w:hAnsi="Times New Roman" w:eastAsia="宋体" w:cs="宋体"/>
                      <w:bdr w:val="none" w:color="auto" w:sz="0" w:space="0"/>
                    </w:rPr>
                    <w:t>深化区域联防联控机制，进一步健全与遂宁、广安、潼南、铜梁、北碚等地突发环境事件应急响应机制，有效预防和应对跨区域的突发环境风险事件。</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16B56906">
                  <w:pPr>
                    <w:keepNext w:val="0"/>
                    <w:keepLines w:val="0"/>
                    <w:widowControl w:val="0"/>
                    <w:suppressLineNumbers w:val="0"/>
                    <w:spacing w:before="0" w:beforeAutospacing="0" w:after="0" w:afterAutospacing="0"/>
                    <w:ind w:left="0" w:right="0"/>
                    <w:jc w:val="both"/>
                    <w:rPr>
                      <w:rFonts w:hint="default" w:ascii="Times New Roman" w:hAnsi="宋体" w:cs="Times New Roman"/>
                      <w:color w:val="000000"/>
                      <w:spacing w:val="-6"/>
                      <w:kern w:val="0"/>
                      <w:szCs w:val="21"/>
                      <w:bdr w:val="none" w:color="auto" w:sz="0" w:space="0"/>
                      <w:lang w:val="en-US"/>
                    </w:rPr>
                  </w:pPr>
                  <w:r>
                    <w:rPr>
                      <w:rFonts w:hint="eastAsia" w:ascii="Calibri" w:hAnsi="Calibri" w:eastAsia="宋体" w:cs="宋体"/>
                      <w:color w:val="000000"/>
                      <w:kern w:val="2"/>
                      <w:sz w:val="21"/>
                      <w:szCs w:val="24"/>
                      <w:bdr w:val="none" w:color="auto" w:sz="0" w:space="0"/>
                      <w:lang w:val="en-US" w:eastAsia="zh-CN" w:bidi="ar"/>
                    </w:rPr>
                    <w:t>扩建项目不涉及。</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0CF8D559">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符合</w:t>
                  </w:r>
                </w:p>
              </w:tc>
            </w:tr>
            <w:tr w14:paraId="478DF37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4E82F314">
                  <w:pPr>
                    <w:rPr>
                      <w:rFonts w:hint="default" w:ascii="Calibri" w:hAnsi="Calibri" w:cs="Calibri"/>
                      <w:sz w:val="20"/>
                      <w:szCs w:val="20"/>
                    </w:rPr>
                  </w:pPr>
                </w:p>
              </w:tc>
              <w:tc>
                <w:tcPr>
                  <w:tcW w:w="992" w:type="dxa"/>
                  <w:gridSpan w:val="2"/>
                  <w:vMerge w:val="restart"/>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23CC24F8">
                  <w:pPr>
                    <w:pStyle w:val="98"/>
                    <w:widowControl/>
                    <w:rPr>
                      <w:color w:val="000000"/>
                      <w:kern w:val="2"/>
                      <w:bdr w:val="none" w:color="auto" w:sz="0" w:space="0"/>
                      <w:lang w:val="en-US"/>
                    </w:rPr>
                  </w:pPr>
                  <w:r>
                    <w:rPr>
                      <w:rFonts w:hint="eastAsia" w:ascii="Times New Roman" w:hAnsi="Times New Roman" w:eastAsia="宋体" w:cs="宋体"/>
                      <w:color w:val="000000"/>
                      <w:kern w:val="2"/>
                      <w:bdr w:val="none" w:color="auto" w:sz="0" w:space="0"/>
                    </w:rPr>
                    <w:t>资源利用效率</w:t>
                  </w: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39A8783C">
                  <w:pPr>
                    <w:pStyle w:val="110"/>
                    <w:widowControl/>
                  </w:pPr>
                  <w:r>
                    <w:rPr>
                      <w:rFonts w:hint="eastAsia" w:ascii="Times New Roman" w:hAnsi="Times New Roman" w:eastAsia="宋体" w:cs="宋体"/>
                      <w:bdr w:val="none" w:color="auto" w:sz="0" w:space="0"/>
                    </w:rPr>
                    <w:t>第十三条</w:t>
                  </w:r>
                  <w:r>
                    <w:rPr>
                      <w:bdr w:val="none" w:color="auto" w:sz="0" w:space="0"/>
                    </w:rPr>
                    <w:t xml:space="preserve"> </w:t>
                  </w:r>
                  <w:r>
                    <w:rPr>
                      <w:rFonts w:hint="eastAsia" w:ascii="Times New Roman" w:hAnsi="Times New Roman" w:eastAsia="宋体" w:cs="宋体"/>
                      <w:bdr w:val="none" w:color="auto" w:sz="0" w:space="0"/>
                    </w:rPr>
                    <w:t>执行重点管控单元市级总体要求第十八条、第十九条、第二十条、第二十一条和第二十二条。</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19A8D29E">
                  <w:pPr>
                    <w:keepNext w:val="0"/>
                    <w:keepLines w:val="0"/>
                    <w:widowControl w:val="0"/>
                    <w:suppressLineNumbers w:val="0"/>
                    <w:spacing w:before="0" w:beforeAutospacing="0" w:after="0" w:afterAutospacing="0"/>
                    <w:ind w:left="0" w:right="0"/>
                    <w:jc w:val="both"/>
                    <w:rPr>
                      <w:rFonts w:hint="default" w:ascii="Times New Roman" w:hAnsi="宋体" w:cs="Times New Roman"/>
                      <w:color w:val="000000"/>
                      <w:spacing w:val="-6"/>
                      <w:kern w:val="0"/>
                      <w:szCs w:val="21"/>
                      <w:bdr w:val="none" w:color="auto" w:sz="0" w:space="0"/>
                      <w:lang w:val="en-US"/>
                    </w:rPr>
                  </w:pPr>
                  <w:r>
                    <w:rPr>
                      <w:rFonts w:hint="eastAsia" w:ascii="Calibri" w:hAnsi="Calibri" w:eastAsia="宋体" w:cs="宋体"/>
                      <w:color w:val="000000"/>
                      <w:kern w:val="2"/>
                      <w:sz w:val="21"/>
                      <w:szCs w:val="24"/>
                      <w:bdr w:val="none" w:color="auto" w:sz="0" w:space="0"/>
                      <w:lang w:val="en-US" w:eastAsia="zh-CN" w:bidi="ar"/>
                    </w:rPr>
                    <w:t>扩建项目符合所列管控要求。</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78B3AB45">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宋体"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符合</w:t>
                  </w:r>
                </w:p>
              </w:tc>
            </w:tr>
            <w:tr w14:paraId="00FB40E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3793E8C3">
                  <w:pPr>
                    <w:rPr>
                      <w:rFonts w:hint="default" w:ascii="Calibri" w:hAnsi="Calibri" w:cs="Calibri"/>
                      <w:sz w:val="20"/>
                      <w:szCs w:val="20"/>
                    </w:rPr>
                  </w:pPr>
                </w:p>
              </w:tc>
              <w:tc>
                <w:tcPr>
                  <w:tcW w:w="992" w:type="dxa"/>
                  <w:gridSpan w:val="2"/>
                  <w:vMerge w:val="continue"/>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46B83FD6">
                  <w:pPr>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38F603F4">
                  <w:pPr>
                    <w:pStyle w:val="110"/>
                    <w:widowControl/>
                  </w:pPr>
                  <w:r>
                    <w:rPr>
                      <w:rFonts w:hint="eastAsia" w:ascii="Times New Roman" w:hAnsi="Times New Roman" w:eastAsia="宋体" w:cs="宋体"/>
                      <w:bdr w:val="none" w:color="auto" w:sz="0" w:space="0"/>
                    </w:rPr>
                    <w:t>第十四条</w:t>
                  </w:r>
                  <w:r>
                    <w:rPr>
                      <w:bdr w:val="none" w:color="auto" w:sz="0" w:space="0"/>
                    </w:rPr>
                    <w:t xml:space="preserve"> </w:t>
                  </w:r>
                  <w:r>
                    <w:rPr>
                      <w:rFonts w:hint="eastAsia" w:ascii="Times New Roman" w:hAnsi="Times New Roman" w:eastAsia="宋体" w:cs="宋体"/>
                      <w:bdr w:val="none" w:color="auto" w:sz="0" w:space="0"/>
                    </w:rPr>
                    <w:t>严控煤炭消费总量，逐步降低煤炭消费比重，新建耗煤项目实行煤炭减量替代，逐步推进天然气、电力及可再生能源替代，持续推进煤炭消费总量及比重持续下降。推进水泥、玻璃等行业开展煤炭清洁高效利用。</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4004E705">
                  <w:pPr>
                    <w:keepNext w:val="0"/>
                    <w:keepLines w:val="0"/>
                    <w:widowControl w:val="0"/>
                    <w:suppressLineNumbers w:val="0"/>
                    <w:spacing w:before="0" w:beforeAutospacing="0" w:after="0" w:afterAutospacing="0"/>
                    <w:ind w:left="0" w:right="0"/>
                    <w:jc w:val="both"/>
                    <w:rPr>
                      <w:rFonts w:hint="default" w:ascii="Times New Roman" w:hAnsi="宋体" w:cs="Times New Roman"/>
                      <w:color w:val="000000"/>
                      <w:spacing w:val="-6"/>
                      <w:kern w:val="0"/>
                      <w:szCs w:val="21"/>
                      <w:bdr w:val="none" w:color="auto" w:sz="0" w:space="0"/>
                      <w:lang w:val="en-US"/>
                    </w:rPr>
                  </w:pPr>
                  <w:r>
                    <w:rPr>
                      <w:rFonts w:hint="eastAsia" w:ascii="Calibri" w:hAnsi="Calibri" w:eastAsia="宋体" w:cs="宋体"/>
                      <w:color w:val="000000"/>
                      <w:kern w:val="2"/>
                      <w:sz w:val="21"/>
                      <w:szCs w:val="24"/>
                      <w:bdr w:val="none" w:color="auto" w:sz="0" w:space="0"/>
                      <w:lang w:val="en-US" w:eastAsia="zh-CN" w:bidi="ar"/>
                    </w:rPr>
                    <w:t>扩建项目不涉及。</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6A21C16E">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宋体"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符合</w:t>
                  </w:r>
                </w:p>
              </w:tc>
            </w:tr>
            <w:tr w14:paraId="2EFC05E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32F1529B">
                  <w:pPr>
                    <w:rPr>
                      <w:rFonts w:hint="default" w:ascii="Calibri" w:hAnsi="Calibri" w:cs="Calibri"/>
                      <w:sz w:val="20"/>
                      <w:szCs w:val="20"/>
                    </w:rPr>
                  </w:pPr>
                </w:p>
              </w:tc>
              <w:tc>
                <w:tcPr>
                  <w:tcW w:w="992" w:type="dxa"/>
                  <w:gridSpan w:val="2"/>
                  <w:vMerge w:val="continue"/>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295EFDFE">
                  <w:pPr>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38B9BB0F">
                  <w:pPr>
                    <w:pStyle w:val="110"/>
                    <w:widowControl/>
                    <w:jc w:val="both"/>
                  </w:pPr>
                  <w:r>
                    <w:rPr>
                      <w:rFonts w:hint="eastAsia" w:ascii="Times New Roman" w:hAnsi="Times New Roman" w:eastAsia="宋体" w:cs="宋体"/>
                      <w:bdr w:val="none" w:color="auto" w:sz="0" w:space="0"/>
                    </w:rPr>
                    <w:t>第十五条</w:t>
                  </w:r>
                  <w:r>
                    <w:rPr>
                      <w:bdr w:val="none" w:color="auto" w:sz="0" w:space="0"/>
                    </w:rPr>
                    <w:t xml:space="preserve"> </w:t>
                  </w:r>
                  <w:r>
                    <w:rPr>
                      <w:rFonts w:hint="eastAsia" w:ascii="Times New Roman" w:hAnsi="Times New Roman" w:eastAsia="宋体" w:cs="宋体"/>
                      <w:bdr w:val="none" w:color="auto" w:sz="0" w:space="0"/>
                    </w:rPr>
                    <w:t>持续开展重点河流和水库富营养化监测预警及控制，科学实施梯级航电工程生态调度，保证生态基流。</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7B2A860E">
                  <w:pPr>
                    <w:keepNext w:val="0"/>
                    <w:keepLines w:val="0"/>
                    <w:widowControl w:val="0"/>
                    <w:suppressLineNumbers w:val="0"/>
                    <w:spacing w:before="0" w:beforeAutospacing="0" w:after="0" w:afterAutospacing="0"/>
                    <w:ind w:left="0" w:right="0"/>
                    <w:jc w:val="both"/>
                    <w:rPr>
                      <w:rFonts w:hint="default" w:ascii="Times New Roman" w:hAnsi="宋体" w:cs="Times New Roman"/>
                      <w:color w:val="000000"/>
                      <w:spacing w:val="-6"/>
                      <w:kern w:val="0"/>
                      <w:szCs w:val="21"/>
                      <w:bdr w:val="none" w:color="auto" w:sz="0" w:space="0"/>
                      <w:lang w:val="en-US"/>
                    </w:rPr>
                  </w:pPr>
                  <w:r>
                    <w:rPr>
                      <w:rFonts w:hint="eastAsia" w:ascii="Calibri" w:hAnsi="Calibri" w:eastAsia="宋体" w:cs="宋体"/>
                      <w:color w:val="000000"/>
                      <w:kern w:val="2"/>
                      <w:sz w:val="21"/>
                      <w:szCs w:val="24"/>
                      <w:bdr w:val="none" w:color="auto" w:sz="0" w:space="0"/>
                      <w:lang w:val="en-US" w:eastAsia="zh-CN" w:bidi="ar"/>
                    </w:rPr>
                    <w:t>扩建项目不涉及。</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030EC09A">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宋体"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符合</w:t>
                  </w:r>
                </w:p>
              </w:tc>
            </w:tr>
            <w:tr w14:paraId="7A3660F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59C3E64A">
                  <w:pPr>
                    <w:rPr>
                      <w:rFonts w:hint="default" w:ascii="Calibri" w:hAnsi="Calibri" w:cs="Calibri"/>
                      <w:sz w:val="20"/>
                      <w:szCs w:val="20"/>
                    </w:rPr>
                  </w:pPr>
                </w:p>
              </w:tc>
              <w:tc>
                <w:tcPr>
                  <w:tcW w:w="992" w:type="dxa"/>
                  <w:gridSpan w:val="2"/>
                  <w:vMerge w:val="continue"/>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114BA1AC">
                  <w:pPr>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7DF49A60">
                  <w:pPr>
                    <w:pStyle w:val="110"/>
                    <w:widowControl/>
                    <w:jc w:val="both"/>
                  </w:pPr>
                  <w:r>
                    <w:rPr>
                      <w:rFonts w:hint="eastAsia" w:ascii="Times New Roman" w:hAnsi="Times New Roman" w:eastAsia="宋体" w:cs="宋体"/>
                      <w:bdr w:val="none" w:color="auto" w:sz="0" w:space="0"/>
                    </w:rPr>
                    <w:t>第十六条</w:t>
                  </w:r>
                  <w:r>
                    <w:rPr>
                      <w:bdr w:val="none" w:color="auto" w:sz="0" w:space="0"/>
                    </w:rPr>
                    <w:t xml:space="preserve"> </w:t>
                  </w:r>
                  <w:r>
                    <w:rPr>
                      <w:rFonts w:hint="eastAsia" w:ascii="Times New Roman" w:hAnsi="Times New Roman" w:eastAsia="宋体" w:cs="宋体"/>
                      <w:bdr w:val="none" w:color="auto" w:sz="0" w:space="0"/>
                    </w:rPr>
                    <w:t>在高污染燃料禁燃区内，禁止销售、燃用高污染燃料；禁止新建、扩建燃用高污染燃料的设施，已建成的，应当在城市人民政府规定的期限内改用天然气、页岩气、液化石油气、电或者其他清洁能源。</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7CAAB0D4">
                  <w:pPr>
                    <w:keepNext w:val="0"/>
                    <w:keepLines w:val="0"/>
                    <w:widowControl w:val="0"/>
                    <w:suppressLineNumbers w:val="0"/>
                    <w:spacing w:before="0" w:beforeAutospacing="0" w:after="0" w:afterAutospacing="0"/>
                    <w:ind w:left="0" w:right="0"/>
                    <w:jc w:val="both"/>
                    <w:rPr>
                      <w:rFonts w:hint="default" w:ascii="Times New Roman" w:hAnsi="宋体" w:cs="Times New Roman"/>
                      <w:color w:val="000000"/>
                      <w:spacing w:val="-6"/>
                      <w:kern w:val="0"/>
                      <w:szCs w:val="21"/>
                      <w:bdr w:val="none" w:color="auto" w:sz="0" w:space="0"/>
                      <w:lang w:val="en-US"/>
                    </w:rPr>
                  </w:pPr>
                  <w:r>
                    <w:rPr>
                      <w:rFonts w:hint="eastAsia" w:ascii="Times New Roman" w:hAnsi="宋体" w:eastAsia="宋体" w:cs="宋体"/>
                      <w:color w:val="000000"/>
                      <w:spacing w:val="-6"/>
                      <w:kern w:val="0"/>
                      <w:sz w:val="21"/>
                      <w:szCs w:val="21"/>
                      <w:bdr w:val="none" w:color="auto" w:sz="0" w:space="0"/>
                      <w:lang w:val="en-US" w:eastAsia="zh-CN" w:bidi="ar"/>
                    </w:rPr>
                    <w:t>扩建项目使用电能，为清洁能源。</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07CC528F">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符合</w:t>
                  </w:r>
                </w:p>
              </w:tc>
            </w:tr>
            <w:tr w14:paraId="59B12F6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6DEAC392">
                  <w:pPr>
                    <w:rPr>
                      <w:rFonts w:hint="default" w:ascii="Calibri" w:hAnsi="Calibri" w:cs="Calibri"/>
                      <w:sz w:val="20"/>
                      <w:szCs w:val="20"/>
                    </w:rPr>
                  </w:pPr>
                </w:p>
              </w:tc>
              <w:tc>
                <w:tcPr>
                  <w:tcW w:w="992" w:type="dxa"/>
                  <w:gridSpan w:val="2"/>
                  <w:vMerge w:val="continue"/>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25A07652">
                  <w:pPr>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0DBD6C0B">
                  <w:pPr>
                    <w:pStyle w:val="110"/>
                    <w:widowControl/>
                    <w:jc w:val="both"/>
                  </w:pPr>
                  <w:r>
                    <w:rPr>
                      <w:rFonts w:hint="eastAsia" w:ascii="Times New Roman" w:hAnsi="Times New Roman" w:eastAsia="宋体" w:cs="宋体"/>
                      <w:bdr w:val="none" w:color="auto" w:sz="0" w:space="0"/>
                    </w:rPr>
                    <w:t>第十七条</w:t>
                  </w:r>
                  <w:r>
                    <w:rPr>
                      <w:bdr w:val="none" w:color="auto" w:sz="0" w:space="0"/>
                    </w:rPr>
                    <w:t xml:space="preserve"> </w:t>
                  </w:r>
                  <w:r>
                    <w:rPr>
                      <w:rFonts w:hint="eastAsia" w:ascii="Times New Roman" w:hAnsi="Times New Roman" w:eastAsia="宋体" w:cs="宋体"/>
                      <w:bdr w:val="none" w:color="auto" w:sz="0" w:space="0"/>
                    </w:rPr>
                    <w:t>禁止违法利用、占用长江流域河湖岸线。禁止《长江岸线保护和开发利用总体规划》划定的岸线保护区和岸线保留区内投资建设除公共安全及公众利益的防洪护岸、河道治理、供水、生态环境保护、航道整治、国家重要基础设施以外的项目。</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18BA876D">
                  <w:pPr>
                    <w:keepNext w:val="0"/>
                    <w:keepLines w:val="0"/>
                    <w:widowControl w:val="0"/>
                    <w:suppressLineNumbers w:val="0"/>
                    <w:spacing w:before="0" w:beforeAutospacing="0" w:after="0" w:afterAutospacing="0"/>
                    <w:ind w:left="0" w:right="0"/>
                    <w:jc w:val="left"/>
                    <w:rPr>
                      <w:rFonts w:hint="default" w:ascii="Times New Roman" w:hAnsi="宋体" w:cs="Times New Roman"/>
                      <w:color w:val="000000"/>
                      <w:spacing w:val="-6"/>
                      <w:kern w:val="0"/>
                      <w:szCs w:val="21"/>
                      <w:bdr w:val="none" w:color="auto" w:sz="0" w:space="0"/>
                      <w:lang w:val="en-US"/>
                    </w:rPr>
                  </w:pPr>
                  <w:r>
                    <w:rPr>
                      <w:rFonts w:hint="eastAsia" w:ascii="Times New Roman" w:hAnsi="宋体" w:eastAsia="宋体" w:cs="宋体"/>
                      <w:color w:val="000000"/>
                      <w:spacing w:val="-6"/>
                      <w:kern w:val="0"/>
                      <w:sz w:val="21"/>
                      <w:szCs w:val="21"/>
                      <w:bdr w:val="none" w:color="auto" w:sz="0" w:space="0"/>
                      <w:lang w:val="en-US" w:eastAsia="zh-CN" w:bidi="ar"/>
                    </w:rPr>
                    <w:t>扩建项目不涉及。</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6599FC37">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符合</w:t>
                  </w:r>
                </w:p>
              </w:tc>
            </w:tr>
            <w:tr w14:paraId="65B9FF4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restart"/>
                  <w:tcBorders>
                    <w:top w:val="single" w:color="auto" w:sz="4" w:space="0"/>
                    <w:left w:val="nil"/>
                    <w:bottom w:val="single" w:color="auto" w:sz="12" w:space="0"/>
                    <w:right w:val="single" w:color="auto" w:sz="4" w:space="0"/>
                  </w:tcBorders>
                  <w:shd w:val="clear"/>
                  <w:noWrap/>
                  <w:tcMar>
                    <w:top w:w="28" w:type="dxa"/>
                    <w:left w:w="28" w:type="dxa"/>
                    <w:bottom w:w="28" w:type="dxa"/>
                    <w:right w:w="28" w:type="dxa"/>
                  </w:tcMar>
                  <w:vAlign w:val="center"/>
                </w:tcPr>
                <w:p w14:paraId="0B2BB5AD">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单元管控要求（</w:t>
                  </w:r>
                  <w:r>
                    <w:rPr>
                      <w:rFonts w:hint="eastAsia" w:ascii="Calibri" w:hAnsi="Calibri" w:eastAsia="宋体" w:cs="宋体"/>
                      <w:color w:val="000000"/>
                      <w:kern w:val="2"/>
                      <w:sz w:val="21"/>
                      <w:szCs w:val="21"/>
                      <w:bdr w:val="none" w:color="auto" w:sz="0" w:space="0"/>
                      <w:lang w:val="en-US" w:eastAsia="zh-CN" w:bidi="ar"/>
                    </w:rPr>
                    <w:t>合川区工业城镇重点管控单元</w:t>
                  </w:r>
                  <w:r>
                    <w:rPr>
                      <w:rFonts w:hint="default" w:ascii="Calibri" w:hAnsi="Calibri" w:eastAsia="宋体" w:cs="Times New Roman"/>
                      <w:color w:val="000000"/>
                      <w:kern w:val="2"/>
                      <w:sz w:val="21"/>
                      <w:szCs w:val="21"/>
                      <w:bdr w:val="none" w:color="auto" w:sz="0" w:space="0"/>
                      <w:lang w:val="en-US" w:eastAsia="zh-CN" w:bidi="ar"/>
                    </w:rPr>
                    <w:t>-</w:t>
                  </w:r>
                  <w:r>
                    <w:rPr>
                      <w:rFonts w:hint="eastAsia" w:ascii="Calibri" w:hAnsi="Calibri" w:eastAsia="宋体" w:cs="宋体"/>
                      <w:color w:val="000000"/>
                      <w:kern w:val="2"/>
                      <w:sz w:val="21"/>
                      <w:szCs w:val="21"/>
                      <w:bdr w:val="none" w:color="auto" w:sz="0" w:space="0"/>
                      <w:lang w:val="en-US" w:eastAsia="zh-CN" w:bidi="ar"/>
                    </w:rPr>
                    <w:t>网络安全产业城片区</w:t>
                  </w:r>
                  <w:r>
                    <w:rPr>
                      <w:rFonts w:hint="eastAsia" w:ascii="Times New Roman" w:hAnsi="宋体" w:eastAsia="宋体" w:cs="宋体"/>
                      <w:color w:val="000000"/>
                      <w:kern w:val="0"/>
                      <w:sz w:val="21"/>
                      <w:szCs w:val="21"/>
                      <w:bdr w:val="none" w:color="auto" w:sz="0" w:space="0"/>
                      <w:lang w:val="en-US" w:eastAsia="zh-CN" w:bidi="ar"/>
                    </w:rPr>
                    <w:t>）</w:t>
                  </w:r>
                </w:p>
              </w:tc>
              <w:tc>
                <w:tcPr>
                  <w:tcW w:w="992"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6048E0D4">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空间布局约束</w:t>
                  </w: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4BCC21D9">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left"/>
                    <w:rPr>
                      <w:rFonts w:hint="default" w:ascii="Times New Roman" w:hAnsi="宋体" w:cs="Times New Roman"/>
                      <w:color w:val="000000"/>
                      <w:spacing w:val="-6"/>
                      <w:kern w:val="0"/>
                      <w:szCs w:val="21"/>
                      <w:bdr w:val="none" w:color="auto" w:sz="0" w:space="0"/>
                      <w:lang w:val="en-US"/>
                    </w:rPr>
                  </w:pPr>
                  <w:r>
                    <w:rPr>
                      <w:rFonts w:hint="eastAsia" w:ascii="Times New Roman" w:hAnsi="宋体" w:eastAsia="宋体" w:cs="宋体"/>
                      <w:color w:val="000000"/>
                      <w:spacing w:val="-6"/>
                      <w:kern w:val="0"/>
                      <w:sz w:val="21"/>
                      <w:szCs w:val="21"/>
                      <w:bdr w:val="none" w:color="auto" w:sz="0" w:space="0"/>
                      <w:lang w:val="en-US" w:eastAsia="zh-CN" w:bidi="ar"/>
                    </w:rPr>
                    <w:t>规划工业用地与周边生活区控制</w:t>
                  </w:r>
                  <w:r>
                    <w:rPr>
                      <w:rFonts w:hint="default" w:ascii="Times New Roman" w:hAnsi="宋体" w:eastAsia="宋体" w:cs="Times New Roman"/>
                      <w:color w:val="000000"/>
                      <w:spacing w:val="-6"/>
                      <w:kern w:val="0"/>
                      <w:sz w:val="21"/>
                      <w:szCs w:val="21"/>
                      <w:bdr w:val="none" w:color="auto" w:sz="0" w:space="0"/>
                      <w:lang w:val="en-US" w:eastAsia="zh-CN" w:bidi="ar"/>
                    </w:rPr>
                    <w:t>20</w:t>
                  </w:r>
                  <w:r>
                    <w:rPr>
                      <w:rFonts w:hint="eastAsia" w:ascii="Times New Roman" w:hAnsi="宋体" w:eastAsia="宋体" w:cs="宋体"/>
                      <w:color w:val="000000"/>
                      <w:spacing w:val="-6"/>
                      <w:kern w:val="0"/>
                      <w:sz w:val="21"/>
                      <w:szCs w:val="21"/>
                      <w:bdr w:val="none" w:color="auto" w:sz="0" w:space="0"/>
                      <w:lang w:val="en-US" w:eastAsia="zh-CN" w:bidi="ar"/>
                    </w:rPr>
                    <w:t>—</w:t>
                  </w:r>
                  <w:r>
                    <w:rPr>
                      <w:rFonts w:hint="default" w:ascii="Times New Roman" w:hAnsi="宋体" w:eastAsia="宋体" w:cs="Times New Roman"/>
                      <w:color w:val="000000"/>
                      <w:spacing w:val="-6"/>
                      <w:kern w:val="0"/>
                      <w:sz w:val="21"/>
                      <w:szCs w:val="21"/>
                      <w:bdr w:val="none" w:color="auto" w:sz="0" w:space="0"/>
                      <w:lang w:val="en-US" w:eastAsia="zh-CN" w:bidi="ar"/>
                    </w:rPr>
                    <w:t>50</w:t>
                  </w:r>
                  <w:r>
                    <w:rPr>
                      <w:rFonts w:hint="eastAsia" w:ascii="Times New Roman" w:hAnsi="宋体" w:eastAsia="宋体" w:cs="宋体"/>
                      <w:color w:val="000000"/>
                      <w:spacing w:val="-6"/>
                      <w:kern w:val="0"/>
                      <w:sz w:val="21"/>
                      <w:szCs w:val="21"/>
                      <w:bdr w:val="none" w:color="auto" w:sz="0" w:space="0"/>
                      <w:lang w:val="en-US" w:eastAsia="zh-CN" w:bidi="ar"/>
                    </w:rPr>
                    <w:t>米宽的防护绿带，防护绿带具体宽度应根</w:t>
                  </w:r>
                </w:p>
                <w:p w14:paraId="441A9324">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left"/>
                    <w:rPr>
                      <w:rFonts w:hint="default" w:ascii="Times New Roman" w:hAnsi="宋体" w:cs="Times New Roman"/>
                      <w:color w:val="000000"/>
                      <w:spacing w:val="-6"/>
                      <w:kern w:val="0"/>
                      <w:szCs w:val="21"/>
                      <w:highlight w:val="yellow"/>
                      <w:bdr w:val="none" w:color="auto" w:sz="0" w:space="0"/>
                      <w:lang w:val="en-US"/>
                    </w:rPr>
                  </w:pPr>
                  <w:r>
                    <w:rPr>
                      <w:rFonts w:hint="eastAsia" w:ascii="Times New Roman" w:hAnsi="宋体" w:eastAsia="宋体" w:cs="宋体"/>
                      <w:color w:val="000000"/>
                      <w:spacing w:val="-6"/>
                      <w:kern w:val="0"/>
                      <w:sz w:val="21"/>
                      <w:szCs w:val="21"/>
                      <w:bdr w:val="none" w:color="auto" w:sz="0" w:space="0"/>
                      <w:lang w:val="en-US" w:eastAsia="zh-CN" w:bidi="ar"/>
                    </w:rPr>
                    <w:t>据实际使用用途，按照国家相关标准确定。</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4ABC4DD0">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left"/>
                    <w:rPr>
                      <w:rFonts w:hint="default" w:ascii="Times New Roman" w:hAnsi="Times New Roman" w:cs="Times New Roman"/>
                      <w:color w:val="000000"/>
                      <w:spacing w:val="-6"/>
                      <w:kern w:val="0"/>
                      <w:szCs w:val="21"/>
                      <w:highlight w:val="yellow"/>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扩建项目周边不涉及绿地防护及居民用地。</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7662B5A2">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符合</w:t>
                  </w:r>
                </w:p>
              </w:tc>
            </w:tr>
            <w:tr w14:paraId="1DF6B63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12" w:space="0"/>
                    <w:right w:val="single" w:color="auto" w:sz="4" w:space="0"/>
                  </w:tcBorders>
                  <w:shd w:val="clear"/>
                  <w:noWrap/>
                  <w:tcMar>
                    <w:top w:w="28" w:type="dxa"/>
                    <w:left w:w="28" w:type="dxa"/>
                    <w:bottom w:w="28" w:type="dxa"/>
                    <w:right w:w="28" w:type="dxa"/>
                  </w:tcMar>
                  <w:vAlign w:val="center"/>
                </w:tcPr>
                <w:p w14:paraId="7F9C6BB1">
                  <w:pPr>
                    <w:rPr>
                      <w:rFonts w:hint="default" w:ascii="Calibri" w:hAnsi="Calibri" w:cs="Calibri"/>
                      <w:sz w:val="20"/>
                      <w:szCs w:val="20"/>
                    </w:rPr>
                  </w:pPr>
                </w:p>
              </w:tc>
              <w:tc>
                <w:tcPr>
                  <w:tcW w:w="992" w:type="dxa"/>
                  <w:gridSpan w:val="2"/>
                  <w:vMerge w:val="restart"/>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087C72AD">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污染物排放管控</w:t>
                  </w: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030F31FE">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left"/>
                    <w:rPr>
                      <w:rFonts w:hint="default" w:ascii="Times New Roman" w:hAnsi="宋体" w:cs="Times New Roman"/>
                      <w:color w:val="000000"/>
                      <w:spacing w:val="-6"/>
                      <w:kern w:val="0"/>
                      <w:szCs w:val="21"/>
                      <w:bdr w:val="none" w:color="auto" w:sz="0" w:space="0"/>
                      <w:lang w:val="en-US"/>
                    </w:rPr>
                  </w:pPr>
                  <w:r>
                    <w:rPr>
                      <w:rFonts w:hint="eastAsia" w:ascii="Times New Roman" w:hAnsi="宋体" w:eastAsia="宋体" w:cs="宋体"/>
                      <w:color w:val="000000"/>
                      <w:spacing w:val="-6"/>
                      <w:kern w:val="0"/>
                      <w:sz w:val="21"/>
                      <w:szCs w:val="21"/>
                      <w:bdr w:val="none" w:color="auto" w:sz="0" w:space="0"/>
                      <w:lang w:val="en-US" w:eastAsia="zh-CN" w:bidi="ar"/>
                    </w:rPr>
                    <w:t>加强重金属（铅、汞、镉、铬、砷）排放总量控制，坚持新、改、扩建涉重点重</w:t>
                  </w:r>
                </w:p>
                <w:p w14:paraId="21BC43DF">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left"/>
                    <w:rPr>
                      <w:rFonts w:hint="default" w:ascii="Times New Roman" w:hAnsi="宋体" w:cs="Times New Roman"/>
                      <w:color w:val="000000"/>
                      <w:spacing w:val="-6"/>
                      <w:kern w:val="0"/>
                      <w:szCs w:val="21"/>
                      <w:bdr w:val="none" w:color="auto" w:sz="0" w:space="0"/>
                      <w:lang w:val="en-US"/>
                    </w:rPr>
                  </w:pPr>
                  <w:r>
                    <w:rPr>
                      <w:rFonts w:hint="eastAsia" w:ascii="Times New Roman" w:hAnsi="宋体" w:eastAsia="宋体" w:cs="宋体"/>
                      <w:color w:val="000000"/>
                      <w:spacing w:val="-6"/>
                      <w:kern w:val="0"/>
                      <w:sz w:val="21"/>
                      <w:szCs w:val="21"/>
                      <w:bdr w:val="none" w:color="auto" w:sz="0" w:space="0"/>
                      <w:lang w:val="en-US" w:eastAsia="zh-CN" w:bidi="ar"/>
                    </w:rPr>
                    <w:t>金属项目遵循重点重金属污染物排放“等量替换”原则；</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201E7296">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left"/>
                    <w:rPr>
                      <w:rFonts w:hint="default" w:ascii="Times New Roman" w:hAnsi="宋体" w:cs="Times New Roman"/>
                      <w:color w:val="000000"/>
                      <w:spacing w:val="-6"/>
                      <w:kern w:val="0"/>
                      <w:szCs w:val="21"/>
                      <w:bdr w:val="none" w:color="auto" w:sz="0" w:space="0"/>
                      <w:lang w:val="en-US"/>
                    </w:rPr>
                  </w:pPr>
                  <w:r>
                    <w:rPr>
                      <w:rFonts w:hint="eastAsia" w:ascii="Times New Roman" w:hAnsi="宋体" w:eastAsia="宋体" w:cs="宋体"/>
                      <w:color w:val="000000"/>
                      <w:spacing w:val="-6"/>
                      <w:kern w:val="0"/>
                      <w:sz w:val="21"/>
                      <w:szCs w:val="21"/>
                      <w:bdr w:val="none" w:color="auto" w:sz="0" w:space="0"/>
                      <w:lang w:val="en-US" w:eastAsia="zh-CN" w:bidi="ar"/>
                    </w:rPr>
                    <w:t>扩建项目不涉及重金属排放。</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3A70F6DA">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符合</w:t>
                  </w:r>
                </w:p>
              </w:tc>
            </w:tr>
            <w:tr w14:paraId="363E510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12" w:space="0"/>
                    <w:right w:val="single" w:color="auto" w:sz="4" w:space="0"/>
                  </w:tcBorders>
                  <w:shd w:val="clear"/>
                  <w:noWrap/>
                  <w:tcMar>
                    <w:top w:w="28" w:type="dxa"/>
                    <w:left w:w="28" w:type="dxa"/>
                    <w:bottom w:w="28" w:type="dxa"/>
                    <w:right w:w="28" w:type="dxa"/>
                  </w:tcMar>
                  <w:vAlign w:val="center"/>
                </w:tcPr>
                <w:p w14:paraId="59180AEE">
                  <w:pPr>
                    <w:rPr>
                      <w:rFonts w:hint="default" w:ascii="Calibri" w:hAnsi="Calibri" w:cs="Calibri"/>
                      <w:sz w:val="20"/>
                      <w:szCs w:val="20"/>
                    </w:rPr>
                  </w:pPr>
                </w:p>
              </w:tc>
              <w:tc>
                <w:tcPr>
                  <w:tcW w:w="992" w:type="dxa"/>
                  <w:gridSpan w:val="2"/>
                  <w:vMerge w:val="continue"/>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1E7AEC78">
                  <w:pPr>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53A5BF67">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left"/>
                    <w:rPr>
                      <w:rFonts w:hint="default" w:ascii="Times New Roman" w:hAnsi="宋体" w:cs="Times New Roman"/>
                      <w:color w:val="000000"/>
                      <w:spacing w:val="-6"/>
                      <w:kern w:val="0"/>
                      <w:szCs w:val="21"/>
                      <w:bdr w:val="none" w:color="auto" w:sz="0" w:space="0"/>
                      <w:lang w:val="en-US"/>
                    </w:rPr>
                  </w:pPr>
                  <w:r>
                    <w:rPr>
                      <w:rFonts w:hint="eastAsia" w:ascii="Times New Roman" w:hAnsi="宋体" w:eastAsia="宋体" w:cs="宋体"/>
                      <w:color w:val="000000"/>
                      <w:spacing w:val="-6"/>
                      <w:kern w:val="0"/>
                      <w:sz w:val="21"/>
                      <w:szCs w:val="21"/>
                      <w:bdr w:val="none" w:color="auto" w:sz="0" w:space="0"/>
                      <w:lang w:val="en-US" w:eastAsia="zh-CN" w:bidi="ar"/>
                    </w:rPr>
                    <w:t>园区内排放工业废水的企业应当采取有效措施，收集和处理产生的全部废水，防止污染环境。含有毒有害水污染物的工业废水应当分类收集和处理，不得稀释排放。</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22165324">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left"/>
                    <w:rPr>
                      <w:rFonts w:hint="default" w:ascii="Times New Roman" w:hAnsi="宋体" w:cs="Times New Roman"/>
                      <w:color w:val="000000"/>
                      <w:spacing w:val="-6"/>
                      <w:kern w:val="0"/>
                      <w:szCs w:val="21"/>
                      <w:highlight w:val="yellow"/>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扩建项目无生产废水，新增员工的生活污水依托盈田</w:t>
                  </w:r>
                  <w:r>
                    <w:rPr>
                      <w:rFonts w:hint="default" w:ascii="Calibri" w:hAnsi="Calibri" w:eastAsia="宋体" w:cs="Times New Roman"/>
                      <w:color w:val="000000"/>
                      <w:kern w:val="2"/>
                      <w:sz w:val="21"/>
                      <w:szCs w:val="21"/>
                      <w:bdr w:val="none" w:color="auto" w:sz="0" w:space="0"/>
                      <w:lang w:val="en-US" w:eastAsia="zh-CN" w:bidi="ar"/>
                    </w:rPr>
                    <w:t>·</w:t>
                  </w:r>
                  <w:r>
                    <w:rPr>
                      <w:rFonts w:hint="eastAsia" w:ascii="Calibri" w:hAnsi="Calibri" w:eastAsia="宋体" w:cs="宋体"/>
                      <w:color w:val="000000"/>
                      <w:kern w:val="2"/>
                      <w:sz w:val="21"/>
                      <w:szCs w:val="21"/>
                      <w:bdr w:val="none" w:color="auto" w:sz="0" w:space="0"/>
                      <w:lang w:val="en-US" w:eastAsia="zh-CN" w:bidi="ar"/>
                    </w:rPr>
                    <w:t>合川工谷已建污水设施处理达标后排放。</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27014009">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宋体"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符合</w:t>
                  </w:r>
                </w:p>
              </w:tc>
            </w:tr>
            <w:tr w14:paraId="4372AE7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12" w:space="0"/>
                    <w:right w:val="single" w:color="auto" w:sz="4" w:space="0"/>
                  </w:tcBorders>
                  <w:shd w:val="clear"/>
                  <w:noWrap/>
                  <w:tcMar>
                    <w:top w:w="28" w:type="dxa"/>
                    <w:left w:w="28" w:type="dxa"/>
                    <w:bottom w:w="28" w:type="dxa"/>
                    <w:right w:w="28" w:type="dxa"/>
                  </w:tcMar>
                  <w:vAlign w:val="center"/>
                </w:tcPr>
                <w:p w14:paraId="24A5C215">
                  <w:pPr>
                    <w:rPr>
                      <w:rFonts w:hint="default" w:ascii="Calibri" w:hAnsi="Calibri" w:cs="Calibri"/>
                      <w:sz w:val="20"/>
                      <w:szCs w:val="20"/>
                    </w:rPr>
                  </w:pPr>
                </w:p>
              </w:tc>
              <w:tc>
                <w:tcPr>
                  <w:tcW w:w="992" w:type="dxa"/>
                  <w:gridSpan w:val="2"/>
                  <w:vMerge w:val="continue"/>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6284F964">
                  <w:pPr>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149C5141">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left"/>
                    <w:rPr>
                      <w:rFonts w:hint="default" w:ascii="Times New Roman" w:hAnsi="宋体" w:cs="Times New Roman"/>
                      <w:color w:val="000000"/>
                      <w:spacing w:val="-6"/>
                      <w:kern w:val="0"/>
                      <w:szCs w:val="21"/>
                      <w:bdr w:val="none" w:color="auto" w:sz="0" w:space="0"/>
                      <w:lang w:val="en-US"/>
                    </w:rPr>
                  </w:pPr>
                  <w:r>
                    <w:rPr>
                      <w:rFonts w:hint="eastAsia" w:ascii="Times New Roman" w:hAnsi="宋体" w:eastAsia="宋体" w:cs="宋体"/>
                      <w:color w:val="000000"/>
                      <w:spacing w:val="-6"/>
                      <w:kern w:val="0"/>
                      <w:sz w:val="21"/>
                      <w:szCs w:val="21"/>
                      <w:bdr w:val="none" w:color="auto" w:sz="0" w:space="0"/>
                      <w:lang w:val="en-US" w:eastAsia="zh-CN" w:bidi="ar"/>
                    </w:rPr>
                    <w:t>新建排水管网按雨、污分流建设，新建污水处理设施的配套管网应同步设计、同步建设、同步投运。</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3289AA4E">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left"/>
                    <w:rPr>
                      <w:rFonts w:hint="default" w:ascii="Times New Roman" w:hAnsi="宋体" w:cs="Times New Roman"/>
                      <w:color w:val="000000"/>
                      <w:spacing w:val="-6"/>
                      <w:kern w:val="0"/>
                      <w:szCs w:val="21"/>
                      <w:highlight w:val="yellow"/>
                      <w:bdr w:val="none" w:color="auto" w:sz="0" w:space="0"/>
                      <w:lang w:val="en-US"/>
                    </w:rPr>
                  </w:pPr>
                  <w:r>
                    <w:rPr>
                      <w:rFonts w:hint="eastAsia" w:ascii="Times New Roman" w:hAnsi="宋体" w:eastAsia="宋体" w:cs="宋体"/>
                      <w:color w:val="000000"/>
                      <w:spacing w:val="-6"/>
                      <w:kern w:val="0"/>
                      <w:sz w:val="21"/>
                      <w:szCs w:val="21"/>
                      <w:bdr w:val="none" w:color="auto" w:sz="0" w:space="0"/>
                      <w:lang w:val="en-US" w:eastAsia="zh-CN" w:bidi="ar"/>
                    </w:rPr>
                    <w:t>扩建项目为扩建项目，不涉及新增废水排放，现有厂区雨污分流。</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2F8648AA">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宋体"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符合</w:t>
                  </w:r>
                </w:p>
              </w:tc>
            </w:tr>
            <w:tr w14:paraId="044D2F4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12" w:space="0"/>
                    <w:right w:val="single" w:color="auto" w:sz="4" w:space="0"/>
                  </w:tcBorders>
                  <w:shd w:val="clear"/>
                  <w:noWrap/>
                  <w:tcMar>
                    <w:top w:w="28" w:type="dxa"/>
                    <w:left w:w="28" w:type="dxa"/>
                    <w:bottom w:w="28" w:type="dxa"/>
                    <w:right w:w="28" w:type="dxa"/>
                  </w:tcMar>
                  <w:vAlign w:val="center"/>
                </w:tcPr>
                <w:p w14:paraId="2FE18489">
                  <w:pPr>
                    <w:rPr>
                      <w:rFonts w:hint="default" w:ascii="Calibri" w:hAnsi="Calibri" w:cs="Calibri"/>
                      <w:sz w:val="20"/>
                      <w:szCs w:val="20"/>
                    </w:rPr>
                  </w:pPr>
                </w:p>
              </w:tc>
              <w:tc>
                <w:tcPr>
                  <w:tcW w:w="992"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5B9838EB">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环境风险防控</w:t>
                  </w:r>
                </w:p>
              </w:tc>
              <w:tc>
                <w:tcPr>
                  <w:tcW w:w="3639" w:type="dxa"/>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0788CCA0">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宋体" w:cs="Times New Roman"/>
                      <w:color w:val="000000"/>
                      <w:spacing w:val="-6"/>
                      <w:kern w:val="0"/>
                      <w:szCs w:val="21"/>
                      <w:bdr w:val="none" w:color="auto" w:sz="0" w:space="0"/>
                      <w:lang w:val="en-US"/>
                    </w:rPr>
                  </w:pPr>
                  <w:r>
                    <w:rPr>
                      <w:rFonts w:hint="default" w:ascii="Times New Roman" w:hAnsi="宋体" w:eastAsia="宋体" w:cs="Times New Roman"/>
                      <w:color w:val="000000"/>
                      <w:spacing w:val="-6"/>
                      <w:kern w:val="0"/>
                      <w:sz w:val="21"/>
                      <w:szCs w:val="21"/>
                      <w:bdr w:val="none" w:color="auto" w:sz="0" w:space="0"/>
                      <w:lang w:val="en-US" w:eastAsia="zh-CN" w:bidi="ar"/>
                    </w:rPr>
                    <w:t>/</w:t>
                  </w:r>
                </w:p>
              </w:tc>
              <w:tc>
                <w:tcPr>
                  <w:tcW w:w="1765" w:type="dxa"/>
                  <w:gridSpan w:val="2"/>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5488A7B5">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宋体" w:cs="Times New Roman"/>
                      <w:color w:val="000000"/>
                      <w:spacing w:val="-6"/>
                      <w:kern w:val="0"/>
                      <w:szCs w:val="21"/>
                      <w:bdr w:val="none" w:color="auto" w:sz="0" w:space="0"/>
                      <w:lang w:val="en-US"/>
                    </w:rPr>
                  </w:pPr>
                  <w:r>
                    <w:rPr>
                      <w:rFonts w:hint="default" w:ascii="Times New Roman" w:hAnsi="宋体" w:eastAsia="宋体" w:cs="Times New Roman"/>
                      <w:color w:val="000000"/>
                      <w:spacing w:val="-6"/>
                      <w:kern w:val="0"/>
                      <w:sz w:val="21"/>
                      <w:szCs w:val="21"/>
                      <w:bdr w:val="none" w:color="auto" w:sz="0" w:space="0"/>
                      <w:lang w:val="en-US" w:eastAsia="zh-CN" w:bidi="ar"/>
                    </w:rPr>
                    <w:t>/</w:t>
                  </w:r>
                </w:p>
              </w:tc>
              <w:tc>
                <w:tcPr>
                  <w:tcW w:w="669" w:type="dxa"/>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1112E0EC">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符合</w:t>
                  </w:r>
                </w:p>
              </w:tc>
            </w:tr>
            <w:tr w14:paraId="5C6F4FF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12" w:space="0"/>
                    <w:right w:val="single" w:color="auto" w:sz="4" w:space="0"/>
                  </w:tcBorders>
                  <w:shd w:val="clear"/>
                  <w:noWrap/>
                  <w:tcMar>
                    <w:top w:w="28" w:type="dxa"/>
                    <w:left w:w="28" w:type="dxa"/>
                    <w:bottom w:w="28" w:type="dxa"/>
                    <w:right w:w="28" w:type="dxa"/>
                  </w:tcMar>
                  <w:vAlign w:val="center"/>
                </w:tcPr>
                <w:p w14:paraId="6AE78842">
                  <w:pPr>
                    <w:rPr>
                      <w:rFonts w:hint="default" w:ascii="Calibri" w:hAnsi="Calibri" w:cs="Calibri"/>
                      <w:sz w:val="20"/>
                      <w:szCs w:val="20"/>
                    </w:rPr>
                  </w:pPr>
                </w:p>
              </w:tc>
              <w:tc>
                <w:tcPr>
                  <w:tcW w:w="992" w:type="dxa"/>
                  <w:gridSpan w:val="2"/>
                  <w:tcBorders>
                    <w:top w:val="single" w:color="auto" w:sz="4" w:space="0"/>
                    <w:left w:val="single" w:color="auto" w:sz="4" w:space="0"/>
                    <w:bottom w:val="single" w:color="auto" w:sz="12" w:space="0"/>
                    <w:right w:val="single" w:color="auto" w:sz="4" w:space="0"/>
                  </w:tcBorders>
                  <w:shd w:val="clear"/>
                  <w:noWrap/>
                  <w:tcMar>
                    <w:top w:w="28" w:type="dxa"/>
                    <w:left w:w="28" w:type="dxa"/>
                    <w:bottom w:w="28" w:type="dxa"/>
                    <w:right w:w="28" w:type="dxa"/>
                  </w:tcMar>
                  <w:vAlign w:val="center"/>
                </w:tcPr>
                <w:p w14:paraId="027FD852">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宋体"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资源开发</w:t>
                  </w:r>
                </w:p>
                <w:p w14:paraId="21C973B4">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宋体"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效率要求</w:t>
                  </w:r>
                </w:p>
              </w:tc>
              <w:tc>
                <w:tcPr>
                  <w:tcW w:w="3639" w:type="dxa"/>
                  <w:tcBorders>
                    <w:top w:val="single" w:color="auto" w:sz="4" w:space="0"/>
                    <w:left w:val="single" w:color="auto" w:sz="4" w:space="0"/>
                    <w:bottom w:val="single" w:color="auto" w:sz="12" w:space="0"/>
                    <w:right w:val="single" w:color="auto" w:sz="4" w:space="0"/>
                  </w:tcBorders>
                  <w:shd w:val="clear"/>
                  <w:noWrap/>
                  <w:tcMar>
                    <w:top w:w="28" w:type="dxa"/>
                    <w:left w:w="28" w:type="dxa"/>
                    <w:bottom w:w="28" w:type="dxa"/>
                    <w:right w:w="28" w:type="dxa"/>
                  </w:tcMar>
                  <w:vAlign w:val="center"/>
                </w:tcPr>
                <w:p w14:paraId="137495C3">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宋体" w:cs="Times New Roman"/>
                      <w:color w:val="000000"/>
                      <w:spacing w:val="-6"/>
                      <w:kern w:val="0"/>
                      <w:szCs w:val="21"/>
                      <w:bdr w:val="none" w:color="auto" w:sz="0" w:space="0"/>
                      <w:lang w:val="en-US"/>
                    </w:rPr>
                  </w:pPr>
                  <w:r>
                    <w:rPr>
                      <w:rFonts w:hint="default" w:ascii="Times New Roman" w:hAnsi="宋体" w:eastAsia="宋体" w:cs="Times New Roman"/>
                      <w:color w:val="000000"/>
                      <w:spacing w:val="-6"/>
                      <w:kern w:val="0"/>
                      <w:sz w:val="21"/>
                      <w:szCs w:val="21"/>
                      <w:bdr w:val="none" w:color="auto" w:sz="0" w:space="0"/>
                      <w:lang w:val="en-US" w:eastAsia="zh-CN" w:bidi="ar"/>
                    </w:rPr>
                    <w:t>/</w:t>
                  </w:r>
                </w:p>
              </w:tc>
              <w:tc>
                <w:tcPr>
                  <w:tcW w:w="1765" w:type="dxa"/>
                  <w:gridSpan w:val="2"/>
                  <w:tcBorders>
                    <w:top w:val="single" w:color="auto" w:sz="4" w:space="0"/>
                    <w:left w:val="single" w:color="auto" w:sz="4" w:space="0"/>
                    <w:bottom w:val="single" w:color="auto" w:sz="12" w:space="0"/>
                    <w:right w:val="single" w:color="auto" w:sz="4" w:space="0"/>
                  </w:tcBorders>
                  <w:shd w:val="clear"/>
                  <w:noWrap/>
                  <w:tcMar>
                    <w:top w:w="28" w:type="dxa"/>
                    <w:left w:w="28" w:type="dxa"/>
                    <w:bottom w:w="28" w:type="dxa"/>
                    <w:right w:w="28" w:type="dxa"/>
                  </w:tcMar>
                  <w:vAlign w:val="center"/>
                </w:tcPr>
                <w:p w14:paraId="3D688784">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宋体" w:cs="Times New Roman"/>
                      <w:color w:val="000000"/>
                      <w:spacing w:val="-6"/>
                      <w:kern w:val="0"/>
                      <w:szCs w:val="21"/>
                      <w:bdr w:val="none" w:color="auto" w:sz="0" w:space="0"/>
                      <w:lang w:val="en-US"/>
                    </w:rPr>
                  </w:pPr>
                  <w:r>
                    <w:rPr>
                      <w:rFonts w:hint="default" w:ascii="Times New Roman" w:hAnsi="宋体" w:eastAsia="宋体" w:cs="Times New Roman"/>
                      <w:color w:val="000000"/>
                      <w:spacing w:val="-6"/>
                      <w:kern w:val="0"/>
                      <w:sz w:val="21"/>
                      <w:szCs w:val="21"/>
                      <w:bdr w:val="none" w:color="auto" w:sz="0" w:space="0"/>
                      <w:lang w:val="en-US" w:eastAsia="zh-CN" w:bidi="ar"/>
                    </w:rPr>
                    <w:t>/</w:t>
                  </w:r>
                </w:p>
              </w:tc>
              <w:tc>
                <w:tcPr>
                  <w:tcW w:w="669" w:type="dxa"/>
                  <w:tcBorders>
                    <w:top w:val="single" w:color="auto" w:sz="4" w:space="0"/>
                    <w:left w:val="single" w:color="auto" w:sz="4" w:space="0"/>
                    <w:bottom w:val="single" w:color="auto" w:sz="12" w:space="0"/>
                    <w:right w:val="nil"/>
                  </w:tcBorders>
                  <w:shd w:val="clear"/>
                  <w:noWrap/>
                  <w:tcMar>
                    <w:top w:w="28" w:type="dxa"/>
                    <w:left w:w="28" w:type="dxa"/>
                    <w:bottom w:w="28" w:type="dxa"/>
                    <w:right w:w="28" w:type="dxa"/>
                  </w:tcMar>
                  <w:vAlign w:val="center"/>
                </w:tcPr>
                <w:p w14:paraId="0133E7F6">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宋体"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符合</w:t>
                  </w:r>
                </w:p>
              </w:tc>
            </w:tr>
          </w:tbl>
          <w:p w14:paraId="5925D398">
            <w:pPr>
              <w:keepNext w:val="0"/>
              <w:keepLines w:val="0"/>
              <w:widowControl w:val="0"/>
              <w:suppressLineNumbers w:val="0"/>
              <w:spacing w:before="0" w:beforeAutospacing="0" w:after="0" w:afterAutospacing="0" w:line="440" w:lineRule="exact"/>
              <w:ind w:left="0" w:right="0" w:firstLine="482"/>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综上所述，扩建项目符合“三线一单”生态环境分区管控要求。</w:t>
            </w:r>
          </w:p>
          <w:p w14:paraId="209F5EF0">
            <w:pPr>
              <w:pStyle w:val="88"/>
              <w:widowControl/>
              <w:adjustRightInd w:val="0"/>
              <w:snapToGrid w:val="0"/>
              <w:spacing w:before="0" w:beforeAutospacing="0" w:after="0" w:afterAutospacing="0" w:line="440" w:lineRule="exact"/>
              <w:ind w:left="0" w:right="0" w:firstLine="0" w:firstLineChars="0"/>
              <w:outlineLvl w:val="2"/>
              <w:rPr>
                <w:rFonts w:eastAsia="宋体"/>
                <w:color w:val="000000"/>
                <w:bdr w:val="none" w:color="auto" w:sz="0" w:space="0"/>
                <w:lang w:val="en-US"/>
              </w:rPr>
            </w:pPr>
            <w:r>
              <w:rPr>
                <w:rFonts w:eastAsia="宋体"/>
                <w:b/>
                <w:bCs w:val="0"/>
                <w:color w:val="000000"/>
                <w:bdr w:val="none" w:color="auto" w:sz="0" w:space="0"/>
                <w:lang w:val="en-US"/>
              </w:rPr>
              <w:t>1.2.2</w:t>
            </w:r>
            <w:r>
              <w:rPr>
                <w:rFonts w:hint="eastAsia" w:ascii="Times New Roman" w:hAnsi="宋体" w:eastAsia="宋体" w:cs="宋体"/>
                <w:b/>
                <w:bCs w:val="0"/>
                <w:color w:val="000000"/>
                <w:bdr w:val="none" w:color="auto" w:sz="0" w:space="0"/>
              </w:rPr>
              <w:t>环保政策符合性分析</w:t>
            </w:r>
          </w:p>
          <w:p w14:paraId="75F1785B">
            <w:pPr>
              <w:keepNext w:val="0"/>
              <w:keepLines w:val="0"/>
              <w:widowControl/>
              <w:suppressLineNumbers w:val="0"/>
              <w:spacing w:before="0" w:beforeAutospacing="0" w:after="0" w:afterAutospacing="0" w:line="440" w:lineRule="exact"/>
              <w:ind w:left="0" w:right="0" w:firstLine="480"/>
              <w:jc w:val="left"/>
              <w:rPr>
                <w:rFonts w:hint="default" w:ascii="Times New Roman" w:hAnsi="Times New Roman" w:cs="Times New Roman"/>
                <w:bCs/>
                <w:color w:val="000000"/>
                <w:sz w:val="24"/>
                <w:szCs w:val="24"/>
                <w:bdr w:val="none" w:color="auto" w:sz="0" w:space="0"/>
                <w:lang w:val="en-US"/>
              </w:rPr>
            </w:pPr>
            <w:r>
              <w:rPr>
                <w:rFonts w:hint="eastAsia" w:ascii="Times New Roman" w:hAnsi="Times New Roman" w:eastAsia="宋体" w:cs="宋体"/>
                <w:bCs/>
                <w:color w:val="000000"/>
                <w:kern w:val="2"/>
                <w:sz w:val="24"/>
                <w:szCs w:val="24"/>
                <w:bdr w:val="none" w:color="auto" w:sz="0" w:space="0"/>
                <w:lang w:val="en-US" w:eastAsia="zh-CN" w:bidi="ar"/>
              </w:rPr>
              <w:t>根据《重庆市产业园区规划环境影响评价与建设项目环境影响评价联动实施方案（试行）》（渝环规〔</w:t>
            </w:r>
            <w:r>
              <w:rPr>
                <w:rFonts w:hint="default" w:ascii="Times New Roman" w:hAnsi="Times New Roman" w:eastAsia="宋体" w:cs="Times New Roman"/>
                <w:bCs/>
                <w:color w:val="000000"/>
                <w:kern w:val="2"/>
                <w:sz w:val="24"/>
                <w:szCs w:val="24"/>
                <w:bdr w:val="none" w:color="auto" w:sz="0" w:space="0"/>
                <w:lang w:val="en-US" w:eastAsia="zh-CN" w:bidi="ar"/>
              </w:rPr>
              <w:t>2022</w:t>
            </w:r>
            <w:r>
              <w:rPr>
                <w:rFonts w:hint="eastAsia" w:ascii="Times New Roman" w:hAnsi="Times New Roman" w:eastAsia="宋体" w:cs="宋体"/>
                <w:bCs/>
                <w:color w:val="000000"/>
                <w:kern w:val="2"/>
                <w:sz w:val="24"/>
                <w:szCs w:val="24"/>
                <w:bdr w:val="none" w:color="auto" w:sz="0" w:space="0"/>
                <w:lang w:val="en-US" w:eastAsia="zh-CN" w:bidi="ar"/>
              </w:rPr>
              <w:t>〕</w:t>
            </w:r>
            <w:r>
              <w:rPr>
                <w:rFonts w:hint="default" w:ascii="Times New Roman" w:hAnsi="Times New Roman" w:eastAsia="宋体" w:cs="Times New Roman"/>
                <w:bCs/>
                <w:color w:val="000000"/>
                <w:kern w:val="2"/>
                <w:sz w:val="24"/>
                <w:szCs w:val="24"/>
                <w:bdr w:val="none" w:color="auto" w:sz="0" w:space="0"/>
                <w:lang w:val="en-US" w:eastAsia="zh-CN" w:bidi="ar"/>
              </w:rPr>
              <w:t>2</w:t>
            </w:r>
            <w:r>
              <w:rPr>
                <w:rFonts w:hint="eastAsia" w:ascii="Times New Roman" w:hAnsi="Times New Roman" w:eastAsia="宋体" w:cs="宋体"/>
                <w:bCs/>
                <w:color w:val="000000"/>
                <w:kern w:val="2"/>
                <w:sz w:val="24"/>
                <w:szCs w:val="24"/>
                <w:bdr w:val="none" w:color="auto" w:sz="0" w:space="0"/>
                <w:lang w:val="en-US" w:eastAsia="zh-CN" w:bidi="ar"/>
              </w:rPr>
              <w:t>号）提出的：直接引用规划环评已经论述的相关法律、法规及环保政策符合性的结论，项目环评着重分析与新颁布实施的法律、法规及环保政策的符合性。</w:t>
            </w:r>
          </w:p>
          <w:p w14:paraId="57F9803D">
            <w:pPr>
              <w:keepNext w:val="0"/>
              <w:keepLines w:val="0"/>
              <w:widowControl/>
              <w:suppressLineNumbers w:val="0"/>
              <w:spacing w:before="0" w:beforeAutospacing="0" w:after="0" w:afterAutospacing="0" w:line="440" w:lineRule="exact"/>
              <w:ind w:left="0" w:right="0" w:firstLine="480"/>
              <w:jc w:val="left"/>
              <w:rPr>
                <w:rFonts w:hint="default" w:ascii="Times New Roman" w:hAnsi="Times New Roman" w:cs="Times New Roman"/>
                <w:bCs/>
                <w:color w:val="000000"/>
                <w:sz w:val="24"/>
                <w:szCs w:val="24"/>
                <w:bdr w:val="none" w:color="auto" w:sz="0" w:space="0"/>
                <w:lang w:val="en-US"/>
              </w:rPr>
            </w:pPr>
            <w:r>
              <w:rPr>
                <w:rFonts w:hint="eastAsia" w:ascii="Times New Roman" w:hAnsi="Times New Roman" w:eastAsia="宋体" w:cs="宋体"/>
                <w:bCs/>
                <w:color w:val="000000"/>
                <w:kern w:val="2"/>
                <w:sz w:val="24"/>
                <w:szCs w:val="24"/>
                <w:bdr w:val="none" w:color="auto" w:sz="0" w:space="0"/>
                <w:lang w:val="en-US" w:eastAsia="zh-CN" w:bidi="ar"/>
              </w:rPr>
              <w:t>扩建项目位于</w:t>
            </w:r>
            <w:r>
              <w:rPr>
                <w:rFonts w:hint="eastAsia" w:ascii="Times New Roman" w:hAnsi="Times New Roman" w:eastAsia="宋体" w:cs="宋体"/>
                <w:color w:val="000000"/>
                <w:kern w:val="2"/>
                <w:sz w:val="24"/>
                <w:szCs w:val="32"/>
                <w:bdr w:val="none" w:color="auto" w:sz="0" w:space="0"/>
                <w:lang w:val="en-US" w:eastAsia="zh-CN" w:bidi="ar"/>
              </w:rPr>
              <w:t>合川工业园南溪组团</w:t>
            </w:r>
            <w:r>
              <w:rPr>
                <w:rFonts w:hint="default" w:ascii="Times New Roman" w:hAnsi="Times New Roman" w:eastAsia="宋体" w:cs="Times New Roman"/>
                <w:color w:val="000000"/>
                <w:kern w:val="2"/>
                <w:sz w:val="24"/>
                <w:szCs w:val="32"/>
                <w:bdr w:val="none" w:color="auto" w:sz="0" w:space="0"/>
                <w:lang w:val="en-US" w:eastAsia="zh-CN" w:bidi="ar"/>
              </w:rPr>
              <w:t>B</w:t>
            </w:r>
            <w:r>
              <w:rPr>
                <w:rFonts w:hint="eastAsia" w:ascii="Times New Roman" w:hAnsi="Times New Roman" w:eastAsia="宋体" w:cs="宋体"/>
                <w:color w:val="000000"/>
                <w:kern w:val="2"/>
                <w:sz w:val="24"/>
                <w:szCs w:val="32"/>
                <w:bdr w:val="none" w:color="auto" w:sz="0" w:space="0"/>
                <w:lang w:val="en-US" w:eastAsia="zh-CN" w:bidi="ar"/>
              </w:rPr>
              <w:t>区</w:t>
            </w:r>
            <w:r>
              <w:rPr>
                <w:rFonts w:hint="eastAsia" w:ascii="Times New Roman" w:hAnsi="Times New Roman" w:eastAsia="宋体" w:cs="宋体"/>
                <w:bCs/>
                <w:color w:val="000000"/>
                <w:kern w:val="2"/>
                <w:sz w:val="24"/>
                <w:szCs w:val="24"/>
                <w:bdr w:val="none" w:color="auto" w:sz="0" w:space="0"/>
                <w:lang w:val="en-US" w:eastAsia="zh-CN" w:bidi="ar"/>
              </w:rPr>
              <w:t>，规划环评已论述区域内相关环保政策符合性，因此扩建项目符合相关环保政策要求。</w:t>
            </w:r>
          </w:p>
          <w:p w14:paraId="03D97BF9">
            <w:pPr>
              <w:keepNext w:val="0"/>
              <w:keepLines w:val="0"/>
              <w:widowControl/>
              <w:suppressLineNumbers w:val="0"/>
              <w:spacing w:before="0" w:beforeAutospacing="0" w:after="0" w:afterAutospacing="0" w:line="440" w:lineRule="exact"/>
              <w:ind w:left="0" w:right="0"/>
              <w:jc w:val="both"/>
              <w:outlineLvl w:val="2"/>
              <w:rPr>
                <w:rFonts w:hint="default" w:ascii="Times New Roman" w:hAnsi="Times New Roman" w:cs="Times New Roman"/>
                <w:b/>
                <w:bCs/>
                <w:color w:val="000000"/>
                <w:sz w:val="24"/>
                <w:szCs w:val="24"/>
                <w:bdr w:val="none" w:color="auto" w:sz="0" w:space="0"/>
                <w:lang w:val="en-US"/>
              </w:rPr>
            </w:pPr>
            <w:r>
              <w:rPr>
                <w:rFonts w:hint="default" w:ascii="Times New Roman" w:hAnsi="Times New Roman" w:eastAsia="宋体" w:cs="Times New Roman"/>
                <w:b/>
                <w:bCs/>
                <w:color w:val="000000"/>
                <w:kern w:val="2"/>
                <w:sz w:val="24"/>
                <w:szCs w:val="24"/>
                <w:bdr w:val="none" w:color="auto" w:sz="0" w:space="0"/>
                <w:lang w:val="en-US" w:eastAsia="zh-CN" w:bidi="ar"/>
              </w:rPr>
              <w:t>1.2.3</w:t>
            </w:r>
            <w:r>
              <w:rPr>
                <w:rFonts w:hint="eastAsia" w:ascii="Times New Roman" w:hAnsi="Times New Roman" w:eastAsia="宋体" w:cs="宋体"/>
                <w:b/>
                <w:bCs/>
                <w:color w:val="000000"/>
                <w:kern w:val="2"/>
                <w:sz w:val="24"/>
                <w:szCs w:val="24"/>
                <w:bdr w:val="none" w:color="auto" w:sz="0" w:space="0"/>
                <w:lang w:val="en-US" w:eastAsia="zh-CN" w:bidi="ar"/>
              </w:rPr>
              <w:t>与国家产业政策符合性分析</w:t>
            </w:r>
          </w:p>
          <w:p w14:paraId="37FC9BBB">
            <w:pPr>
              <w:keepNext w:val="0"/>
              <w:keepLines w:val="0"/>
              <w:widowControl/>
              <w:suppressLineNumbers w:val="0"/>
              <w:spacing w:before="0" w:beforeAutospacing="0" w:after="0" w:afterAutospacing="0" w:line="440" w:lineRule="exact"/>
              <w:ind w:left="0" w:right="0" w:firstLine="480"/>
              <w:jc w:val="left"/>
              <w:rPr>
                <w:rFonts w:hint="default" w:ascii="Times New Roman" w:hAnsi="Times New Roman" w:cs="Times New Roman"/>
                <w:bCs/>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扩建项目属于</w:t>
            </w:r>
            <w:r>
              <w:rPr>
                <w:rFonts w:hint="default" w:ascii="Times New Roman" w:hAnsi="Times New Roman" w:eastAsia="宋体" w:cs="Times New Roman"/>
                <w:bCs/>
                <w:color w:val="000000"/>
                <w:kern w:val="2"/>
                <w:sz w:val="24"/>
                <w:szCs w:val="24"/>
                <w:bdr w:val="none" w:color="auto" w:sz="0" w:space="0"/>
                <w:lang w:val="en-US" w:eastAsia="zh-CN" w:bidi="ar"/>
              </w:rPr>
              <w:t>C3670</w:t>
            </w:r>
            <w:r>
              <w:rPr>
                <w:rFonts w:hint="eastAsia" w:ascii="Times New Roman" w:hAnsi="Times New Roman" w:eastAsia="宋体" w:cs="宋体"/>
                <w:bCs/>
                <w:color w:val="000000"/>
                <w:kern w:val="2"/>
                <w:sz w:val="24"/>
                <w:szCs w:val="24"/>
                <w:bdr w:val="none" w:color="auto" w:sz="0" w:space="0"/>
                <w:lang w:val="en-US" w:eastAsia="zh-CN" w:bidi="ar"/>
              </w:rPr>
              <w:t>汽车零部件及配件制造，根据国家《产业结构调整指导目录（</w:t>
            </w:r>
            <w:r>
              <w:rPr>
                <w:rFonts w:hint="default" w:ascii="Times New Roman" w:hAnsi="Times New Roman" w:eastAsia="宋体" w:cs="Times New Roman"/>
                <w:bCs/>
                <w:color w:val="000000"/>
                <w:kern w:val="2"/>
                <w:sz w:val="24"/>
                <w:szCs w:val="24"/>
                <w:bdr w:val="none" w:color="auto" w:sz="0" w:space="0"/>
                <w:lang w:val="en-US" w:eastAsia="zh-CN" w:bidi="ar"/>
              </w:rPr>
              <w:t>2024</w:t>
            </w:r>
            <w:r>
              <w:rPr>
                <w:rFonts w:hint="eastAsia" w:ascii="Times New Roman" w:hAnsi="Times New Roman" w:eastAsia="宋体" w:cs="宋体"/>
                <w:bCs/>
                <w:color w:val="000000"/>
                <w:kern w:val="2"/>
                <w:sz w:val="24"/>
                <w:szCs w:val="24"/>
                <w:bdr w:val="none" w:color="auto" w:sz="0" w:space="0"/>
                <w:lang w:val="en-US" w:eastAsia="zh-CN" w:bidi="ar"/>
              </w:rPr>
              <w:t>年本）》，项目采用的生产工艺、设备均不属于《产业结构调整指导目录（</w:t>
            </w:r>
            <w:r>
              <w:rPr>
                <w:rFonts w:hint="default" w:ascii="Times New Roman" w:hAnsi="Times New Roman" w:eastAsia="宋体" w:cs="Times New Roman"/>
                <w:bCs/>
                <w:color w:val="000000"/>
                <w:kern w:val="2"/>
                <w:sz w:val="24"/>
                <w:szCs w:val="24"/>
                <w:bdr w:val="none" w:color="auto" w:sz="0" w:space="0"/>
                <w:lang w:val="en-US" w:eastAsia="zh-CN" w:bidi="ar"/>
              </w:rPr>
              <w:t>2024</w:t>
            </w:r>
            <w:r>
              <w:rPr>
                <w:rFonts w:hint="eastAsia" w:ascii="Times New Roman" w:hAnsi="Times New Roman" w:eastAsia="宋体" w:cs="宋体"/>
                <w:bCs/>
                <w:color w:val="000000"/>
                <w:kern w:val="2"/>
                <w:sz w:val="24"/>
                <w:szCs w:val="24"/>
                <w:bdr w:val="none" w:color="auto" w:sz="0" w:space="0"/>
                <w:lang w:val="en-US" w:eastAsia="zh-CN" w:bidi="ar"/>
              </w:rPr>
              <w:t>年本）》中规定的限制类和淘汰类，视为允许类。</w:t>
            </w:r>
          </w:p>
          <w:p w14:paraId="447C2DAF">
            <w:pPr>
              <w:keepNext w:val="0"/>
              <w:keepLines w:val="0"/>
              <w:widowControl/>
              <w:suppressLineNumbers w:val="0"/>
              <w:spacing w:before="0" w:beforeAutospacing="0" w:after="0" w:afterAutospacing="0" w:line="440" w:lineRule="exact"/>
              <w:ind w:left="0" w:right="0" w:firstLine="480"/>
              <w:jc w:val="left"/>
              <w:rPr>
                <w:rFonts w:hint="default" w:ascii="Times New Roman" w:hAnsi="Times New Roman" w:cs="Times New Roman"/>
                <w:bCs/>
                <w:color w:val="000000"/>
                <w:sz w:val="24"/>
                <w:szCs w:val="24"/>
                <w:bdr w:val="none" w:color="auto" w:sz="0" w:space="0"/>
                <w:lang w:val="en-US"/>
              </w:rPr>
            </w:pPr>
            <w:r>
              <w:rPr>
                <w:rFonts w:hint="eastAsia" w:ascii="Times New Roman" w:hAnsi="Times New Roman" w:eastAsia="宋体" w:cs="宋体"/>
                <w:bCs/>
                <w:color w:val="000000"/>
                <w:kern w:val="2"/>
                <w:sz w:val="24"/>
                <w:szCs w:val="24"/>
                <w:bdr w:val="none" w:color="auto" w:sz="0" w:space="0"/>
                <w:lang w:val="en-US" w:eastAsia="zh-CN" w:bidi="ar"/>
              </w:rPr>
              <w:t>同时，项目已完成备案，《重庆市企业投资项目备案证》（重庆市合川区发展和改革委员会，项目代码：</w:t>
            </w:r>
            <w:r>
              <w:rPr>
                <w:rFonts w:hint="default" w:ascii="Times New Roman" w:hAnsi="Times New Roman" w:eastAsia="宋体" w:cs="Times New Roman"/>
                <w:color w:val="000000"/>
                <w:kern w:val="2"/>
                <w:sz w:val="24"/>
                <w:szCs w:val="24"/>
                <w:bdr w:val="none" w:color="auto" w:sz="0" w:space="0"/>
                <w:lang w:val="en-US" w:eastAsia="zh-CN" w:bidi="ar"/>
              </w:rPr>
              <w:t>2502-500117-04-01-216976</w:t>
            </w:r>
            <w:r>
              <w:rPr>
                <w:rFonts w:hint="eastAsia" w:ascii="Times New Roman" w:hAnsi="Times New Roman" w:eastAsia="宋体" w:cs="宋体"/>
                <w:bCs/>
                <w:color w:val="000000"/>
                <w:kern w:val="2"/>
                <w:sz w:val="24"/>
                <w:szCs w:val="24"/>
                <w:bdr w:val="none" w:color="auto" w:sz="0" w:space="0"/>
                <w:lang w:val="en-US" w:eastAsia="zh-CN" w:bidi="ar"/>
              </w:rPr>
              <w:t>）同意扩建项目建设实施。</w:t>
            </w:r>
          </w:p>
          <w:p w14:paraId="30D6168B">
            <w:pPr>
              <w:keepNext w:val="0"/>
              <w:keepLines w:val="0"/>
              <w:widowControl/>
              <w:suppressLineNumbers w:val="0"/>
              <w:spacing w:before="0" w:beforeAutospacing="0" w:after="0" w:afterAutospacing="0" w:line="440" w:lineRule="exact"/>
              <w:ind w:left="0" w:right="0" w:firstLine="480"/>
              <w:jc w:val="left"/>
              <w:rPr>
                <w:rFonts w:hint="default" w:ascii="Times New Roman" w:hAnsi="Times New Roman" w:cs="Times New Roman"/>
                <w:bCs/>
                <w:color w:val="000000"/>
                <w:sz w:val="24"/>
                <w:szCs w:val="24"/>
                <w:bdr w:val="none" w:color="auto" w:sz="0" w:space="0"/>
                <w:lang w:val="en-US"/>
              </w:rPr>
            </w:pPr>
            <w:r>
              <w:rPr>
                <w:rFonts w:hint="eastAsia" w:ascii="Times New Roman" w:hAnsi="Times New Roman" w:eastAsia="宋体" w:cs="宋体"/>
                <w:bCs/>
                <w:color w:val="000000"/>
                <w:kern w:val="2"/>
                <w:sz w:val="24"/>
                <w:szCs w:val="24"/>
                <w:bdr w:val="none" w:color="auto" w:sz="0" w:space="0"/>
                <w:lang w:val="en-US" w:eastAsia="zh-CN" w:bidi="ar"/>
              </w:rPr>
              <w:t>因此，项目建设符合国家相关产业政策。</w:t>
            </w:r>
          </w:p>
          <w:p w14:paraId="77863900">
            <w:pPr>
              <w:keepNext w:val="0"/>
              <w:keepLines w:val="0"/>
              <w:widowControl/>
              <w:suppressLineNumbers w:val="0"/>
              <w:spacing w:before="0" w:beforeAutospacing="0" w:after="0" w:afterAutospacing="0" w:line="440" w:lineRule="exact"/>
              <w:ind w:left="0" w:right="0"/>
              <w:jc w:val="both"/>
              <w:outlineLvl w:val="2"/>
              <w:rPr>
                <w:rFonts w:hint="default" w:ascii="Times New Roman" w:hAnsi="Times New Roman" w:cs="Times New Roman"/>
                <w:b/>
                <w:bCs/>
                <w:color w:val="000000"/>
                <w:sz w:val="24"/>
                <w:szCs w:val="24"/>
                <w:bdr w:val="none" w:color="auto" w:sz="0" w:space="0"/>
                <w:lang w:val="en-US"/>
              </w:rPr>
            </w:pPr>
            <w:r>
              <w:rPr>
                <w:rFonts w:hint="default" w:ascii="Times New Roman" w:hAnsi="Times New Roman" w:eastAsia="宋体" w:cs="Times New Roman"/>
                <w:b/>
                <w:bCs/>
                <w:color w:val="000000"/>
                <w:kern w:val="2"/>
                <w:sz w:val="24"/>
                <w:szCs w:val="24"/>
                <w:bdr w:val="none" w:color="auto" w:sz="0" w:space="0"/>
                <w:lang w:val="en-US" w:eastAsia="zh-CN" w:bidi="ar"/>
              </w:rPr>
              <w:t>1.2.4</w:t>
            </w:r>
            <w:r>
              <w:rPr>
                <w:rFonts w:hint="eastAsia" w:ascii="Times New Roman" w:hAnsi="Times New Roman" w:eastAsia="宋体" w:cs="宋体"/>
                <w:b/>
                <w:bCs/>
                <w:color w:val="000000"/>
                <w:kern w:val="2"/>
                <w:sz w:val="24"/>
                <w:szCs w:val="24"/>
                <w:bdr w:val="none" w:color="auto" w:sz="0" w:space="0"/>
                <w:lang w:val="en-US" w:eastAsia="zh-CN" w:bidi="ar"/>
              </w:rPr>
              <w:t>与《长江经济带发展负面清单指南（试行，</w:t>
            </w:r>
            <w:r>
              <w:rPr>
                <w:rFonts w:hint="default" w:ascii="Times New Roman" w:hAnsi="Times New Roman" w:eastAsia="宋体" w:cs="Times New Roman"/>
                <w:b/>
                <w:bCs/>
                <w:color w:val="000000"/>
                <w:kern w:val="2"/>
                <w:sz w:val="24"/>
                <w:szCs w:val="24"/>
                <w:bdr w:val="none" w:color="auto" w:sz="0" w:space="0"/>
                <w:lang w:val="en-US" w:eastAsia="zh-CN" w:bidi="ar"/>
              </w:rPr>
              <w:t>2022</w:t>
            </w:r>
            <w:r>
              <w:rPr>
                <w:rFonts w:hint="eastAsia" w:ascii="Times New Roman" w:hAnsi="Times New Roman" w:eastAsia="宋体" w:cs="宋体"/>
                <w:b/>
                <w:bCs/>
                <w:color w:val="000000"/>
                <w:kern w:val="2"/>
                <w:sz w:val="24"/>
                <w:szCs w:val="24"/>
                <w:bdr w:val="none" w:color="auto" w:sz="0" w:space="0"/>
                <w:lang w:val="en-US" w:eastAsia="zh-CN" w:bidi="ar"/>
              </w:rPr>
              <w:t>年版）》（长江办〔</w:t>
            </w:r>
            <w:r>
              <w:rPr>
                <w:rFonts w:hint="default" w:ascii="Times New Roman" w:hAnsi="Times New Roman" w:eastAsia="宋体" w:cs="Times New Roman"/>
                <w:b/>
                <w:bCs/>
                <w:color w:val="000000"/>
                <w:kern w:val="2"/>
                <w:sz w:val="24"/>
                <w:szCs w:val="24"/>
                <w:bdr w:val="none" w:color="auto" w:sz="0" w:space="0"/>
                <w:lang w:val="en-US" w:eastAsia="zh-CN" w:bidi="ar"/>
              </w:rPr>
              <w:t>2022</w:t>
            </w:r>
            <w:r>
              <w:rPr>
                <w:rFonts w:hint="eastAsia" w:ascii="Times New Roman" w:hAnsi="Times New Roman" w:eastAsia="宋体" w:cs="宋体"/>
                <w:b/>
                <w:bCs/>
                <w:color w:val="000000"/>
                <w:kern w:val="2"/>
                <w:sz w:val="24"/>
                <w:szCs w:val="24"/>
                <w:bdr w:val="none" w:color="auto" w:sz="0" w:space="0"/>
                <w:lang w:val="en-US" w:eastAsia="zh-CN" w:bidi="ar"/>
              </w:rPr>
              <w:t>〕</w:t>
            </w:r>
            <w:r>
              <w:rPr>
                <w:rFonts w:hint="default" w:ascii="Times New Roman" w:hAnsi="Times New Roman" w:eastAsia="宋体" w:cs="Times New Roman"/>
                <w:b/>
                <w:bCs/>
                <w:color w:val="000000"/>
                <w:kern w:val="2"/>
                <w:sz w:val="24"/>
                <w:szCs w:val="24"/>
                <w:bdr w:val="none" w:color="auto" w:sz="0" w:space="0"/>
                <w:lang w:val="en-US" w:eastAsia="zh-CN" w:bidi="ar"/>
              </w:rPr>
              <w:t>7</w:t>
            </w:r>
            <w:r>
              <w:rPr>
                <w:rFonts w:hint="eastAsia" w:ascii="Times New Roman" w:hAnsi="Times New Roman" w:eastAsia="宋体" w:cs="宋体"/>
                <w:b/>
                <w:bCs/>
                <w:color w:val="000000"/>
                <w:kern w:val="2"/>
                <w:sz w:val="24"/>
                <w:szCs w:val="24"/>
                <w:bdr w:val="none" w:color="auto" w:sz="0" w:space="0"/>
                <w:lang w:val="en-US" w:eastAsia="zh-CN" w:bidi="ar"/>
              </w:rPr>
              <w:t>号）符合性分析</w:t>
            </w:r>
          </w:p>
          <w:p w14:paraId="01FE5885">
            <w:pPr>
              <w:keepNext w:val="0"/>
              <w:keepLines w:val="0"/>
              <w:widowControl/>
              <w:suppressLineNumbers w:val="0"/>
              <w:spacing w:before="0" w:beforeAutospacing="0" w:after="0" w:afterAutospacing="0" w:line="440" w:lineRule="exact"/>
              <w:ind w:left="0" w:right="0"/>
              <w:jc w:val="center"/>
              <w:rPr>
                <w:rFonts w:hint="default" w:ascii="Times New Roman" w:hAnsi="Times New Roman" w:cs="Times New Roman"/>
                <w:bCs/>
                <w:color w:val="000000"/>
                <w:sz w:val="24"/>
                <w:szCs w:val="24"/>
                <w:bdr w:val="none" w:color="auto" w:sz="0" w:space="0"/>
                <w:lang w:val="en-US"/>
              </w:rPr>
            </w:pPr>
            <w:r>
              <w:rPr>
                <w:rFonts w:hint="eastAsia" w:ascii="Times New Roman" w:hAnsi="Times New Roman" w:eastAsia="宋体" w:cs="宋体"/>
                <w:bCs/>
                <w:color w:val="000000"/>
                <w:kern w:val="2"/>
                <w:sz w:val="24"/>
                <w:szCs w:val="24"/>
                <w:bdr w:val="none" w:color="auto" w:sz="0" w:space="0"/>
                <w:lang w:val="en-US" w:eastAsia="zh-CN" w:bidi="ar"/>
              </w:rPr>
              <w:t>表</w:t>
            </w:r>
            <w:r>
              <w:rPr>
                <w:rFonts w:hint="default" w:ascii="Times New Roman" w:hAnsi="Times New Roman" w:eastAsia="宋体" w:cs="Times New Roman"/>
                <w:bCs/>
                <w:color w:val="000000"/>
                <w:kern w:val="2"/>
                <w:sz w:val="24"/>
                <w:szCs w:val="24"/>
                <w:bdr w:val="none" w:color="auto" w:sz="0" w:space="0"/>
                <w:lang w:val="en-US" w:eastAsia="zh-CN" w:bidi="ar"/>
              </w:rPr>
              <w:t xml:space="preserve">1.2-2 </w:t>
            </w:r>
            <w:r>
              <w:rPr>
                <w:rFonts w:hint="eastAsia" w:ascii="Times New Roman" w:hAnsi="Times New Roman" w:eastAsia="宋体" w:cs="宋体"/>
                <w:bCs/>
                <w:color w:val="000000"/>
                <w:kern w:val="2"/>
                <w:sz w:val="24"/>
                <w:szCs w:val="24"/>
                <w:bdr w:val="none" w:color="auto" w:sz="0" w:space="0"/>
                <w:lang w:val="en-US" w:eastAsia="zh-CN" w:bidi="ar"/>
              </w:rPr>
              <w:t>（长江办〔</w:t>
            </w:r>
            <w:r>
              <w:rPr>
                <w:rFonts w:hint="default" w:ascii="Times New Roman" w:hAnsi="Times New Roman" w:eastAsia="宋体" w:cs="Times New Roman"/>
                <w:bCs/>
                <w:color w:val="000000"/>
                <w:kern w:val="2"/>
                <w:sz w:val="24"/>
                <w:szCs w:val="24"/>
                <w:bdr w:val="none" w:color="auto" w:sz="0" w:space="0"/>
                <w:lang w:val="en-US" w:eastAsia="zh-CN" w:bidi="ar"/>
              </w:rPr>
              <w:t>2022</w:t>
            </w:r>
            <w:r>
              <w:rPr>
                <w:rFonts w:hint="eastAsia" w:ascii="Times New Roman" w:hAnsi="Times New Roman" w:eastAsia="宋体" w:cs="宋体"/>
                <w:bCs/>
                <w:color w:val="000000"/>
                <w:kern w:val="2"/>
                <w:sz w:val="24"/>
                <w:szCs w:val="24"/>
                <w:bdr w:val="none" w:color="auto" w:sz="0" w:space="0"/>
                <w:lang w:val="en-US" w:eastAsia="zh-CN" w:bidi="ar"/>
              </w:rPr>
              <w:t>〕</w:t>
            </w:r>
            <w:r>
              <w:rPr>
                <w:rFonts w:hint="default" w:ascii="Times New Roman" w:hAnsi="Times New Roman" w:eastAsia="宋体" w:cs="Times New Roman"/>
                <w:bCs/>
                <w:color w:val="000000"/>
                <w:kern w:val="2"/>
                <w:sz w:val="24"/>
                <w:szCs w:val="24"/>
                <w:bdr w:val="none" w:color="auto" w:sz="0" w:space="0"/>
                <w:lang w:val="en-US" w:eastAsia="zh-CN" w:bidi="ar"/>
              </w:rPr>
              <w:t>7</w:t>
            </w:r>
            <w:r>
              <w:rPr>
                <w:rFonts w:hint="eastAsia" w:ascii="Times New Roman" w:hAnsi="Times New Roman" w:eastAsia="宋体" w:cs="宋体"/>
                <w:bCs/>
                <w:color w:val="000000"/>
                <w:kern w:val="2"/>
                <w:sz w:val="24"/>
                <w:szCs w:val="24"/>
                <w:bdr w:val="none" w:color="auto" w:sz="0" w:space="0"/>
                <w:lang w:val="en-US" w:eastAsia="zh-CN" w:bidi="ar"/>
              </w:rPr>
              <w:t>号）符合性分析</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Layout w:type="fixed"/>
              <w:tblCellMar>
                <w:top w:w="0" w:type="dxa"/>
                <w:left w:w="108" w:type="dxa"/>
                <w:bottom w:w="0" w:type="dxa"/>
                <w:right w:w="108" w:type="dxa"/>
              </w:tblCellMar>
            </w:tblPr>
            <w:tblGrid>
              <w:gridCol w:w="522"/>
              <w:gridCol w:w="4315"/>
              <w:gridCol w:w="2424"/>
              <w:gridCol w:w="671"/>
            </w:tblGrid>
            <w:tr w14:paraId="7C5E2E2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CellMar>
                  <w:top w:w="0" w:type="dxa"/>
                  <w:left w:w="108" w:type="dxa"/>
                  <w:bottom w:w="0" w:type="dxa"/>
                  <w:right w:w="108" w:type="dxa"/>
                </w:tblCellMar>
              </w:tblPrEx>
              <w:trPr>
                <w:tblHeader/>
                <w:jc w:val="center"/>
              </w:trPr>
              <w:tc>
                <w:tcPr>
                  <w:tcW w:w="329" w:type="pct"/>
                  <w:tcBorders>
                    <w:top w:val="single" w:color="auto" w:sz="12" w:space="0"/>
                    <w:left w:val="nil"/>
                    <w:bottom w:val="single" w:color="auto" w:sz="4" w:space="0"/>
                    <w:right w:val="single" w:color="auto" w:sz="4" w:space="0"/>
                  </w:tcBorders>
                  <w:shd w:val="clear"/>
                  <w:noWrap/>
                  <w:tcMar>
                    <w:top w:w="28" w:type="dxa"/>
                    <w:left w:w="28" w:type="dxa"/>
                    <w:bottom w:w="28" w:type="dxa"/>
                    <w:right w:w="28" w:type="dxa"/>
                  </w:tcMar>
                  <w:vAlign w:val="center"/>
                </w:tcPr>
                <w:p w14:paraId="297C0449">
                  <w:pPr>
                    <w:pStyle w:val="98"/>
                    <w:widowControl/>
                    <w:spacing w:line="300" w:lineRule="exact"/>
                    <w:rPr>
                      <w:color w:val="000000"/>
                      <w:kern w:val="2"/>
                      <w:bdr w:val="none" w:color="auto" w:sz="0" w:space="0"/>
                      <w:lang w:val="en-US"/>
                    </w:rPr>
                  </w:pPr>
                  <w:r>
                    <w:rPr>
                      <w:rFonts w:hint="eastAsia" w:ascii="Times New Roman" w:hAnsi="Times New Roman" w:eastAsia="宋体" w:cs="宋体"/>
                      <w:color w:val="000000"/>
                      <w:kern w:val="2"/>
                      <w:bdr w:val="none" w:color="auto" w:sz="0" w:space="0"/>
                    </w:rPr>
                    <w:t>序号</w:t>
                  </w:r>
                </w:p>
              </w:tc>
              <w:tc>
                <w:tcPr>
                  <w:tcW w:w="2720" w:type="pct"/>
                  <w:tcBorders>
                    <w:top w:val="single" w:color="auto" w:sz="12"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7CE5CC63">
                  <w:pPr>
                    <w:pStyle w:val="98"/>
                    <w:widowControl/>
                    <w:spacing w:line="300" w:lineRule="exact"/>
                    <w:rPr>
                      <w:color w:val="000000"/>
                      <w:kern w:val="2"/>
                      <w:bdr w:val="none" w:color="auto" w:sz="0" w:space="0"/>
                      <w:lang w:val="en-US"/>
                    </w:rPr>
                  </w:pPr>
                  <w:r>
                    <w:rPr>
                      <w:rFonts w:hint="eastAsia" w:ascii="Times New Roman" w:hAnsi="Times New Roman" w:eastAsia="宋体" w:cs="宋体"/>
                      <w:color w:val="000000"/>
                      <w:kern w:val="2"/>
                      <w:bdr w:val="none" w:color="auto" w:sz="0" w:space="0"/>
                    </w:rPr>
                    <w:t>负面清单内容</w:t>
                  </w:r>
                </w:p>
              </w:tc>
              <w:tc>
                <w:tcPr>
                  <w:tcW w:w="1528" w:type="pct"/>
                  <w:tcBorders>
                    <w:top w:val="single" w:color="auto" w:sz="12"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4286B810">
                  <w:pPr>
                    <w:pStyle w:val="98"/>
                    <w:widowControl/>
                    <w:spacing w:line="300" w:lineRule="exact"/>
                    <w:rPr>
                      <w:color w:val="000000"/>
                      <w:kern w:val="2"/>
                      <w:bdr w:val="none" w:color="auto" w:sz="0" w:space="0"/>
                      <w:lang w:val="en-US"/>
                    </w:rPr>
                  </w:pPr>
                  <w:r>
                    <w:rPr>
                      <w:rFonts w:hint="eastAsia" w:ascii="Times New Roman" w:hAnsi="Times New Roman" w:eastAsia="宋体" w:cs="宋体"/>
                      <w:color w:val="000000"/>
                      <w:kern w:val="2"/>
                      <w:bdr w:val="none" w:color="auto" w:sz="0" w:space="0"/>
                    </w:rPr>
                    <w:t>扩建项目情况</w:t>
                  </w:r>
                </w:p>
              </w:tc>
              <w:tc>
                <w:tcPr>
                  <w:tcW w:w="423" w:type="pct"/>
                  <w:tcBorders>
                    <w:top w:val="single" w:color="auto" w:sz="12" w:space="0"/>
                    <w:left w:val="single" w:color="auto" w:sz="4" w:space="0"/>
                    <w:bottom w:val="single" w:color="auto" w:sz="4" w:space="0"/>
                    <w:right w:val="nil"/>
                  </w:tcBorders>
                  <w:shd w:val="clear"/>
                  <w:noWrap/>
                  <w:tcMar>
                    <w:top w:w="28" w:type="dxa"/>
                    <w:left w:w="28" w:type="dxa"/>
                    <w:bottom w:w="28" w:type="dxa"/>
                    <w:right w:w="28" w:type="dxa"/>
                  </w:tcMar>
                  <w:vAlign w:val="center"/>
                </w:tcPr>
                <w:p w14:paraId="4E253D8B">
                  <w:pPr>
                    <w:pStyle w:val="98"/>
                    <w:widowControl/>
                    <w:spacing w:line="300" w:lineRule="exact"/>
                    <w:rPr>
                      <w:color w:val="000000"/>
                      <w:kern w:val="2"/>
                      <w:bdr w:val="none" w:color="auto" w:sz="0" w:space="0"/>
                      <w:lang w:val="en-US"/>
                    </w:rPr>
                  </w:pPr>
                  <w:r>
                    <w:rPr>
                      <w:rFonts w:hint="eastAsia" w:ascii="Times New Roman" w:hAnsi="Times New Roman" w:eastAsia="宋体" w:cs="宋体"/>
                      <w:color w:val="000000"/>
                      <w:spacing w:val="-6"/>
                      <w:kern w:val="2"/>
                      <w:bdr w:val="none" w:color="auto" w:sz="0" w:space="0"/>
                    </w:rPr>
                    <w:t>符合性</w:t>
                  </w:r>
                </w:p>
              </w:tc>
            </w:tr>
            <w:tr w14:paraId="40AFE94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7D2F0DB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bCs/>
                      <w:snapToGrid w:val="0"/>
                      <w:color w:val="000000"/>
                      <w:szCs w:val="21"/>
                      <w:bdr w:val="none" w:color="auto" w:sz="0" w:space="0"/>
                      <w:lang w:val="en-US"/>
                    </w:rPr>
                  </w:pPr>
                  <w:r>
                    <w:rPr>
                      <w:rFonts w:hint="default" w:ascii="Times New Roman" w:hAnsi="Times New Roman" w:eastAsia="宋体" w:cs="Times New Roman"/>
                      <w:bCs/>
                      <w:snapToGrid w:val="0"/>
                      <w:color w:val="000000"/>
                      <w:kern w:val="2"/>
                      <w:sz w:val="21"/>
                      <w:szCs w:val="21"/>
                      <w:bdr w:val="none" w:color="auto" w:sz="0" w:space="0"/>
                      <w:lang w:val="en-US" w:eastAsia="zh-CN" w:bidi="ar"/>
                    </w:rPr>
                    <w:t>1</w:t>
                  </w:r>
                </w:p>
              </w:tc>
              <w:tc>
                <w:tcPr>
                  <w:tcW w:w="2720" w:type="pct"/>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46A71B6B">
                  <w:pPr>
                    <w:keepNext w:val="0"/>
                    <w:keepLines w:val="0"/>
                    <w:widowControl/>
                    <w:suppressLineNumbers w:val="0"/>
                    <w:spacing w:before="0" w:beforeAutospacing="0" w:after="0" w:afterAutospacing="0" w:line="300" w:lineRule="exact"/>
                    <w:ind w:left="0" w:right="0"/>
                    <w:jc w:val="both"/>
                    <w:rPr>
                      <w:rFonts w:hint="default" w:ascii="Times New Roman" w:hAnsi="Times New Roman" w:cs="Times New Roman"/>
                      <w:bCs/>
                      <w:snapToGrid w:val="0"/>
                      <w:color w:val="000000"/>
                      <w:szCs w:val="21"/>
                      <w:bdr w:val="none" w:color="auto" w:sz="0" w:space="0"/>
                      <w:lang w:val="en-US"/>
                    </w:rPr>
                  </w:pPr>
                  <w:r>
                    <w:rPr>
                      <w:rFonts w:hint="eastAsia" w:ascii="Times New Roman" w:hAnsi="Calibri" w:eastAsia="宋体" w:cs="宋体"/>
                      <w:bCs/>
                      <w:snapToGrid w:val="0"/>
                      <w:color w:val="000000"/>
                      <w:kern w:val="2"/>
                      <w:sz w:val="21"/>
                      <w:szCs w:val="21"/>
                      <w:bdr w:val="none" w:color="auto" w:sz="0" w:space="0"/>
                      <w:lang w:val="en-US" w:eastAsia="zh-CN" w:bidi="ar"/>
                    </w:rPr>
                    <w:t>禁止建设不符合全国和省级港口布局规划以及港口总体规划的码头项目，禁止建设不符合《长江干线过江通道布局规划》的过长江通道项目。</w:t>
                  </w:r>
                </w:p>
              </w:tc>
              <w:tc>
                <w:tcPr>
                  <w:tcW w:w="1528" w:type="pct"/>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741D7FF6">
                  <w:pPr>
                    <w:keepNext w:val="0"/>
                    <w:keepLines w:val="0"/>
                    <w:widowControl/>
                    <w:suppressLineNumbers w:val="0"/>
                    <w:spacing w:before="0" w:beforeAutospacing="0" w:after="0" w:afterAutospacing="0" w:line="300" w:lineRule="exact"/>
                    <w:ind w:left="0" w:right="0"/>
                    <w:jc w:val="both"/>
                    <w:rPr>
                      <w:rFonts w:hint="default" w:ascii="Times New Roman" w:hAnsi="Times New Roman" w:cs="Times New Roman"/>
                      <w:bCs/>
                      <w:snapToGrid w:val="0"/>
                      <w:color w:val="000000"/>
                      <w:szCs w:val="21"/>
                      <w:bdr w:val="none" w:color="auto" w:sz="0" w:space="0"/>
                      <w:lang w:val="en-US"/>
                    </w:rPr>
                  </w:pPr>
                  <w:r>
                    <w:rPr>
                      <w:rFonts w:hint="eastAsia" w:ascii="Times New Roman" w:hAnsi="Calibri" w:eastAsia="宋体" w:cs="宋体"/>
                      <w:bCs/>
                      <w:snapToGrid w:val="0"/>
                      <w:color w:val="000000"/>
                      <w:kern w:val="2"/>
                      <w:sz w:val="21"/>
                      <w:szCs w:val="21"/>
                      <w:bdr w:val="none" w:color="auto" w:sz="0" w:space="0"/>
                      <w:lang w:val="en-US" w:eastAsia="zh-CN" w:bidi="ar"/>
                    </w:rPr>
                    <w:t>扩建项目不属于码头项目和过长江通道项目。</w:t>
                  </w:r>
                </w:p>
              </w:tc>
              <w:tc>
                <w:tcPr>
                  <w:tcW w:w="423" w:type="pct"/>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011BBFA3">
                  <w:pPr>
                    <w:pStyle w:val="98"/>
                    <w:widowControl/>
                    <w:spacing w:line="300" w:lineRule="exact"/>
                    <w:rPr>
                      <w:color w:val="000000"/>
                      <w:kern w:val="2"/>
                      <w:bdr w:val="none" w:color="auto" w:sz="0" w:space="0"/>
                      <w:lang w:val="en-US"/>
                    </w:rPr>
                  </w:pPr>
                  <w:r>
                    <w:rPr>
                      <w:rFonts w:hint="eastAsia" w:ascii="Times New Roman" w:hAnsi="Times New Roman" w:eastAsia="宋体" w:cs="宋体"/>
                      <w:color w:val="000000"/>
                      <w:kern w:val="2"/>
                      <w:bdr w:val="none" w:color="auto" w:sz="0" w:space="0"/>
                    </w:rPr>
                    <w:t>符合</w:t>
                  </w:r>
                </w:p>
              </w:tc>
            </w:tr>
            <w:tr w14:paraId="33071FF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25325EDB">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bCs/>
                      <w:snapToGrid w:val="0"/>
                      <w:color w:val="000000"/>
                      <w:szCs w:val="21"/>
                      <w:bdr w:val="none" w:color="auto" w:sz="0" w:space="0"/>
                      <w:lang w:val="en-US"/>
                    </w:rPr>
                  </w:pPr>
                  <w:r>
                    <w:rPr>
                      <w:rFonts w:hint="default" w:ascii="Times New Roman" w:hAnsi="Times New Roman" w:eastAsia="宋体" w:cs="Times New Roman"/>
                      <w:bCs/>
                      <w:snapToGrid w:val="0"/>
                      <w:color w:val="000000"/>
                      <w:kern w:val="2"/>
                      <w:sz w:val="21"/>
                      <w:szCs w:val="21"/>
                      <w:bdr w:val="none" w:color="auto" w:sz="0" w:space="0"/>
                      <w:lang w:val="en-US" w:eastAsia="zh-CN" w:bidi="ar"/>
                    </w:rPr>
                    <w:t>2</w:t>
                  </w:r>
                </w:p>
              </w:tc>
              <w:tc>
                <w:tcPr>
                  <w:tcW w:w="2720" w:type="pct"/>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6A058B32">
                  <w:pPr>
                    <w:keepNext w:val="0"/>
                    <w:keepLines w:val="0"/>
                    <w:widowControl/>
                    <w:suppressLineNumbers w:val="0"/>
                    <w:spacing w:before="0" w:beforeAutospacing="0" w:after="0" w:afterAutospacing="0" w:line="300" w:lineRule="exact"/>
                    <w:ind w:left="0" w:right="0"/>
                    <w:jc w:val="both"/>
                    <w:rPr>
                      <w:rFonts w:hint="default" w:ascii="Times New Roman" w:hAnsi="Times New Roman" w:cs="Times New Roman"/>
                      <w:bCs/>
                      <w:snapToGrid w:val="0"/>
                      <w:color w:val="000000"/>
                      <w:szCs w:val="21"/>
                      <w:bdr w:val="none" w:color="auto" w:sz="0" w:space="0"/>
                      <w:lang w:val="en-US"/>
                    </w:rPr>
                  </w:pPr>
                  <w:r>
                    <w:rPr>
                      <w:rFonts w:hint="eastAsia" w:ascii="Times New Roman" w:hAnsi="Calibri" w:eastAsia="宋体" w:cs="宋体"/>
                      <w:bCs/>
                      <w:snapToGrid w:val="0"/>
                      <w:color w:val="000000"/>
                      <w:kern w:val="2"/>
                      <w:sz w:val="21"/>
                      <w:szCs w:val="21"/>
                      <w:bdr w:val="none" w:color="auto" w:sz="0" w:space="0"/>
                      <w:lang w:val="en-US" w:eastAsia="zh-CN" w:bidi="ar"/>
                    </w:rPr>
                    <w:t>禁止在自然保护区核心区、缓冲区的岸线和河段范围内投资建设旅游和生产经营项目。禁止在风景名胜区核心景区的岸线和河段范围内投资建设与风景名胜资源保护无关的项目。</w:t>
                  </w:r>
                </w:p>
              </w:tc>
              <w:tc>
                <w:tcPr>
                  <w:tcW w:w="1528" w:type="pct"/>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15775586">
                  <w:pPr>
                    <w:keepNext w:val="0"/>
                    <w:keepLines w:val="0"/>
                    <w:widowControl/>
                    <w:suppressLineNumbers w:val="0"/>
                    <w:spacing w:before="0" w:beforeAutospacing="0" w:after="0" w:afterAutospacing="0" w:line="300" w:lineRule="exact"/>
                    <w:ind w:left="0" w:right="0"/>
                    <w:jc w:val="both"/>
                    <w:rPr>
                      <w:rFonts w:hint="default" w:ascii="Times New Roman" w:hAnsi="Times New Roman" w:cs="Times New Roman"/>
                      <w:bCs/>
                      <w:snapToGrid w:val="0"/>
                      <w:color w:val="000000"/>
                      <w:szCs w:val="21"/>
                      <w:bdr w:val="none" w:color="auto" w:sz="0" w:space="0"/>
                      <w:lang w:val="en-US"/>
                    </w:rPr>
                  </w:pPr>
                  <w:r>
                    <w:rPr>
                      <w:rFonts w:hint="eastAsia" w:ascii="Times New Roman" w:hAnsi="Calibri" w:eastAsia="宋体" w:cs="宋体"/>
                      <w:bCs/>
                      <w:snapToGrid w:val="0"/>
                      <w:color w:val="000000"/>
                      <w:kern w:val="2"/>
                      <w:sz w:val="21"/>
                      <w:szCs w:val="21"/>
                      <w:bdr w:val="none" w:color="auto" w:sz="0" w:space="0"/>
                      <w:lang w:val="en-US" w:eastAsia="zh-CN" w:bidi="ar"/>
                    </w:rPr>
                    <w:t>扩建项目不涉及自然保护区和风景名胜区。</w:t>
                  </w:r>
                </w:p>
              </w:tc>
              <w:tc>
                <w:tcPr>
                  <w:tcW w:w="423" w:type="pct"/>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3F89526A">
                  <w:pPr>
                    <w:pStyle w:val="98"/>
                    <w:widowControl/>
                    <w:spacing w:line="300" w:lineRule="exact"/>
                    <w:rPr>
                      <w:color w:val="000000"/>
                      <w:kern w:val="2"/>
                      <w:bdr w:val="none" w:color="auto" w:sz="0" w:space="0"/>
                      <w:lang w:val="en-US"/>
                    </w:rPr>
                  </w:pPr>
                  <w:r>
                    <w:rPr>
                      <w:rFonts w:hint="eastAsia" w:ascii="Times New Roman" w:hAnsi="Times New Roman" w:eastAsia="宋体" w:cs="宋体"/>
                      <w:color w:val="000000"/>
                      <w:kern w:val="2"/>
                      <w:bdr w:val="none" w:color="auto" w:sz="0" w:space="0"/>
                    </w:rPr>
                    <w:t>符合</w:t>
                  </w:r>
                </w:p>
              </w:tc>
            </w:tr>
            <w:tr w14:paraId="59619A9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0E5B8BFD">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bCs/>
                      <w:snapToGrid w:val="0"/>
                      <w:color w:val="000000"/>
                      <w:szCs w:val="21"/>
                      <w:bdr w:val="none" w:color="auto" w:sz="0" w:space="0"/>
                      <w:lang w:val="en-US"/>
                    </w:rPr>
                  </w:pPr>
                  <w:r>
                    <w:rPr>
                      <w:rFonts w:hint="default" w:ascii="Times New Roman" w:hAnsi="Times New Roman" w:eastAsia="宋体" w:cs="Times New Roman"/>
                      <w:bCs/>
                      <w:snapToGrid w:val="0"/>
                      <w:color w:val="000000"/>
                      <w:kern w:val="2"/>
                      <w:sz w:val="21"/>
                      <w:szCs w:val="21"/>
                      <w:bdr w:val="none" w:color="auto" w:sz="0" w:space="0"/>
                      <w:lang w:val="en-US" w:eastAsia="zh-CN" w:bidi="ar"/>
                    </w:rPr>
                    <w:t>3</w:t>
                  </w:r>
                </w:p>
              </w:tc>
              <w:tc>
                <w:tcPr>
                  <w:tcW w:w="2720" w:type="pct"/>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7714C2E6">
                  <w:pPr>
                    <w:keepNext w:val="0"/>
                    <w:keepLines w:val="0"/>
                    <w:widowControl/>
                    <w:suppressLineNumbers w:val="0"/>
                    <w:spacing w:before="0" w:beforeAutospacing="0" w:after="0" w:afterAutospacing="0" w:line="300" w:lineRule="exact"/>
                    <w:ind w:left="0" w:right="0"/>
                    <w:jc w:val="both"/>
                    <w:rPr>
                      <w:rFonts w:hint="default" w:ascii="Times New Roman" w:hAnsi="Times New Roman" w:cs="Times New Roman"/>
                      <w:bCs/>
                      <w:snapToGrid w:val="0"/>
                      <w:color w:val="000000"/>
                      <w:szCs w:val="21"/>
                      <w:bdr w:val="none" w:color="auto" w:sz="0" w:space="0"/>
                      <w:lang w:val="en-US"/>
                    </w:rPr>
                  </w:pPr>
                  <w:r>
                    <w:rPr>
                      <w:rFonts w:hint="eastAsia" w:ascii="Times New Roman" w:hAnsi="Calibri" w:eastAsia="宋体" w:cs="宋体"/>
                      <w:bCs/>
                      <w:snapToGrid w:val="0"/>
                      <w:color w:val="000000"/>
                      <w:kern w:val="2"/>
                      <w:sz w:val="21"/>
                      <w:szCs w:val="21"/>
                      <w:bdr w:val="none" w:color="auto" w:sz="0" w:space="0"/>
                      <w:lang w:val="en-US" w:eastAsia="zh-CN" w:bidi="ar"/>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1528" w:type="pct"/>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7E4B3EBF">
                  <w:pPr>
                    <w:keepNext w:val="0"/>
                    <w:keepLines w:val="0"/>
                    <w:widowControl/>
                    <w:suppressLineNumbers w:val="0"/>
                    <w:spacing w:before="0" w:beforeAutospacing="0" w:after="0" w:afterAutospacing="0" w:line="300" w:lineRule="exact"/>
                    <w:ind w:left="0" w:right="0"/>
                    <w:jc w:val="both"/>
                    <w:rPr>
                      <w:rFonts w:hint="default" w:ascii="Times New Roman" w:hAnsi="Times New Roman" w:cs="Times New Roman"/>
                      <w:bCs/>
                      <w:snapToGrid w:val="0"/>
                      <w:color w:val="000000"/>
                      <w:szCs w:val="21"/>
                      <w:bdr w:val="none" w:color="auto" w:sz="0" w:space="0"/>
                      <w:lang w:val="en-US"/>
                    </w:rPr>
                  </w:pPr>
                  <w:r>
                    <w:rPr>
                      <w:rFonts w:hint="eastAsia" w:ascii="Times New Roman" w:hAnsi="Calibri" w:eastAsia="宋体" w:cs="宋体"/>
                      <w:bCs/>
                      <w:snapToGrid w:val="0"/>
                      <w:color w:val="000000"/>
                      <w:kern w:val="2"/>
                      <w:sz w:val="21"/>
                      <w:szCs w:val="21"/>
                      <w:bdr w:val="none" w:color="auto" w:sz="0" w:space="0"/>
                      <w:lang w:val="en-US" w:eastAsia="zh-CN" w:bidi="ar"/>
                    </w:rPr>
                    <w:t>扩建项目不在饮用水水源一、二级保护区的岸线和河段范围内。</w:t>
                  </w:r>
                </w:p>
              </w:tc>
              <w:tc>
                <w:tcPr>
                  <w:tcW w:w="423" w:type="pct"/>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06693414">
                  <w:pPr>
                    <w:pStyle w:val="98"/>
                    <w:widowControl/>
                    <w:spacing w:line="300" w:lineRule="exact"/>
                    <w:rPr>
                      <w:color w:val="000000"/>
                      <w:kern w:val="2"/>
                      <w:bdr w:val="none" w:color="auto" w:sz="0" w:space="0"/>
                      <w:lang w:val="en-US"/>
                    </w:rPr>
                  </w:pPr>
                  <w:r>
                    <w:rPr>
                      <w:rFonts w:hint="eastAsia" w:ascii="Times New Roman" w:hAnsi="Times New Roman" w:eastAsia="宋体" w:cs="宋体"/>
                      <w:color w:val="000000"/>
                      <w:kern w:val="2"/>
                      <w:bdr w:val="none" w:color="auto" w:sz="0" w:space="0"/>
                    </w:rPr>
                    <w:t>符合</w:t>
                  </w:r>
                </w:p>
              </w:tc>
            </w:tr>
            <w:tr w14:paraId="640A46C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43688487">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bCs/>
                      <w:snapToGrid w:val="0"/>
                      <w:color w:val="000000"/>
                      <w:szCs w:val="21"/>
                      <w:bdr w:val="none" w:color="auto" w:sz="0" w:space="0"/>
                      <w:lang w:val="en-US"/>
                    </w:rPr>
                  </w:pPr>
                  <w:r>
                    <w:rPr>
                      <w:rFonts w:hint="default" w:ascii="Times New Roman" w:hAnsi="Times New Roman" w:eastAsia="宋体" w:cs="Times New Roman"/>
                      <w:bCs/>
                      <w:snapToGrid w:val="0"/>
                      <w:color w:val="000000"/>
                      <w:kern w:val="2"/>
                      <w:sz w:val="21"/>
                      <w:szCs w:val="21"/>
                      <w:bdr w:val="none" w:color="auto" w:sz="0" w:space="0"/>
                      <w:lang w:val="en-US" w:eastAsia="zh-CN" w:bidi="ar"/>
                    </w:rPr>
                    <w:t>4</w:t>
                  </w:r>
                </w:p>
              </w:tc>
              <w:tc>
                <w:tcPr>
                  <w:tcW w:w="2720" w:type="pct"/>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53FC46C1">
                  <w:pPr>
                    <w:keepNext w:val="0"/>
                    <w:keepLines w:val="0"/>
                    <w:widowControl/>
                    <w:suppressLineNumbers w:val="0"/>
                    <w:spacing w:before="0" w:beforeAutospacing="0" w:after="0" w:afterAutospacing="0" w:line="300" w:lineRule="exact"/>
                    <w:ind w:left="0" w:right="0"/>
                    <w:jc w:val="both"/>
                    <w:rPr>
                      <w:rFonts w:hint="default" w:ascii="Times New Roman" w:hAnsi="Times New Roman" w:cs="Times New Roman"/>
                      <w:bCs/>
                      <w:snapToGrid w:val="0"/>
                      <w:color w:val="000000"/>
                      <w:szCs w:val="21"/>
                      <w:bdr w:val="none" w:color="auto" w:sz="0" w:space="0"/>
                      <w:lang w:val="en-US"/>
                    </w:rPr>
                  </w:pPr>
                  <w:r>
                    <w:rPr>
                      <w:rFonts w:hint="eastAsia" w:ascii="Times New Roman" w:hAnsi="Calibri" w:eastAsia="宋体" w:cs="宋体"/>
                      <w:bCs/>
                      <w:snapToGrid w:val="0"/>
                      <w:color w:val="000000"/>
                      <w:kern w:val="2"/>
                      <w:sz w:val="21"/>
                      <w:szCs w:val="21"/>
                      <w:bdr w:val="none" w:color="auto" w:sz="0" w:space="0"/>
                      <w:lang w:val="en-US" w:eastAsia="zh-CN" w:bidi="ar"/>
                    </w:rPr>
                    <w:t>禁止在水产种质资源保护区的岸线和河段范围内新建排污口，以及围湖造田、围海造地或围填海等投资建设项目。禁止在国家湿地公园的岸线和河段范围内挖砂、采矿，以及任何不符合主体功能定位的投资建设项目。</w:t>
                  </w:r>
                </w:p>
              </w:tc>
              <w:tc>
                <w:tcPr>
                  <w:tcW w:w="1528" w:type="pct"/>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6826AEBF">
                  <w:pPr>
                    <w:keepNext w:val="0"/>
                    <w:keepLines w:val="0"/>
                    <w:widowControl/>
                    <w:suppressLineNumbers w:val="0"/>
                    <w:spacing w:before="0" w:beforeAutospacing="0" w:after="0" w:afterAutospacing="0" w:line="300" w:lineRule="exact"/>
                    <w:ind w:left="0" w:right="0"/>
                    <w:jc w:val="both"/>
                    <w:rPr>
                      <w:rFonts w:hint="default" w:ascii="Times New Roman" w:hAnsi="Times New Roman" w:cs="Times New Roman"/>
                      <w:bCs/>
                      <w:snapToGrid w:val="0"/>
                      <w:color w:val="000000"/>
                      <w:szCs w:val="21"/>
                      <w:bdr w:val="none" w:color="auto" w:sz="0" w:space="0"/>
                      <w:lang w:val="en-US"/>
                    </w:rPr>
                  </w:pPr>
                  <w:r>
                    <w:rPr>
                      <w:rFonts w:hint="eastAsia" w:ascii="Times New Roman" w:hAnsi="Calibri" w:eastAsia="宋体" w:cs="宋体"/>
                      <w:bCs/>
                      <w:snapToGrid w:val="0"/>
                      <w:color w:val="000000"/>
                      <w:kern w:val="2"/>
                      <w:sz w:val="21"/>
                      <w:szCs w:val="21"/>
                      <w:bdr w:val="none" w:color="auto" w:sz="0" w:space="0"/>
                      <w:lang w:val="en-US" w:eastAsia="zh-CN" w:bidi="ar"/>
                    </w:rPr>
                    <w:t>扩建项目不在水产种质资源保护区的岸线和河段范围内新建排污口；不涉及围湖造田、围海造地或围填海；不在国家湿地公园的岸线和河段范围内。</w:t>
                  </w:r>
                </w:p>
              </w:tc>
              <w:tc>
                <w:tcPr>
                  <w:tcW w:w="423" w:type="pct"/>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4685E015">
                  <w:pPr>
                    <w:pStyle w:val="98"/>
                    <w:widowControl/>
                    <w:spacing w:line="300" w:lineRule="exact"/>
                    <w:rPr>
                      <w:color w:val="000000"/>
                      <w:kern w:val="2"/>
                      <w:bdr w:val="none" w:color="auto" w:sz="0" w:space="0"/>
                      <w:lang w:val="en-US"/>
                    </w:rPr>
                  </w:pPr>
                  <w:r>
                    <w:rPr>
                      <w:rFonts w:hint="eastAsia" w:ascii="Times New Roman" w:hAnsi="Times New Roman" w:eastAsia="宋体" w:cs="宋体"/>
                      <w:color w:val="000000"/>
                      <w:kern w:val="2"/>
                      <w:bdr w:val="none" w:color="auto" w:sz="0" w:space="0"/>
                    </w:rPr>
                    <w:t>符合</w:t>
                  </w:r>
                </w:p>
              </w:tc>
            </w:tr>
            <w:tr w14:paraId="58CF602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7F6804A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bCs/>
                      <w:snapToGrid w:val="0"/>
                      <w:color w:val="000000"/>
                      <w:szCs w:val="21"/>
                      <w:bdr w:val="none" w:color="auto" w:sz="0" w:space="0"/>
                      <w:lang w:val="en-US"/>
                    </w:rPr>
                  </w:pPr>
                  <w:r>
                    <w:rPr>
                      <w:rFonts w:hint="default" w:ascii="Times New Roman" w:hAnsi="Times New Roman" w:eastAsia="宋体" w:cs="Times New Roman"/>
                      <w:bCs/>
                      <w:snapToGrid w:val="0"/>
                      <w:color w:val="000000"/>
                      <w:kern w:val="2"/>
                      <w:sz w:val="21"/>
                      <w:szCs w:val="21"/>
                      <w:bdr w:val="none" w:color="auto" w:sz="0" w:space="0"/>
                      <w:lang w:val="en-US" w:eastAsia="zh-CN" w:bidi="ar"/>
                    </w:rPr>
                    <w:t>5</w:t>
                  </w:r>
                </w:p>
              </w:tc>
              <w:tc>
                <w:tcPr>
                  <w:tcW w:w="2720" w:type="pct"/>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31CD336E">
                  <w:pPr>
                    <w:keepNext w:val="0"/>
                    <w:keepLines w:val="0"/>
                    <w:widowControl/>
                    <w:suppressLineNumbers w:val="0"/>
                    <w:spacing w:before="0" w:beforeAutospacing="0" w:after="0" w:afterAutospacing="0" w:line="300" w:lineRule="exact"/>
                    <w:ind w:left="0" w:right="0"/>
                    <w:jc w:val="both"/>
                    <w:rPr>
                      <w:rFonts w:hint="default" w:ascii="Times New Roman" w:hAnsi="Times New Roman" w:cs="Times New Roman"/>
                      <w:bCs/>
                      <w:snapToGrid w:val="0"/>
                      <w:color w:val="000000"/>
                      <w:szCs w:val="21"/>
                      <w:bdr w:val="none" w:color="auto" w:sz="0" w:space="0"/>
                      <w:lang w:val="en-US"/>
                    </w:rPr>
                  </w:pPr>
                  <w:r>
                    <w:rPr>
                      <w:rFonts w:hint="eastAsia" w:ascii="Times New Roman" w:hAnsi="Calibri" w:eastAsia="宋体" w:cs="宋体"/>
                      <w:bCs/>
                      <w:snapToGrid w:val="0"/>
                      <w:color w:val="000000"/>
                      <w:kern w:val="2"/>
                      <w:sz w:val="21"/>
                      <w:szCs w:val="21"/>
                      <w:bdr w:val="none" w:color="auto" w:sz="0" w:space="0"/>
                      <w:lang w:val="en-US" w:eastAsia="zh-CN" w:bidi="ar"/>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1528" w:type="pct"/>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7BB4AB02">
                  <w:pPr>
                    <w:keepNext w:val="0"/>
                    <w:keepLines w:val="0"/>
                    <w:widowControl/>
                    <w:suppressLineNumbers w:val="0"/>
                    <w:spacing w:before="0" w:beforeAutospacing="0" w:after="0" w:afterAutospacing="0" w:line="300" w:lineRule="exact"/>
                    <w:ind w:left="0" w:right="0"/>
                    <w:jc w:val="both"/>
                    <w:rPr>
                      <w:rFonts w:hint="default" w:ascii="Times New Roman" w:hAnsi="Times New Roman" w:cs="Times New Roman"/>
                      <w:bCs/>
                      <w:snapToGrid w:val="0"/>
                      <w:color w:val="000000"/>
                      <w:szCs w:val="21"/>
                      <w:bdr w:val="none" w:color="auto" w:sz="0" w:space="0"/>
                      <w:lang w:val="en-US"/>
                    </w:rPr>
                  </w:pPr>
                  <w:r>
                    <w:rPr>
                      <w:rFonts w:hint="eastAsia" w:ascii="Times New Roman" w:hAnsi="Calibri" w:eastAsia="宋体" w:cs="宋体"/>
                      <w:bCs/>
                      <w:snapToGrid w:val="0"/>
                      <w:color w:val="000000"/>
                      <w:kern w:val="2"/>
                      <w:sz w:val="21"/>
                      <w:szCs w:val="21"/>
                      <w:bdr w:val="none" w:color="auto" w:sz="0" w:space="0"/>
                      <w:lang w:val="en-US" w:eastAsia="zh-CN" w:bidi="ar"/>
                    </w:rPr>
                    <w:t>扩建项目不在《长江岸线保护和开发利用总体规划》划定的岸线保护区内。</w:t>
                  </w:r>
                </w:p>
              </w:tc>
              <w:tc>
                <w:tcPr>
                  <w:tcW w:w="423" w:type="pct"/>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2191FF3B">
                  <w:pPr>
                    <w:pStyle w:val="98"/>
                    <w:widowControl/>
                    <w:spacing w:line="300" w:lineRule="exact"/>
                    <w:rPr>
                      <w:color w:val="000000"/>
                      <w:kern w:val="2"/>
                      <w:bdr w:val="none" w:color="auto" w:sz="0" w:space="0"/>
                      <w:lang w:val="en-US"/>
                    </w:rPr>
                  </w:pPr>
                  <w:r>
                    <w:rPr>
                      <w:rFonts w:hint="eastAsia" w:ascii="Times New Roman" w:hAnsi="Times New Roman" w:eastAsia="宋体" w:cs="宋体"/>
                      <w:color w:val="000000"/>
                      <w:kern w:val="2"/>
                      <w:bdr w:val="none" w:color="auto" w:sz="0" w:space="0"/>
                    </w:rPr>
                    <w:t>符合</w:t>
                  </w:r>
                </w:p>
              </w:tc>
            </w:tr>
            <w:tr w14:paraId="6249A35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0C98456D">
                  <w:pPr>
                    <w:pStyle w:val="98"/>
                    <w:widowControl/>
                    <w:spacing w:line="300" w:lineRule="exact"/>
                    <w:rPr>
                      <w:color w:val="000000"/>
                      <w:kern w:val="2"/>
                      <w:bdr w:val="none" w:color="auto" w:sz="0" w:space="0"/>
                      <w:lang w:val="en-US"/>
                    </w:rPr>
                  </w:pPr>
                  <w:r>
                    <w:rPr>
                      <w:color w:val="000000"/>
                      <w:kern w:val="2"/>
                      <w:bdr w:val="none" w:color="auto" w:sz="0" w:space="0"/>
                      <w:lang w:val="en-US"/>
                    </w:rPr>
                    <w:t>6</w:t>
                  </w:r>
                </w:p>
              </w:tc>
              <w:tc>
                <w:tcPr>
                  <w:tcW w:w="2720" w:type="pct"/>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45D2DB21">
                  <w:pPr>
                    <w:keepNext w:val="0"/>
                    <w:keepLines w:val="0"/>
                    <w:widowControl/>
                    <w:suppressLineNumbers w:val="0"/>
                    <w:spacing w:before="0" w:beforeAutospacing="0" w:after="0" w:afterAutospacing="0" w:line="300" w:lineRule="exact"/>
                    <w:ind w:left="0" w:right="0"/>
                    <w:jc w:val="both"/>
                    <w:rPr>
                      <w:rFonts w:hint="default" w:ascii="Times New Roman" w:hAnsi="Times New Roman" w:cs="Times New Roman"/>
                      <w:bCs/>
                      <w:snapToGrid w:val="0"/>
                      <w:color w:val="000000"/>
                      <w:szCs w:val="21"/>
                      <w:bdr w:val="none" w:color="auto" w:sz="0" w:space="0"/>
                      <w:lang w:val="en-US"/>
                    </w:rPr>
                  </w:pPr>
                  <w:r>
                    <w:rPr>
                      <w:rFonts w:hint="eastAsia" w:ascii="Times New Roman" w:hAnsi="Calibri" w:eastAsia="宋体" w:cs="宋体"/>
                      <w:bCs/>
                      <w:snapToGrid w:val="0"/>
                      <w:color w:val="000000"/>
                      <w:kern w:val="2"/>
                      <w:sz w:val="21"/>
                      <w:szCs w:val="21"/>
                      <w:bdr w:val="none" w:color="auto" w:sz="0" w:space="0"/>
                      <w:lang w:val="en-US" w:eastAsia="zh-CN" w:bidi="ar"/>
                    </w:rPr>
                    <w:t>禁止未经许可在长江干支流及湖泊新设、改设或扩大排污口。</w:t>
                  </w:r>
                </w:p>
              </w:tc>
              <w:tc>
                <w:tcPr>
                  <w:tcW w:w="1528" w:type="pct"/>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0A3E6F8C">
                  <w:pPr>
                    <w:keepNext w:val="0"/>
                    <w:keepLines w:val="0"/>
                    <w:widowControl/>
                    <w:suppressLineNumbers w:val="0"/>
                    <w:spacing w:before="0" w:beforeAutospacing="0" w:after="0" w:afterAutospacing="0" w:line="300" w:lineRule="exact"/>
                    <w:ind w:left="0" w:right="0"/>
                    <w:jc w:val="both"/>
                    <w:rPr>
                      <w:rFonts w:hint="default" w:ascii="Times New Roman" w:hAnsi="Times New Roman" w:cs="Times New Roman"/>
                      <w:bCs/>
                      <w:snapToGrid w:val="0"/>
                      <w:color w:val="000000"/>
                      <w:szCs w:val="21"/>
                      <w:bdr w:val="none" w:color="auto" w:sz="0" w:space="0"/>
                      <w:lang w:val="en-US"/>
                    </w:rPr>
                  </w:pPr>
                  <w:r>
                    <w:rPr>
                      <w:rFonts w:hint="eastAsia" w:ascii="Times New Roman" w:hAnsi="Calibri" w:eastAsia="宋体" w:cs="宋体"/>
                      <w:bCs/>
                      <w:snapToGrid w:val="0"/>
                      <w:color w:val="000000"/>
                      <w:kern w:val="2"/>
                      <w:sz w:val="21"/>
                      <w:szCs w:val="21"/>
                      <w:bdr w:val="none" w:color="auto" w:sz="0" w:space="0"/>
                      <w:lang w:val="en-US" w:eastAsia="zh-CN" w:bidi="ar"/>
                    </w:rPr>
                    <w:t>扩建项目不涉及长江干支流及湖泊新设、改设或扩大排污口。</w:t>
                  </w:r>
                </w:p>
              </w:tc>
              <w:tc>
                <w:tcPr>
                  <w:tcW w:w="423" w:type="pct"/>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6A9BB3B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bCs/>
                      <w:snapToGrid w:val="0"/>
                      <w:color w:val="000000"/>
                      <w:szCs w:val="21"/>
                      <w:bdr w:val="none" w:color="auto" w:sz="0" w:space="0"/>
                      <w:lang w:val="en-US"/>
                    </w:rPr>
                  </w:pPr>
                  <w:r>
                    <w:rPr>
                      <w:rFonts w:hint="eastAsia" w:ascii="Times New Roman" w:hAnsi="Calibri" w:eastAsia="宋体" w:cs="宋体"/>
                      <w:bCs/>
                      <w:snapToGrid w:val="0"/>
                      <w:color w:val="000000"/>
                      <w:kern w:val="2"/>
                      <w:sz w:val="21"/>
                      <w:szCs w:val="21"/>
                      <w:bdr w:val="none" w:color="auto" w:sz="0" w:space="0"/>
                      <w:lang w:val="en-US" w:eastAsia="zh-CN" w:bidi="ar"/>
                    </w:rPr>
                    <w:t>符合</w:t>
                  </w:r>
                </w:p>
              </w:tc>
            </w:tr>
            <w:tr w14:paraId="1F1F5F8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6478633C">
                  <w:pPr>
                    <w:pStyle w:val="98"/>
                    <w:widowControl/>
                    <w:spacing w:line="300" w:lineRule="exact"/>
                    <w:rPr>
                      <w:color w:val="000000"/>
                      <w:kern w:val="2"/>
                      <w:bdr w:val="none" w:color="auto" w:sz="0" w:space="0"/>
                      <w:lang w:val="en-US"/>
                    </w:rPr>
                  </w:pPr>
                  <w:r>
                    <w:rPr>
                      <w:color w:val="000000"/>
                      <w:kern w:val="2"/>
                      <w:bdr w:val="none" w:color="auto" w:sz="0" w:space="0"/>
                      <w:lang w:val="en-US"/>
                    </w:rPr>
                    <w:t>7</w:t>
                  </w:r>
                </w:p>
              </w:tc>
              <w:tc>
                <w:tcPr>
                  <w:tcW w:w="2720" w:type="pct"/>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6632DDFE">
                  <w:pPr>
                    <w:keepNext w:val="0"/>
                    <w:keepLines w:val="0"/>
                    <w:widowControl/>
                    <w:suppressLineNumbers w:val="0"/>
                    <w:spacing w:before="0" w:beforeAutospacing="0" w:after="0" w:afterAutospacing="0" w:line="300" w:lineRule="exact"/>
                    <w:ind w:left="0" w:right="0"/>
                    <w:jc w:val="both"/>
                    <w:rPr>
                      <w:rFonts w:hint="default" w:ascii="Times New Roman" w:hAnsi="Times New Roman" w:cs="Times New Roman"/>
                      <w:bCs/>
                      <w:snapToGrid w:val="0"/>
                      <w:color w:val="000000"/>
                      <w:szCs w:val="21"/>
                      <w:bdr w:val="none" w:color="auto" w:sz="0" w:space="0"/>
                      <w:lang w:val="en-US"/>
                    </w:rPr>
                  </w:pPr>
                  <w:r>
                    <w:rPr>
                      <w:rFonts w:hint="eastAsia" w:ascii="Times New Roman" w:hAnsi="Calibri" w:eastAsia="宋体" w:cs="宋体"/>
                      <w:bCs/>
                      <w:snapToGrid w:val="0"/>
                      <w:color w:val="000000"/>
                      <w:kern w:val="2"/>
                      <w:sz w:val="21"/>
                      <w:szCs w:val="21"/>
                      <w:bdr w:val="none" w:color="auto" w:sz="0" w:space="0"/>
                      <w:lang w:val="en-US" w:eastAsia="zh-CN" w:bidi="ar"/>
                    </w:rPr>
                    <w:t>禁止在</w:t>
                  </w:r>
                  <w:r>
                    <w:rPr>
                      <w:rFonts w:hint="default" w:ascii="Times New Roman" w:hAnsi="Times New Roman" w:eastAsia="宋体" w:cs="Times New Roman"/>
                      <w:bCs/>
                      <w:snapToGrid w:val="0"/>
                      <w:color w:val="000000"/>
                      <w:kern w:val="2"/>
                      <w:sz w:val="21"/>
                      <w:szCs w:val="21"/>
                      <w:bdr w:val="none" w:color="auto" w:sz="0" w:space="0"/>
                      <w:lang w:val="en-US" w:eastAsia="zh-CN" w:bidi="ar"/>
                    </w:rPr>
                    <w:t>“</w:t>
                  </w:r>
                  <w:r>
                    <w:rPr>
                      <w:rFonts w:hint="eastAsia" w:ascii="Times New Roman" w:hAnsi="Calibri" w:eastAsia="宋体" w:cs="宋体"/>
                      <w:bCs/>
                      <w:snapToGrid w:val="0"/>
                      <w:color w:val="000000"/>
                      <w:kern w:val="2"/>
                      <w:sz w:val="21"/>
                      <w:szCs w:val="21"/>
                      <w:bdr w:val="none" w:color="auto" w:sz="0" w:space="0"/>
                      <w:lang w:val="en-US" w:eastAsia="zh-CN" w:bidi="ar"/>
                    </w:rPr>
                    <w:t>一江一口两湖七河</w:t>
                  </w:r>
                  <w:r>
                    <w:rPr>
                      <w:rFonts w:hint="default" w:ascii="Times New Roman" w:hAnsi="Times New Roman" w:eastAsia="宋体" w:cs="Times New Roman"/>
                      <w:bCs/>
                      <w:snapToGrid w:val="0"/>
                      <w:color w:val="000000"/>
                      <w:kern w:val="2"/>
                      <w:sz w:val="21"/>
                      <w:szCs w:val="21"/>
                      <w:bdr w:val="none" w:color="auto" w:sz="0" w:space="0"/>
                      <w:lang w:val="en-US" w:eastAsia="zh-CN" w:bidi="ar"/>
                    </w:rPr>
                    <w:t>”</w:t>
                  </w:r>
                  <w:r>
                    <w:rPr>
                      <w:rFonts w:hint="eastAsia" w:ascii="Times New Roman" w:hAnsi="Calibri" w:eastAsia="宋体" w:cs="宋体"/>
                      <w:bCs/>
                      <w:snapToGrid w:val="0"/>
                      <w:color w:val="000000"/>
                      <w:kern w:val="2"/>
                      <w:sz w:val="21"/>
                      <w:szCs w:val="21"/>
                      <w:bdr w:val="none" w:color="auto" w:sz="0" w:space="0"/>
                      <w:lang w:val="en-US" w:eastAsia="zh-CN" w:bidi="ar"/>
                    </w:rPr>
                    <w:t>和</w:t>
                  </w:r>
                  <w:r>
                    <w:rPr>
                      <w:rFonts w:hint="default" w:ascii="Times New Roman" w:hAnsi="Times New Roman" w:eastAsia="宋体" w:cs="Times New Roman"/>
                      <w:bCs/>
                      <w:snapToGrid w:val="0"/>
                      <w:color w:val="000000"/>
                      <w:kern w:val="2"/>
                      <w:sz w:val="21"/>
                      <w:szCs w:val="21"/>
                      <w:bdr w:val="none" w:color="auto" w:sz="0" w:space="0"/>
                      <w:lang w:val="en-US" w:eastAsia="zh-CN" w:bidi="ar"/>
                    </w:rPr>
                    <w:t>332</w:t>
                  </w:r>
                  <w:r>
                    <w:rPr>
                      <w:rFonts w:hint="eastAsia" w:ascii="Times New Roman" w:hAnsi="Calibri" w:eastAsia="宋体" w:cs="宋体"/>
                      <w:bCs/>
                      <w:snapToGrid w:val="0"/>
                      <w:color w:val="000000"/>
                      <w:kern w:val="2"/>
                      <w:sz w:val="21"/>
                      <w:szCs w:val="21"/>
                      <w:bdr w:val="none" w:color="auto" w:sz="0" w:space="0"/>
                      <w:lang w:val="en-US" w:eastAsia="zh-CN" w:bidi="ar"/>
                    </w:rPr>
                    <w:t>个水生生物保护区开展生产性捕捞。</w:t>
                  </w:r>
                </w:p>
              </w:tc>
              <w:tc>
                <w:tcPr>
                  <w:tcW w:w="1528" w:type="pct"/>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05D1018D">
                  <w:pPr>
                    <w:keepNext w:val="0"/>
                    <w:keepLines w:val="0"/>
                    <w:widowControl/>
                    <w:suppressLineNumbers w:val="0"/>
                    <w:spacing w:before="0" w:beforeAutospacing="0" w:after="0" w:afterAutospacing="0" w:line="300" w:lineRule="exact"/>
                    <w:ind w:left="0" w:right="0"/>
                    <w:jc w:val="both"/>
                    <w:rPr>
                      <w:rFonts w:hint="default" w:ascii="Times New Roman" w:hAnsi="Times New Roman" w:cs="Times New Roman"/>
                      <w:bCs/>
                      <w:snapToGrid w:val="0"/>
                      <w:color w:val="000000"/>
                      <w:szCs w:val="21"/>
                      <w:bdr w:val="none" w:color="auto" w:sz="0" w:space="0"/>
                      <w:lang w:val="en-US"/>
                    </w:rPr>
                  </w:pPr>
                  <w:r>
                    <w:rPr>
                      <w:rFonts w:hint="eastAsia" w:ascii="Times New Roman" w:hAnsi="Times New Roman" w:eastAsia="宋体" w:cs="宋体"/>
                      <w:bCs/>
                      <w:snapToGrid w:val="0"/>
                      <w:color w:val="000000"/>
                      <w:kern w:val="2"/>
                      <w:sz w:val="21"/>
                      <w:szCs w:val="21"/>
                      <w:bdr w:val="none" w:color="auto" w:sz="0" w:space="0"/>
                      <w:lang w:val="en-US" w:eastAsia="zh-CN" w:bidi="ar"/>
                    </w:rPr>
                    <w:t>扩建项目不属于开展生产性捕捞。</w:t>
                  </w:r>
                </w:p>
              </w:tc>
              <w:tc>
                <w:tcPr>
                  <w:tcW w:w="423" w:type="pct"/>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00208EBC">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bCs/>
                      <w:snapToGrid w:val="0"/>
                      <w:color w:val="000000"/>
                      <w:szCs w:val="21"/>
                      <w:bdr w:val="none" w:color="auto" w:sz="0" w:space="0"/>
                      <w:lang w:val="en-US"/>
                    </w:rPr>
                  </w:pPr>
                  <w:r>
                    <w:rPr>
                      <w:rFonts w:hint="eastAsia" w:ascii="Times New Roman" w:hAnsi="Calibri" w:eastAsia="宋体" w:cs="宋体"/>
                      <w:bCs/>
                      <w:snapToGrid w:val="0"/>
                      <w:color w:val="000000"/>
                      <w:kern w:val="2"/>
                      <w:sz w:val="21"/>
                      <w:szCs w:val="21"/>
                      <w:bdr w:val="none" w:color="auto" w:sz="0" w:space="0"/>
                      <w:lang w:val="en-US" w:eastAsia="zh-CN" w:bidi="ar"/>
                    </w:rPr>
                    <w:t>符合</w:t>
                  </w:r>
                </w:p>
              </w:tc>
            </w:tr>
            <w:tr w14:paraId="5EFE887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282AD4A8">
                  <w:pPr>
                    <w:keepNext w:val="0"/>
                    <w:keepLines w:val="0"/>
                    <w:widowControl w:val="0"/>
                    <w:suppressLineNumbers w:val="0"/>
                    <w:autoSpaceDE w:val="0"/>
                    <w:autoSpaceDN w:val="0"/>
                    <w:adjustRightInd w:val="0"/>
                    <w:snapToGrid w:val="0"/>
                    <w:spacing w:before="0" w:beforeAutospacing="0" w:after="0" w:afterAutospacing="0" w:line="300" w:lineRule="atLeas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8</w:t>
                  </w:r>
                </w:p>
              </w:tc>
              <w:tc>
                <w:tcPr>
                  <w:tcW w:w="2720" w:type="pct"/>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30640799">
                  <w:pPr>
                    <w:keepNext w:val="0"/>
                    <w:keepLines w:val="0"/>
                    <w:widowControl w:val="0"/>
                    <w:suppressLineNumbers w:val="0"/>
                    <w:snapToGrid w:val="0"/>
                    <w:spacing w:before="0" w:beforeAutospacing="0" w:after="0" w:afterAutospacing="0" w:line="300" w:lineRule="atLeast"/>
                    <w:ind w:left="0" w:right="0"/>
                    <w:jc w:val="both"/>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bCs/>
                      <w:snapToGrid w:val="0"/>
                      <w:color w:val="000000"/>
                      <w:kern w:val="2"/>
                      <w:sz w:val="21"/>
                      <w:szCs w:val="21"/>
                      <w:bdr w:val="none" w:color="auto" w:sz="0" w:space="0"/>
                      <w:lang w:val="en-US" w:eastAsia="zh-CN" w:bidi="ar"/>
                    </w:rPr>
                    <w:t>禁止在长江干支流</w:t>
                  </w:r>
                  <w:r>
                    <w:rPr>
                      <w:rFonts w:hint="default" w:ascii="Times New Roman" w:hAnsi="Times New Roman" w:eastAsia="宋体" w:cs="Times New Roman"/>
                      <w:bCs/>
                      <w:snapToGrid w:val="0"/>
                      <w:color w:val="000000"/>
                      <w:kern w:val="2"/>
                      <w:sz w:val="21"/>
                      <w:szCs w:val="21"/>
                      <w:bdr w:val="none" w:color="auto" w:sz="0" w:space="0"/>
                      <w:lang w:val="en-US" w:eastAsia="zh-CN" w:bidi="ar"/>
                    </w:rPr>
                    <w:t>1</w:t>
                  </w:r>
                  <w:r>
                    <w:rPr>
                      <w:rFonts w:hint="eastAsia" w:ascii="Times New Roman" w:hAnsi="Calibri" w:eastAsia="宋体" w:cs="宋体"/>
                      <w:bCs/>
                      <w:snapToGrid w:val="0"/>
                      <w:color w:val="000000"/>
                      <w:kern w:val="2"/>
                      <w:sz w:val="21"/>
                      <w:szCs w:val="21"/>
                      <w:bdr w:val="none" w:color="auto" w:sz="0" w:space="0"/>
                      <w:lang w:val="en-US" w:eastAsia="zh-CN" w:bidi="ar"/>
                    </w:rPr>
                    <w:t>公里范围内新建、扩建化工园区和化工项目。禁止在合规园区外新建、扩建钢铁、石化、化工、焦化、建材、有色等高污染项目。</w:t>
                  </w:r>
                </w:p>
              </w:tc>
              <w:tc>
                <w:tcPr>
                  <w:tcW w:w="1528" w:type="pct"/>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5F066042">
                  <w:pPr>
                    <w:keepNext w:val="0"/>
                    <w:keepLines w:val="0"/>
                    <w:widowControl w:val="0"/>
                    <w:suppressLineNumbers w:val="0"/>
                    <w:snapToGrid w:val="0"/>
                    <w:spacing w:before="0" w:beforeAutospacing="0" w:after="0" w:afterAutospacing="0" w:line="300" w:lineRule="atLeast"/>
                    <w:ind w:left="0" w:right="0"/>
                    <w:jc w:val="both"/>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bCs/>
                      <w:snapToGrid w:val="0"/>
                      <w:color w:val="000000"/>
                      <w:kern w:val="2"/>
                      <w:sz w:val="21"/>
                      <w:szCs w:val="21"/>
                      <w:bdr w:val="none" w:color="auto" w:sz="0" w:space="0"/>
                      <w:lang w:val="en-US" w:eastAsia="zh-CN" w:bidi="ar"/>
                    </w:rPr>
                    <w:t>扩建项目不在长江干支流</w:t>
                  </w:r>
                  <w:r>
                    <w:rPr>
                      <w:rFonts w:hint="default" w:ascii="Times New Roman" w:hAnsi="Times New Roman" w:eastAsia="宋体" w:cs="Times New Roman"/>
                      <w:bCs/>
                      <w:snapToGrid w:val="0"/>
                      <w:color w:val="000000"/>
                      <w:kern w:val="2"/>
                      <w:sz w:val="21"/>
                      <w:szCs w:val="21"/>
                      <w:bdr w:val="none" w:color="auto" w:sz="0" w:space="0"/>
                      <w:lang w:val="en-US" w:eastAsia="zh-CN" w:bidi="ar"/>
                    </w:rPr>
                    <w:t>1</w:t>
                  </w:r>
                  <w:r>
                    <w:rPr>
                      <w:rFonts w:hint="eastAsia" w:ascii="Times New Roman" w:hAnsi="Times New Roman" w:eastAsia="宋体" w:cs="宋体"/>
                      <w:bCs/>
                      <w:snapToGrid w:val="0"/>
                      <w:color w:val="000000"/>
                      <w:kern w:val="2"/>
                      <w:sz w:val="21"/>
                      <w:szCs w:val="21"/>
                      <w:bdr w:val="none" w:color="auto" w:sz="0" w:space="0"/>
                      <w:lang w:val="en-US" w:eastAsia="zh-CN" w:bidi="ar"/>
                    </w:rPr>
                    <w:t>公里范围；扩建项目不属于钢铁、石化、化工、焦化、建材、有色等高污染项目。</w:t>
                  </w:r>
                </w:p>
              </w:tc>
              <w:tc>
                <w:tcPr>
                  <w:tcW w:w="423" w:type="pct"/>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145C6C77">
                  <w:pPr>
                    <w:pStyle w:val="98"/>
                    <w:widowControl/>
                    <w:spacing w:line="300" w:lineRule="atLeast"/>
                    <w:rPr>
                      <w:color w:val="000000"/>
                      <w:kern w:val="2"/>
                      <w:bdr w:val="none" w:color="auto" w:sz="0" w:space="0"/>
                      <w:lang w:val="en-US"/>
                    </w:rPr>
                  </w:pPr>
                  <w:r>
                    <w:rPr>
                      <w:rFonts w:hint="eastAsia" w:ascii="Times New Roman" w:hAnsi="Times New Roman" w:eastAsia="宋体" w:cs="宋体"/>
                      <w:color w:val="000000"/>
                      <w:kern w:val="2"/>
                      <w:bdr w:val="none" w:color="auto" w:sz="0" w:space="0"/>
                    </w:rPr>
                    <w:t>符合</w:t>
                  </w:r>
                </w:p>
              </w:tc>
            </w:tr>
            <w:tr w14:paraId="7F57910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277914EE">
                  <w:pPr>
                    <w:keepNext w:val="0"/>
                    <w:keepLines w:val="0"/>
                    <w:widowControl w:val="0"/>
                    <w:suppressLineNumbers w:val="0"/>
                    <w:autoSpaceDE w:val="0"/>
                    <w:autoSpaceDN w:val="0"/>
                    <w:adjustRightInd w:val="0"/>
                    <w:snapToGrid w:val="0"/>
                    <w:spacing w:before="0" w:beforeAutospacing="0" w:after="0" w:afterAutospacing="0" w:line="300" w:lineRule="atLeas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9</w:t>
                  </w:r>
                </w:p>
              </w:tc>
              <w:tc>
                <w:tcPr>
                  <w:tcW w:w="2720" w:type="pct"/>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3278909E">
                  <w:pPr>
                    <w:keepNext w:val="0"/>
                    <w:keepLines w:val="0"/>
                    <w:widowControl w:val="0"/>
                    <w:suppressLineNumbers w:val="0"/>
                    <w:snapToGrid w:val="0"/>
                    <w:spacing w:before="0" w:beforeAutospacing="0" w:after="0" w:afterAutospacing="0" w:line="300" w:lineRule="atLeast"/>
                    <w:ind w:left="0" w:right="0"/>
                    <w:jc w:val="both"/>
                    <w:rPr>
                      <w:rFonts w:hint="default" w:ascii="Times New Roman" w:hAnsi="Calibri" w:cs="Times New Roman"/>
                      <w:bCs/>
                      <w:snapToGrid w:val="0"/>
                      <w:color w:val="000000"/>
                      <w:szCs w:val="21"/>
                      <w:bdr w:val="none" w:color="auto" w:sz="0" w:space="0"/>
                      <w:lang w:val="en-US"/>
                    </w:rPr>
                  </w:pPr>
                  <w:r>
                    <w:rPr>
                      <w:rFonts w:hint="eastAsia" w:ascii="Times New Roman" w:hAnsi="Calibri" w:eastAsia="宋体" w:cs="宋体"/>
                      <w:bCs/>
                      <w:snapToGrid w:val="0"/>
                      <w:color w:val="000000"/>
                      <w:kern w:val="2"/>
                      <w:sz w:val="21"/>
                      <w:szCs w:val="21"/>
                      <w:bdr w:val="none" w:color="auto" w:sz="0" w:space="0"/>
                      <w:lang w:val="en-US" w:eastAsia="zh-CN" w:bidi="ar"/>
                    </w:rPr>
                    <w:t>禁止在合规园区外新建、扩建钢铁、石化、化工、焦化、建材、有色、制浆造纸等高污染项目。</w:t>
                  </w:r>
                </w:p>
              </w:tc>
              <w:tc>
                <w:tcPr>
                  <w:tcW w:w="1528" w:type="pct"/>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68A0089D">
                  <w:pPr>
                    <w:keepNext w:val="0"/>
                    <w:keepLines w:val="0"/>
                    <w:widowControl w:val="0"/>
                    <w:suppressLineNumbers w:val="0"/>
                    <w:snapToGrid w:val="0"/>
                    <w:spacing w:before="0" w:beforeAutospacing="0" w:after="0" w:afterAutospacing="0" w:line="300" w:lineRule="atLeast"/>
                    <w:ind w:left="0" w:right="0"/>
                    <w:jc w:val="both"/>
                    <w:rPr>
                      <w:rFonts w:hint="default" w:ascii="Times New Roman" w:hAnsi="Times New Roman" w:cs="Times New Roman"/>
                      <w:bCs/>
                      <w:snapToGrid w:val="0"/>
                      <w:color w:val="000000"/>
                      <w:szCs w:val="21"/>
                      <w:bdr w:val="none" w:color="auto" w:sz="0" w:space="0"/>
                      <w:lang w:val="en-US"/>
                    </w:rPr>
                  </w:pPr>
                  <w:r>
                    <w:rPr>
                      <w:rFonts w:hint="eastAsia" w:ascii="Calibri" w:hAnsi="Calibri" w:eastAsia="宋体" w:cs="宋体"/>
                      <w:color w:val="000000"/>
                      <w:kern w:val="2"/>
                      <w:sz w:val="21"/>
                      <w:szCs w:val="24"/>
                      <w:bdr w:val="none" w:color="auto" w:sz="0" w:space="0"/>
                      <w:lang w:val="en-US" w:eastAsia="zh-CN" w:bidi="ar"/>
                    </w:rPr>
                    <w:t>扩建项目不属于高污染项目</w:t>
                  </w:r>
                </w:p>
              </w:tc>
              <w:tc>
                <w:tcPr>
                  <w:tcW w:w="423" w:type="pct"/>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689659B7">
                  <w:pPr>
                    <w:pStyle w:val="98"/>
                    <w:widowControl/>
                    <w:spacing w:line="300" w:lineRule="atLeast"/>
                    <w:rPr>
                      <w:color w:val="000000"/>
                      <w:kern w:val="2"/>
                      <w:bdr w:val="none" w:color="auto" w:sz="0" w:space="0"/>
                      <w:lang w:val="en-US"/>
                    </w:rPr>
                  </w:pPr>
                  <w:r>
                    <w:rPr>
                      <w:rFonts w:hint="eastAsia" w:ascii="Times New Roman" w:hAnsi="Times New Roman" w:eastAsia="宋体" w:cs="宋体"/>
                      <w:color w:val="000000"/>
                      <w:kern w:val="2"/>
                      <w:bdr w:val="none" w:color="auto" w:sz="0" w:space="0"/>
                    </w:rPr>
                    <w:t>符合</w:t>
                  </w:r>
                </w:p>
              </w:tc>
            </w:tr>
            <w:tr w14:paraId="3E6FB87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tcBorders>
                    <w:top w:val="single" w:color="auto" w:sz="4" w:space="0"/>
                    <w:left w:val="nil"/>
                    <w:bottom w:val="single" w:color="auto" w:sz="4" w:space="0"/>
                    <w:right w:val="single" w:color="auto" w:sz="4" w:space="0"/>
                  </w:tcBorders>
                  <w:shd w:val="clear"/>
                  <w:noWrap/>
                  <w:tcMar>
                    <w:top w:w="28" w:type="dxa"/>
                    <w:left w:w="28" w:type="dxa"/>
                    <w:bottom w:w="28" w:type="dxa"/>
                    <w:right w:w="28" w:type="dxa"/>
                  </w:tcMar>
                  <w:vAlign w:val="center"/>
                </w:tcPr>
                <w:p w14:paraId="358A2A77">
                  <w:pPr>
                    <w:keepNext w:val="0"/>
                    <w:keepLines w:val="0"/>
                    <w:widowControl w:val="0"/>
                    <w:suppressLineNumbers w:val="0"/>
                    <w:autoSpaceDE w:val="0"/>
                    <w:autoSpaceDN w:val="0"/>
                    <w:adjustRightInd w:val="0"/>
                    <w:snapToGrid w:val="0"/>
                    <w:spacing w:before="0" w:beforeAutospacing="0" w:after="0" w:afterAutospacing="0" w:line="300" w:lineRule="atLeas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10</w:t>
                  </w:r>
                </w:p>
              </w:tc>
              <w:tc>
                <w:tcPr>
                  <w:tcW w:w="2720" w:type="pct"/>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5D7B3827">
                  <w:pPr>
                    <w:keepNext w:val="0"/>
                    <w:keepLines w:val="0"/>
                    <w:widowControl w:val="0"/>
                    <w:suppressLineNumbers w:val="0"/>
                    <w:snapToGrid w:val="0"/>
                    <w:spacing w:before="0" w:beforeAutospacing="0" w:after="0" w:afterAutospacing="0" w:line="300" w:lineRule="atLeast"/>
                    <w:ind w:left="0" w:right="0"/>
                    <w:jc w:val="both"/>
                    <w:rPr>
                      <w:rFonts w:hint="default" w:ascii="Times New Roman" w:hAnsi="Calibri" w:cs="Times New Roman"/>
                      <w:bCs/>
                      <w:snapToGrid w:val="0"/>
                      <w:color w:val="000000"/>
                      <w:szCs w:val="21"/>
                      <w:bdr w:val="none" w:color="auto" w:sz="0" w:space="0"/>
                      <w:lang w:val="en-US"/>
                    </w:rPr>
                  </w:pPr>
                  <w:r>
                    <w:rPr>
                      <w:rFonts w:hint="eastAsia" w:ascii="Times New Roman" w:hAnsi="Calibri" w:eastAsia="宋体" w:cs="宋体"/>
                      <w:bCs/>
                      <w:snapToGrid w:val="0"/>
                      <w:color w:val="000000"/>
                      <w:kern w:val="2"/>
                      <w:sz w:val="21"/>
                      <w:szCs w:val="21"/>
                      <w:bdr w:val="none" w:color="auto" w:sz="0" w:space="0"/>
                      <w:lang w:val="en-US" w:eastAsia="zh-CN" w:bidi="ar"/>
                    </w:rPr>
                    <w:t>禁止新建、扩建不符合国家石化、现代煤化工等产业布局规划的项目。</w:t>
                  </w:r>
                </w:p>
              </w:tc>
              <w:tc>
                <w:tcPr>
                  <w:tcW w:w="1528" w:type="pct"/>
                  <w:tcBorders>
                    <w:top w:val="single" w:color="auto" w:sz="4" w:space="0"/>
                    <w:left w:val="single" w:color="auto" w:sz="4" w:space="0"/>
                    <w:bottom w:val="single" w:color="auto" w:sz="4" w:space="0"/>
                    <w:right w:val="single" w:color="auto" w:sz="4" w:space="0"/>
                  </w:tcBorders>
                  <w:shd w:val="clear"/>
                  <w:noWrap/>
                  <w:tcMar>
                    <w:top w:w="28" w:type="dxa"/>
                    <w:left w:w="28" w:type="dxa"/>
                    <w:bottom w:w="28" w:type="dxa"/>
                    <w:right w:w="28" w:type="dxa"/>
                  </w:tcMar>
                  <w:vAlign w:val="center"/>
                </w:tcPr>
                <w:p w14:paraId="154EF48F">
                  <w:pPr>
                    <w:keepNext w:val="0"/>
                    <w:keepLines w:val="0"/>
                    <w:widowControl w:val="0"/>
                    <w:suppressLineNumbers w:val="0"/>
                    <w:snapToGrid w:val="0"/>
                    <w:spacing w:before="0" w:beforeAutospacing="0" w:after="0" w:afterAutospacing="0" w:line="300" w:lineRule="atLeast"/>
                    <w:ind w:left="0" w:right="0"/>
                    <w:jc w:val="both"/>
                    <w:rPr>
                      <w:rFonts w:hint="default" w:ascii="Times New Roman" w:hAnsi="Times New Roman" w:cs="Times New Roman"/>
                      <w:bCs/>
                      <w:snapToGrid w:val="0"/>
                      <w:color w:val="000000"/>
                      <w:szCs w:val="21"/>
                      <w:bdr w:val="none" w:color="auto" w:sz="0" w:space="0"/>
                      <w:lang w:val="en-US"/>
                    </w:rPr>
                  </w:pPr>
                  <w:r>
                    <w:rPr>
                      <w:rFonts w:hint="eastAsia" w:ascii="Calibri" w:hAnsi="Calibri" w:eastAsia="宋体" w:cs="宋体"/>
                      <w:color w:val="000000"/>
                      <w:kern w:val="2"/>
                      <w:sz w:val="21"/>
                      <w:szCs w:val="24"/>
                      <w:bdr w:val="none" w:color="auto" w:sz="0" w:space="0"/>
                      <w:lang w:val="en-US" w:eastAsia="zh-CN" w:bidi="ar"/>
                    </w:rPr>
                    <w:t>扩建项目</w:t>
                  </w:r>
                  <w:r>
                    <w:rPr>
                      <w:rFonts w:hint="eastAsia" w:ascii="Times New Roman" w:hAnsi="Times New Roman" w:eastAsia="宋体" w:cs="宋体"/>
                      <w:bCs/>
                      <w:snapToGrid w:val="0"/>
                      <w:color w:val="000000"/>
                      <w:kern w:val="2"/>
                      <w:sz w:val="21"/>
                      <w:szCs w:val="21"/>
                      <w:bdr w:val="none" w:color="auto" w:sz="0" w:space="0"/>
                      <w:lang w:val="en-US" w:eastAsia="zh-CN" w:bidi="ar"/>
                    </w:rPr>
                    <w:t>不属于石化、现代煤化工项目</w:t>
                  </w:r>
                </w:p>
              </w:tc>
              <w:tc>
                <w:tcPr>
                  <w:tcW w:w="423" w:type="pct"/>
                  <w:tcBorders>
                    <w:top w:val="single" w:color="auto" w:sz="4" w:space="0"/>
                    <w:left w:val="single" w:color="auto" w:sz="4" w:space="0"/>
                    <w:bottom w:val="single" w:color="auto" w:sz="4" w:space="0"/>
                    <w:right w:val="nil"/>
                  </w:tcBorders>
                  <w:shd w:val="clear"/>
                  <w:noWrap/>
                  <w:tcMar>
                    <w:top w:w="28" w:type="dxa"/>
                    <w:left w:w="28" w:type="dxa"/>
                    <w:bottom w:w="28" w:type="dxa"/>
                    <w:right w:w="28" w:type="dxa"/>
                  </w:tcMar>
                  <w:vAlign w:val="center"/>
                </w:tcPr>
                <w:p w14:paraId="5DE3F162">
                  <w:pPr>
                    <w:pStyle w:val="98"/>
                    <w:widowControl/>
                    <w:spacing w:line="300" w:lineRule="atLeast"/>
                    <w:rPr>
                      <w:color w:val="000000"/>
                      <w:kern w:val="2"/>
                      <w:bdr w:val="none" w:color="auto" w:sz="0" w:space="0"/>
                      <w:lang w:val="en-US"/>
                    </w:rPr>
                  </w:pPr>
                  <w:r>
                    <w:rPr>
                      <w:rFonts w:hint="eastAsia" w:ascii="Times New Roman" w:hAnsi="Times New Roman" w:eastAsia="宋体" w:cs="宋体"/>
                      <w:color w:val="000000"/>
                      <w:kern w:val="2"/>
                      <w:bdr w:val="none" w:color="auto" w:sz="0" w:space="0"/>
                    </w:rPr>
                    <w:t>符合</w:t>
                  </w:r>
                </w:p>
              </w:tc>
            </w:tr>
            <w:tr w14:paraId="7978489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tcBorders>
                    <w:top w:val="single" w:color="auto" w:sz="4" w:space="0"/>
                    <w:left w:val="nil"/>
                    <w:bottom w:val="single" w:color="auto" w:sz="12" w:space="0"/>
                    <w:right w:val="single" w:color="auto" w:sz="4" w:space="0"/>
                  </w:tcBorders>
                  <w:shd w:val="clear"/>
                  <w:noWrap/>
                  <w:tcMar>
                    <w:top w:w="28" w:type="dxa"/>
                    <w:left w:w="28" w:type="dxa"/>
                    <w:bottom w:w="28" w:type="dxa"/>
                    <w:right w:w="28" w:type="dxa"/>
                  </w:tcMar>
                  <w:vAlign w:val="center"/>
                </w:tcPr>
                <w:p w14:paraId="191FF235">
                  <w:pPr>
                    <w:keepNext w:val="0"/>
                    <w:keepLines w:val="0"/>
                    <w:widowControl w:val="0"/>
                    <w:suppressLineNumbers w:val="0"/>
                    <w:autoSpaceDE w:val="0"/>
                    <w:autoSpaceDN w:val="0"/>
                    <w:adjustRightInd w:val="0"/>
                    <w:snapToGrid w:val="0"/>
                    <w:spacing w:before="0" w:beforeAutospacing="0" w:after="0" w:afterAutospacing="0" w:line="300" w:lineRule="atLeas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11</w:t>
                  </w:r>
                </w:p>
              </w:tc>
              <w:tc>
                <w:tcPr>
                  <w:tcW w:w="2720" w:type="pct"/>
                  <w:tcBorders>
                    <w:top w:val="single" w:color="auto" w:sz="4" w:space="0"/>
                    <w:left w:val="single" w:color="auto" w:sz="4" w:space="0"/>
                    <w:bottom w:val="single" w:color="auto" w:sz="12" w:space="0"/>
                    <w:right w:val="single" w:color="auto" w:sz="4" w:space="0"/>
                  </w:tcBorders>
                  <w:shd w:val="clear"/>
                  <w:noWrap/>
                  <w:tcMar>
                    <w:top w:w="28" w:type="dxa"/>
                    <w:left w:w="28" w:type="dxa"/>
                    <w:bottom w:w="28" w:type="dxa"/>
                    <w:right w:w="28" w:type="dxa"/>
                  </w:tcMar>
                  <w:vAlign w:val="center"/>
                </w:tcPr>
                <w:p w14:paraId="3E8CEB32">
                  <w:pPr>
                    <w:keepNext w:val="0"/>
                    <w:keepLines w:val="0"/>
                    <w:widowControl w:val="0"/>
                    <w:suppressLineNumbers w:val="0"/>
                    <w:snapToGrid w:val="0"/>
                    <w:spacing w:before="0" w:beforeAutospacing="0" w:after="0" w:afterAutospacing="0" w:line="300" w:lineRule="atLeast"/>
                    <w:ind w:left="0" w:right="0"/>
                    <w:jc w:val="both"/>
                    <w:rPr>
                      <w:rFonts w:hint="default" w:ascii="Times New Roman" w:hAnsi="Calibri" w:cs="Times New Roman"/>
                      <w:bCs/>
                      <w:snapToGrid w:val="0"/>
                      <w:color w:val="000000"/>
                      <w:szCs w:val="21"/>
                      <w:bdr w:val="none" w:color="auto" w:sz="0" w:space="0"/>
                      <w:lang w:val="en-US"/>
                    </w:rPr>
                  </w:pPr>
                  <w:r>
                    <w:rPr>
                      <w:rFonts w:hint="eastAsia" w:ascii="Calibri" w:hAnsi="Calibri" w:eastAsia="宋体" w:cs="宋体"/>
                      <w:color w:val="000000"/>
                      <w:kern w:val="2"/>
                      <w:sz w:val="21"/>
                      <w:szCs w:val="24"/>
                      <w:bdr w:val="none" w:color="auto" w:sz="0" w:space="0"/>
                      <w:lang w:val="en-US" w:eastAsia="zh-CN" w:bidi="ar"/>
                    </w:rPr>
                    <w:t>禁止新建、扩建法律法规和相关政策明令禁止的落后产能项目。禁止新建、扩建不符合国家产能置换要求的严重过剩产能行业的项目。禁止新建、扩建不符合要求的高能耗高排放项目。</w:t>
                  </w:r>
                </w:p>
              </w:tc>
              <w:tc>
                <w:tcPr>
                  <w:tcW w:w="1528" w:type="pct"/>
                  <w:tcBorders>
                    <w:top w:val="single" w:color="auto" w:sz="4" w:space="0"/>
                    <w:left w:val="single" w:color="auto" w:sz="4" w:space="0"/>
                    <w:bottom w:val="single" w:color="auto" w:sz="12" w:space="0"/>
                    <w:right w:val="single" w:color="auto" w:sz="4" w:space="0"/>
                  </w:tcBorders>
                  <w:shd w:val="clear"/>
                  <w:noWrap/>
                  <w:tcMar>
                    <w:top w:w="28" w:type="dxa"/>
                    <w:left w:w="28" w:type="dxa"/>
                    <w:bottom w:w="28" w:type="dxa"/>
                    <w:right w:w="28" w:type="dxa"/>
                  </w:tcMar>
                  <w:vAlign w:val="center"/>
                </w:tcPr>
                <w:p w14:paraId="1F49A776">
                  <w:pPr>
                    <w:keepNext w:val="0"/>
                    <w:keepLines w:val="0"/>
                    <w:widowControl w:val="0"/>
                    <w:suppressLineNumbers w:val="0"/>
                    <w:snapToGrid w:val="0"/>
                    <w:spacing w:before="0" w:beforeAutospacing="0" w:after="0" w:afterAutospacing="0" w:line="300" w:lineRule="atLeast"/>
                    <w:ind w:left="0" w:right="0"/>
                    <w:jc w:val="both"/>
                    <w:rPr>
                      <w:rFonts w:hint="default" w:ascii="Times New Roman" w:hAnsi="Times New Roman" w:cs="Times New Roman"/>
                      <w:bCs/>
                      <w:snapToGrid w:val="0"/>
                      <w:color w:val="000000"/>
                      <w:szCs w:val="21"/>
                      <w:bdr w:val="none" w:color="auto" w:sz="0" w:space="0"/>
                      <w:lang w:val="en-US"/>
                    </w:rPr>
                  </w:pPr>
                  <w:r>
                    <w:rPr>
                      <w:rFonts w:hint="eastAsia" w:ascii="Calibri" w:hAnsi="Calibri" w:eastAsia="宋体" w:cs="宋体"/>
                      <w:color w:val="000000"/>
                      <w:kern w:val="2"/>
                      <w:sz w:val="21"/>
                      <w:szCs w:val="24"/>
                      <w:bdr w:val="none" w:color="auto" w:sz="0" w:space="0"/>
                      <w:lang w:val="en-US" w:eastAsia="zh-CN" w:bidi="ar"/>
                    </w:rPr>
                    <w:t>扩建项目不属于落后产能项目</w:t>
                  </w:r>
                </w:p>
              </w:tc>
              <w:tc>
                <w:tcPr>
                  <w:tcW w:w="423" w:type="pct"/>
                  <w:tcBorders>
                    <w:top w:val="single" w:color="auto" w:sz="4" w:space="0"/>
                    <w:left w:val="single" w:color="auto" w:sz="4" w:space="0"/>
                    <w:bottom w:val="single" w:color="auto" w:sz="12" w:space="0"/>
                    <w:right w:val="nil"/>
                  </w:tcBorders>
                  <w:shd w:val="clear"/>
                  <w:noWrap/>
                  <w:tcMar>
                    <w:top w:w="28" w:type="dxa"/>
                    <w:left w:w="28" w:type="dxa"/>
                    <w:bottom w:w="28" w:type="dxa"/>
                    <w:right w:w="28" w:type="dxa"/>
                  </w:tcMar>
                  <w:vAlign w:val="center"/>
                </w:tcPr>
                <w:p w14:paraId="50E1ACE6">
                  <w:pPr>
                    <w:pStyle w:val="98"/>
                    <w:widowControl/>
                    <w:spacing w:line="300" w:lineRule="atLeast"/>
                    <w:rPr>
                      <w:color w:val="000000"/>
                      <w:kern w:val="2"/>
                      <w:bdr w:val="none" w:color="auto" w:sz="0" w:space="0"/>
                      <w:lang w:val="en-US"/>
                    </w:rPr>
                  </w:pPr>
                  <w:r>
                    <w:rPr>
                      <w:rFonts w:hint="eastAsia" w:ascii="Times New Roman" w:hAnsi="Times New Roman" w:eastAsia="宋体" w:cs="宋体"/>
                      <w:color w:val="000000"/>
                      <w:kern w:val="2"/>
                      <w:bdr w:val="none" w:color="auto" w:sz="0" w:space="0"/>
                    </w:rPr>
                    <w:t>符合</w:t>
                  </w:r>
                </w:p>
              </w:tc>
            </w:tr>
          </w:tbl>
          <w:p w14:paraId="27CACC1A">
            <w:pPr>
              <w:keepNext w:val="0"/>
              <w:keepLines w:val="0"/>
              <w:widowControl/>
              <w:suppressLineNumbers w:val="0"/>
              <w:spacing w:before="0" w:beforeAutospacing="0" w:after="0" w:afterAutospacing="0" w:line="440" w:lineRule="exact"/>
              <w:ind w:left="0" w:right="0" w:firstLine="480"/>
              <w:jc w:val="left"/>
              <w:rPr>
                <w:rFonts w:hint="default" w:ascii="Times New Roman" w:hAnsi="Times New Roman" w:cs="Times New Roman"/>
                <w:bCs/>
                <w:color w:val="000000"/>
                <w:sz w:val="24"/>
                <w:szCs w:val="24"/>
                <w:bdr w:val="none" w:color="auto" w:sz="0" w:space="0"/>
                <w:lang w:val="en-US"/>
              </w:rPr>
            </w:pPr>
            <w:r>
              <w:rPr>
                <w:rFonts w:hint="eastAsia" w:ascii="Times New Roman" w:hAnsi="Times New Roman" w:eastAsia="宋体" w:cs="宋体"/>
                <w:bCs/>
                <w:color w:val="000000"/>
                <w:kern w:val="2"/>
                <w:sz w:val="24"/>
                <w:szCs w:val="24"/>
                <w:bdr w:val="none" w:color="auto" w:sz="0" w:space="0"/>
                <w:lang w:val="en-US" w:eastAsia="zh-CN" w:bidi="ar"/>
              </w:rPr>
              <w:t>由表中分析结果可知，扩建项目符合相关政策的相关要求。</w:t>
            </w:r>
          </w:p>
          <w:p w14:paraId="6369B2D1">
            <w:pPr>
              <w:keepNext w:val="0"/>
              <w:keepLines w:val="0"/>
              <w:widowControl/>
              <w:suppressLineNumbers w:val="0"/>
              <w:spacing w:before="0" w:beforeAutospacing="0" w:after="0" w:afterAutospacing="0" w:line="440" w:lineRule="exact"/>
              <w:ind w:left="0" w:right="0"/>
              <w:jc w:val="left"/>
              <w:outlineLvl w:val="2"/>
              <w:rPr>
                <w:rFonts w:hint="default" w:ascii="Times New Roman" w:hAnsi="Times New Roman" w:cs="Times New Roman"/>
                <w:b/>
                <w:bCs w:val="0"/>
                <w:color w:val="000000"/>
                <w:sz w:val="24"/>
                <w:szCs w:val="24"/>
                <w:bdr w:val="none" w:color="auto" w:sz="0" w:space="0"/>
                <w:lang w:val="en-US"/>
              </w:rPr>
            </w:pPr>
            <w:r>
              <w:rPr>
                <w:rFonts w:hint="default" w:ascii="Times New Roman" w:hAnsi="Times New Roman" w:eastAsia="宋体" w:cs="Times New Roman"/>
                <w:b/>
                <w:bCs w:val="0"/>
                <w:color w:val="000000"/>
                <w:kern w:val="2"/>
                <w:sz w:val="24"/>
                <w:szCs w:val="24"/>
                <w:bdr w:val="none" w:color="auto" w:sz="0" w:space="0"/>
                <w:lang w:val="en-US" w:eastAsia="zh-CN" w:bidi="ar"/>
              </w:rPr>
              <w:t>1.2.5</w:t>
            </w:r>
            <w:r>
              <w:rPr>
                <w:rFonts w:hint="eastAsia" w:ascii="Times New Roman" w:hAnsi="Times New Roman" w:eastAsia="宋体" w:cs="宋体"/>
                <w:b/>
                <w:bCs w:val="0"/>
                <w:color w:val="000000"/>
                <w:kern w:val="2"/>
                <w:sz w:val="24"/>
                <w:szCs w:val="24"/>
                <w:bdr w:val="none" w:color="auto" w:sz="0" w:space="0"/>
                <w:lang w:val="en-US" w:eastAsia="zh-CN" w:bidi="ar"/>
              </w:rPr>
              <w:t>与《四川省、重庆市长江经济带发展负面清单实施细则（试行，</w:t>
            </w:r>
            <w:r>
              <w:rPr>
                <w:rFonts w:hint="default" w:ascii="Times New Roman" w:hAnsi="Times New Roman" w:eastAsia="宋体" w:cs="Times New Roman"/>
                <w:b/>
                <w:bCs w:val="0"/>
                <w:color w:val="000000"/>
                <w:kern w:val="2"/>
                <w:sz w:val="24"/>
                <w:szCs w:val="24"/>
                <w:bdr w:val="none" w:color="auto" w:sz="0" w:space="0"/>
                <w:lang w:val="en-US" w:eastAsia="zh-CN" w:bidi="ar"/>
              </w:rPr>
              <w:t>2022</w:t>
            </w:r>
            <w:r>
              <w:rPr>
                <w:rFonts w:hint="eastAsia" w:ascii="Times New Roman" w:hAnsi="Times New Roman" w:eastAsia="宋体" w:cs="宋体"/>
                <w:b/>
                <w:bCs w:val="0"/>
                <w:color w:val="000000"/>
                <w:kern w:val="2"/>
                <w:sz w:val="24"/>
                <w:szCs w:val="24"/>
                <w:bdr w:val="none" w:color="auto" w:sz="0" w:space="0"/>
                <w:lang w:val="en-US" w:eastAsia="zh-CN" w:bidi="ar"/>
              </w:rPr>
              <w:t>年版）》（川长江办〔</w:t>
            </w:r>
            <w:r>
              <w:rPr>
                <w:rFonts w:hint="default" w:ascii="Times New Roman" w:hAnsi="Times New Roman" w:eastAsia="宋体" w:cs="Times New Roman"/>
                <w:b/>
                <w:bCs w:val="0"/>
                <w:color w:val="000000"/>
                <w:kern w:val="2"/>
                <w:sz w:val="24"/>
                <w:szCs w:val="24"/>
                <w:bdr w:val="none" w:color="auto" w:sz="0" w:space="0"/>
                <w:lang w:val="en-US" w:eastAsia="zh-CN" w:bidi="ar"/>
              </w:rPr>
              <w:t>2022</w:t>
            </w:r>
            <w:r>
              <w:rPr>
                <w:rFonts w:hint="eastAsia" w:ascii="Times New Roman" w:hAnsi="Times New Roman" w:eastAsia="宋体" w:cs="宋体"/>
                <w:b/>
                <w:bCs w:val="0"/>
                <w:color w:val="000000"/>
                <w:kern w:val="2"/>
                <w:sz w:val="24"/>
                <w:szCs w:val="24"/>
                <w:bdr w:val="none" w:color="auto" w:sz="0" w:space="0"/>
                <w:lang w:val="en-US" w:eastAsia="zh-CN" w:bidi="ar"/>
              </w:rPr>
              <w:t>〕</w:t>
            </w:r>
            <w:r>
              <w:rPr>
                <w:rFonts w:hint="default" w:ascii="Times New Roman" w:hAnsi="Times New Roman" w:eastAsia="宋体" w:cs="Times New Roman"/>
                <w:b/>
                <w:bCs w:val="0"/>
                <w:color w:val="000000"/>
                <w:kern w:val="2"/>
                <w:sz w:val="24"/>
                <w:szCs w:val="24"/>
                <w:bdr w:val="none" w:color="auto" w:sz="0" w:space="0"/>
                <w:lang w:val="en-US" w:eastAsia="zh-CN" w:bidi="ar"/>
              </w:rPr>
              <w:t>17</w:t>
            </w:r>
            <w:r>
              <w:rPr>
                <w:rFonts w:hint="eastAsia" w:ascii="Times New Roman" w:hAnsi="Times New Roman" w:eastAsia="宋体" w:cs="宋体"/>
                <w:b/>
                <w:bCs w:val="0"/>
                <w:color w:val="000000"/>
                <w:kern w:val="2"/>
                <w:sz w:val="24"/>
                <w:szCs w:val="24"/>
                <w:bdr w:val="none" w:color="auto" w:sz="0" w:space="0"/>
                <w:lang w:val="en-US" w:eastAsia="zh-CN" w:bidi="ar"/>
              </w:rPr>
              <w:t>号）符合性分析</w:t>
            </w:r>
          </w:p>
          <w:p w14:paraId="7D29C351">
            <w:pPr>
              <w:keepNext w:val="0"/>
              <w:keepLines w:val="0"/>
              <w:widowControl/>
              <w:suppressLineNumbers w:val="0"/>
              <w:spacing w:before="0" w:beforeAutospacing="0" w:after="0" w:afterAutospacing="0" w:line="440" w:lineRule="exact"/>
              <w:ind w:left="0" w:right="0"/>
              <w:jc w:val="center"/>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表</w:t>
            </w:r>
            <w:r>
              <w:rPr>
                <w:rFonts w:hint="default" w:ascii="Times New Roman" w:hAnsi="Times New Roman" w:eastAsia="宋体" w:cs="Times New Roman"/>
                <w:color w:val="000000"/>
                <w:kern w:val="2"/>
                <w:sz w:val="24"/>
                <w:szCs w:val="24"/>
                <w:bdr w:val="none" w:color="auto" w:sz="0" w:space="0"/>
                <w:lang w:val="en-US" w:eastAsia="zh-CN" w:bidi="ar"/>
              </w:rPr>
              <w:t xml:space="preserve">1.2-3 </w:t>
            </w:r>
            <w:r>
              <w:rPr>
                <w:rFonts w:hint="eastAsia" w:ascii="Times New Roman" w:hAnsi="Times New Roman" w:eastAsia="宋体" w:cs="宋体"/>
                <w:color w:val="000000"/>
                <w:kern w:val="2"/>
                <w:sz w:val="24"/>
                <w:szCs w:val="24"/>
                <w:bdr w:val="none" w:color="auto" w:sz="0" w:space="0"/>
                <w:lang w:val="en-US" w:eastAsia="zh-CN" w:bidi="ar"/>
              </w:rPr>
              <w:t>（川长江办〔</w:t>
            </w:r>
            <w:r>
              <w:rPr>
                <w:rFonts w:hint="default" w:ascii="Times New Roman" w:hAnsi="Times New Roman" w:eastAsia="宋体" w:cs="Times New Roman"/>
                <w:color w:val="000000"/>
                <w:kern w:val="2"/>
                <w:sz w:val="24"/>
                <w:szCs w:val="24"/>
                <w:bdr w:val="none" w:color="auto" w:sz="0" w:space="0"/>
                <w:lang w:val="en-US" w:eastAsia="zh-CN" w:bidi="ar"/>
              </w:rPr>
              <w:t>2022</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17</w:t>
            </w:r>
            <w:r>
              <w:rPr>
                <w:rFonts w:hint="eastAsia" w:ascii="Times New Roman" w:hAnsi="Times New Roman" w:eastAsia="宋体" w:cs="宋体"/>
                <w:color w:val="000000"/>
                <w:kern w:val="2"/>
                <w:sz w:val="24"/>
                <w:szCs w:val="24"/>
                <w:bdr w:val="none" w:color="auto" w:sz="0" w:space="0"/>
                <w:lang w:val="en-US" w:eastAsia="zh-CN" w:bidi="ar"/>
              </w:rPr>
              <w:t>号）符合性分析</w:t>
            </w:r>
          </w:p>
          <w:tbl>
            <w:tblPr>
              <w:tblStyle w:val="18"/>
              <w:tblW w:w="495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Layout w:type="fixed"/>
              <w:tblCellMar>
                <w:top w:w="0" w:type="dxa"/>
                <w:left w:w="108" w:type="dxa"/>
                <w:bottom w:w="0" w:type="dxa"/>
                <w:right w:w="108" w:type="dxa"/>
              </w:tblCellMar>
            </w:tblPr>
            <w:tblGrid>
              <w:gridCol w:w="884"/>
              <w:gridCol w:w="4764"/>
              <w:gridCol w:w="2205"/>
            </w:tblGrid>
            <w:tr w14:paraId="28E3920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CellMar>
                  <w:top w:w="0" w:type="dxa"/>
                  <w:left w:w="108" w:type="dxa"/>
                  <w:bottom w:w="0" w:type="dxa"/>
                  <w:right w:w="108" w:type="dxa"/>
                </w:tblCellMar>
              </w:tblPrEx>
              <w:trPr>
                <w:trHeight w:val="20" w:hRule="atLeast"/>
                <w:tblHeader/>
                <w:jc w:val="center"/>
              </w:trPr>
              <w:tc>
                <w:tcPr>
                  <w:tcW w:w="563" w:type="pct"/>
                  <w:tcBorders>
                    <w:top w:val="single" w:color="auto" w:sz="12" w:space="0"/>
                    <w:left w:val="nil"/>
                    <w:bottom w:val="single" w:color="auto" w:sz="4" w:space="0"/>
                    <w:right w:val="single" w:color="auto" w:sz="4" w:space="0"/>
                  </w:tcBorders>
                  <w:shd w:val="clear"/>
                  <w:vAlign w:val="center"/>
                </w:tcPr>
                <w:p w14:paraId="0FBF2204">
                  <w:pPr>
                    <w:pStyle w:val="28"/>
                    <w:widowControl/>
                    <w:rPr>
                      <w:color w:val="000000"/>
                      <w:bdr w:val="none" w:color="auto" w:sz="0" w:space="0"/>
                      <w:lang w:val="en-US"/>
                    </w:rPr>
                  </w:pPr>
                  <w:r>
                    <w:rPr>
                      <w:rFonts w:hint="eastAsia" w:ascii="Times New Roman" w:hAnsi="Times New Roman" w:eastAsia="宋体" w:cs="宋体"/>
                      <w:color w:val="000000"/>
                      <w:bdr w:val="none" w:color="auto" w:sz="0" w:space="0"/>
                    </w:rPr>
                    <w:t>编号</w:t>
                  </w:r>
                </w:p>
              </w:tc>
              <w:tc>
                <w:tcPr>
                  <w:tcW w:w="3032" w:type="pct"/>
                  <w:tcBorders>
                    <w:top w:val="single" w:color="auto" w:sz="12" w:space="0"/>
                    <w:left w:val="single" w:color="auto" w:sz="4" w:space="0"/>
                    <w:bottom w:val="single" w:color="auto" w:sz="4" w:space="0"/>
                    <w:right w:val="single" w:color="auto" w:sz="4" w:space="0"/>
                  </w:tcBorders>
                  <w:shd w:val="clear"/>
                  <w:vAlign w:val="center"/>
                </w:tcPr>
                <w:p w14:paraId="0147D297">
                  <w:pPr>
                    <w:pStyle w:val="28"/>
                    <w:widowControl/>
                    <w:rPr>
                      <w:color w:val="000000"/>
                      <w:bdr w:val="none" w:color="auto" w:sz="0" w:space="0"/>
                      <w:lang w:val="en-US"/>
                    </w:rPr>
                  </w:pPr>
                  <w:r>
                    <w:rPr>
                      <w:rFonts w:hint="eastAsia" w:ascii="Times New Roman" w:hAnsi="Times New Roman" w:eastAsia="宋体" w:cs="宋体"/>
                      <w:color w:val="000000"/>
                      <w:bdr w:val="none" w:color="auto" w:sz="0" w:space="0"/>
                    </w:rPr>
                    <w:t>实施细则内容</w:t>
                  </w:r>
                </w:p>
              </w:tc>
              <w:tc>
                <w:tcPr>
                  <w:tcW w:w="1404" w:type="pct"/>
                  <w:tcBorders>
                    <w:top w:val="single" w:color="auto" w:sz="12" w:space="0"/>
                    <w:left w:val="single" w:color="auto" w:sz="4" w:space="0"/>
                    <w:bottom w:val="single" w:color="auto" w:sz="4" w:space="0"/>
                    <w:right w:val="nil"/>
                  </w:tcBorders>
                  <w:shd w:val="clear"/>
                  <w:vAlign w:val="center"/>
                </w:tcPr>
                <w:p w14:paraId="6A7F6F90">
                  <w:pPr>
                    <w:pStyle w:val="28"/>
                    <w:widowControl/>
                    <w:rPr>
                      <w:color w:val="000000"/>
                      <w:bdr w:val="none" w:color="auto" w:sz="0" w:space="0"/>
                      <w:lang w:val="en-US"/>
                    </w:rPr>
                  </w:pPr>
                  <w:r>
                    <w:rPr>
                      <w:rFonts w:hint="eastAsia" w:ascii="Times New Roman" w:hAnsi="Times New Roman" w:eastAsia="宋体" w:cs="宋体"/>
                      <w:color w:val="000000"/>
                      <w:bdr w:val="none" w:color="auto" w:sz="0" w:space="0"/>
                    </w:rPr>
                    <w:t>扩建项目情况</w:t>
                  </w:r>
                </w:p>
              </w:tc>
            </w:tr>
            <w:tr w14:paraId="52BDCA7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vAlign w:val="center"/>
                </w:tcPr>
                <w:p w14:paraId="4822495C">
                  <w:pPr>
                    <w:pStyle w:val="28"/>
                    <w:widowControl/>
                    <w:rPr>
                      <w:color w:val="000000"/>
                      <w:bdr w:val="none" w:color="auto" w:sz="0" w:space="0"/>
                      <w:lang w:val="en-US"/>
                    </w:rPr>
                  </w:pPr>
                  <w:r>
                    <w:rPr>
                      <w:color w:val="000000"/>
                      <w:bdr w:val="none" w:color="auto" w:sz="0" w:space="0"/>
                      <w:lang w:val="en-US"/>
                    </w:rPr>
                    <w:t>1</w:t>
                  </w:r>
                </w:p>
              </w:tc>
              <w:tc>
                <w:tcPr>
                  <w:tcW w:w="3032" w:type="pct"/>
                  <w:tcBorders>
                    <w:top w:val="single" w:color="auto" w:sz="4" w:space="0"/>
                    <w:left w:val="single" w:color="auto" w:sz="4" w:space="0"/>
                    <w:bottom w:val="single" w:color="auto" w:sz="4" w:space="0"/>
                    <w:right w:val="single" w:color="auto" w:sz="4" w:space="0"/>
                  </w:tcBorders>
                  <w:shd w:val="clear"/>
                  <w:vAlign w:val="center"/>
                </w:tcPr>
                <w:p w14:paraId="6639BF31">
                  <w:pPr>
                    <w:pStyle w:val="28"/>
                    <w:widowControl/>
                    <w:jc w:val="left"/>
                    <w:rPr>
                      <w:color w:val="000000"/>
                      <w:bdr w:val="none" w:color="auto" w:sz="0" w:space="0"/>
                      <w:lang w:val="en-US"/>
                    </w:rPr>
                  </w:pPr>
                  <w:r>
                    <w:rPr>
                      <w:rFonts w:hint="eastAsia" w:ascii="Times New Roman" w:hAnsi="Times New Roman" w:eastAsia="宋体" w:cs="宋体"/>
                      <w:color w:val="000000"/>
                      <w:bdr w:val="none" w:color="auto" w:sz="0" w:space="0"/>
                    </w:rPr>
                    <w:t>第五条</w:t>
                  </w:r>
                  <w:r>
                    <w:rPr>
                      <w:color w:val="000000"/>
                      <w:bdr w:val="none" w:color="auto" w:sz="0" w:space="0"/>
                    </w:rPr>
                    <w:t xml:space="preserve"> </w:t>
                  </w:r>
                  <w:r>
                    <w:rPr>
                      <w:rFonts w:hint="eastAsia" w:ascii="Times New Roman" w:hAnsi="Times New Roman" w:eastAsia="宋体" w:cs="宋体"/>
                      <w:color w:val="000000"/>
                      <w:bdr w:val="none" w:color="auto" w:sz="0" w:space="0"/>
                    </w:rPr>
                    <w:t>禁止新建、改建和扩建不符合全国港口布局规划，以及《四川省内河水运发展规划》《泸州</w:t>
                  </w:r>
                  <w:r>
                    <w:rPr>
                      <w:color w:val="000000"/>
                      <w:bdr w:val="none" w:color="auto" w:sz="0" w:space="0"/>
                      <w:lang w:val="en-US"/>
                    </w:rPr>
                    <w:t>—</w:t>
                  </w:r>
                  <w:r>
                    <w:rPr>
                      <w:rFonts w:hint="eastAsia" w:ascii="Times New Roman" w:hAnsi="Times New Roman" w:eastAsia="宋体" w:cs="宋体"/>
                      <w:color w:val="000000"/>
                      <w:bdr w:val="none" w:color="auto" w:sz="0" w:space="0"/>
                    </w:rPr>
                    <w:t>宜宾</w:t>
                  </w:r>
                  <w:r>
                    <w:rPr>
                      <w:color w:val="000000"/>
                      <w:bdr w:val="none" w:color="auto" w:sz="0" w:space="0"/>
                      <w:lang w:val="en-US"/>
                    </w:rPr>
                    <w:t>—</w:t>
                  </w:r>
                  <w:r>
                    <w:rPr>
                      <w:rFonts w:hint="eastAsia" w:ascii="Times New Roman" w:hAnsi="Times New Roman" w:eastAsia="宋体" w:cs="宋体"/>
                      <w:color w:val="000000"/>
                      <w:bdr w:val="none" w:color="auto" w:sz="0" w:space="0"/>
                    </w:rPr>
                    <w:t>乐山港口群布局规划》《重庆港总体规划</w:t>
                  </w:r>
                  <w:r>
                    <w:rPr>
                      <w:color w:val="000000"/>
                      <w:bdr w:val="none" w:color="auto" w:sz="0" w:space="0"/>
                      <w:lang w:val="en-US"/>
                    </w:rPr>
                    <w:t>( 2035</w:t>
                  </w:r>
                  <w:r>
                    <w:rPr>
                      <w:rFonts w:hint="eastAsia" w:ascii="Times New Roman" w:hAnsi="Times New Roman" w:eastAsia="宋体" w:cs="宋体"/>
                      <w:color w:val="000000"/>
                      <w:bdr w:val="none" w:color="auto" w:sz="0" w:space="0"/>
                    </w:rPr>
                    <w:t>年</w:t>
                  </w:r>
                  <w:r>
                    <w:rPr>
                      <w:color w:val="000000"/>
                      <w:bdr w:val="none" w:color="auto" w:sz="0" w:space="0"/>
                      <w:lang w:val="en-US"/>
                    </w:rPr>
                    <w:t>)</w:t>
                  </w:r>
                  <w:r>
                    <w:rPr>
                      <w:rFonts w:hint="eastAsia" w:ascii="Times New Roman" w:hAnsi="Times New Roman" w:eastAsia="宋体" w:cs="宋体"/>
                      <w:color w:val="000000"/>
                      <w:bdr w:val="none" w:color="auto" w:sz="0" w:space="0"/>
                    </w:rPr>
                    <w:t>》等省级港口布局规划及市级港口总体规划的码头项目。</w:t>
                  </w:r>
                </w:p>
              </w:tc>
              <w:tc>
                <w:tcPr>
                  <w:tcW w:w="1404" w:type="pct"/>
                  <w:tcBorders>
                    <w:top w:val="single" w:color="auto" w:sz="4" w:space="0"/>
                    <w:left w:val="single" w:color="auto" w:sz="4" w:space="0"/>
                    <w:bottom w:val="single" w:color="auto" w:sz="4" w:space="0"/>
                    <w:right w:val="nil"/>
                  </w:tcBorders>
                  <w:shd w:val="clear"/>
                  <w:vAlign w:val="center"/>
                </w:tcPr>
                <w:p w14:paraId="7E9DC652">
                  <w:pPr>
                    <w:pStyle w:val="28"/>
                    <w:widowControl/>
                    <w:rPr>
                      <w:color w:val="000000"/>
                      <w:bdr w:val="none" w:color="auto" w:sz="0" w:space="0"/>
                      <w:lang w:val="en-US"/>
                    </w:rPr>
                  </w:pPr>
                  <w:r>
                    <w:rPr>
                      <w:rFonts w:hint="eastAsia" w:ascii="Times New Roman" w:hAnsi="Times New Roman" w:eastAsia="宋体" w:cs="宋体"/>
                      <w:color w:val="000000"/>
                      <w:bdr w:val="none" w:color="auto" w:sz="0" w:space="0"/>
                    </w:rPr>
                    <w:t>扩建项目不属于港口、码头项目</w:t>
                  </w:r>
                </w:p>
              </w:tc>
            </w:tr>
            <w:tr w14:paraId="2C28FDC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vAlign w:val="center"/>
                </w:tcPr>
                <w:p w14:paraId="1366FADF">
                  <w:pPr>
                    <w:pStyle w:val="28"/>
                    <w:widowControl/>
                    <w:rPr>
                      <w:color w:val="000000"/>
                      <w:bdr w:val="none" w:color="auto" w:sz="0" w:space="0"/>
                      <w:lang w:val="en-US"/>
                    </w:rPr>
                  </w:pPr>
                  <w:r>
                    <w:rPr>
                      <w:color w:val="000000"/>
                      <w:bdr w:val="none" w:color="auto" w:sz="0" w:space="0"/>
                      <w:lang w:val="en-US"/>
                    </w:rPr>
                    <w:t>2</w:t>
                  </w:r>
                </w:p>
              </w:tc>
              <w:tc>
                <w:tcPr>
                  <w:tcW w:w="3032" w:type="pct"/>
                  <w:tcBorders>
                    <w:top w:val="single" w:color="auto" w:sz="4" w:space="0"/>
                    <w:left w:val="single" w:color="auto" w:sz="4" w:space="0"/>
                    <w:bottom w:val="single" w:color="auto" w:sz="4" w:space="0"/>
                    <w:right w:val="single" w:color="auto" w:sz="4" w:space="0"/>
                  </w:tcBorders>
                  <w:shd w:val="clear"/>
                  <w:vAlign w:val="center"/>
                </w:tcPr>
                <w:p w14:paraId="683D04FB">
                  <w:pPr>
                    <w:pStyle w:val="28"/>
                    <w:widowControl/>
                    <w:jc w:val="left"/>
                    <w:rPr>
                      <w:color w:val="000000"/>
                      <w:bdr w:val="none" w:color="auto" w:sz="0" w:space="0"/>
                      <w:lang w:val="en-US"/>
                    </w:rPr>
                  </w:pPr>
                  <w:r>
                    <w:rPr>
                      <w:rFonts w:hint="eastAsia" w:ascii="Times New Roman" w:hAnsi="Times New Roman" w:eastAsia="宋体" w:cs="宋体"/>
                      <w:color w:val="000000"/>
                      <w:bdr w:val="none" w:color="auto" w:sz="0" w:space="0"/>
                    </w:rPr>
                    <w:t>第六条</w:t>
                  </w:r>
                  <w:r>
                    <w:rPr>
                      <w:color w:val="000000"/>
                      <w:bdr w:val="none" w:color="auto" w:sz="0" w:space="0"/>
                    </w:rPr>
                    <w:t xml:space="preserve"> </w:t>
                  </w:r>
                  <w:r>
                    <w:rPr>
                      <w:rFonts w:hint="eastAsia" w:ascii="Times New Roman" w:hAnsi="Times New Roman" w:eastAsia="宋体" w:cs="宋体"/>
                      <w:color w:val="000000"/>
                      <w:bdr w:val="none" w:color="auto" w:sz="0" w:space="0"/>
                    </w:rPr>
                    <w:t>禁止新建、改建和扩建不符合《长江干线过江通道布局规划（</w:t>
                  </w:r>
                  <w:r>
                    <w:rPr>
                      <w:color w:val="000000"/>
                      <w:bdr w:val="none" w:color="auto" w:sz="0" w:space="0"/>
                      <w:lang w:val="en-US"/>
                    </w:rPr>
                    <w:t>2020——2035</w:t>
                  </w:r>
                  <w:r>
                    <w:rPr>
                      <w:rFonts w:hint="eastAsia" w:ascii="Times New Roman" w:hAnsi="Times New Roman" w:eastAsia="宋体" w:cs="宋体"/>
                      <w:color w:val="000000"/>
                      <w:bdr w:val="none" w:color="auto" w:sz="0" w:space="0"/>
                    </w:rPr>
                    <w:t>年</w:t>
                  </w:r>
                  <w:r>
                    <w:rPr>
                      <w:color w:val="000000"/>
                      <w:bdr w:val="none" w:color="auto" w:sz="0" w:space="0"/>
                      <w:lang w:val="en-US"/>
                    </w:rPr>
                    <w:t>)</w:t>
                  </w:r>
                  <w:r>
                    <w:rPr>
                      <w:rFonts w:hint="eastAsia" w:ascii="Times New Roman" w:hAnsi="Times New Roman" w:eastAsia="宋体" w:cs="宋体"/>
                      <w:color w:val="000000"/>
                      <w:bdr w:val="none" w:color="auto" w:sz="0" w:space="0"/>
                    </w:rPr>
                    <w:t>》的过长江通道项目</w:t>
                  </w:r>
                  <w:r>
                    <w:rPr>
                      <w:color w:val="000000"/>
                      <w:bdr w:val="none" w:color="auto" w:sz="0" w:space="0"/>
                      <w:lang w:val="en-US"/>
                    </w:rPr>
                    <w:t>(</w:t>
                  </w:r>
                  <w:r>
                    <w:rPr>
                      <w:rFonts w:hint="eastAsia" w:ascii="Times New Roman" w:hAnsi="Times New Roman" w:eastAsia="宋体" w:cs="宋体"/>
                      <w:color w:val="000000"/>
                      <w:bdr w:val="none" w:color="auto" w:sz="0" w:space="0"/>
                    </w:rPr>
                    <w:t>含桥梁、隧道</w:t>
                  </w:r>
                  <w:r>
                    <w:rPr>
                      <w:color w:val="000000"/>
                      <w:bdr w:val="none" w:color="auto" w:sz="0" w:space="0"/>
                      <w:lang w:val="en-US"/>
                    </w:rPr>
                    <w:t>)</w:t>
                  </w:r>
                  <w:r>
                    <w:rPr>
                      <w:rFonts w:hint="eastAsia" w:ascii="Times New Roman" w:hAnsi="Times New Roman" w:eastAsia="宋体" w:cs="宋体"/>
                      <w:color w:val="000000"/>
                      <w:bdr w:val="none" w:color="auto" w:sz="0" w:space="0"/>
                    </w:rPr>
                    <w:t>，国家发展改革委同意过长江通道线位调整的除外。</w:t>
                  </w:r>
                </w:p>
              </w:tc>
              <w:tc>
                <w:tcPr>
                  <w:tcW w:w="1404" w:type="pct"/>
                  <w:tcBorders>
                    <w:top w:val="single" w:color="auto" w:sz="4" w:space="0"/>
                    <w:left w:val="single" w:color="auto" w:sz="4" w:space="0"/>
                    <w:bottom w:val="single" w:color="auto" w:sz="4" w:space="0"/>
                    <w:right w:val="nil"/>
                  </w:tcBorders>
                  <w:shd w:val="clear"/>
                  <w:vAlign w:val="center"/>
                </w:tcPr>
                <w:p w14:paraId="0B7F0960">
                  <w:pPr>
                    <w:pStyle w:val="28"/>
                    <w:widowControl/>
                    <w:rPr>
                      <w:color w:val="000000"/>
                      <w:bdr w:val="none" w:color="auto" w:sz="0" w:space="0"/>
                      <w:lang w:val="en-US"/>
                    </w:rPr>
                  </w:pPr>
                  <w:r>
                    <w:rPr>
                      <w:rFonts w:hint="eastAsia" w:ascii="Times New Roman" w:hAnsi="Times New Roman" w:eastAsia="宋体" w:cs="宋体"/>
                      <w:color w:val="000000"/>
                      <w:bdr w:val="none" w:color="auto" w:sz="0" w:space="0"/>
                    </w:rPr>
                    <w:t>扩建项目不属于过长江通道项目</w:t>
                  </w:r>
                </w:p>
              </w:tc>
            </w:tr>
            <w:tr w14:paraId="777965F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vAlign w:val="center"/>
                </w:tcPr>
                <w:p w14:paraId="099395D4">
                  <w:pPr>
                    <w:pStyle w:val="28"/>
                    <w:widowControl/>
                    <w:rPr>
                      <w:color w:val="000000"/>
                      <w:bdr w:val="none" w:color="auto" w:sz="0" w:space="0"/>
                      <w:lang w:val="en-US"/>
                    </w:rPr>
                  </w:pPr>
                  <w:r>
                    <w:rPr>
                      <w:color w:val="000000"/>
                      <w:bdr w:val="none" w:color="auto" w:sz="0" w:space="0"/>
                      <w:lang w:val="en-US"/>
                    </w:rPr>
                    <w:t>3</w:t>
                  </w:r>
                </w:p>
              </w:tc>
              <w:tc>
                <w:tcPr>
                  <w:tcW w:w="3032" w:type="pct"/>
                  <w:tcBorders>
                    <w:top w:val="single" w:color="auto" w:sz="4" w:space="0"/>
                    <w:left w:val="single" w:color="auto" w:sz="4" w:space="0"/>
                    <w:bottom w:val="single" w:color="auto" w:sz="4" w:space="0"/>
                    <w:right w:val="single" w:color="auto" w:sz="4" w:space="0"/>
                  </w:tcBorders>
                  <w:shd w:val="clear"/>
                  <w:vAlign w:val="center"/>
                </w:tcPr>
                <w:p w14:paraId="5F4B7023">
                  <w:pPr>
                    <w:pStyle w:val="28"/>
                    <w:widowControl/>
                    <w:jc w:val="left"/>
                    <w:rPr>
                      <w:color w:val="000000"/>
                      <w:bdr w:val="none" w:color="auto" w:sz="0" w:space="0"/>
                      <w:lang w:val="en-US"/>
                    </w:rPr>
                  </w:pPr>
                  <w:r>
                    <w:rPr>
                      <w:rFonts w:hint="eastAsia" w:ascii="Times New Roman" w:hAnsi="Times New Roman" w:eastAsia="宋体" w:cs="宋体"/>
                      <w:color w:val="000000"/>
                      <w:bdr w:val="none" w:color="auto" w:sz="0" w:space="0"/>
                    </w:rPr>
                    <w:t>第七条</w:t>
                  </w:r>
                  <w:r>
                    <w:rPr>
                      <w:color w:val="000000"/>
                      <w:bdr w:val="none" w:color="auto" w:sz="0" w:space="0"/>
                    </w:rPr>
                    <w:t xml:space="preserve"> </w:t>
                  </w:r>
                  <w:r>
                    <w:rPr>
                      <w:rFonts w:hint="eastAsia" w:ascii="Times New Roman" w:hAnsi="Times New Roman" w:eastAsia="宋体" w:cs="宋体"/>
                      <w:color w:val="000000"/>
                      <w:bdr w:val="none" w:color="auto" w:sz="0" w:space="0"/>
                    </w:rPr>
                    <w:t>禁止在自然保护区核心区、缓冲区的岸线和河段范围内投资建设旅游和生产经营项目。自然保护区的内部未分区的，依照核心区和缓冲区的规定管控。</w:t>
                  </w:r>
                </w:p>
              </w:tc>
              <w:tc>
                <w:tcPr>
                  <w:tcW w:w="1404" w:type="pct"/>
                  <w:tcBorders>
                    <w:top w:val="single" w:color="auto" w:sz="4" w:space="0"/>
                    <w:left w:val="single" w:color="auto" w:sz="4" w:space="0"/>
                    <w:bottom w:val="single" w:color="auto" w:sz="4" w:space="0"/>
                    <w:right w:val="nil"/>
                  </w:tcBorders>
                  <w:shd w:val="clear"/>
                  <w:vAlign w:val="center"/>
                </w:tcPr>
                <w:p w14:paraId="2083F6B0">
                  <w:pPr>
                    <w:pStyle w:val="28"/>
                    <w:widowControl/>
                    <w:rPr>
                      <w:color w:val="000000"/>
                      <w:bdr w:val="none" w:color="auto" w:sz="0" w:space="0"/>
                      <w:lang w:val="en-US"/>
                    </w:rPr>
                  </w:pPr>
                  <w:r>
                    <w:rPr>
                      <w:rFonts w:hint="eastAsia" w:ascii="Times New Roman" w:hAnsi="Times New Roman" w:eastAsia="宋体" w:cs="宋体"/>
                      <w:color w:val="000000"/>
                      <w:bdr w:val="none" w:color="auto" w:sz="0" w:space="0"/>
                    </w:rPr>
                    <w:t>扩建项目不在自然保护区各区范围内</w:t>
                  </w:r>
                </w:p>
              </w:tc>
            </w:tr>
            <w:tr w14:paraId="0E18DA8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vAlign w:val="center"/>
                </w:tcPr>
                <w:p w14:paraId="6DC6C512">
                  <w:pPr>
                    <w:pStyle w:val="28"/>
                    <w:widowControl/>
                    <w:rPr>
                      <w:color w:val="000000"/>
                      <w:bdr w:val="none" w:color="auto" w:sz="0" w:space="0"/>
                      <w:lang w:val="en-US"/>
                    </w:rPr>
                  </w:pPr>
                  <w:r>
                    <w:rPr>
                      <w:color w:val="000000"/>
                      <w:bdr w:val="none" w:color="auto" w:sz="0" w:space="0"/>
                      <w:lang w:val="en-US"/>
                    </w:rPr>
                    <w:t>4</w:t>
                  </w:r>
                </w:p>
              </w:tc>
              <w:tc>
                <w:tcPr>
                  <w:tcW w:w="3032" w:type="pct"/>
                  <w:tcBorders>
                    <w:top w:val="single" w:color="auto" w:sz="4" w:space="0"/>
                    <w:left w:val="single" w:color="auto" w:sz="4" w:space="0"/>
                    <w:bottom w:val="single" w:color="auto" w:sz="4" w:space="0"/>
                    <w:right w:val="single" w:color="auto" w:sz="4" w:space="0"/>
                  </w:tcBorders>
                  <w:shd w:val="clear"/>
                  <w:vAlign w:val="center"/>
                </w:tcPr>
                <w:p w14:paraId="5D5939C9">
                  <w:pPr>
                    <w:pStyle w:val="28"/>
                    <w:widowControl/>
                    <w:jc w:val="left"/>
                    <w:rPr>
                      <w:color w:val="000000"/>
                      <w:bdr w:val="none" w:color="auto" w:sz="0" w:space="0"/>
                      <w:lang w:val="en-US"/>
                    </w:rPr>
                  </w:pPr>
                  <w:r>
                    <w:rPr>
                      <w:rFonts w:hint="eastAsia" w:ascii="Times New Roman" w:hAnsi="Times New Roman" w:eastAsia="宋体" w:cs="宋体"/>
                      <w:color w:val="000000"/>
                      <w:bdr w:val="none" w:color="auto" w:sz="0" w:space="0"/>
                    </w:rPr>
                    <w:t>第八条</w:t>
                  </w:r>
                  <w:r>
                    <w:rPr>
                      <w:color w:val="000000"/>
                      <w:bdr w:val="none" w:color="auto" w:sz="0" w:space="0"/>
                    </w:rPr>
                    <w:t xml:space="preserve"> </w:t>
                  </w:r>
                  <w:r>
                    <w:rPr>
                      <w:rFonts w:hint="eastAsia" w:ascii="Times New Roman" w:hAnsi="Times New Roman" w:eastAsia="宋体" w:cs="宋体"/>
                      <w:color w:val="000000"/>
                      <w:bdr w:val="none" w:color="auto" w:sz="0" w:space="0"/>
                    </w:rPr>
                    <w:t>禁止违反风景名胜区规划，在风景名胜区内设立各类开发区。禁止在风景名胜区核心景区的岸线和河段范围内建设宾馆、招待所、培训中心、疗养院以及与风景名胜资源保护无关的项目。</w:t>
                  </w:r>
                </w:p>
              </w:tc>
              <w:tc>
                <w:tcPr>
                  <w:tcW w:w="1404" w:type="pct"/>
                  <w:tcBorders>
                    <w:top w:val="single" w:color="auto" w:sz="4" w:space="0"/>
                    <w:left w:val="single" w:color="auto" w:sz="4" w:space="0"/>
                    <w:bottom w:val="single" w:color="auto" w:sz="4" w:space="0"/>
                    <w:right w:val="nil"/>
                  </w:tcBorders>
                  <w:shd w:val="clear"/>
                  <w:vAlign w:val="center"/>
                </w:tcPr>
                <w:p w14:paraId="6C139E17">
                  <w:pPr>
                    <w:pStyle w:val="28"/>
                    <w:widowControl/>
                    <w:rPr>
                      <w:color w:val="000000"/>
                      <w:bdr w:val="none" w:color="auto" w:sz="0" w:space="0"/>
                      <w:lang w:val="en-US"/>
                    </w:rPr>
                  </w:pPr>
                  <w:r>
                    <w:rPr>
                      <w:rFonts w:hint="eastAsia" w:ascii="Times New Roman" w:hAnsi="Times New Roman" w:eastAsia="宋体" w:cs="宋体"/>
                      <w:color w:val="000000"/>
                      <w:bdr w:val="none" w:color="auto" w:sz="0" w:space="0"/>
                    </w:rPr>
                    <w:t>扩建项目不在风景名胜区规划范围内</w:t>
                  </w:r>
                </w:p>
              </w:tc>
            </w:tr>
            <w:tr w14:paraId="54D09B1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vAlign w:val="center"/>
                </w:tcPr>
                <w:p w14:paraId="61DB2663">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bdr w:val="none" w:color="auto" w:sz="0" w:space="0"/>
                      <w:lang w:val="en-US"/>
                    </w:rPr>
                  </w:pPr>
                  <w:r>
                    <w:rPr>
                      <w:rFonts w:hint="default" w:ascii="Times New Roman" w:hAnsi="Times New Roman" w:eastAsia="等线" w:cs="Times New Roman"/>
                      <w:color w:val="000000"/>
                      <w:kern w:val="0"/>
                      <w:sz w:val="22"/>
                      <w:szCs w:val="24"/>
                      <w:bdr w:val="none" w:color="auto" w:sz="0" w:space="0"/>
                      <w:lang w:val="en-US" w:eastAsia="zh-CN" w:bidi="ar"/>
                    </w:rPr>
                    <w:t>5</w:t>
                  </w:r>
                </w:p>
              </w:tc>
              <w:tc>
                <w:tcPr>
                  <w:tcW w:w="3032" w:type="pct"/>
                  <w:tcBorders>
                    <w:top w:val="single" w:color="auto" w:sz="4" w:space="0"/>
                    <w:left w:val="single" w:color="auto" w:sz="4" w:space="0"/>
                    <w:bottom w:val="single" w:color="auto" w:sz="4" w:space="0"/>
                    <w:right w:val="single" w:color="auto" w:sz="4" w:space="0"/>
                  </w:tcBorders>
                  <w:shd w:val="clear"/>
                  <w:vAlign w:val="center"/>
                </w:tcPr>
                <w:p w14:paraId="5A397F74">
                  <w:pPr>
                    <w:pStyle w:val="28"/>
                    <w:widowControl/>
                    <w:jc w:val="left"/>
                    <w:rPr>
                      <w:color w:val="000000"/>
                      <w:bdr w:val="none" w:color="auto" w:sz="0" w:space="0"/>
                      <w:lang w:val="en-US"/>
                    </w:rPr>
                  </w:pPr>
                  <w:r>
                    <w:rPr>
                      <w:rFonts w:hint="eastAsia" w:ascii="Times New Roman" w:hAnsi="Times New Roman" w:eastAsia="宋体" w:cs="宋体"/>
                      <w:color w:val="000000"/>
                      <w:bdr w:val="none" w:color="auto" w:sz="0" w:space="0"/>
                    </w:rPr>
                    <w:t>第九条</w:t>
                  </w:r>
                  <w:r>
                    <w:rPr>
                      <w:color w:val="000000"/>
                      <w:bdr w:val="none" w:color="auto" w:sz="0" w:space="0"/>
                    </w:rPr>
                    <w:t xml:space="preserve"> </w:t>
                  </w:r>
                  <w:r>
                    <w:rPr>
                      <w:rFonts w:hint="eastAsia" w:ascii="Times New Roman" w:hAnsi="Times New Roman" w:eastAsia="宋体" w:cs="宋体"/>
                      <w:color w:val="000000"/>
                      <w:bdr w:val="none" w:color="auto" w:sz="0" w:space="0"/>
                    </w:rPr>
                    <w:t>禁止在饮用水水源准保护区的岸线和河段范围内新建、扩建对水体污染严重的建设项目，禁止改建增加排污量的建设项目。</w:t>
                  </w:r>
                </w:p>
              </w:tc>
              <w:tc>
                <w:tcPr>
                  <w:tcW w:w="1404" w:type="pct"/>
                  <w:tcBorders>
                    <w:top w:val="single" w:color="auto" w:sz="4" w:space="0"/>
                    <w:left w:val="single" w:color="auto" w:sz="4" w:space="0"/>
                    <w:bottom w:val="single" w:color="auto" w:sz="4" w:space="0"/>
                    <w:right w:val="nil"/>
                  </w:tcBorders>
                  <w:shd w:val="clear"/>
                  <w:vAlign w:val="center"/>
                </w:tcPr>
                <w:p w14:paraId="3B2872BB">
                  <w:pPr>
                    <w:pStyle w:val="28"/>
                    <w:widowControl/>
                    <w:rPr>
                      <w:color w:val="000000"/>
                      <w:bdr w:val="none" w:color="auto" w:sz="0" w:space="0"/>
                      <w:lang w:val="en-US"/>
                    </w:rPr>
                  </w:pPr>
                  <w:r>
                    <w:rPr>
                      <w:rFonts w:hint="eastAsia" w:ascii="Times New Roman" w:hAnsi="Times New Roman" w:eastAsia="宋体" w:cs="宋体"/>
                      <w:color w:val="000000"/>
                      <w:bdr w:val="none" w:color="auto" w:sz="0" w:space="0"/>
                    </w:rPr>
                    <w:t>扩建项目不涉及饮用水源保护区</w:t>
                  </w:r>
                </w:p>
              </w:tc>
            </w:tr>
            <w:tr w14:paraId="0BE650F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vAlign w:val="center"/>
                </w:tcPr>
                <w:p w14:paraId="53C351B7">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bdr w:val="none" w:color="auto" w:sz="0" w:space="0"/>
                      <w:lang w:val="en-US"/>
                    </w:rPr>
                  </w:pPr>
                  <w:r>
                    <w:rPr>
                      <w:rFonts w:hint="default" w:ascii="Times New Roman" w:hAnsi="Times New Roman" w:eastAsia="等线" w:cs="Times New Roman"/>
                      <w:color w:val="000000"/>
                      <w:kern w:val="0"/>
                      <w:sz w:val="22"/>
                      <w:szCs w:val="24"/>
                      <w:bdr w:val="none" w:color="auto" w:sz="0" w:space="0"/>
                      <w:lang w:val="en-US" w:eastAsia="zh-CN" w:bidi="ar"/>
                    </w:rPr>
                    <w:t>6</w:t>
                  </w:r>
                </w:p>
              </w:tc>
              <w:tc>
                <w:tcPr>
                  <w:tcW w:w="3032" w:type="pct"/>
                  <w:tcBorders>
                    <w:top w:val="single" w:color="auto" w:sz="4" w:space="0"/>
                    <w:left w:val="single" w:color="auto" w:sz="4" w:space="0"/>
                    <w:bottom w:val="single" w:color="auto" w:sz="4" w:space="0"/>
                    <w:right w:val="single" w:color="auto" w:sz="4" w:space="0"/>
                  </w:tcBorders>
                  <w:shd w:val="clear"/>
                  <w:vAlign w:val="center"/>
                </w:tcPr>
                <w:p w14:paraId="5C35D112">
                  <w:pPr>
                    <w:pStyle w:val="28"/>
                    <w:widowControl/>
                    <w:jc w:val="left"/>
                    <w:rPr>
                      <w:color w:val="000000"/>
                      <w:bdr w:val="none" w:color="auto" w:sz="0" w:space="0"/>
                      <w:lang w:val="en-US"/>
                    </w:rPr>
                  </w:pPr>
                  <w:r>
                    <w:rPr>
                      <w:rFonts w:hint="eastAsia" w:ascii="Times New Roman" w:hAnsi="Times New Roman" w:eastAsia="宋体" w:cs="宋体"/>
                      <w:color w:val="000000"/>
                      <w:bdr w:val="none" w:color="auto" w:sz="0" w:space="0"/>
                    </w:rPr>
                    <w:t>第十条</w:t>
                  </w:r>
                  <w:r>
                    <w:rPr>
                      <w:color w:val="000000"/>
                      <w:bdr w:val="none" w:color="auto" w:sz="0" w:space="0"/>
                    </w:rPr>
                    <w:t xml:space="preserve"> </w:t>
                  </w:r>
                  <w:r>
                    <w:rPr>
                      <w:rFonts w:hint="eastAsia" w:ascii="Times New Roman" w:hAnsi="Times New Roman" w:eastAsia="宋体" w:cs="宋体"/>
                      <w:color w:val="000000"/>
                      <w:bdr w:val="none" w:color="auto" w:sz="0" w:space="0"/>
                    </w:rPr>
                    <w:t>饮用水水源二级保护区的岸线和河段范围内，除遵守准保护区规定外，禁止新建、改建、扩建排放污染物的投资建设项目</w:t>
                  </w:r>
                  <w:r>
                    <w:rPr>
                      <w:color w:val="000000"/>
                      <w:bdr w:val="none" w:color="auto" w:sz="0" w:space="0"/>
                      <w:lang w:val="en-US"/>
                    </w:rPr>
                    <w:t>;</w:t>
                  </w:r>
                  <w:r>
                    <w:rPr>
                      <w:rFonts w:hint="eastAsia" w:ascii="Times New Roman" w:hAnsi="Times New Roman" w:eastAsia="宋体" w:cs="宋体"/>
                      <w:color w:val="000000"/>
                      <w:bdr w:val="none" w:color="auto" w:sz="0" w:space="0"/>
                    </w:rPr>
                    <w:t>禁止从事对水体有污染的水产养殖等活动。</w:t>
                  </w:r>
                </w:p>
              </w:tc>
              <w:tc>
                <w:tcPr>
                  <w:tcW w:w="1404" w:type="pct"/>
                  <w:tcBorders>
                    <w:top w:val="single" w:color="auto" w:sz="4" w:space="0"/>
                    <w:left w:val="single" w:color="auto" w:sz="4" w:space="0"/>
                    <w:bottom w:val="single" w:color="auto" w:sz="4" w:space="0"/>
                    <w:right w:val="nil"/>
                  </w:tcBorders>
                  <w:shd w:val="clear"/>
                  <w:vAlign w:val="center"/>
                </w:tcPr>
                <w:p w14:paraId="1AB483EA">
                  <w:pPr>
                    <w:pStyle w:val="28"/>
                    <w:widowControl/>
                    <w:rPr>
                      <w:color w:val="000000"/>
                      <w:bdr w:val="none" w:color="auto" w:sz="0" w:space="0"/>
                      <w:lang w:val="en-US"/>
                    </w:rPr>
                  </w:pPr>
                  <w:r>
                    <w:rPr>
                      <w:rFonts w:hint="eastAsia" w:ascii="Times New Roman" w:hAnsi="Times New Roman" w:eastAsia="宋体" w:cs="宋体"/>
                      <w:color w:val="000000"/>
                      <w:bdr w:val="none" w:color="auto" w:sz="0" w:space="0"/>
                    </w:rPr>
                    <w:t>扩建项目不涉及饮用水源二级保护区</w:t>
                  </w:r>
                </w:p>
              </w:tc>
            </w:tr>
            <w:tr w14:paraId="294B79F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vAlign w:val="center"/>
                </w:tcPr>
                <w:p w14:paraId="29CDE7EC">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bdr w:val="none" w:color="auto" w:sz="0" w:space="0"/>
                      <w:lang w:val="en-US"/>
                    </w:rPr>
                  </w:pPr>
                  <w:r>
                    <w:rPr>
                      <w:rFonts w:hint="default" w:ascii="Times New Roman" w:hAnsi="Times New Roman" w:eastAsia="等线" w:cs="Times New Roman"/>
                      <w:color w:val="000000"/>
                      <w:kern w:val="0"/>
                      <w:sz w:val="22"/>
                      <w:szCs w:val="24"/>
                      <w:bdr w:val="none" w:color="auto" w:sz="0" w:space="0"/>
                      <w:lang w:val="en-US" w:eastAsia="zh-CN" w:bidi="ar"/>
                    </w:rPr>
                    <w:t>7</w:t>
                  </w:r>
                </w:p>
              </w:tc>
              <w:tc>
                <w:tcPr>
                  <w:tcW w:w="3032" w:type="pct"/>
                  <w:tcBorders>
                    <w:top w:val="single" w:color="auto" w:sz="4" w:space="0"/>
                    <w:left w:val="single" w:color="auto" w:sz="4" w:space="0"/>
                    <w:bottom w:val="single" w:color="auto" w:sz="4" w:space="0"/>
                    <w:right w:val="single" w:color="auto" w:sz="4" w:space="0"/>
                  </w:tcBorders>
                  <w:shd w:val="clear"/>
                  <w:vAlign w:val="center"/>
                </w:tcPr>
                <w:p w14:paraId="51FC5866">
                  <w:pPr>
                    <w:pStyle w:val="28"/>
                    <w:widowControl/>
                    <w:jc w:val="left"/>
                    <w:rPr>
                      <w:color w:val="000000"/>
                      <w:bdr w:val="none" w:color="auto" w:sz="0" w:space="0"/>
                      <w:lang w:val="en-US"/>
                    </w:rPr>
                  </w:pPr>
                  <w:r>
                    <w:rPr>
                      <w:rFonts w:hint="eastAsia" w:ascii="Times New Roman" w:hAnsi="Times New Roman" w:eastAsia="宋体" w:cs="宋体"/>
                      <w:color w:val="000000"/>
                      <w:bdr w:val="none" w:color="auto" w:sz="0" w:space="0"/>
                    </w:rPr>
                    <w:t>第十一条</w:t>
                  </w:r>
                  <w:r>
                    <w:rPr>
                      <w:color w:val="000000"/>
                      <w:bdr w:val="none" w:color="auto" w:sz="0" w:space="0"/>
                    </w:rPr>
                    <w:t xml:space="preserve"> </w:t>
                  </w:r>
                  <w:r>
                    <w:rPr>
                      <w:rFonts w:hint="eastAsia" w:ascii="Times New Roman" w:hAnsi="Times New Roman" w:eastAsia="宋体" w:cs="宋体"/>
                      <w:color w:val="000000"/>
                      <w:bdr w:val="none" w:color="auto" w:sz="0" w:space="0"/>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404" w:type="pct"/>
                  <w:tcBorders>
                    <w:top w:val="single" w:color="auto" w:sz="4" w:space="0"/>
                    <w:left w:val="single" w:color="auto" w:sz="4" w:space="0"/>
                    <w:bottom w:val="single" w:color="auto" w:sz="4" w:space="0"/>
                    <w:right w:val="nil"/>
                  </w:tcBorders>
                  <w:shd w:val="clear"/>
                  <w:vAlign w:val="center"/>
                </w:tcPr>
                <w:p w14:paraId="28F8B912">
                  <w:pPr>
                    <w:pStyle w:val="28"/>
                    <w:widowControl/>
                    <w:rPr>
                      <w:color w:val="000000"/>
                      <w:bdr w:val="none" w:color="auto" w:sz="0" w:space="0"/>
                      <w:lang w:val="en-US"/>
                    </w:rPr>
                  </w:pPr>
                  <w:r>
                    <w:rPr>
                      <w:rFonts w:hint="eastAsia" w:ascii="Times New Roman" w:hAnsi="Times New Roman" w:eastAsia="宋体" w:cs="宋体"/>
                      <w:color w:val="000000"/>
                      <w:bdr w:val="none" w:color="auto" w:sz="0" w:space="0"/>
                    </w:rPr>
                    <w:t>扩建项目不涉及饮用水源保护区</w:t>
                  </w:r>
                </w:p>
              </w:tc>
            </w:tr>
            <w:tr w14:paraId="731A7BA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vAlign w:val="center"/>
                </w:tcPr>
                <w:p w14:paraId="7281C2EF">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bdr w:val="none" w:color="auto" w:sz="0" w:space="0"/>
                      <w:lang w:val="en-US"/>
                    </w:rPr>
                  </w:pPr>
                  <w:r>
                    <w:rPr>
                      <w:rFonts w:hint="default" w:ascii="Times New Roman" w:hAnsi="Times New Roman" w:eastAsia="等线" w:cs="Times New Roman"/>
                      <w:color w:val="000000"/>
                      <w:kern w:val="0"/>
                      <w:sz w:val="22"/>
                      <w:szCs w:val="24"/>
                      <w:bdr w:val="none" w:color="auto" w:sz="0" w:space="0"/>
                      <w:lang w:val="en-US" w:eastAsia="zh-CN" w:bidi="ar"/>
                    </w:rPr>
                    <w:t>8</w:t>
                  </w:r>
                </w:p>
              </w:tc>
              <w:tc>
                <w:tcPr>
                  <w:tcW w:w="3032" w:type="pct"/>
                  <w:tcBorders>
                    <w:top w:val="single" w:color="auto" w:sz="4" w:space="0"/>
                    <w:left w:val="single" w:color="auto" w:sz="4" w:space="0"/>
                    <w:bottom w:val="single" w:color="auto" w:sz="4" w:space="0"/>
                    <w:right w:val="single" w:color="auto" w:sz="4" w:space="0"/>
                  </w:tcBorders>
                  <w:shd w:val="clear"/>
                  <w:vAlign w:val="center"/>
                </w:tcPr>
                <w:p w14:paraId="16346B20">
                  <w:pPr>
                    <w:pStyle w:val="28"/>
                    <w:widowControl/>
                    <w:jc w:val="left"/>
                    <w:rPr>
                      <w:color w:val="000000"/>
                      <w:bdr w:val="none" w:color="auto" w:sz="0" w:space="0"/>
                      <w:lang w:val="en-US"/>
                    </w:rPr>
                  </w:pPr>
                  <w:r>
                    <w:rPr>
                      <w:rFonts w:hint="eastAsia" w:ascii="Times New Roman" w:hAnsi="Times New Roman" w:eastAsia="宋体" w:cs="宋体"/>
                      <w:color w:val="000000"/>
                      <w:bdr w:val="none" w:color="auto" w:sz="0" w:space="0"/>
                    </w:rPr>
                    <w:t>第十二条</w:t>
                  </w:r>
                  <w:r>
                    <w:rPr>
                      <w:color w:val="000000"/>
                      <w:bdr w:val="none" w:color="auto" w:sz="0" w:space="0"/>
                    </w:rPr>
                    <w:t xml:space="preserve"> </w:t>
                  </w:r>
                  <w:r>
                    <w:rPr>
                      <w:rFonts w:hint="eastAsia" w:ascii="Times New Roman" w:hAnsi="Times New Roman" w:eastAsia="宋体" w:cs="宋体"/>
                      <w:color w:val="000000"/>
                      <w:bdr w:val="none" w:color="auto" w:sz="0" w:space="0"/>
                    </w:rPr>
                    <w:t>禁止在水产种质资源保护区岸线和河段范围内新建围湖造田、围湖造地或挖沙采石等投资建设项目。</w:t>
                  </w:r>
                </w:p>
              </w:tc>
              <w:tc>
                <w:tcPr>
                  <w:tcW w:w="1404" w:type="pct"/>
                  <w:tcBorders>
                    <w:top w:val="single" w:color="auto" w:sz="4" w:space="0"/>
                    <w:left w:val="single" w:color="auto" w:sz="4" w:space="0"/>
                    <w:bottom w:val="single" w:color="auto" w:sz="4" w:space="0"/>
                    <w:right w:val="nil"/>
                  </w:tcBorders>
                  <w:shd w:val="clear"/>
                  <w:vAlign w:val="center"/>
                </w:tcPr>
                <w:p w14:paraId="6AC881C0">
                  <w:pPr>
                    <w:pStyle w:val="28"/>
                    <w:widowControl/>
                    <w:rPr>
                      <w:color w:val="000000"/>
                      <w:bdr w:val="none" w:color="auto" w:sz="0" w:space="0"/>
                      <w:lang w:val="en-US"/>
                    </w:rPr>
                  </w:pPr>
                  <w:r>
                    <w:rPr>
                      <w:rFonts w:hint="eastAsia" w:ascii="Times New Roman" w:hAnsi="Times New Roman" w:eastAsia="宋体" w:cs="宋体"/>
                      <w:color w:val="000000"/>
                      <w:bdr w:val="none" w:color="auto" w:sz="0" w:space="0"/>
                    </w:rPr>
                    <w:t>扩建项目不在水产种质资源保护区岸线和河段范围</w:t>
                  </w:r>
                </w:p>
              </w:tc>
            </w:tr>
            <w:tr w14:paraId="7974110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vAlign w:val="center"/>
                </w:tcPr>
                <w:p w14:paraId="673ED477">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bdr w:val="none" w:color="auto" w:sz="0" w:space="0"/>
                      <w:lang w:val="en-US"/>
                    </w:rPr>
                  </w:pPr>
                  <w:r>
                    <w:rPr>
                      <w:rFonts w:hint="default" w:ascii="Times New Roman" w:hAnsi="Times New Roman" w:eastAsia="等线" w:cs="Times New Roman"/>
                      <w:color w:val="000000"/>
                      <w:kern w:val="0"/>
                      <w:sz w:val="22"/>
                      <w:szCs w:val="24"/>
                      <w:bdr w:val="none" w:color="auto" w:sz="0" w:space="0"/>
                      <w:lang w:val="en-US" w:eastAsia="zh-CN" w:bidi="ar"/>
                    </w:rPr>
                    <w:t>9</w:t>
                  </w:r>
                </w:p>
              </w:tc>
              <w:tc>
                <w:tcPr>
                  <w:tcW w:w="3032" w:type="pct"/>
                  <w:tcBorders>
                    <w:top w:val="single" w:color="auto" w:sz="4" w:space="0"/>
                    <w:left w:val="single" w:color="auto" w:sz="4" w:space="0"/>
                    <w:bottom w:val="single" w:color="auto" w:sz="4" w:space="0"/>
                    <w:right w:val="single" w:color="auto" w:sz="4" w:space="0"/>
                  </w:tcBorders>
                  <w:shd w:val="clear"/>
                  <w:vAlign w:val="center"/>
                </w:tcPr>
                <w:p w14:paraId="3A105088">
                  <w:pPr>
                    <w:pStyle w:val="28"/>
                    <w:widowControl/>
                    <w:jc w:val="left"/>
                    <w:rPr>
                      <w:color w:val="000000"/>
                      <w:bdr w:val="none" w:color="auto" w:sz="0" w:space="0"/>
                      <w:lang w:val="en-US"/>
                    </w:rPr>
                  </w:pPr>
                  <w:r>
                    <w:rPr>
                      <w:rFonts w:hint="eastAsia" w:ascii="Times New Roman" w:hAnsi="Times New Roman" w:eastAsia="宋体" w:cs="宋体"/>
                      <w:color w:val="000000"/>
                      <w:bdr w:val="none" w:color="auto" w:sz="0" w:space="0"/>
                    </w:rPr>
                    <w:t>第十三条</w:t>
                  </w:r>
                  <w:r>
                    <w:rPr>
                      <w:color w:val="000000"/>
                      <w:bdr w:val="none" w:color="auto" w:sz="0" w:space="0"/>
                    </w:rPr>
                    <w:t xml:space="preserve"> </w:t>
                  </w:r>
                  <w:r>
                    <w:rPr>
                      <w:rFonts w:hint="eastAsia" w:ascii="Times New Roman" w:hAnsi="Times New Roman" w:eastAsia="宋体" w:cs="宋体"/>
                      <w:color w:val="000000"/>
                      <w:bdr w:val="none" w:color="auto" w:sz="0" w:space="0"/>
                    </w:rPr>
                    <w:t>禁止在国家湿地公园的岸线和河段范围内开</w:t>
                  </w:r>
                  <w:r>
                    <w:rPr>
                      <w:color w:val="000000"/>
                      <w:bdr w:val="none" w:color="auto" w:sz="0" w:space="0"/>
                      <w:lang w:val="en-US"/>
                    </w:rPr>
                    <w:t>(</w:t>
                  </w:r>
                  <w:r>
                    <w:rPr>
                      <w:rFonts w:hint="eastAsia" w:ascii="Times New Roman" w:hAnsi="Times New Roman" w:eastAsia="宋体" w:cs="宋体"/>
                      <w:color w:val="000000"/>
                      <w:bdr w:val="none" w:color="auto" w:sz="0" w:space="0"/>
                    </w:rPr>
                    <w:t>围</w:t>
                  </w:r>
                  <w:r>
                    <w:rPr>
                      <w:color w:val="000000"/>
                      <w:bdr w:val="none" w:color="auto" w:sz="0" w:space="0"/>
                      <w:lang w:val="en-US"/>
                    </w:rPr>
                    <w:t>)</w:t>
                  </w:r>
                  <w:r>
                    <w:rPr>
                      <w:rFonts w:hint="eastAsia" w:ascii="Times New Roman" w:hAnsi="Times New Roman" w:eastAsia="宋体" w:cs="宋体"/>
                      <w:color w:val="000000"/>
                      <w:bdr w:val="none" w:color="auto" w:sz="0" w:space="0"/>
                    </w:rPr>
                    <w:t>垦、填埋或者排干湿地，截断湿地水源，挖沙、采矿，倾倒有毒有害物质、废弃物、垃圾，从事房地产、度假村、高尔夫球场、风力发电、光伏发电等任何不符合主体功能定位的建设项目和开发活动，破坏野生动物栖息地和迁徙通道、鱼类洹游通道。</w:t>
                  </w:r>
                </w:p>
              </w:tc>
              <w:tc>
                <w:tcPr>
                  <w:tcW w:w="1404" w:type="pct"/>
                  <w:tcBorders>
                    <w:top w:val="single" w:color="auto" w:sz="4" w:space="0"/>
                    <w:left w:val="single" w:color="auto" w:sz="4" w:space="0"/>
                    <w:bottom w:val="single" w:color="auto" w:sz="4" w:space="0"/>
                    <w:right w:val="nil"/>
                  </w:tcBorders>
                  <w:shd w:val="clear"/>
                  <w:vAlign w:val="center"/>
                </w:tcPr>
                <w:p w14:paraId="71692EED">
                  <w:pPr>
                    <w:pStyle w:val="28"/>
                    <w:widowControl/>
                    <w:rPr>
                      <w:color w:val="000000"/>
                      <w:bdr w:val="none" w:color="auto" w:sz="0" w:space="0"/>
                      <w:lang w:val="en-US"/>
                    </w:rPr>
                  </w:pPr>
                  <w:r>
                    <w:rPr>
                      <w:rFonts w:hint="eastAsia" w:ascii="Times New Roman" w:hAnsi="Times New Roman" w:eastAsia="宋体" w:cs="宋体"/>
                      <w:color w:val="000000"/>
                      <w:bdr w:val="none" w:color="auto" w:sz="0" w:space="0"/>
                    </w:rPr>
                    <w:t>扩建项目不在国家湿地公园的岸线和河段</w:t>
                  </w:r>
                </w:p>
              </w:tc>
            </w:tr>
            <w:tr w14:paraId="533D9A6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vAlign w:val="center"/>
                </w:tcPr>
                <w:p w14:paraId="3929682D">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bdr w:val="none" w:color="auto" w:sz="0" w:space="0"/>
                      <w:lang w:val="en-US"/>
                    </w:rPr>
                  </w:pPr>
                  <w:r>
                    <w:rPr>
                      <w:rFonts w:hint="default" w:ascii="Times New Roman" w:hAnsi="Times New Roman" w:eastAsia="等线" w:cs="Times New Roman"/>
                      <w:color w:val="000000"/>
                      <w:kern w:val="0"/>
                      <w:sz w:val="22"/>
                      <w:szCs w:val="24"/>
                      <w:bdr w:val="none" w:color="auto" w:sz="0" w:space="0"/>
                      <w:lang w:val="en-US" w:eastAsia="zh-CN" w:bidi="ar"/>
                    </w:rPr>
                    <w:t>10</w:t>
                  </w:r>
                </w:p>
              </w:tc>
              <w:tc>
                <w:tcPr>
                  <w:tcW w:w="3032" w:type="pct"/>
                  <w:tcBorders>
                    <w:top w:val="single" w:color="auto" w:sz="4" w:space="0"/>
                    <w:left w:val="single" w:color="auto" w:sz="4" w:space="0"/>
                    <w:bottom w:val="single" w:color="auto" w:sz="4" w:space="0"/>
                    <w:right w:val="single" w:color="auto" w:sz="4" w:space="0"/>
                  </w:tcBorders>
                  <w:shd w:val="clear"/>
                  <w:vAlign w:val="center"/>
                </w:tcPr>
                <w:p w14:paraId="242C9FA3">
                  <w:pPr>
                    <w:pStyle w:val="28"/>
                    <w:widowControl/>
                    <w:jc w:val="left"/>
                    <w:rPr>
                      <w:color w:val="000000"/>
                      <w:bdr w:val="none" w:color="auto" w:sz="0" w:space="0"/>
                      <w:lang w:val="en-US"/>
                    </w:rPr>
                  </w:pPr>
                  <w:r>
                    <w:rPr>
                      <w:rFonts w:hint="eastAsia" w:ascii="Times New Roman" w:hAnsi="Times New Roman" w:eastAsia="宋体" w:cs="宋体"/>
                      <w:color w:val="000000"/>
                      <w:bdr w:val="none" w:color="auto" w:sz="0" w:space="0"/>
                    </w:rPr>
                    <w:t>第十四</w:t>
                  </w:r>
                  <w:r>
                    <w:rPr>
                      <w:color w:val="000000"/>
                      <w:bdr w:val="none" w:color="auto" w:sz="0" w:space="0"/>
                    </w:rPr>
                    <w:t xml:space="preserve"> </w:t>
                  </w:r>
                  <w:r>
                    <w:rPr>
                      <w:rFonts w:hint="eastAsia" w:ascii="Times New Roman" w:hAnsi="Times New Roman" w:eastAsia="宋体" w:cs="宋体"/>
                      <w:color w:val="000000"/>
                      <w:bdr w:val="none" w:color="auto" w:sz="0" w:space="0"/>
                    </w:rPr>
                    <w:t>条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404" w:type="pct"/>
                  <w:tcBorders>
                    <w:top w:val="single" w:color="auto" w:sz="4" w:space="0"/>
                    <w:left w:val="single" w:color="auto" w:sz="4" w:space="0"/>
                    <w:bottom w:val="single" w:color="auto" w:sz="4" w:space="0"/>
                    <w:right w:val="nil"/>
                  </w:tcBorders>
                  <w:shd w:val="clear"/>
                  <w:vAlign w:val="center"/>
                </w:tcPr>
                <w:p w14:paraId="00CD1476">
                  <w:pPr>
                    <w:pStyle w:val="28"/>
                    <w:widowControl/>
                    <w:rPr>
                      <w:color w:val="000000"/>
                      <w:bdr w:val="none" w:color="auto" w:sz="0" w:space="0"/>
                      <w:lang w:val="en-US"/>
                    </w:rPr>
                  </w:pPr>
                  <w:r>
                    <w:rPr>
                      <w:rFonts w:hint="eastAsia" w:ascii="Times New Roman" w:hAnsi="Times New Roman" w:eastAsia="宋体" w:cs="宋体"/>
                      <w:color w:val="000000"/>
                      <w:bdr w:val="none" w:color="auto" w:sz="0" w:space="0"/>
                    </w:rPr>
                    <w:t>扩建项目不占用长江流域河湖岸线</w:t>
                  </w:r>
                </w:p>
              </w:tc>
            </w:tr>
            <w:tr w14:paraId="72C24E9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vAlign w:val="center"/>
                </w:tcPr>
                <w:p w14:paraId="2C9AE41D">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bdr w:val="none" w:color="auto" w:sz="0" w:space="0"/>
                      <w:lang w:val="en-US"/>
                    </w:rPr>
                  </w:pPr>
                  <w:r>
                    <w:rPr>
                      <w:rFonts w:hint="default" w:ascii="Times New Roman" w:hAnsi="Times New Roman" w:eastAsia="等线" w:cs="Times New Roman"/>
                      <w:color w:val="000000"/>
                      <w:kern w:val="0"/>
                      <w:sz w:val="22"/>
                      <w:szCs w:val="24"/>
                      <w:bdr w:val="none" w:color="auto" w:sz="0" w:space="0"/>
                      <w:lang w:val="en-US" w:eastAsia="zh-CN" w:bidi="ar"/>
                    </w:rPr>
                    <w:t>11</w:t>
                  </w:r>
                </w:p>
              </w:tc>
              <w:tc>
                <w:tcPr>
                  <w:tcW w:w="3032" w:type="pct"/>
                  <w:tcBorders>
                    <w:top w:val="single" w:color="auto" w:sz="4" w:space="0"/>
                    <w:left w:val="single" w:color="auto" w:sz="4" w:space="0"/>
                    <w:bottom w:val="single" w:color="auto" w:sz="4" w:space="0"/>
                    <w:right w:val="single" w:color="auto" w:sz="4" w:space="0"/>
                  </w:tcBorders>
                  <w:shd w:val="clear"/>
                  <w:vAlign w:val="center"/>
                </w:tcPr>
                <w:p w14:paraId="4BA83688">
                  <w:pPr>
                    <w:pStyle w:val="28"/>
                    <w:widowControl/>
                    <w:jc w:val="left"/>
                    <w:rPr>
                      <w:color w:val="000000"/>
                      <w:bdr w:val="none" w:color="auto" w:sz="0" w:space="0"/>
                      <w:lang w:val="en-US"/>
                    </w:rPr>
                  </w:pPr>
                  <w:r>
                    <w:rPr>
                      <w:rFonts w:hint="eastAsia" w:ascii="Times New Roman" w:hAnsi="Times New Roman" w:eastAsia="宋体" w:cs="宋体"/>
                      <w:color w:val="000000"/>
                      <w:bdr w:val="none" w:color="auto" w:sz="0" w:space="0"/>
                    </w:rPr>
                    <w:t>第十五条</w:t>
                  </w:r>
                  <w:r>
                    <w:rPr>
                      <w:color w:val="000000"/>
                      <w:bdr w:val="none" w:color="auto" w:sz="0" w:space="0"/>
                    </w:rPr>
                    <w:t xml:space="preserve"> </w:t>
                  </w:r>
                  <w:r>
                    <w:rPr>
                      <w:rFonts w:hint="eastAsia" w:ascii="Times New Roman" w:hAnsi="Times New Roman" w:eastAsia="宋体" w:cs="宋体"/>
                      <w:color w:val="000000"/>
                      <w:bdr w:val="none" w:color="auto" w:sz="0" w:space="0"/>
                    </w:rPr>
                    <w:t>禁止在《全国重要江河湖泊水功能区划》划定的河段及湖泊保护区、保留区内投资建设不利于水资源及自然生态保护的项目。</w:t>
                  </w:r>
                </w:p>
              </w:tc>
              <w:tc>
                <w:tcPr>
                  <w:tcW w:w="1404" w:type="pct"/>
                  <w:vMerge w:val="restart"/>
                  <w:tcBorders>
                    <w:top w:val="single" w:color="auto" w:sz="4" w:space="0"/>
                    <w:left w:val="single" w:color="auto" w:sz="4" w:space="0"/>
                    <w:bottom w:val="single" w:color="auto" w:sz="4" w:space="0"/>
                    <w:right w:val="nil"/>
                  </w:tcBorders>
                  <w:shd w:val="clear"/>
                  <w:vAlign w:val="center"/>
                </w:tcPr>
                <w:p w14:paraId="32EAD25D">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bdr w:val="none" w:color="auto" w:sz="0" w:space="0"/>
                      <w:lang w:val="en-US"/>
                    </w:rPr>
                  </w:pPr>
                  <w:r>
                    <w:rPr>
                      <w:rFonts w:hint="eastAsia" w:ascii="Times New Roman" w:hAnsi="Calibri" w:eastAsia="宋体" w:cs="宋体"/>
                      <w:color w:val="000000"/>
                      <w:kern w:val="2"/>
                      <w:sz w:val="21"/>
                      <w:szCs w:val="24"/>
                      <w:bdr w:val="none" w:color="auto" w:sz="0" w:space="0"/>
                      <w:lang w:val="en-US" w:eastAsia="zh-CN" w:bidi="ar"/>
                    </w:rPr>
                    <w:t>扩建项目不在《全国重要江河湖泊水功能区划》划定的河段保护区、保留区内，扩建项目不设置排放口。</w:t>
                  </w:r>
                </w:p>
              </w:tc>
            </w:tr>
            <w:tr w14:paraId="485C46C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vAlign w:val="center"/>
                </w:tcPr>
                <w:p w14:paraId="1826723E">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bdr w:val="none" w:color="auto" w:sz="0" w:space="0"/>
                      <w:lang w:val="en-US"/>
                    </w:rPr>
                  </w:pPr>
                  <w:r>
                    <w:rPr>
                      <w:rFonts w:hint="default" w:ascii="Times New Roman" w:hAnsi="Times New Roman" w:eastAsia="等线" w:cs="Times New Roman"/>
                      <w:color w:val="000000"/>
                      <w:kern w:val="0"/>
                      <w:sz w:val="22"/>
                      <w:szCs w:val="24"/>
                      <w:bdr w:val="none" w:color="auto" w:sz="0" w:space="0"/>
                      <w:lang w:val="en-US" w:eastAsia="zh-CN" w:bidi="ar"/>
                    </w:rPr>
                    <w:t>12</w:t>
                  </w:r>
                </w:p>
              </w:tc>
              <w:tc>
                <w:tcPr>
                  <w:tcW w:w="3032" w:type="pct"/>
                  <w:tcBorders>
                    <w:top w:val="single" w:color="auto" w:sz="4" w:space="0"/>
                    <w:left w:val="single" w:color="auto" w:sz="4" w:space="0"/>
                    <w:bottom w:val="single" w:color="auto" w:sz="4" w:space="0"/>
                    <w:right w:val="single" w:color="auto" w:sz="4" w:space="0"/>
                  </w:tcBorders>
                  <w:shd w:val="clear"/>
                  <w:vAlign w:val="center"/>
                </w:tcPr>
                <w:p w14:paraId="60AB4A3D">
                  <w:pPr>
                    <w:pStyle w:val="28"/>
                    <w:widowControl/>
                    <w:jc w:val="left"/>
                    <w:rPr>
                      <w:rFonts w:eastAsia="等线"/>
                      <w:color w:val="000000"/>
                      <w:kern w:val="0"/>
                      <w:bdr w:val="none" w:color="auto" w:sz="0" w:space="0"/>
                      <w:lang w:val="en-US"/>
                    </w:rPr>
                  </w:pPr>
                  <w:r>
                    <w:rPr>
                      <w:rFonts w:hint="eastAsia" w:ascii="Times New Roman" w:hAnsi="Times New Roman" w:eastAsia="宋体" w:cs="宋体"/>
                      <w:color w:val="000000"/>
                      <w:bdr w:val="none" w:color="auto" w:sz="0" w:space="0"/>
                    </w:rPr>
                    <w:t>第十六条</w:t>
                  </w:r>
                  <w:r>
                    <w:rPr>
                      <w:color w:val="000000"/>
                      <w:bdr w:val="none" w:color="auto" w:sz="0" w:space="0"/>
                    </w:rPr>
                    <w:t xml:space="preserve"> </w:t>
                  </w:r>
                  <w:r>
                    <w:rPr>
                      <w:rFonts w:hint="eastAsia" w:ascii="Times New Roman" w:hAnsi="Times New Roman" w:eastAsia="宋体" w:cs="宋体"/>
                      <w:color w:val="000000"/>
                      <w:bdr w:val="none" w:color="auto" w:sz="0" w:space="0"/>
                    </w:rPr>
                    <w:t>禁止在长江流域江河、湖泊新设、改设或者扩大排污口，经有管辖权的生态环境主管部门或者长江流域生态环境监督管理机构同意的除外。</w:t>
                  </w:r>
                </w:p>
              </w:tc>
              <w:tc>
                <w:tcPr>
                  <w:tcW w:w="1404" w:type="pct"/>
                  <w:vMerge w:val="continue"/>
                  <w:tcBorders>
                    <w:top w:val="single" w:color="auto" w:sz="4" w:space="0"/>
                    <w:left w:val="single" w:color="auto" w:sz="4" w:space="0"/>
                    <w:bottom w:val="single" w:color="auto" w:sz="4" w:space="0"/>
                    <w:right w:val="nil"/>
                  </w:tcBorders>
                  <w:shd w:val="clear"/>
                  <w:vAlign w:val="center"/>
                </w:tcPr>
                <w:p w14:paraId="11CDF8F5">
                  <w:pPr>
                    <w:rPr>
                      <w:rFonts w:hint="default" w:ascii="Calibri" w:hAnsi="Calibri" w:cs="Calibri"/>
                      <w:sz w:val="20"/>
                      <w:szCs w:val="20"/>
                    </w:rPr>
                  </w:pPr>
                </w:p>
              </w:tc>
            </w:tr>
            <w:tr w14:paraId="7C50136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vAlign w:val="center"/>
                </w:tcPr>
                <w:p w14:paraId="26E59727">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bdr w:val="none" w:color="auto" w:sz="0" w:space="0"/>
                      <w:lang w:val="en-US"/>
                    </w:rPr>
                  </w:pPr>
                  <w:r>
                    <w:rPr>
                      <w:rFonts w:hint="default" w:ascii="Times New Roman" w:hAnsi="Times New Roman" w:eastAsia="等线" w:cs="Times New Roman"/>
                      <w:color w:val="000000"/>
                      <w:kern w:val="0"/>
                      <w:sz w:val="22"/>
                      <w:szCs w:val="24"/>
                      <w:bdr w:val="none" w:color="auto" w:sz="0" w:space="0"/>
                      <w:lang w:val="en-US" w:eastAsia="zh-CN" w:bidi="ar"/>
                    </w:rPr>
                    <w:t>13</w:t>
                  </w:r>
                </w:p>
              </w:tc>
              <w:tc>
                <w:tcPr>
                  <w:tcW w:w="3032" w:type="pct"/>
                  <w:tcBorders>
                    <w:top w:val="single" w:color="auto" w:sz="4" w:space="0"/>
                    <w:left w:val="single" w:color="auto" w:sz="4" w:space="0"/>
                    <w:bottom w:val="single" w:color="auto" w:sz="4" w:space="0"/>
                    <w:right w:val="single" w:color="auto" w:sz="4" w:space="0"/>
                  </w:tcBorders>
                  <w:shd w:val="clear"/>
                  <w:vAlign w:val="center"/>
                </w:tcPr>
                <w:p w14:paraId="487C71D3">
                  <w:pPr>
                    <w:pStyle w:val="28"/>
                    <w:widowControl/>
                    <w:jc w:val="left"/>
                    <w:rPr>
                      <w:color w:val="000000"/>
                      <w:bdr w:val="none" w:color="auto" w:sz="0" w:space="0"/>
                      <w:lang w:val="en-US"/>
                    </w:rPr>
                  </w:pPr>
                  <w:r>
                    <w:rPr>
                      <w:rFonts w:hint="eastAsia" w:ascii="Times New Roman" w:hAnsi="Times New Roman" w:eastAsia="宋体" w:cs="宋体"/>
                      <w:color w:val="000000"/>
                      <w:bdr w:val="none" w:color="auto" w:sz="0" w:space="0"/>
                    </w:rPr>
                    <w:t>第十七条</w:t>
                  </w:r>
                  <w:r>
                    <w:rPr>
                      <w:color w:val="000000"/>
                      <w:bdr w:val="none" w:color="auto" w:sz="0" w:space="0"/>
                    </w:rPr>
                    <w:t xml:space="preserve"> </w:t>
                  </w:r>
                  <w:r>
                    <w:rPr>
                      <w:rFonts w:hint="eastAsia" w:ascii="Times New Roman" w:hAnsi="Times New Roman" w:eastAsia="宋体" w:cs="宋体"/>
                      <w:color w:val="000000"/>
                      <w:bdr w:val="none" w:color="auto" w:sz="0" w:space="0"/>
                    </w:rPr>
                    <w:t>禁止在长江干流、大渡河、岷江、赤水河、沱江、嘉陵江、乌江、汉江和</w:t>
                  </w:r>
                  <w:r>
                    <w:rPr>
                      <w:color w:val="000000"/>
                      <w:bdr w:val="none" w:color="auto" w:sz="0" w:space="0"/>
                      <w:lang w:val="en-US"/>
                    </w:rPr>
                    <w:t>51</w:t>
                  </w:r>
                  <w:r>
                    <w:rPr>
                      <w:rFonts w:hint="eastAsia" w:ascii="Times New Roman" w:hAnsi="Times New Roman" w:eastAsia="宋体" w:cs="宋体"/>
                      <w:color w:val="000000"/>
                      <w:bdr w:val="none" w:color="auto" w:sz="0" w:space="0"/>
                    </w:rPr>
                    <w:t>个（四川省</w:t>
                  </w:r>
                  <w:r>
                    <w:rPr>
                      <w:color w:val="000000"/>
                      <w:bdr w:val="none" w:color="auto" w:sz="0" w:space="0"/>
                      <w:lang w:val="en-US"/>
                    </w:rPr>
                    <w:t>45</w:t>
                  </w:r>
                  <w:r>
                    <w:rPr>
                      <w:rFonts w:hint="eastAsia" w:ascii="Times New Roman" w:hAnsi="Times New Roman" w:eastAsia="宋体" w:cs="宋体"/>
                      <w:color w:val="000000"/>
                      <w:bdr w:val="none" w:color="auto" w:sz="0" w:space="0"/>
                    </w:rPr>
                    <w:t>个、重庆市</w:t>
                  </w:r>
                  <w:r>
                    <w:rPr>
                      <w:color w:val="000000"/>
                      <w:bdr w:val="none" w:color="auto" w:sz="0" w:space="0"/>
                      <w:lang w:val="en-US"/>
                    </w:rPr>
                    <w:t>6</w:t>
                  </w:r>
                  <w:r>
                    <w:rPr>
                      <w:rFonts w:hint="eastAsia" w:ascii="Times New Roman" w:hAnsi="Times New Roman" w:eastAsia="宋体" w:cs="宋体"/>
                      <w:color w:val="000000"/>
                      <w:bdr w:val="none" w:color="auto" w:sz="0" w:space="0"/>
                    </w:rPr>
                    <w:t>个）水生生物保护区开展生产性捕捞。</w:t>
                  </w:r>
                </w:p>
              </w:tc>
              <w:tc>
                <w:tcPr>
                  <w:tcW w:w="1404" w:type="pct"/>
                  <w:tcBorders>
                    <w:top w:val="single" w:color="auto" w:sz="4" w:space="0"/>
                    <w:left w:val="single" w:color="auto" w:sz="4" w:space="0"/>
                    <w:bottom w:val="single" w:color="auto" w:sz="4" w:space="0"/>
                    <w:right w:val="nil"/>
                  </w:tcBorders>
                  <w:shd w:val="clear"/>
                  <w:vAlign w:val="center"/>
                </w:tcPr>
                <w:p w14:paraId="0389EBB7">
                  <w:pPr>
                    <w:keepNext w:val="0"/>
                    <w:keepLines w:val="0"/>
                    <w:widowControl w:val="0"/>
                    <w:suppressLineNumbers w:val="0"/>
                    <w:spacing w:before="0" w:beforeAutospacing="0" w:after="0" w:afterAutospacing="0"/>
                    <w:ind w:left="0" w:right="0"/>
                    <w:jc w:val="both"/>
                    <w:rPr>
                      <w:rFonts w:hint="default" w:ascii="Times New Roman" w:hAnsi="Times New Roman" w:cs="Times New Roman"/>
                      <w:bCs/>
                      <w:color w:val="000000"/>
                      <w:szCs w:val="21"/>
                      <w:bdr w:val="none" w:color="auto" w:sz="0" w:space="0"/>
                      <w:lang w:val="en-US"/>
                    </w:rPr>
                  </w:pPr>
                  <w:r>
                    <w:rPr>
                      <w:rFonts w:hint="eastAsia" w:ascii="Times New Roman" w:hAnsi="Calibri" w:eastAsia="宋体" w:cs="宋体"/>
                      <w:color w:val="000000"/>
                      <w:kern w:val="2"/>
                      <w:sz w:val="21"/>
                      <w:szCs w:val="24"/>
                      <w:bdr w:val="none" w:color="auto" w:sz="0" w:space="0"/>
                      <w:lang w:val="en-US" w:eastAsia="zh-CN" w:bidi="ar"/>
                    </w:rPr>
                    <w:t>扩建项目不涉及捕捞</w:t>
                  </w:r>
                </w:p>
              </w:tc>
            </w:tr>
            <w:tr w14:paraId="75C7C6A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vAlign w:val="center"/>
                </w:tcPr>
                <w:p w14:paraId="20449077">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bdr w:val="none" w:color="auto" w:sz="0" w:space="0"/>
                      <w:lang w:val="en-US"/>
                    </w:rPr>
                  </w:pPr>
                  <w:r>
                    <w:rPr>
                      <w:rFonts w:hint="default" w:ascii="Times New Roman" w:hAnsi="Times New Roman" w:eastAsia="等线" w:cs="Times New Roman"/>
                      <w:color w:val="000000"/>
                      <w:kern w:val="0"/>
                      <w:sz w:val="22"/>
                      <w:szCs w:val="24"/>
                      <w:bdr w:val="none" w:color="auto" w:sz="0" w:space="0"/>
                      <w:lang w:val="en-US" w:eastAsia="zh-CN" w:bidi="ar"/>
                    </w:rPr>
                    <w:t>14</w:t>
                  </w:r>
                </w:p>
              </w:tc>
              <w:tc>
                <w:tcPr>
                  <w:tcW w:w="3032" w:type="pct"/>
                  <w:tcBorders>
                    <w:top w:val="single" w:color="auto" w:sz="4" w:space="0"/>
                    <w:left w:val="single" w:color="auto" w:sz="4" w:space="0"/>
                    <w:bottom w:val="single" w:color="auto" w:sz="4" w:space="0"/>
                    <w:right w:val="single" w:color="auto" w:sz="4" w:space="0"/>
                  </w:tcBorders>
                  <w:shd w:val="clear"/>
                  <w:vAlign w:val="center"/>
                </w:tcPr>
                <w:p w14:paraId="5CD56775">
                  <w:pPr>
                    <w:pStyle w:val="28"/>
                    <w:widowControl/>
                    <w:jc w:val="left"/>
                    <w:rPr>
                      <w:color w:val="000000"/>
                      <w:bdr w:val="none" w:color="auto" w:sz="0" w:space="0"/>
                      <w:lang w:val="en-US"/>
                    </w:rPr>
                  </w:pPr>
                  <w:r>
                    <w:rPr>
                      <w:rFonts w:hint="eastAsia" w:ascii="Times New Roman" w:hAnsi="Times New Roman" w:eastAsia="宋体" w:cs="宋体"/>
                      <w:color w:val="000000"/>
                      <w:bdr w:val="none" w:color="auto" w:sz="0" w:space="0"/>
                    </w:rPr>
                    <w:t>第十八条</w:t>
                  </w:r>
                  <w:r>
                    <w:rPr>
                      <w:color w:val="000000"/>
                      <w:bdr w:val="none" w:color="auto" w:sz="0" w:space="0"/>
                    </w:rPr>
                    <w:t xml:space="preserve"> </w:t>
                  </w:r>
                  <w:r>
                    <w:rPr>
                      <w:rFonts w:hint="eastAsia" w:ascii="Times New Roman" w:hAnsi="Times New Roman" w:eastAsia="宋体" w:cs="宋体"/>
                      <w:color w:val="000000"/>
                      <w:bdr w:val="none" w:color="auto" w:sz="0" w:space="0"/>
                    </w:rPr>
                    <w:t>禁止在长江干支流、重要湖泊岸线一公里范围内新建、扩建化工园区和化工项目。</w:t>
                  </w:r>
                </w:p>
              </w:tc>
              <w:tc>
                <w:tcPr>
                  <w:tcW w:w="1404" w:type="pct"/>
                  <w:tcBorders>
                    <w:top w:val="single" w:color="auto" w:sz="4" w:space="0"/>
                    <w:left w:val="single" w:color="auto" w:sz="4" w:space="0"/>
                    <w:bottom w:val="single" w:color="auto" w:sz="4" w:space="0"/>
                    <w:right w:val="nil"/>
                  </w:tcBorders>
                  <w:shd w:val="clear"/>
                  <w:vAlign w:val="center"/>
                </w:tcPr>
                <w:p w14:paraId="6EDB93AE">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bdr w:val="none" w:color="auto" w:sz="0" w:space="0"/>
                      <w:lang w:val="en-US"/>
                    </w:rPr>
                  </w:pPr>
                  <w:r>
                    <w:rPr>
                      <w:rFonts w:hint="eastAsia" w:ascii="Times New Roman" w:hAnsi="Calibri" w:eastAsia="宋体" w:cs="宋体"/>
                      <w:color w:val="000000"/>
                      <w:kern w:val="2"/>
                      <w:sz w:val="21"/>
                      <w:szCs w:val="24"/>
                      <w:bdr w:val="none" w:color="auto" w:sz="0" w:space="0"/>
                      <w:lang w:val="en-US" w:eastAsia="zh-CN" w:bidi="ar"/>
                    </w:rPr>
                    <w:t>扩建项目不在长江干支流、重要湖泊岸线一公里范围内，不属于化工项目</w:t>
                  </w:r>
                </w:p>
              </w:tc>
            </w:tr>
            <w:tr w14:paraId="7DF1805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vAlign w:val="center"/>
                </w:tcPr>
                <w:p w14:paraId="3A3DCE97">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bdr w:val="none" w:color="auto" w:sz="0" w:space="0"/>
                      <w:lang w:val="en-US"/>
                    </w:rPr>
                  </w:pPr>
                  <w:r>
                    <w:rPr>
                      <w:rFonts w:hint="default" w:ascii="Times New Roman" w:hAnsi="Times New Roman" w:eastAsia="等线" w:cs="Times New Roman"/>
                      <w:color w:val="000000"/>
                      <w:kern w:val="0"/>
                      <w:sz w:val="22"/>
                      <w:szCs w:val="24"/>
                      <w:bdr w:val="none" w:color="auto" w:sz="0" w:space="0"/>
                      <w:lang w:val="en-US" w:eastAsia="zh-CN" w:bidi="ar"/>
                    </w:rPr>
                    <w:t>15</w:t>
                  </w:r>
                </w:p>
              </w:tc>
              <w:tc>
                <w:tcPr>
                  <w:tcW w:w="3032" w:type="pct"/>
                  <w:tcBorders>
                    <w:top w:val="single" w:color="auto" w:sz="4" w:space="0"/>
                    <w:left w:val="single" w:color="auto" w:sz="4" w:space="0"/>
                    <w:bottom w:val="single" w:color="auto" w:sz="4" w:space="0"/>
                    <w:right w:val="single" w:color="auto" w:sz="4" w:space="0"/>
                  </w:tcBorders>
                  <w:shd w:val="clear"/>
                  <w:vAlign w:val="center"/>
                </w:tcPr>
                <w:p w14:paraId="03D6B424">
                  <w:pPr>
                    <w:pStyle w:val="28"/>
                    <w:widowControl/>
                    <w:jc w:val="left"/>
                    <w:rPr>
                      <w:color w:val="000000"/>
                      <w:bdr w:val="none" w:color="auto" w:sz="0" w:space="0"/>
                      <w:lang w:val="en-US"/>
                    </w:rPr>
                  </w:pPr>
                  <w:r>
                    <w:rPr>
                      <w:rFonts w:hint="eastAsia" w:ascii="Times New Roman" w:hAnsi="Times New Roman" w:eastAsia="宋体" w:cs="宋体"/>
                      <w:color w:val="000000"/>
                      <w:bdr w:val="none" w:color="auto" w:sz="0" w:space="0"/>
                    </w:rPr>
                    <w:t>第十九条</w:t>
                  </w:r>
                  <w:r>
                    <w:rPr>
                      <w:color w:val="000000"/>
                      <w:bdr w:val="none" w:color="auto" w:sz="0" w:space="0"/>
                    </w:rPr>
                    <w:t xml:space="preserve"> </w:t>
                  </w:r>
                  <w:r>
                    <w:rPr>
                      <w:rFonts w:hint="eastAsia" w:ascii="Times New Roman" w:hAnsi="Times New Roman" w:eastAsia="宋体" w:cs="宋体"/>
                      <w:color w:val="000000"/>
                      <w:bdr w:val="none" w:color="auto" w:sz="0" w:space="0"/>
                    </w:rPr>
                    <w:t>禁止在长江干流岸线三公里范围内和重要支流岸线一公里范围内新建、改建、扩建尾矿库、冶炼渣库、磷石膏库，以提升安全、生态环境保护水平为目的的改建除外。</w:t>
                  </w:r>
                </w:p>
              </w:tc>
              <w:tc>
                <w:tcPr>
                  <w:tcW w:w="1404" w:type="pct"/>
                  <w:tcBorders>
                    <w:top w:val="single" w:color="auto" w:sz="4" w:space="0"/>
                    <w:left w:val="single" w:color="auto" w:sz="4" w:space="0"/>
                    <w:bottom w:val="single" w:color="auto" w:sz="4" w:space="0"/>
                    <w:right w:val="nil"/>
                  </w:tcBorders>
                  <w:shd w:val="clear"/>
                  <w:vAlign w:val="center"/>
                </w:tcPr>
                <w:p w14:paraId="7AE02D96">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bdr w:val="none" w:color="auto" w:sz="0" w:space="0"/>
                      <w:lang w:val="en-US"/>
                    </w:rPr>
                  </w:pPr>
                  <w:r>
                    <w:rPr>
                      <w:rFonts w:hint="eastAsia" w:ascii="Calibri" w:hAnsi="Calibri" w:eastAsia="宋体" w:cs="宋体"/>
                      <w:color w:val="000000"/>
                      <w:kern w:val="2"/>
                      <w:sz w:val="21"/>
                      <w:szCs w:val="24"/>
                      <w:bdr w:val="none" w:color="auto" w:sz="0" w:space="0"/>
                      <w:lang w:val="en-US" w:eastAsia="zh-CN" w:bidi="ar"/>
                    </w:rPr>
                    <w:t>扩建项目不涉及上述禁止项目。</w:t>
                  </w:r>
                </w:p>
              </w:tc>
            </w:tr>
            <w:tr w14:paraId="02F722E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vAlign w:val="center"/>
                </w:tcPr>
                <w:p w14:paraId="36819A1A">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bdr w:val="none" w:color="auto" w:sz="0" w:space="0"/>
                      <w:lang w:val="en-US"/>
                    </w:rPr>
                  </w:pPr>
                  <w:r>
                    <w:rPr>
                      <w:rFonts w:hint="default" w:ascii="Times New Roman" w:hAnsi="Times New Roman" w:eastAsia="等线" w:cs="Times New Roman"/>
                      <w:color w:val="000000"/>
                      <w:kern w:val="0"/>
                      <w:sz w:val="22"/>
                      <w:szCs w:val="24"/>
                      <w:bdr w:val="none" w:color="auto" w:sz="0" w:space="0"/>
                      <w:lang w:val="en-US" w:eastAsia="zh-CN" w:bidi="ar"/>
                    </w:rPr>
                    <w:t>16</w:t>
                  </w:r>
                </w:p>
              </w:tc>
              <w:tc>
                <w:tcPr>
                  <w:tcW w:w="3032" w:type="pct"/>
                  <w:tcBorders>
                    <w:top w:val="single" w:color="auto" w:sz="4" w:space="0"/>
                    <w:left w:val="single" w:color="auto" w:sz="4" w:space="0"/>
                    <w:bottom w:val="single" w:color="auto" w:sz="4" w:space="0"/>
                    <w:right w:val="single" w:color="auto" w:sz="4" w:space="0"/>
                  </w:tcBorders>
                  <w:shd w:val="clear"/>
                  <w:vAlign w:val="center"/>
                </w:tcPr>
                <w:p w14:paraId="3D5F633E">
                  <w:pPr>
                    <w:pStyle w:val="28"/>
                    <w:widowControl/>
                    <w:jc w:val="left"/>
                    <w:rPr>
                      <w:color w:val="000000"/>
                      <w:bdr w:val="none" w:color="auto" w:sz="0" w:space="0"/>
                      <w:lang w:val="en-US"/>
                    </w:rPr>
                  </w:pPr>
                  <w:r>
                    <w:rPr>
                      <w:rFonts w:hint="eastAsia" w:ascii="Times New Roman" w:hAnsi="Times New Roman" w:eastAsia="宋体" w:cs="宋体"/>
                      <w:color w:val="000000"/>
                      <w:bdr w:val="none" w:color="auto" w:sz="0" w:space="0"/>
                    </w:rPr>
                    <w:t>第二十条</w:t>
                  </w:r>
                  <w:r>
                    <w:rPr>
                      <w:color w:val="000000"/>
                      <w:bdr w:val="none" w:color="auto" w:sz="0" w:space="0"/>
                    </w:rPr>
                    <w:t xml:space="preserve"> </w:t>
                  </w:r>
                  <w:r>
                    <w:rPr>
                      <w:rFonts w:hint="eastAsia" w:ascii="Times New Roman" w:hAnsi="Times New Roman" w:eastAsia="宋体" w:cs="宋体"/>
                      <w:color w:val="000000"/>
                      <w:bdr w:val="none" w:color="auto" w:sz="0" w:space="0"/>
                    </w:rPr>
                    <w:t>禁止在生态保护红线区域、永久基本农田集中区域和其他需要特别保护的区域内选址建设尾矿库﹑冶炼渣库、磷石膏库。</w:t>
                  </w:r>
                </w:p>
              </w:tc>
              <w:tc>
                <w:tcPr>
                  <w:tcW w:w="1404" w:type="pct"/>
                  <w:tcBorders>
                    <w:top w:val="single" w:color="auto" w:sz="4" w:space="0"/>
                    <w:left w:val="single" w:color="auto" w:sz="4" w:space="0"/>
                    <w:bottom w:val="single" w:color="auto" w:sz="4" w:space="0"/>
                    <w:right w:val="nil"/>
                  </w:tcBorders>
                  <w:shd w:val="clear"/>
                  <w:vAlign w:val="center"/>
                </w:tcPr>
                <w:p w14:paraId="2FB2999A">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bdr w:val="none" w:color="auto" w:sz="0" w:space="0"/>
                      <w:lang w:val="en-US"/>
                    </w:rPr>
                  </w:pPr>
                  <w:r>
                    <w:rPr>
                      <w:rFonts w:hint="eastAsia" w:ascii="Times New Roman" w:hAnsi="Calibri" w:eastAsia="宋体" w:cs="宋体"/>
                      <w:color w:val="000000"/>
                      <w:kern w:val="2"/>
                      <w:sz w:val="21"/>
                      <w:szCs w:val="24"/>
                      <w:bdr w:val="none" w:color="auto" w:sz="0" w:space="0"/>
                      <w:lang w:val="en-US" w:eastAsia="zh-CN" w:bidi="ar"/>
                    </w:rPr>
                    <w:t>扩建项目不在生态保护红线区域、永久基本农田集中区域和其他需要特别保护的区域，不设置尾矿库﹑冶炼渣库、磷石膏库。</w:t>
                  </w:r>
                </w:p>
              </w:tc>
            </w:tr>
            <w:tr w14:paraId="45CD0A0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vAlign w:val="center"/>
                </w:tcPr>
                <w:p w14:paraId="3285ED57">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bdr w:val="none" w:color="auto" w:sz="0" w:space="0"/>
                      <w:lang w:val="en-US"/>
                    </w:rPr>
                  </w:pPr>
                  <w:r>
                    <w:rPr>
                      <w:rFonts w:hint="default" w:ascii="Times New Roman" w:hAnsi="Times New Roman" w:eastAsia="等线" w:cs="Times New Roman"/>
                      <w:color w:val="000000"/>
                      <w:kern w:val="0"/>
                      <w:sz w:val="22"/>
                      <w:szCs w:val="24"/>
                      <w:bdr w:val="none" w:color="auto" w:sz="0" w:space="0"/>
                      <w:lang w:val="en-US" w:eastAsia="zh-CN" w:bidi="ar"/>
                    </w:rPr>
                    <w:t>17</w:t>
                  </w:r>
                </w:p>
              </w:tc>
              <w:tc>
                <w:tcPr>
                  <w:tcW w:w="3032" w:type="pct"/>
                  <w:tcBorders>
                    <w:top w:val="single" w:color="auto" w:sz="4" w:space="0"/>
                    <w:left w:val="single" w:color="auto" w:sz="4" w:space="0"/>
                    <w:bottom w:val="single" w:color="auto" w:sz="4" w:space="0"/>
                    <w:right w:val="single" w:color="auto" w:sz="4" w:space="0"/>
                  </w:tcBorders>
                  <w:shd w:val="clear"/>
                  <w:vAlign w:val="center"/>
                </w:tcPr>
                <w:p w14:paraId="4EFDE580">
                  <w:pPr>
                    <w:pStyle w:val="28"/>
                    <w:widowControl/>
                    <w:jc w:val="left"/>
                    <w:rPr>
                      <w:color w:val="000000"/>
                      <w:bdr w:val="none" w:color="auto" w:sz="0" w:space="0"/>
                      <w:lang w:val="en-US"/>
                    </w:rPr>
                  </w:pPr>
                  <w:r>
                    <w:rPr>
                      <w:rFonts w:hint="eastAsia" w:ascii="Times New Roman" w:hAnsi="Times New Roman" w:eastAsia="宋体" w:cs="宋体"/>
                      <w:color w:val="000000"/>
                      <w:bdr w:val="none" w:color="auto" w:sz="0" w:space="0"/>
                    </w:rPr>
                    <w:t>第二十一条</w:t>
                  </w:r>
                  <w:r>
                    <w:rPr>
                      <w:color w:val="000000"/>
                      <w:bdr w:val="none" w:color="auto" w:sz="0" w:space="0"/>
                    </w:rPr>
                    <w:t xml:space="preserve"> </w:t>
                  </w:r>
                  <w:r>
                    <w:rPr>
                      <w:rFonts w:hint="eastAsia" w:ascii="Times New Roman" w:hAnsi="Times New Roman" w:eastAsia="宋体" w:cs="宋体"/>
                      <w:color w:val="000000"/>
                      <w:bdr w:val="none" w:color="auto" w:sz="0" w:space="0"/>
                    </w:rPr>
                    <w:t>禁止在合规园区外新建、扩建钢铁、石化、化工、焦化、建材、有色、制浆造纸等高污染项目。</w:t>
                  </w:r>
                </w:p>
              </w:tc>
              <w:tc>
                <w:tcPr>
                  <w:tcW w:w="1404" w:type="pct"/>
                  <w:tcBorders>
                    <w:top w:val="single" w:color="auto" w:sz="4" w:space="0"/>
                    <w:left w:val="single" w:color="auto" w:sz="4" w:space="0"/>
                    <w:bottom w:val="single" w:color="auto" w:sz="4" w:space="0"/>
                    <w:right w:val="nil"/>
                  </w:tcBorders>
                  <w:shd w:val="clear"/>
                  <w:vAlign w:val="center"/>
                </w:tcPr>
                <w:p w14:paraId="5ABB2ED6">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bdr w:val="none" w:color="auto" w:sz="0" w:space="0"/>
                      <w:lang w:val="en-US"/>
                    </w:rPr>
                  </w:pPr>
                  <w:r>
                    <w:rPr>
                      <w:rFonts w:hint="eastAsia" w:ascii="Times New Roman" w:hAnsi="Calibri" w:eastAsia="宋体" w:cs="宋体"/>
                      <w:color w:val="000000"/>
                      <w:kern w:val="2"/>
                      <w:sz w:val="21"/>
                      <w:szCs w:val="24"/>
                      <w:bdr w:val="none" w:color="auto" w:sz="0" w:space="0"/>
                      <w:lang w:val="en-US" w:eastAsia="zh-CN" w:bidi="ar"/>
                    </w:rPr>
                    <w:t>扩建项目不属于</w:t>
                  </w:r>
                </w:p>
              </w:tc>
            </w:tr>
            <w:tr w14:paraId="3547A57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vAlign w:val="center"/>
                </w:tcPr>
                <w:p w14:paraId="35158D51">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bdr w:val="none" w:color="auto" w:sz="0" w:space="0"/>
                      <w:lang w:val="en-US"/>
                    </w:rPr>
                  </w:pPr>
                  <w:r>
                    <w:rPr>
                      <w:rFonts w:hint="default" w:ascii="Times New Roman" w:hAnsi="Times New Roman" w:eastAsia="等线" w:cs="Times New Roman"/>
                      <w:color w:val="000000"/>
                      <w:kern w:val="0"/>
                      <w:sz w:val="22"/>
                      <w:szCs w:val="24"/>
                      <w:bdr w:val="none" w:color="auto" w:sz="0" w:space="0"/>
                      <w:lang w:val="en-US" w:eastAsia="zh-CN" w:bidi="ar"/>
                    </w:rPr>
                    <w:t>18</w:t>
                  </w:r>
                </w:p>
              </w:tc>
              <w:tc>
                <w:tcPr>
                  <w:tcW w:w="3032" w:type="pct"/>
                  <w:tcBorders>
                    <w:top w:val="single" w:color="auto" w:sz="4" w:space="0"/>
                    <w:left w:val="single" w:color="auto" w:sz="4" w:space="0"/>
                    <w:bottom w:val="single" w:color="auto" w:sz="4" w:space="0"/>
                    <w:right w:val="single" w:color="auto" w:sz="4" w:space="0"/>
                  </w:tcBorders>
                  <w:shd w:val="clear"/>
                  <w:vAlign w:val="center"/>
                </w:tcPr>
                <w:p w14:paraId="7FB68FF4">
                  <w:pPr>
                    <w:pStyle w:val="28"/>
                    <w:widowControl/>
                    <w:jc w:val="left"/>
                    <w:rPr>
                      <w:color w:val="000000"/>
                      <w:bdr w:val="none" w:color="auto" w:sz="0" w:space="0"/>
                      <w:lang w:val="en-US"/>
                    </w:rPr>
                  </w:pPr>
                  <w:r>
                    <w:rPr>
                      <w:rFonts w:hint="eastAsia" w:ascii="Times New Roman" w:hAnsi="Times New Roman" w:eastAsia="宋体" w:cs="宋体"/>
                      <w:color w:val="000000"/>
                      <w:bdr w:val="none" w:color="auto" w:sz="0" w:space="0"/>
                    </w:rPr>
                    <w:t>第二十二条禁止新建、扩建不符合国家石化、现代煤化工等产业布局规划的项目。</w:t>
                  </w:r>
                </w:p>
              </w:tc>
              <w:tc>
                <w:tcPr>
                  <w:tcW w:w="1404" w:type="pct"/>
                  <w:tcBorders>
                    <w:top w:val="single" w:color="auto" w:sz="4" w:space="0"/>
                    <w:left w:val="single" w:color="auto" w:sz="4" w:space="0"/>
                    <w:bottom w:val="single" w:color="auto" w:sz="4" w:space="0"/>
                    <w:right w:val="nil"/>
                  </w:tcBorders>
                  <w:shd w:val="clear"/>
                  <w:vAlign w:val="center"/>
                </w:tcPr>
                <w:p w14:paraId="595BD29F">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bdr w:val="none" w:color="auto" w:sz="0" w:space="0"/>
                      <w:lang w:val="en-US"/>
                    </w:rPr>
                  </w:pPr>
                  <w:r>
                    <w:rPr>
                      <w:rFonts w:hint="eastAsia" w:ascii="Times New Roman" w:hAnsi="Calibri" w:eastAsia="宋体" w:cs="宋体"/>
                      <w:color w:val="000000"/>
                      <w:kern w:val="2"/>
                      <w:sz w:val="21"/>
                      <w:szCs w:val="24"/>
                      <w:bdr w:val="none" w:color="auto" w:sz="0" w:space="0"/>
                      <w:lang w:val="en-US" w:eastAsia="zh-CN" w:bidi="ar"/>
                    </w:rPr>
                    <w:t>扩建项目不属于</w:t>
                  </w:r>
                </w:p>
              </w:tc>
            </w:tr>
            <w:tr w14:paraId="486EB45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vAlign w:val="center"/>
                </w:tcPr>
                <w:p w14:paraId="7D5C22BB">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bdr w:val="none" w:color="auto" w:sz="0" w:space="0"/>
                      <w:lang w:val="en-US"/>
                    </w:rPr>
                  </w:pPr>
                  <w:r>
                    <w:rPr>
                      <w:rFonts w:hint="default" w:ascii="Times New Roman" w:hAnsi="Times New Roman" w:eastAsia="等线" w:cs="Times New Roman"/>
                      <w:color w:val="000000"/>
                      <w:kern w:val="0"/>
                      <w:sz w:val="22"/>
                      <w:szCs w:val="24"/>
                      <w:bdr w:val="none" w:color="auto" w:sz="0" w:space="0"/>
                      <w:lang w:val="en-US" w:eastAsia="zh-CN" w:bidi="ar"/>
                    </w:rPr>
                    <w:t>19</w:t>
                  </w:r>
                </w:p>
              </w:tc>
              <w:tc>
                <w:tcPr>
                  <w:tcW w:w="3032" w:type="pct"/>
                  <w:tcBorders>
                    <w:top w:val="single" w:color="auto" w:sz="4" w:space="0"/>
                    <w:left w:val="single" w:color="auto" w:sz="4" w:space="0"/>
                    <w:bottom w:val="single" w:color="auto" w:sz="4" w:space="0"/>
                    <w:right w:val="single" w:color="auto" w:sz="4" w:space="0"/>
                  </w:tcBorders>
                  <w:shd w:val="clear"/>
                  <w:vAlign w:val="center"/>
                </w:tcPr>
                <w:p w14:paraId="6F27A8A6">
                  <w:pPr>
                    <w:pStyle w:val="28"/>
                    <w:widowControl/>
                    <w:jc w:val="left"/>
                    <w:rPr>
                      <w:color w:val="000000"/>
                      <w:bdr w:val="none" w:color="auto" w:sz="0" w:space="0"/>
                      <w:lang w:val="en-US"/>
                    </w:rPr>
                  </w:pPr>
                  <w:r>
                    <w:rPr>
                      <w:rFonts w:hint="eastAsia" w:ascii="Times New Roman" w:hAnsi="Times New Roman" w:eastAsia="宋体" w:cs="宋体"/>
                      <w:color w:val="000000"/>
                      <w:bdr w:val="none" w:color="auto" w:sz="0" w:space="0"/>
                    </w:rPr>
                    <w:t>第二十三条禁止新建、扩建法律法规和相关政策明令禁止的落后产能项目。对《产业结构调整指导目录》中淘汰类项目，禁止投资</w:t>
                  </w:r>
                  <w:r>
                    <w:rPr>
                      <w:color w:val="000000"/>
                      <w:bdr w:val="none" w:color="auto" w:sz="0" w:space="0"/>
                      <w:lang w:val="en-US"/>
                    </w:rPr>
                    <w:t>;</w:t>
                  </w:r>
                  <w:r>
                    <w:rPr>
                      <w:rFonts w:hint="eastAsia" w:ascii="Times New Roman" w:hAnsi="Times New Roman" w:eastAsia="宋体" w:cs="宋体"/>
                      <w:color w:val="000000"/>
                      <w:bdr w:val="none" w:color="auto" w:sz="0" w:space="0"/>
                    </w:rPr>
                    <w:t>限制类的新建项目，禁止投资，对属于限制类的现有生产能力，允许企业在一定期限内采取措施改造升级。</w:t>
                  </w:r>
                </w:p>
              </w:tc>
              <w:tc>
                <w:tcPr>
                  <w:tcW w:w="1404" w:type="pct"/>
                  <w:tcBorders>
                    <w:top w:val="single" w:color="auto" w:sz="4" w:space="0"/>
                    <w:left w:val="single" w:color="auto" w:sz="4" w:space="0"/>
                    <w:bottom w:val="single" w:color="auto" w:sz="4" w:space="0"/>
                    <w:right w:val="nil"/>
                  </w:tcBorders>
                  <w:shd w:val="clear"/>
                  <w:vAlign w:val="center"/>
                </w:tcPr>
                <w:p w14:paraId="1F455254">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bdr w:val="none" w:color="auto" w:sz="0" w:space="0"/>
                      <w:lang w:val="en-US"/>
                    </w:rPr>
                  </w:pPr>
                  <w:r>
                    <w:rPr>
                      <w:rFonts w:hint="eastAsia" w:ascii="Times New Roman" w:hAnsi="Calibri" w:eastAsia="宋体" w:cs="宋体"/>
                      <w:color w:val="000000"/>
                      <w:kern w:val="2"/>
                      <w:sz w:val="21"/>
                      <w:szCs w:val="24"/>
                      <w:bdr w:val="none" w:color="auto" w:sz="0" w:space="0"/>
                      <w:lang w:val="en-US" w:eastAsia="zh-CN" w:bidi="ar"/>
                    </w:rPr>
                    <w:t>扩建项目不属于</w:t>
                  </w:r>
                </w:p>
              </w:tc>
            </w:tr>
            <w:tr w14:paraId="54CF3BF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vAlign w:val="center"/>
                </w:tcPr>
                <w:p w14:paraId="776CAD08">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bdr w:val="none" w:color="auto" w:sz="0" w:space="0"/>
                      <w:lang w:val="en-US"/>
                    </w:rPr>
                  </w:pPr>
                  <w:r>
                    <w:rPr>
                      <w:rFonts w:hint="default" w:ascii="Times New Roman" w:hAnsi="Times New Roman" w:eastAsia="等线" w:cs="Times New Roman"/>
                      <w:color w:val="000000"/>
                      <w:kern w:val="0"/>
                      <w:sz w:val="22"/>
                      <w:szCs w:val="24"/>
                      <w:bdr w:val="none" w:color="auto" w:sz="0" w:space="0"/>
                      <w:lang w:val="en-US" w:eastAsia="zh-CN" w:bidi="ar"/>
                    </w:rPr>
                    <w:t>20</w:t>
                  </w:r>
                </w:p>
              </w:tc>
              <w:tc>
                <w:tcPr>
                  <w:tcW w:w="3032" w:type="pct"/>
                  <w:tcBorders>
                    <w:top w:val="single" w:color="auto" w:sz="4" w:space="0"/>
                    <w:left w:val="single" w:color="auto" w:sz="4" w:space="0"/>
                    <w:bottom w:val="single" w:color="auto" w:sz="4" w:space="0"/>
                    <w:right w:val="single" w:color="auto" w:sz="4" w:space="0"/>
                  </w:tcBorders>
                  <w:shd w:val="clear"/>
                  <w:vAlign w:val="center"/>
                </w:tcPr>
                <w:p w14:paraId="0B0AA86F">
                  <w:pPr>
                    <w:pStyle w:val="28"/>
                    <w:widowControl/>
                    <w:jc w:val="left"/>
                    <w:rPr>
                      <w:color w:val="000000"/>
                      <w:bdr w:val="none" w:color="auto" w:sz="0" w:space="0"/>
                      <w:lang w:val="en-US"/>
                    </w:rPr>
                  </w:pPr>
                  <w:r>
                    <w:rPr>
                      <w:rFonts w:hint="eastAsia" w:ascii="Times New Roman" w:hAnsi="Times New Roman" w:eastAsia="宋体" w:cs="宋体"/>
                      <w:color w:val="000000"/>
                      <w:bdr w:val="none" w:color="auto" w:sz="0" w:space="0"/>
                    </w:rPr>
                    <w:t>第二十四条禁止新建、扩建不符合国家产能置换要求的严重过剩产能行业的项目。对于不符合国家产能置换要求的严重过剩产能行业，不得以其他任何名义、任何方式备案新增产能项目。</w:t>
                  </w:r>
                </w:p>
              </w:tc>
              <w:tc>
                <w:tcPr>
                  <w:tcW w:w="1404" w:type="pct"/>
                  <w:tcBorders>
                    <w:top w:val="single" w:color="auto" w:sz="4" w:space="0"/>
                    <w:left w:val="single" w:color="auto" w:sz="4" w:space="0"/>
                    <w:bottom w:val="single" w:color="auto" w:sz="4" w:space="0"/>
                    <w:right w:val="nil"/>
                  </w:tcBorders>
                  <w:shd w:val="clear"/>
                  <w:vAlign w:val="center"/>
                </w:tcPr>
                <w:p w14:paraId="24FADFE4">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bdr w:val="none" w:color="auto" w:sz="0" w:space="0"/>
                      <w:lang w:val="en-US"/>
                    </w:rPr>
                  </w:pPr>
                  <w:r>
                    <w:rPr>
                      <w:rFonts w:hint="eastAsia" w:ascii="Times New Roman" w:hAnsi="Calibri" w:eastAsia="宋体" w:cs="宋体"/>
                      <w:color w:val="000000"/>
                      <w:kern w:val="2"/>
                      <w:sz w:val="21"/>
                      <w:szCs w:val="24"/>
                      <w:bdr w:val="none" w:color="auto" w:sz="0" w:space="0"/>
                      <w:lang w:val="en-US" w:eastAsia="zh-CN" w:bidi="ar"/>
                    </w:rPr>
                    <w:t>扩建项目不属于</w:t>
                  </w:r>
                </w:p>
              </w:tc>
            </w:tr>
            <w:tr w14:paraId="031FE8F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vAlign w:val="center"/>
                </w:tcPr>
                <w:p w14:paraId="177FB54C">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bdr w:val="none" w:color="auto" w:sz="0" w:space="0"/>
                      <w:lang w:val="en-US"/>
                    </w:rPr>
                  </w:pPr>
                  <w:r>
                    <w:rPr>
                      <w:rFonts w:hint="default" w:ascii="Times New Roman" w:hAnsi="Times New Roman" w:eastAsia="等线" w:cs="Times New Roman"/>
                      <w:color w:val="000000"/>
                      <w:kern w:val="0"/>
                      <w:sz w:val="22"/>
                      <w:szCs w:val="24"/>
                      <w:bdr w:val="none" w:color="auto" w:sz="0" w:space="0"/>
                      <w:lang w:val="en-US" w:eastAsia="zh-CN" w:bidi="ar"/>
                    </w:rPr>
                    <w:t>21</w:t>
                  </w:r>
                </w:p>
              </w:tc>
              <w:tc>
                <w:tcPr>
                  <w:tcW w:w="3032" w:type="pct"/>
                  <w:tcBorders>
                    <w:top w:val="single" w:color="auto" w:sz="4" w:space="0"/>
                    <w:left w:val="single" w:color="auto" w:sz="4" w:space="0"/>
                    <w:bottom w:val="single" w:color="auto" w:sz="4" w:space="0"/>
                    <w:right w:val="single" w:color="auto" w:sz="4" w:space="0"/>
                  </w:tcBorders>
                  <w:shd w:val="clear"/>
                  <w:vAlign w:val="center"/>
                </w:tcPr>
                <w:p w14:paraId="4BF43753">
                  <w:pPr>
                    <w:pStyle w:val="28"/>
                    <w:widowControl/>
                    <w:jc w:val="left"/>
                    <w:rPr>
                      <w:color w:val="000000"/>
                      <w:bdr w:val="none" w:color="auto" w:sz="0" w:space="0"/>
                      <w:lang w:val="en-US"/>
                    </w:rPr>
                  </w:pPr>
                  <w:r>
                    <w:rPr>
                      <w:rFonts w:hint="eastAsia" w:ascii="Times New Roman" w:hAnsi="Times New Roman" w:eastAsia="宋体" w:cs="宋体"/>
                      <w:color w:val="000000"/>
                      <w:bdr w:val="none" w:color="auto" w:sz="0" w:space="0"/>
                    </w:rPr>
                    <w:t>第二十五条禁止建设以下燃油汽车投资项目（不在中国境内销售产品的投资项目除外）</w:t>
                  </w:r>
                </w:p>
              </w:tc>
              <w:tc>
                <w:tcPr>
                  <w:tcW w:w="1404" w:type="pct"/>
                  <w:tcBorders>
                    <w:top w:val="single" w:color="auto" w:sz="4" w:space="0"/>
                    <w:left w:val="single" w:color="auto" w:sz="4" w:space="0"/>
                    <w:bottom w:val="single" w:color="auto" w:sz="4" w:space="0"/>
                    <w:right w:val="nil"/>
                  </w:tcBorders>
                  <w:shd w:val="clear"/>
                  <w:vAlign w:val="center"/>
                </w:tcPr>
                <w:p w14:paraId="22B043FF">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bdr w:val="none" w:color="auto" w:sz="0" w:space="0"/>
                      <w:lang w:val="en-US"/>
                    </w:rPr>
                  </w:pPr>
                  <w:r>
                    <w:rPr>
                      <w:rFonts w:hint="eastAsia" w:ascii="Times New Roman" w:hAnsi="Calibri" w:eastAsia="宋体" w:cs="宋体"/>
                      <w:color w:val="000000"/>
                      <w:kern w:val="2"/>
                      <w:sz w:val="21"/>
                      <w:szCs w:val="24"/>
                      <w:bdr w:val="none" w:color="auto" w:sz="0" w:space="0"/>
                      <w:lang w:val="en-US" w:eastAsia="zh-CN" w:bidi="ar"/>
                    </w:rPr>
                    <w:t>扩建项目不属于</w:t>
                  </w:r>
                </w:p>
              </w:tc>
            </w:tr>
            <w:tr w14:paraId="638B761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12" w:space="0"/>
                    <w:right w:val="single" w:color="auto" w:sz="4" w:space="0"/>
                  </w:tcBorders>
                  <w:shd w:val="clear"/>
                  <w:vAlign w:val="center"/>
                </w:tcPr>
                <w:p w14:paraId="295B9071">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bdr w:val="none" w:color="auto" w:sz="0" w:space="0"/>
                      <w:lang w:val="en-US"/>
                    </w:rPr>
                  </w:pPr>
                  <w:r>
                    <w:rPr>
                      <w:rFonts w:hint="default" w:ascii="Times New Roman" w:hAnsi="Times New Roman" w:eastAsia="等线" w:cs="Times New Roman"/>
                      <w:color w:val="000000"/>
                      <w:kern w:val="0"/>
                      <w:sz w:val="22"/>
                      <w:szCs w:val="24"/>
                      <w:bdr w:val="none" w:color="auto" w:sz="0" w:space="0"/>
                      <w:lang w:val="en-US" w:eastAsia="zh-CN" w:bidi="ar"/>
                    </w:rPr>
                    <w:t>22</w:t>
                  </w:r>
                </w:p>
              </w:tc>
              <w:tc>
                <w:tcPr>
                  <w:tcW w:w="3032" w:type="pct"/>
                  <w:tcBorders>
                    <w:top w:val="single" w:color="auto" w:sz="4" w:space="0"/>
                    <w:left w:val="single" w:color="auto" w:sz="4" w:space="0"/>
                    <w:bottom w:val="single" w:color="auto" w:sz="12" w:space="0"/>
                    <w:right w:val="single" w:color="auto" w:sz="4" w:space="0"/>
                  </w:tcBorders>
                  <w:shd w:val="clear"/>
                  <w:vAlign w:val="center"/>
                </w:tcPr>
                <w:p w14:paraId="084F09E4">
                  <w:pPr>
                    <w:pStyle w:val="28"/>
                    <w:widowControl/>
                    <w:jc w:val="left"/>
                    <w:rPr>
                      <w:color w:val="000000"/>
                      <w:bdr w:val="none" w:color="auto" w:sz="0" w:space="0"/>
                      <w:lang w:val="en-US"/>
                    </w:rPr>
                  </w:pPr>
                  <w:r>
                    <w:rPr>
                      <w:rFonts w:hint="eastAsia" w:ascii="Times New Roman" w:hAnsi="Times New Roman" w:eastAsia="宋体" w:cs="宋体"/>
                      <w:color w:val="000000"/>
                      <w:bdr w:val="none" w:color="auto" w:sz="0" w:space="0"/>
                    </w:rPr>
                    <w:t>第二十六条禁止新建、扩建不符合要求的高耗能、高排放、低水平项目。</w:t>
                  </w:r>
                </w:p>
              </w:tc>
              <w:tc>
                <w:tcPr>
                  <w:tcW w:w="1404" w:type="pct"/>
                  <w:tcBorders>
                    <w:top w:val="single" w:color="auto" w:sz="4" w:space="0"/>
                    <w:left w:val="single" w:color="auto" w:sz="4" w:space="0"/>
                    <w:bottom w:val="single" w:color="auto" w:sz="12" w:space="0"/>
                    <w:right w:val="nil"/>
                  </w:tcBorders>
                  <w:shd w:val="clear"/>
                  <w:vAlign w:val="center"/>
                </w:tcPr>
                <w:p w14:paraId="7EF66E6E">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bdr w:val="none" w:color="auto" w:sz="0" w:space="0"/>
                      <w:lang w:val="en-US"/>
                    </w:rPr>
                  </w:pPr>
                  <w:r>
                    <w:rPr>
                      <w:rFonts w:hint="eastAsia" w:ascii="Times New Roman" w:hAnsi="Calibri" w:eastAsia="宋体" w:cs="宋体"/>
                      <w:color w:val="000000"/>
                      <w:kern w:val="2"/>
                      <w:sz w:val="21"/>
                      <w:szCs w:val="24"/>
                      <w:bdr w:val="none" w:color="auto" w:sz="0" w:space="0"/>
                      <w:lang w:val="en-US" w:eastAsia="zh-CN" w:bidi="ar"/>
                    </w:rPr>
                    <w:t>扩建项目不属于</w:t>
                  </w:r>
                </w:p>
              </w:tc>
            </w:tr>
          </w:tbl>
          <w:p w14:paraId="23AB7058">
            <w:pPr>
              <w:pStyle w:val="59"/>
              <w:widowControl/>
              <w:ind w:left="0" w:firstLine="480"/>
              <w:rPr>
                <w:bCs w:val="0"/>
                <w:color w:val="000000"/>
                <w:sz w:val="24"/>
                <w:szCs w:val="24"/>
                <w:bdr w:val="none" w:color="auto" w:sz="0" w:space="0"/>
                <w:lang w:val="en-US" w:eastAsia="zh-CN"/>
              </w:rPr>
            </w:pPr>
            <w:r>
              <w:rPr>
                <w:rFonts w:hint="eastAsia" w:ascii="Times New Roman" w:hAnsi="Times New Roman" w:eastAsia="宋体" w:cs="宋体"/>
                <w:bCs w:val="0"/>
                <w:color w:val="000000"/>
                <w:sz w:val="24"/>
                <w:szCs w:val="24"/>
                <w:bdr w:val="none" w:color="auto" w:sz="0" w:space="0"/>
                <w:lang w:val="en-US" w:eastAsia="zh-CN"/>
              </w:rPr>
              <w:t>经对比，扩建项目不属于《四川省、重庆市长江经济带发展负面清单实施细则（试行，</w:t>
            </w:r>
            <w:r>
              <w:rPr>
                <w:bCs w:val="0"/>
                <w:color w:val="000000"/>
                <w:sz w:val="24"/>
                <w:szCs w:val="24"/>
                <w:bdr w:val="none" w:color="auto" w:sz="0" w:space="0"/>
                <w:lang w:val="en-US" w:eastAsia="zh-CN"/>
              </w:rPr>
              <w:t>2022</w:t>
            </w:r>
            <w:r>
              <w:rPr>
                <w:rFonts w:hint="eastAsia" w:ascii="Times New Roman" w:hAnsi="Times New Roman" w:eastAsia="宋体" w:cs="宋体"/>
                <w:bCs w:val="0"/>
                <w:color w:val="000000"/>
                <w:sz w:val="24"/>
                <w:szCs w:val="24"/>
                <w:bdr w:val="none" w:color="auto" w:sz="0" w:space="0"/>
                <w:lang w:val="en-US" w:eastAsia="zh-CN"/>
              </w:rPr>
              <w:t>年版）》中禁止类项目。</w:t>
            </w:r>
          </w:p>
          <w:p w14:paraId="5278D6E4">
            <w:pPr>
              <w:keepNext w:val="0"/>
              <w:keepLines w:val="0"/>
              <w:widowControl/>
              <w:suppressLineNumbers w:val="0"/>
              <w:spacing w:before="0" w:beforeAutospacing="0" w:after="0" w:afterAutospacing="0" w:line="440" w:lineRule="exact"/>
              <w:ind w:left="0" w:right="0"/>
              <w:jc w:val="left"/>
              <w:outlineLvl w:val="2"/>
              <w:rPr>
                <w:rFonts w:hint="default" w:ascii="Times New Roman" w:hAnsi="Times New Roman" w:cs="Times New Roman"/>
                <w:b/>
                <w:bCs w:val="0"/>
                <w:color w:val="000000"/>
                <w:sz w:val="24"/>
                <w:szCs w:val="24"/>
                <w:bdr w:val="none" w:color="auto" w:sz="0" w:space="0"/>
                <w:lang w:val="en-US"/>
              </w:rPr>
            </w:pPr>
            <w:r>
              <w:rPr>
                <w:rFonts w:hint="default" w:ascii="Times New Roman" w:hAnsi="Times New Roman" w:eastAsia="宋体" w:cs="Times New Roman"/>
                <w:b/>
                <w:bCs w:val="0"/>
                <w:color w:val="000000"/>
                <w:kern w:val="2"/>
                <w:sz w:val="24"/>
                <w:szCs w:val="24"/>
                <w:bdr w:val="none" w:color="auto" w:sz="0" w:space="0"/>
                <w:lang w:val="en-US" w:eastAsia="zh-CN" w:bidi="ar"/>
              </w:rPr>
              <w:t xml:space="preserve">1.2.6 </w:t>
            </w:r>
            <w:r>
              <w:rPr>
                <w:rFonts w:hint="eastAsia" w:ascii="Times New Roman" w:hAnsi="Times New Roman" w:eastAsia="宋体" w:cs="宋体"/>
                <w:b/>
                <w:bCs w:val="0"/>
                <w:color w:val="000000"/>
                <w:kern w:val="2"/>
                <w:sz w:val="24"/>
                <w:szCs w:val="24"/>
                <w:bdr w:val="none" w:color="auto" w:sz="0" w:space="0"/>
                <w:lang w:val="en-US" w:eastAsia="zh-CN" w:bidi="ar"/>
              </w:rPr>
              <w:t>与《重庆市发展和改革委员会关于印发重庆市产业投资准入工作手册的通知》</w:t>
            </w:r>
            <w:r>
              <w:rPr>
                <w:rFonts w:hint="default" w:ascii="Times New Roman" w:hAnsi="Times New Roman" w:eastAsia="宋体" w:cs="Times New Roman"/>
                <w:b/>
                <w:bCs w:val="0"/>
                <w:color w:val="000000"/>
                <w:kern w:val="2"/>
                <w:sz w:val="24"/>
                <w:szCs w:val="24"/>
                <w:bdr w:val="none" w:color="auto" w:sz="0" w:space="0"/>
                <w:lang w:val="en-US" w:eastAsia="zh-CN" w:bidi="ar"/>
              </w:rPr>
              <w:t>(</w:t>
            </w:r>
            <w:r>
              <w:rPr>
                <w:rFonts w:hint="eastAsia" w:ascii="Times New Roman" w:hAnsi="Times New Roman" w:eastAsia="宋体" w:cs="宋体"/>
                <w:b/>
                <w:bCs w:val="0"/>
                <w:color w:val="000000"/>
                <w:kern w:val="2"/>
                <w:sz w:val="24"/>
                <w:szCs w:val="24"/>
                <w:bdr w:val="none" w:color="auto" w:sz="0" w:space="0"/>
                <w:lang w:val="en-US" w:eastAsia="zh-CN" w:bidi="ar"/>
              </w:rPr>
              <w:t>渝发改投资〔</w:t>
            </w:r>
            <w:r>
              <w:rPr>
                <w:rFonts w:hint="default" w:ascii="Times New Roman" w:hAnsi="Times New Roman" w:eastAsia="宋体" w:cs="Times New Roman"/>
                <w:b/>
                <w:bCs w:val="0"/>
                <w:color w:val="000000"/>
                <w:kern w:val="2"/>
                <w:sz w:val="24"/>
                <w:szCs w:val="24"/>
                <w:bdr w:val="none" w:color="auto" w:sz="0" w:space="0"/>
                <w:lang w:val="en-US" w:eastAsia="zh-CN" w:bidi="ar"/>
              </w:rPr>
              <w:t>2022</w:t>
            </w:r>
            <w:r>
              <w:rPr>
                <w:rFonts w:hint="eastAsia" w:ascii="Times New Roman" w:hAnsi="Times New Roman" w:eastAsia="宋体" w:cs="宋体"/>
                <w:b/>
                <w:bCs w:val="0"/>
                <w:color w:val="000000"/>
                <w:kern w:val="2"/>
                <w:sz w:val="24"/>
                <w:szCs w:val="24"/>
                <w:bdr w:val="none" w:color="auto" w:sz="0" w:space="0"/>
                <w:lang w:val="en-US" w:eastAsia="zh-CN" w:bidi="ar"/>
              </w:rPr>
              <w:t>〕</w:t>
            </w:r>
            <w:r>
              <w:rPr>
                <w:rFonts w:hint="default" w:ascii="Times New Roman" w:hAnsi="Times New Roman" w:eastAsia="宋体" w:cs="Times New Roman"/>
                <w:b/>
                <w:bCs w:val="0"/>
                <w:color w:val="000000"/>
                <w:kern w:val="2"/>
                <w:sz w:val="24"/>
                <w:szCs w:val="24"/>
                <w:bdr w:val="none" w:color="auto" w:sz="0" w:space="0"/>
                <w:lang w:val="en-US" w:eastAsia="zh-CN" w:bidi="ar"/>
              </w:rPr>
              <w:t>1436</w:t>
            </w:r>
            <w:r>
              <w:rPr>
                <w:rFonts w:hint="eastAsia" w:ascii="Times New Roman" w:hAnsi="Times New Roman" w:eastAsia="宋体" w:cs="宋体"/>
                <w:b/>
                <w:bCs w:val="0"/>
                <w:color w:val="000000"/>
                <w:kern w:val="2"/>
                <w:sz w:val="24"/>
                <w:szCs w:val="24"/>
                <w:bdr w:val="none" w:color="auto" w:sz="0" w:space="0"/>
                <w:lang w:val="en-US" w:eastAsia="zh-CN" w:bidi="ar"/>
              </w:rPr>
              <w:t>号</w:t>
            </w:r>
            <w:r>
              <w:rPr>
                <w:rFonts w:hint="default" w:ascii="Times New Roman" w:hAnsi="Times New Roman" w:eastAsia="宋体" w:cs="Times New Roman"/>
                <w:b/>
                <w:bCs w:val="0"/>
                <w:color w:val="000000"/>
                <w:kern w:val="2"/>
                <w:sz w:val="24"/>
                <w:szCs w:val="24"/>
                <w:bdr w:val="none" w:color="auto" w:sz="0" w:space="0"/>
                <w:lang w:val="en-US" w:eastAsia="zh-CN" w:bidi="ar"/>
              </w:rPr>
              <w:t>)</w:t>
            </w:r>
            <w:r>
              <w:rPr>
                <w:rFonts w:hint="eastAsia" w:ascii="Times New Roman" w:hAnsi="Times New Roman" w:eastAsia="宋体" w:cs="宋体"/>
                <w:b/>
                <w:bCs w:val="0"/>
                <w:color w:val="000000"/>
                <w:kern w:val="2"/>
                <w:sz w:val="24"/>
                <w:szCs w:val="24"/>
                <w:bdr w:val="none" w:color="auto" w:sz="0" w:space="0"/>
                <w:lang w:val="en-US" w:eastAsia="zh-CN" w:bidi="ar"/>
              </w:rPr>
              <w:t>的符合性</w:t>
            </w:r>
          </w:p>
          <w:p w14:paraId="20F6F23F">
            <w:pPr>
              <w:keepNext w:val="0"/>
              <w:keepLines w:val="0"/>
              <w:widowControl/>
              <w:suppressLineNumbers w:val="0"/>
              <w:spacing w:before="0" w:beforeAutospacing="0" w:after="0" w:afterAutospacing="0" w:line="440" w:lineRule="exact"/>
              <w:ind w:left="0" w:right="0"/>
              <w:jc w:val="center"/>
              <w:rPr>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表</w:t>
            </w:r>
            <w:r>
              <w:rPr>
                <w:rFonts w:hint="default" w:ascii="Times New Roman" w:hAnsi="Times New Roman" w:eastAsia="宋体" w:cs="Times New Roman"/>
                <w:color w:val="000000"/>
                <w:kern w:val="2"/>
                <w:sz w:val="24"/>
                <w:szCs w:val="24"/>
                <w:bdr w:val="none" w:color="auto" w:sz="0" w:space="0"/>
                <w:lang w:val="en-US" w:eastAsia="zh-CN" w:bidi="ar"/>
              </w:rPr>
              <w:t xml:space="preserve">1.2-4 </w:t>
            </w:r>
            <w:r>
              <w:rPr>
                <w:rFonts w:hint="eastAsia" w:ascii="Calibri" w:hAnsi="Calibri" w:eastAsia="宋体" w:cs="宋体"/>
                <w:color w:val="000000"/>
                <w:kern w:val="2"/>
                <w:sz w:val="24"/>
                <w:szCs w:val="24"/>
                <w:bdr w:val="none" w:color="auto" w:sz="0" w:space="0"/>
                <w:lang w:val="en-US" w:eastAsia="zh-CN" w:bidi="ar"/>
              </w:rPr>
              <w:t>与（</w:t>
            </w:r>
            <w:r>
              <w:rPr>
                <w:rFonts w:hint="eastAsia" w:ascii="Times New Roman" w:hAnsi="Times New Roman" w:eastAsia="宋体" w:cs="宋体"/>
                <w:color w:val="000000"/>
                <w:kern w:val="2"/>
                <w:sz w:val="24"/>
                <w:szCs w:val="24"/>
                <w:bdr w:val="none" w:color="auto" w:sz="0" w:space="0"/>
                <w:lang w:val="en-US" w:eastAsia="zh-CN" w:bidi="ar"/>
              </w:rPr>
              <w:t>渝发改投资〔</w:t>
            </w:r>
            <w:r>
              <w:rPr>
                <w:rFonts w:hint="default" w:ascii="Times New Roman" w:hAnsi="Times New Roman" w:eastAsia="宋体" w:cs="Times New Roman"/>
                <w:color w:val="000000"/>
                <w:kern w:val="2"/>
                <w:sz w:val="24"/>
                <w:szCs w:val="24"/>
                <w:bdr w:val="none" w:color="auto" w:sz="0" w:space="0"/>
                <w:lang w:val="en-US" w:eastAsia="zh-CN" w:bidi="ar"/>
              </w:rPr>
              <w:t>2022</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1436</w:t>
            </w:r>
            <w:r>
              <w:rPr>
                <w:rFonts w:hint="eastAsia" w:ascii="Times New Roman" w:hAnsi="Times New Roman" w:eastAsia="宋体" w:cs="宋体"/>
                <w:color w:val="000000"/>
                <w:kern w:val="2"/>
                <w:sz w:val="24"/>
                <w:szCs w:val="24"/>
                <w:bdr w:val="none" w:color="auto" w:sz="0" w:space="0"/>
                <w:lang w:val="en-US" w:eastAsia="zh-CN" w:bidi="ar"/>
              </w:rPr>
              <w:t>号</w:t>
            </w:r>
            <w:r>
              <w:rPr>
                <w:rFonts w:hint="eastAsia" w:ascii="Calibri" w:hAnsi="Calibri" w:eastAsia="宋体" w:cs="宋体"/>
                <w:color w:val="000000"/>
                <w:kern w:val="2"/>
                <w:sz w:val="24"/>
                <w:szCs w:val="24"/>
                <w:bdr w:val="none" w:color="auto" w:sz="0" w:space="0"/>
                <w:lang w:val="en-US" w:eastAsia="zh-CN" w:bidi="ar"/>
              </w:rPr>
              <w:t>）符合性分析表</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Layout w:type="fixed"/>
              <w:tblCellMar>
                <w:top w:w="0" w:type="dxa"/>
                <w:left w:w="0" w:type="dxa"/>
                <w:bottom w:w="0" w:type="dxa"/>
                <w:right w:w="0" w:type="dxa"/>
              </w:tblCellMar>
            </w:tblPr>
            <w:tblGrid>
              <w:gridCol w:w="535"/>
              <w:gridCol w:w="4461"/>
              <w:gridCol w:w="2441"/>
              <w:gridCol w:w="496"/>
            </w:tblGrid>
            <w:tr w14:paraId="5D0B04D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CellMar>
                  <w:top w:w="0" w:type="dxa"/>
                  <w:left w:w="0" w:type="dxa"/>
                  <w:bottom w:w="0" w:type="dxa"/>
                  <w:right w:w="0" w:type="dxa"/>
                </w:tblCellMar>
              </w:tblPrEx>
              <w:trPr>
                <w:trHeight w:val="340" w:hRule="atLeast"/>
                <w:tblHeader/>
                <w:jc w:val="center"/>
              </w:trPr>
              <w:tc>
                <w:tcPr>
                  <w:tcW w:w="535" w:type="dxa"/>
                  <w:tcBorders>
                    <w:top w:val="single" w:color="auto" w:sz="12" w:space="0"/>
                    <w:left w:val="nil"/>
                    <w:bottom w:val="single" w:color="auto" w:sz="4" w:space="0"/>
                    <w:right w:val="single" w:color="auto" w:sz="4" w:space="0"/>
                  </w:tcBorders>
                  <w:shd w:val="clear"/>
                  <w:vAlign w:val="center"/>
                </w:tcPr>
                <w:p w14:paraId="7C5E28B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类别</w:t>
                  </w:r>
                </w:p>
              </w:tc>
              <w:tc>
                <w:tcPr>
                  <w:tcW w:w="4460" w:type="dxa"/>
                  <w:tcBorders>
                    <w:top w:val="single" w:color="auto" w:sz="12" w:space="0"/>
                    <w:left w:val="single" w:color="auto" w:sz="4" w:space="0"/>
                    <w:bottom w:val="single" w:color="auto" w:sz="4" w:space="0"/>
                    <w:right w:val="single" w:color="auto" w:sz="4" w:space="0"/>
                  </w:tcBorders>
                  <w:shd w:val="clear"/>
                  <w:vAlign w:val="center"/>
                </w:tcPr>
                <w:p w14:paraId="15C98C1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环境准入条件</w:t>
                  </w:r>
                </w:p>
              </w:tc>
              <w:tc>
                <w:tcPr>
                  <w:tcW w:w="2441" w:type="dxa"/>
                  <w:tcBorders>
                    <w:top w:val="single" w:color="auto" w:sz="12" w:space="0"/>
                    <w:left w:val="single" w:color="auto" w:sz="4" w:space="0"/>
                    <w:bottom w:val="single" w:color="auto" w:sz="4" w:space="0"/>
                    <w:right w:val="single" w:color="auto" w:sz="4" w:space="0"/>
                  </w:tcBorders>
                  <w:shd w:val="clear"/>
                  <w:vAlign w:val="center"/>
                </w:tcPr>
                <w:p w14:paraId="42815BE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项目情况</w:t>
                  </w:r>
                </w:p>
              </w:tc>
              <w:tc>
                <w:tcPr>
                  <w:tcW w:w="496" w:type="dxa"/>
                  <w:tcBorders>
                    <w:top w:val="single" w:color="auto" w:sz="12" w:space="0"/>
                    <w:left w:val="single" w:color="auto" w:sz="4" w:space="0"/>
                    <w:bottom w:val="single" w:color="auto" w:sz="4" w:space="0"/>
                    <w:right w:val="nil"/>
                  </w:tcBorders>
                  <w:shd w:val="clear"/>
                  <w:vAlign w:val="center"/>
                </w:tcPr>
                <w:p w14:paraId="4A1C9AAA">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符合性</w:t>
                  </w:r>
                </w:p>
              </w:tc>
            </w:tr>
            <w:tr w14:paraId="602104E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restart"/>
                  <w:tcBorders>
                    <w:top w:val="single" w:color="auto" w:sz="4" w:space="0"/>
                    <w:left w:val="nil"/>
                    <w:bottom w:val="single" w:color="auto" w:sz="4" w:space="0"/>
                    <w:right w:val="single" w:color="auto" w:sz="4" w:space="0"/>
                  </w:tcBorders>
                  <w:shd w:val="clear"/>
                  <w:vAlign w:val="center"/>
                </w:tcPr>
                <w:p w14:paraId="75318616">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不予准入类</w:t>
                  </w:r>
                </w:p>
              </w:tc>
              <w:tc>
                <w:tcPr>
                  <w:tcW w:w="4460" w:type="dxa"/>
                  <w:tcBorders>
                    <w:top w:val="single" w:color="auto" w:sz="4" w:space="0"/>
                    <w:left w:val="single" w:color="auto" w:sz="4" w:space="0"/>
                    <w:bottom w:val="single" w:color="auto" w:sz="4" w:space="0"/>
                    <w:right w:val="single" w:color="auto" w:sz="4" w:space="0"/>
                  </w:tcBorders>
                  <w:shd w:val="clear"/>
                  <w:vAlign w:val="center"/>
                </w:tcPr>
                <w:p w14:paraId="4A3BC7DC">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（一）全市范围内不予准入的产业</w:t>
                  </w:r>
                </w:p>
                <w:p w14:paraId="11981B05">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r>
                    <w:rPr>
                      <w:rFonts w:hint="eastAsia" w:ascii="Times New Roman" w:hAnsi="Times New Roman" w:eastAsia="宋体" w:cs="宋体"/>
                      <w:color w:val="000000"/>
                      <w:kern w:val="0"/>
                      <w:sz w:val="21"/>
                      <w:szCs w:val="21"/>
                      <w:bdr w:val="none" w:color="auto" w:sz="0" w:space="0"/>
                      <w:lang w:val="en-US" w:eastAsia="zh-CN" w:bidi="ar"/>
                    </w:rPr>
                    <w:t>．国家产业结构调整指导目录中的淘汰类项目。</w:t>
                  </w:r>
                </w:p>
                <w:p w14:paraId="3C7D3449">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w:t>
                  </w:r>
                  <w:r>
                    <w:rPr>
                      <w:rFonts w:hint="eastAsia" w:ascii="Times New Roman" w:hAnsi="Times New Roman" w:eastAsia="宋体" w:cs="宋体"/>
                      <w:color w:val="000000"/>
                      <w:kern w:val="0"/>
                      <w:sz w:val="21"/>
                      <w:szCs w:val="21"/>
                      <w:bdr w:val="none" w:color="auto" w:sz="0" w:space="0"/>
                      <w:lang w:val="en-US" w:eastAsia="zh-CN" w:bidi="ar"/>
                    </w:rPr>
                    <w:t>．天然林商业性采伐。</w:t>
                  </w:r>
                </w:p>
                <w:p w14:paraId="11F91513">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w:t>
                  </w:r>
                  <w:r>
                    <w:rPr>
                      <w:rFonts w:hint="eastAsia" w:ascii="Times New Roman" w:hAnsi="Times New Roman" w:eastAsia="宋体" w:cs="宋体"/>
                      <w:color w:val="000000"/>
                      <w:kern w:val="0"/>
                      <w:sz w:val="21"/>
                      <w:szCs w:val="21"/>
                      <w:bdr w:val="none" w:color="auto" w:sz="0" w:space="0"/>
                      <w:lang w:val="en-US" w:eastAsia="zh-CN" w:bidi="ar"/>
                    </w:rPr>
                    <w:t>．法律法规和相关政策明令不予准入的其他项目。</w:t>
                  </w:r>
                </w:p>
              </w:tc>
              <w:tc>
                <w:tcPr>
                  <w:tcW w:w="2441" w:type="dxa"/>
                  <w:tcBorders>
                    <w:top w:val="single" w:color="auto" w:sz="4" w:space="0"/>
                    <w:left w:val="single" w:color="auto" w:sz="4" w:space="0"/>
                    <w:bottom w:val="single" w:color="auto" w:sz="4" w:space="0"/>
                    <w:right w:val="single" w:color="auto" w:sz="4" w:space="0"/>
                  </w:tcBorders>
                  <w:shd w:val="clear"/>
                  <w:vAlign w:val="center"/>
                </w:tcPr>
                <w:p w14:paraId="24727836">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扩建项目符合国家产业政策要求，未使用国家和本市淘汰的或禁止使用的工艺、技术和设备，不属于全市范围内不予准入的产业。</w:t>
                  </w:r>
                </w:p>
              </w:tc>
              <w:tc>
                <w:tcPr>
                  <w:tcW w:w="496" w:type="dxa"/>
                  <w:tcBorders>
                    <w:top w:val="single" w:color="auto" w:sz="4" w:space="0"/>
                    <w:left w:val="single" w:color="auto" w:sz="4" w:space="0"/>
                    <w:bottom w:val="single" w:color="auto" w:sz="4" w:space="0"/>
                    <w:right w:val="nil"/>
                  </w:tcBorders>
                  <w:shd w:val="clear"/>
                  <w:vAlign w:val="center"/>
                </w:tcPr>
                <w:p w14:paraId="762B0A6A">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符合</w:t>
                  </w:r>
                </w:p>
              </w:tc>
            </w:tr>
            <w:tr w14:paraId="6732461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op w:val="single" w:color="auto" w:sz="4" w:space="0"/>
                    <w:left w:val="nil"/>
                    <w:bottom w:val="single" w:color="auto" w:sz="4" w:space="0"/>
                    <w:right w:val="single" w:color="auto" w:sz="4" w:space="0"/>
                  </w:tcBorders>
                  <w:shd w:val="clear"/>
                  <w:vAlign w:val="center"/>
                </w:tcPr>
                <w:p w14:paraId="53214152">
                  <w:pPr>
                    <w:rPr>
                      <w:rFonts w:hint="default" w:ascii="Calibri" w:hAnsi="Calibri" w:cs="Calibri"/>
                      <w:sz w:val="20"/>
                      <w:szCs w:val="20"/>
                    </w:rPr>
                  </w:pPr>
                </w:p>
              </w:tc>
              <w:tc>
                <w:tcPr>
                  <w:tcW w:w="4460" w:type="dxa"/>
                  <w:tcBorders>
                    <w:top w:val="single" w:color="auto" w:sz="4" w:space="0"/>
                    <w:left w:val="single" w:color="auto" w:sz="4" w:space="0"/>
                    <w:bottom w:val="single" w:color="auto" w:sz="4" w:space="0"/>
                    <w:right w:val="single" w:color="auto" w:sz="4" w:space="0"/>
                  </w:tcBorders>
                  <w:shd w:val="clear"/>
                  <w:vAlign w:val="center"/>
                </w:tcPr>
                <w:p w14:paraId="5092F559">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（二）重点区域不予准入的产业</w:t>
                  </w:r>
                </w:p>
                <w:p w14:paraId="5C3649B5">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r>
                    <w:rPr>
                      <w:rFonts w:hint="eastAsia" w:ascii="Times New Roman" w:hAnsi="Times New Roman" w:eastAsia="宋体" w:cs="宋体"/>
                      <w:color w:val="000000"/>
                      <w:kern w:val="0"/>
                      <w:sz w:val="21"/>
                      <w:szCs w:val="21"/>
                      <w:bdr w:val="none" w:color="auto" w:sz="0" w:space="0"/>
                      <w:lang w:val="en-US" w:eastAsia="zh-CN" w:bidi="ar"/>
                    </w:rPr>
                    <w:t>．外环绕城高速公路以内长江、嘉陵江水域采砂。</w:t>
                  </w:r>
                </w:p>
                <w:p w14:paraId="4129B5C5">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w:t>
                  </w:r>
                  <w:r>
                    <w:rPr>
                      <w:rFonts w:hint="eastAsia" w:ascii="Times New Roman" w:hAnsi="Times New Roman" w:eastAsia="宋体" w:cs="宋体"/>
                      <w:color w:val="000000"/>
                      <w:kern w:val="0"/>
                      <w:sz w:val="21"/>
                      <w:szCs w:val="21"/>
                      <w:bdr w:val="none" w:color="auto" w:sz="0" w:space="0"/>
                      <w:lang w:val="en-US" w:eastAsia="zh-CN" w:bidi="ar"/>
                    </w:rPr>
                    <w:t>．二十五度以上陡坡地开垦种植农作物。</w:t>
                  </w:r>
                </w:p>
                <w:p w14:paraId="378A8740">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w:t>
                  </w:r>
                  <w:r>
                    <w:rPr>
                      <w:rFonts w:hint="eastAsia" w:ascii="Times New Roman" w:hAnsi="Times New Roman" w:eastAsia="宋体" w:cs="宋体"/>
                      <w:color w:val="000000"/>
                      <w:kern w:val="0"/>
                      <w:sz w:val="21"/>
                      <w:szCs w:val="21"/>
                      <w:bdr w:val="none" w:color="auto" w:sz="0" w:space="0"/>
                      <w:lang w:val="en-US" w:eastAsia="zh-CN" w:bidi="ar"/>
                    </w:rPr>
                    <w:t>．在自然保护区核心区、缓冲区的岸线和河段范围内投资建设旅游和生产经营项目。</w:t>
                  </w:r>
                </w:p>
                <w:p w14:paraId="398A4082">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w:t>
                  </w:r>
                  <w:r>
                    <w:rPr>
                      <w:rFonts w:hint="eastAsia" w:ascii="Times New Roman" w:hAnsi="Times New Roman" w:eastAsia="宋体" w:cs="宋体"/>
                      <w:color w:val="000000"/>
                      <w:kern w:val="0"/>
                      <w:sz w:val="21"/>
                      <w:szCs w:val="21"/>
                      <w:bdr w:val="none" w:color="auto" w:sz="0" w:space="0"/>
                      <w:lang w:val="en-US" w:eastAsia="zh-CN" w:bidi="ar"/>
                    </w:rP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p w14:paraId="37810160">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w:t>
                  </w:r>
                  <w:r>
                    <w:rPr>
                      <w:rFonts w:hint="eastAsia" w:ascii="Times New Roman" w:hAnsi="Times New Roman" w:eastAsia="宋体" w:cs="宋体"/>
                      <w:color w:val="000000"/>
                      <w:kern w:val="0"/>
                      <w:sz w:val="21"/>
                      <w:szCs w:val="21"/>
                      <w:bdr w:val="none" w:color="auto" w:sz="0" w:space="0"/>
                      <w:lang w:val="en-US" w:eastAsia="zh-CN" w:bidi="ar"/>
                    </w:rPr>
                    <w:t>．长江干流岸线</w:t>
                  </w:r>
                  <w:r>
                    <w:rPr>
                      <w:rFonts w:hint="default" w:ascii="Times New Roman" w:hAnsi="Times New Roman" w:eastAsia="宋体" w:cs="Times New Roman"/>
                      <w:color w:val="000000"/>
                      <w:kern w:val="0"/>
                      <w:sz w:val="21"/>
                      <w:szCs w:val="21"/>
                      <w:bdr w:val="none" w:color="auto" w:sz="0" w:space="0"/>
                      <w:lang w:val="en-US" w:eastAsia="zh-CN" w:bidi="ar"/>
                    </w:rPr>
                    <w:t>3</w:t>
                  </w:r>
                  <w:r>
                    <w:rPr>
                      <w:rFonts w:hint="eastAsia" w:ascii="Times New Roman" w:hAnsi="Times New Roman" w:eastAsia="宋体" w:cs="宋体"/>
                      <w:color w:val="000000"/>
                      <w:kern w:val="0"/>
                      <w:sz w:val="21"/>
                      <w:szCs w:val="21"/>
                      <w:bdr w:val="none" w:color="auto" w:sz="0" w:space="0"/>
                      <w:lang w:val="en-US" w:eastAsia="zh-CN" w:bidi="ar"/>
                    </w:rPr>
                    <w:t>公里范围内和重要支流岸线</w:t>
                  </w:r>
                  <w:r>
                    <w:rPr>
                      <w:rFonts w:hint="default" w:ascii="Times New Roman" w:hAnsi="Times New Roman" w:eastAsia="宋体" w:cs="Times New Roman"/>
                      <w:color w:val="000000"/>
                      <w:kern w:val="0"/>
                      <w:sz w:val="21"/>
                      <w:szCs w:val="21"/>
                      <w:bdr w:val="none" w:color="auto" w:sz="0" w:space="0"/>
                      <w:lang w:val="en-US" w:eastAsia="zh-CN" w:bidi="ar"/>
                    </w:rPr>
                    <w:t>1</w:t>
                  </w:r>
                  <w:r>
                    <w:rPr>
                      <w:rFonts w:hint="eastAsia" w:ascii="Times New Roman" w:hAnsi="Times New Roman" w:eastAsia="宋体" w:cs="宋体"/>
                      <w:color w:val="000000"/>
                      <w:kern w:val="0"/>
                      <w:sz w:val="21"/>
                      <w:szCs w:val="21"/>
                      <w:bdr w:val="none" w:color="auto" w:sz="0" w:space="0"/>
                      <w:lang w:val="en-US" w:eastAsia="zh-CN" w:bidi="ar"/>
                    </w:rPr>
                    <w:t>公里范围内新建、改建、扩建尾矿库、冶炼渣库和磷石膏库（以提升安全、生态环境保护水平为目的的改建除外）。</w:t>
                  </w:r>
                </w:p>
                <w:p w14:paraId="08E9F4B1">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w:t>
                  </w:r>
                  <w:r>
                    <w:rPr>
                      <w:rFonts w:hint="eastAsia" w:ascii="Times New Roman" w:hAnsi="Times New Roman" w:eastAsia="宋体" w:cs="宋体"/>
                      <w:color w:val="000000"/>
                      <w:kern w:val="0"/>
                      <w:sz w:val="21"/>
                      <w:szCs w:val="21"/>
                      <w:bdr w:val="none" w:color="auto" w:sz="0" w:space="0"/>
                      <w:lang w:val="en-US" w:eastAsia="zh-CN" w:bidi="ar"/>
                    </w:rPr>
                    <w:t>．在风景名胜区核心景区的岸线和河段范围内投资建设与风景名胜资源保护无关的项目。</w:t>
                  </w:r>
                </w:p>
                <w:p w14:paraId="435AAEB8">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w:t>
                  </w:r>
                  <w:r>
                    <w:rPr>
                      <w:rFonts w:hint="eastAsia" w:ascii="Times New Roman" w:hAnsi="Times New Roman" w:eastAsia="宋体" w:cs="宋体"/>
                      <w:color w:val="000000"/>
                      <w:kern w:val="0"/>
                      <w:sz w:val="21"/>
                      <w:szCs w:val="21"/>
                      <w:bdr w:val="none" w:color="auto" w:sz="0" w:space="0"/>
                      <w:lang w:val="en-US" w:eastAsia="zh-CN" w:bidi="ar"/>
                    </w:rPr>
                    <w:t>．在国家湿地公园的岸线和河段范围内挖沙、采矿，以及任何不符合主体功能定位的投资建设项目。</w:t>
                  </w:r>
                </w:p>
                <w:p w14:paraId="6BF74E00">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8</w:t>
                  </w:r>
                  <w:r>
                    <w:rPr>
                      <w:rFonts w:hint="eastAsia" w:ascii="Times New Roman" w:hAnsi="Times New Roman" w:eastAsia="宋体" w:cs="宋体"/>
                      <w:color w:val="000000"/>
                      <w:kern w:val="0"/>
                      <w:sz w:val="21"/>
                      <w:szCs w:val="21"/>
                      <w:bdr w:val="none" w:color="auto" w:sz="0" w:space="0"/>
                      <w:lang w:val="en-US" w:eastAsia="zh-CN" w:bidi="ar"/>
                    </w:rPr>
                    <w:t>．在《长江岸线保护和开发利用总体规划》划定的岸线保护区和保留区内投资建设除事关公共安全及公众利益的防洪护岸、河道治理、供水、生态环境保护、航道整治、国家重要基础设施以外的项目。</w:t>
                  </w:r>
                </w:p>
                <w:p w14:paraId="7B91ECEE">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9</w:t>
                  </w:r>
                  <w:r>
                    <w:rPr>
                      <w:rFonts w:hint="eastAsia" w:ascii="Times New Roman" w:hAnsi="Times New Roman" w:eastAsia="宋体" w:cs="宋体"/>
                      <w:color w:val="000000"/>
                      <w:kern w:val="0"/>
                      <w:sz w:val="21"/>
                      <w:szCs w:val="21"/>
                      <w:bdr w:val="none" w:color="auto" w:sz="0" w:space="0"/>
                      <w:lang w:val="en-US" w:eastAsia="zh-CN" w:bidi="ar"/>
                    </w:rPr>
                    <w:t>．在《全国重要江河湖泊水功能区划》划定的河段及湖泊保护区、保留区内投资建设不利于水资源及自然生态保护的项目。</w:t>
                  </w:r>
                </w:p>
              </w:tc>
              <w:tc>
                <w:tcPr>
                  <w:tcW w:w="2441" w:type="dxa"/>
                  <w:tcBorders>
                    <w:top w:val="single" w:color="auto" w:sz="4" w:space="0"/>
                    <w:left w:val="single" w:color="auto" w:sz="4" w:space="0"/>
                    <w:bottom w:val="single" w:color="auto" w:sz="4" w:space="0"/>
                    <w:right w:val="single" w:color="auto" w:sz="4" w:space="0"/>
                  </w:tcBorders>
                  <w:shd w:val="clear"/>
                  <w:vAlign w:val="center"/>
                </w:tcPr>
                <w:p w14:paraId="1EF4AE24">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扩建项目位于工业园内，排放废水不涉及五类重金属污染物，不涉及风景名胜区、饮用水源保护区、生态敏感区等敏感区域，不紧邻长江沿岸等，项目不属于重点区域范围内不予准入的产业。</w:t>
                  </w:r>
                </w:p>
              </w:tc>
              <w:tc>
                <w:tcPr>
                  <w:tcW w:w="496" w:type="dxa"/>
                  <w:tcBorders>
                    <w:top w:val="single" w:color="auto" w:sz="4" w:space="0"/>
                    <w:left w:val="single" w:color="auto" w:sz="4" w:space="0"/>
                    <w:bottom w:val="single" w:color="auto" w:sz="4" w:space="0"/>
                    <w:right w:val="nil"/>
                  </w:tcBorders>
                  <w:shd w:val="clear"/>
                  <w:vAlign w:val="center"/>
                </w:tcPr>
                <w:p w14:paraId="3B9F80C9">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符合</w:t>
                  </w:r>
                </w:p>
              </w:tc>
            </w:tr>
            <w:tr w14:paraId="1B1A4C0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restart"/>
                  <w:tcBorders>
                    <w:top w:val="single" w:color="auto" w:sz="4" w:space="0"/>
                    <w:left w:val="nil"/>
                    <w:bottom w:val="single" w:color="auto" w:sz="12" w:space="0"/>
                    <w:right w:val="single" w:color="auto" w:sz="4" w:space="0"/>
                  </w:tcBorders>
                  <w:shd w:val="clear"/>
                  <w:vAlign w:val="center"/>
                </w:tcPr>
                <w:p w14:paraId="1A119362">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限制准入类</w:t>
                  </w:r>
                </w:p>
              </w:tc>
              <w:tc>
                <w:tcPr>
                  <w:tcW w:w="4460" w:type="dxa"/>
                  <w:tcBorders>
                    <w:top w:val="single" w:color="auto" w:sz="4" w:space="0"/>
                    <w:left w:val="single" w:color="auto" w:sz="4" w:space="0"/>
                    <w:bottom w:val="single" w:color="auto" w:sz="4" w:space="0"/>
                    <w:right w:val="single" w:color="auto" w:sz="4" w:space="0"/>
                  </w:tcBorders>
                  <w:shd w:val="clear"/>
                  <w:vAlign w:val="center"/>
                </w:tcPr>
                <w:p w14:paraId="2BA590EE">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（一）全市范围内限制准入的产业</w:t>
                  </w:r>
                </w:p>
                <w:p w14:paraId="413D3AFB">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r>
                    <w:rPr>
                      <w:rFonts w:hint="eastAsia" w:ascii="Times New Roman" w:hAnsi="Times New Roman" w:eastAsia="宋体" w:cs="宋体"/>
                      <w:color w:val="000000"/>
                      <w:kern w:val="0"/>
                      <w:sz w:val="21"/>
                      <w:szCs w:val="21"/>
                      <w:bdr w:val="none" w:color="auto" w:sz="0" w:space="0"/>
                      <w:lang w:val="en-US" w:eastAsia="zh-CN" w:bidi="ar"/>
                    </w:rPr>
                    <w:t>．新建、扩建不符合国家产能置换要求的严重过剩产能行业的项目。新建、扩建不符合要求的高耗能高排放项目。</w:t>
                  </w:r>
                </w:p>
                <w:p w14:paraId="3BE80045">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w:t>
                  </w:r>
                  <w:r>
                    <w:rPr>
                      <w:rFonts w:hint="eastAsia" w:ascii="Times New Roman" w:hAnsi="Times New Roman" w:eastAsia="宋体" w:cs="宋体"/>
                      <w:color w:val="000000"/>
                      <w:kern w:val="0"/>
                      <w:sz w:val="21"/>
                      <w:szCs w:val="21"/>
                      <w:bdr w:val="none" w:color="auto" w:sz="0" w:space="0"/>
                      <w:lang w:val="en-US" w:eastAsia="zh-CN" w:bidi="ar"/>
                    </w:rPr>
                    <w:t>．新建、扩建不符合国家石化、现代煤化工等产业布局规划的项目。</w:t>
                  </w:r>
                </w:p>
                <w:p w14:paraId="2067B712">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w:t>
                  </w:r>
                  <w:r>
                    <w:rPr>
                      <w:rFonts w:hint="eastAsia" w:ascii="Times New Roman" w:hAnsi="Times New Roman" w:eastAsia="宋体" w:cs="宋体"/>
                      <w:color w:val="000000"/>
                      <w:kern w:val="0"/>
                      <w:sz w:val="21"/>
                      <w:szCs w:val="21"/>
                      <w:bdr w:val="none" w:color="auto" w:sz="0" w:space="0"/>
                      <w:lang w:val="en-US" w:eastAsia="zh-CN" w:bidi="ar"/>
                    </w:rPr>
                    <w:t>．在合规园区外新建、扩建钢铁、石化、化工、焦化、建材、有色、制浆造纸等高污染项目。</w:t>
                  </w:r>
                </w:p>
                <w:p w14:paraId="66B5A366">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w:t>
                  </w:r>
                  <w:r>
                    <w:rPr>
                      <w:rFonts w:hint="eastAsia" w:ascii="Times New Roman" w:hAnsi="Times New Roman" w:eastAsia="宋体" w:cs="宋体"/>
                      <w:color w:val="000000"/>
                      <w:kern w:val="0"/>
                      <w:sz w:val="21"/>
                      <w:szCs w:val="21"/>
                      <w:bdr w:val="none" w:color="auto" w:sz="0" w:space="0"/>
                      <w:lang w:val="en-US" w:eastAsia="zh-CN" w:bidi="ar"/>
                    </w:rPr>
                    <w:t>．《汽车产业投资管理规定》（国家发展和改革委员会令第</w:t>
                  </w:r>
                  <w:r>
                    <w:rPr>
                      <w:rFonts w:hint="default" w:ascii="Times New Roman" w:hAnsi="Times New Roman" w:eastAsia="宋体" w:cs="Times New Roman"/>
                      <w:color w:val="000000"/>
                      <w:kern w:val="0"/>
                      <w:sz w:val="21"/>
                      <w:szCs w:val="21"/>
                      <w:bdr w:val="none" w:color="auto" w:sz="0" w:space="0"/>
                      <w:lang w:val="en-US" w:eastAsia="zh-CN" w:bidi="ar"/>
                    </w:rPr>
                    <w:t>22</w:t>
                  </w:r>
                  <w:r>
                    <w:rPr>
                      <w:rFonts w:hint="eastAsia" w:ascii="Times New Roman" w:hAnsi="Times New Roman" w:eastAsia="宋体" w:cs="宋体"/>
                      <w:color w:val="000000"/>
                      <w:kern w:val="0"/>
                      <w:sz w:val="21"/>
                      <w:szCs w:val="21"/>
                      <w:bdr w:val="none" w:color="auto" w:sz="0" w:space="0"/>
                      <w:lang w:val="en-US" w:eastAsia="zh-CN" w:bidi="ar"/>
                    </w:rPr>
                    <w:t>号）明确禁止建设的汽车投资项目。</w:t>
                  </w:r>
                </w:p>
              </w:tc>
              <w:tc>
                <w:tcPr>
                  <w:tcW w:w="2441" w:type="dxa"/>
                  <w:vMerge w:val="restart"/>
                  <w:tcBorders>
                    <w:top w:val="single" w:color="auto" w:sz="4" w:space="0"/>
                    <w:left w:val="single" w:color="auto" w:sz="4" w:space="0"/>
                    <w:bottom w:val="single" w:color="auto" w:sz="12" w:space="0"/>
                    <w:right w:val="single" w:color="auto" w:sz="4" w:space="0"/>
                  </w:tcBorders>
                  <w:shd w:val="clear"/>
                  <w:vAlign w:val="center"/>
                </w:tcPr>
                <w:p w14:paraId="1B563636">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扩建项目位于成熟的工业园内，不属于高耗能高排放项目；不含印刷等工艺，项目不属于限制准入类。</w:t>
                  </w:r>
                </w:p>
              </w:tc>
              <w:tc>
                <w:tcPr>
                  <w:tcW w:w="496" w:type="dxa"/>
                  <w:vMerge w:val="restart"/>
                  <w:tcBorders>
                    <w:top w:val="single" w:color="auto" w:sz="4" w:space="0"/>
                    <w:left w:val="single" w:color="auto" w:sz="4" w:space="0"/>
                    <w:bottom w:val="single" w:color="auto" w:sz="12" w:space="0"/>
                    <w:right w:val="nil"/>
                  </w:tcBorders>
                  <w:shd w:val="clear"/>
                  <w:vAlign w:val="center"/>
                </w:tcPr>
                <w:p w14:paraId="3D19C158">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bdr w:val="none" w:color="auto" w:sz="0" w:space="0"/>
                      <w:lang w:val="en-US"/>
                    </w:rPr>
                  </w:pPr>
                  <w:r>
                    <w:rPr>
                      <w:rFonts w:hint="eastAsia" w:ascii="Times New Roman" w:hAnsi="宋体" w:eastAsia="宋体" w:cs="宋体"/>
                      <w:color w:val="000000"/>
                      <w:kern w:val="0"/>
                      <w:sz w:val="21"/>
                      <w:szCs w:val="21"/>
                      <w:bdr w:val="none" w:color="auto" w:sz="0" w:space="0"/>
                      <w:lang w:val="en-US" w:eastAsia="zh-CN" w:bidi="ar"/>
                    </w:rPr>
                    <w:t>符合</w:t>
                  </w:r>
                </w:p>
              </w:tc>
            </w:tr>
            <w:tr w14:paraId="66C79FB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op w:val="single" w:color="auto" w:sz="4" w:space="0"/>
                    <w:left w:val="nil"/>
                    <w:bottom w:val="single" w:color="auto" w:sz="12" w:space="0"/>
                    <w:right w:val="single" w:color="auto" w:sz="4" w:space="0"/>
                  </w:tcBorders>
                  <w:shd w:val="clear"/>
                  <w:vAlign w:val="center"/>
                </w:tcPr>
                <w:p w14:paraId="474F6DA1">
                  <w:pPr>
                    <w:rPr>
                      <w:rFonts w:hint="default" w:ascii="Calibri" w:hAnsi="Calibri" w:cs="Calibri"/>
                      <w:sz w:val="20"/>
                      <w:szCs w:val="20"/>
                    </w:rPr>
                  </w:pPr>
                </w:p>
              </w:tc>
              <w:tc>
                <w:tcPr>
                  <w:tcW w:w="4460" w:type="dxa"/>
                  <w:tcBorders>
                    <w:top w:val="single" w:color="auto" w:sz="4" w:space="0"/>
                    <w:left w:val="single" w:color="auto" w:sz="4" w:space="0"/>
                    <w:bottom w:val="single" w:color="auto" w:sz="12" w:space="0"/>
                    <w:right w:val="single" w:color="auto" w:sz="4" w:space="0"/>
                  </w:tcBorders>
                  <w:shd w:val="clear"/>
                  <w:vAlign w:val="center"/>
                </w:tcPr>
                <w:p w14:paraId="28912322">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（二）重点区域范围内限制准入的产业</w:t>
                  </w:r>
                </w:p>
                <w:p w14:paraId="4767DA69">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r>
                    <w:rPr>
                      <w:rFonts w:hint="eastAsia" w:ascii="Times New Roman" w:hAnsi="Times New Roman" w:eastAsia="宋体" w:cs="宋体"/>
                      <w:color w:val="000000"/>
                      <w:kern w:val="0"/>
                      <w:sz w:val="21"/>
                      <w:szCs w:val="21"/>
                      <w:bdr w:val="none" w:color="auto" w:sz="0" w:space="0"/>
                      <w:lang w:val="en-US" w:eastAsia="zh-CN" w:bidi="ar"/>
                    </w:rPr>
                    <w:t>．长江干支流、重要湖泊岸线</w:t>
                  </w:r>
                  <w:r>
                    <w:rPr>
                      <w:rFonts w:hint="default" w:ascii="Times New Roman" w:hAnsi="Times New Roman" w:eastAsia="宋体" w:cs="Times New Roman"/>
                      <w:color w:val="000000"/>
                      <w:kern w:val="0"/>
                      <w:sz w:val="21"/>
                      <w:szCs w:val="21"/>
                      <w:bdr w:val="none" w:color="auto" w:sz="0" w:space="0"/>
                      <w:lang w:val="en-US" w:eastAsia="zh-CN" w:bidi="ar"/>
                    </w:rPr>
                    <w:t>1</w:t>
                  </w:r>
                  <w:r>
                    <w:rPr>
                      <w:rFonts w:hint="eastAsia" w:ascii="Times New Roman" w:hAnsi="Times New Roman" w:eastAsia="宋体" w:cs="宋体"/>
                      <w:color w:val="000000"/>
                      <w:kern w:val="0"/>
                      <w:sz w:val="21"/>
                      <w:szCs w:val="21"/>
                      <w:bdr w:val="none" w:color="auto" w:sz="0" w:space="0"/>
                      <w:lang w:val="en-US" w:eastAsia="zh-CN" w:bidi="ar"/>
                    </w:rPr>
                    <w:t>公里范围内新建、扩建化工园区和化工项目，长江、嘉陵江、乌江岸线</w:t>
                  </w:r>
                  <w:r>
                    <w:rPr>
                      <w:rFonts w:hint="default" w:ascii="Times New Roman" w:hAnsi="Times New Roman" w:eastAsia="宋体" w:cs="Times New Roman"/>
                      <w:color w:val="000000"/>
                      <w:kern w:val="0"/>
                      <w:sz w:val="21"/>
                      <w:szCs w:val="21"/>
                      <w:bdr w:val="none" w:color="auto" w:sz="0" w:space="0"/>
                      <w:lang w:val="en-US" w:eastAsia="zh-CN" w:bidi="ar"/>
                    </w:rPr>
                    <w:t>1</w:t>
                  </w:r>
                  <w:r>
                    <w:rPr>
                      <w:rFonts w:hint="eastAsia" w:ascii="Times New Roman" w:hAnsi="Times New Roman" w:eastAsia="宋体" w:cs="宋体"/>
                      <w:color w:val="000000"/>
                      <w:kern w:val="0"/>
                      <w:sz w:val="21"/>
                      <w:szCs w:val="21"/>
                      <w:bdr w:val="none" w:color="auto" w:sz="0" w:space="0"/>
                      <w:lang w:val="en-US" w:eastAsia="zh-CN" w:bidi="ar"/>
                    </w:rPr>
                    <w:t>公里范围内布局新建纸浆制造、印染等存在环境风险的项目。</w:t>
                  </w:r>
                </w:p>
                <w:p w14:paraId="1D6AE9FB">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w:t>
                  </w:r>
                  <w:r>
                    <w:rPr>
                      <w:rFonts w:hint="eastAsia" w:ascii="Times New Roman" w:hAnsi="Times New Roman" w:eastAsia="宋体" w:cs="宋体"/>
                      <w:color w:val="000000"/>
                      <w:kern w:val="0"/>
                      <w:sz w:val="21"/>
                      <w:szCs w:val="21"/>
                      <w:bdr w:val="none" w:color="auto" w:sz="0" w:space="0"/>
                      <w:lang w:val="en-US" w:eastAsia="zh-CN" w:bidi="ar"/>
                    </w:rPr>
                    <w:t>．在水产种质资源保护区的岸线和河段范围内新建围湖造田等投资建设项目。</w:t>
                  </w:r>
                </w:p>
              </w:tc>
              <w:tc>
                <w:tcPr>
                  <w:tcW w:w="2441" w:type="dxa"/>
                  <w:vMerge w:val="continue"/>
                  <w:tcBorders>
                    <w:top w:val="single" w:color="auto" w:sz="4" w:space="0"/>
                    <w:left w:val="single" w:color="auto" w:sz="4" w:space="0"/>
                    <w:bottom w:val="single" w:color="auto" w:sz="12" w:space="0"/>
                    <w:right w:val="single" w:color="auto" w:sz="4" w:space="0"/>
                  </w:tcBorders>
                  <w:shd w:val="clear"/>
                  <w:vAlign w:val="center"/>
                </w:tcPr>
                <w:p w14:paraId="199515DA">
                  <w:pPr>
                    <w:rPr>
                      <w:rFonts w:hint="default" w:ascii="Calibri" w:hAnsi="Calibri" w:cs="Calibri"/>
                      <w:sz w:val="20"/>
                      <w:szCs w:val="20"/>
                    </w:rPr>
                  </w:pPr>
                </w:p>
              </w:tc>
              <w:tc>
                <w:tcPr>
                  <w:tcW w:w="496" w:type="dxa"/>
                  <w:vMerge w:val="continue"/>
                  <w:tcBorders>
                    <w:top w:val="single" w:color="auto" w:sz="4" w:space="0"/>
                    <w:left w:val="single" w:color="auto" w:sz="4" w:space="0"/>
                    <w:bottom w:val="single" w:color="auto" w:sz="12" w:space="0"/>
                    <w:right w:val="nil"/>
                  </w:tcBorders>
                  <w:shd w:val="clear"/>
                  <w:vAlign w:val="center"/>
                </w:tcPr>
                <w:p w14:paraId="5DA490F9">
                  <w:pPr>
                    <w:rPr>
                      <w:rFonts w:hint="default" w:ascii="Calibri" w:hAnsi="Calibri" w:cs="Calibri"/>
                      <w:sz w:val="20"/>
                      <w:szCs w:val="20"/>
                    </w:rPr>
                  </w:pPr>
                </w:p>
              </w:tc>
            </w:tr>
          </w:tbl>
          <w:p w14:paraId="7E44B667">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Times New Roman" w:cs="Times New Roman"/>
                <w:bCs/>
                <w:color w:val="000000"/>
                <w:sz w:val="24"/>
                <w:szCs w:val="24"/>
                <w:bdr w:val="none" w:color="auto" w:sz="0" w:space="0"/>
                <w:lang w:val="en-US"/>
              </w:rPr>
            </w:pPr>
            <w:r>
              <w:rPr>
                <w:rFonts w:hint="eastAsia" w:ascii="Times New Roman" w:hAnsi="Times New Roman" w:eastAsia="宋体" w:cs="宋体"/>
                <w:bCs/>
                <w:color w:val="000000"/>
                <w:kern w:val="2"/>
                <w:sz w:val="24"/>
                <w:szCs w:val="24"/>
                <w:bdr w:val="none" w:color="auto" w:sz="0" w:space="0"/>
                <w:lang w:val="en-US" w:eastAsia="zh-CN" w:bidi="ar"/>
              </w:rPr>
              <w:t>由表中分析结果可知，扩建项目符合相关政策的相关要求。</w:t>
            </w:r>
          </w:p>
          <w:p w14:paraId="6F883713">
            <w:pPr>
              <w:keepNext w:val="0"/>
              <w:keepLines w:val="0"/>
              <w:widowControl/>
              <w:suppressLineNumbers w:val="0"/>
              <w:spacing w:before="0" w:beforeAutospacing="0" w:after="0" w:afterAutospacing="0" w:line="440" w:lineRule="exact"/>
              <w:ind w:left="0" w:right="0"/>
              <w:jc w:val="both"/>
              <w:outlineLvl w:val="2"/>
              <w:rPr>
                <w:rFonts w:hint="default" w:ascii="Times New Roman" w:hAnsi="Calibri" w:cs="Times New Roman"/>
                <w:b/>
                <w:bCs w:val="0"/>
                <w:color w:val="000000"/>
                <w:sz w:val="24"/>
                <w:szCs w:val="24"/>
                <w:bdr w:val="none" w:color="auto" w:sz="0" w:space="0"/>
                <w:lang w:val="en-US"/>
              </w:rPr>
            </w:pPr>
            <w:r>
              <w:rPr>
                <w:rFonts w:hint="default" w:ascii="Times New Roman" w:hAnsi="Calibri" w:eastAsia="宋体" w:cs="Times New Roman"/>
                <w:b/>
                <w:bCs w:val="0"/>
                <w:color w:val="000000"/>
                <w:kern w:val="2"/>
                <w:sz w:val="24"/>
                <w:szCs w:val="24"/>
                <w:bdr w:val="none" w:color="auto" w:sz="0" w:space="0"/>
                <w:lang w:val="en-US" w:eastAsia="zh-CN" w:bidi="ar"/>
              </w:rPr>
              <w:t>1.2.7</w:t>
            </w:r>
            <w:r>
              <w:rPr>
                <w:rFonts w:hint="eastAsia" w:ascii="Times New Roman" w:hAnsi="Calibri" w:eastAsia="宋体" w:cs="宋体"/>
                <w:b/>
                <w:bCs w:val="0"/>
                <w:color w:val="000000"/>
                <w:kern w:val="2"/>
                <w:sz w:val="24"/>
                <w:szCs w:val="24"/>
                <w:bdr w:val="none" w:color="auto" w:sz="0" w:space="0"/>
                <w:lang w:val="en-US" w:eastAsia="zh-CN" w:bidi="ar"/>
              </w:rPr>
              <w:t>与《合川区生态环境保护“十四五”规划》（合川府发</w:t>
            </w:r>
            <w:r>
              <w:rPr>
                <w:rFonts w:hint="default" w:ascii="Times New Roman" w:hAnsi="Calibri" w:eastAsia="宋体" w:cs="Times New Roman"/>
                <w:b/>
                <w:bCs w:val="0"/>
                <w:color w:val="000000"/>
                <w:kern w:val="2"/>
                <w:sz w:val="24"/>
                <w:szCs w:val="24"/>
                <w:bdr w:val="none" w:color="auto" w:sz="0" w:space="0"/>
                <w:lang w:val="en-US" w:eastAsia="zh-CN" w:bidi="ar"/>
              </w:rPr>
              <w:t>[2022]3</w:t>
            </w:r>
            <w:r>
              <w:rPr>
                <w:rFonts w:hint="eastAsia" w:ascii="Times New Roman" w:hAnsi="Calibri" w:eastAsia="宋体" w:cs="宋体"/>
                <w:b/>
                <w:bCs w:val="0"/>
                <w:color w:val="000000"/>
                <w:kern w:val="2"/>
                <w:sz w:val="24"/>
                <w:szCs w:val="24"/>
                <w:bdr w:val="none" w:color="auto" w:sz="0" w:space="0"/>
                <w:lang w:val="en-US" w:eastAsia="zh-CN" w:bidi="ar"/>
              </w:rPr>
              <w:t>号）符合性分析</w:t>
            </w:r>
          </w:p>
          <w:p w14:paraId="16E66D56">
            <w:pPr>
              <w:pStyle w:val="106"/>
              <w:widowControl/>
              <w:spacing w:line="240" w:lineRule="auto"/>
              <w:ind w:left="0" w:firstLine="0"/>
              <w:jc w:val="center"/>
              <w:rPr>
                <w:rFonts w:hint="default" w:ascii="Times New Roman" w:hAnsi="Times New Roman" w:cs="Times New Roman"/>
                <w:bCs/>
                <w:color w:val="000000"/>
                <w:sz w:val="26"/>
                <w:szCs w:val="26"/>
                <w:bdr w:val="none" w:color="auto" w:sz="0" w:space="0"/>
                <w:lang w:val="en-US"/>
              </w:rPr>
            </w:pPr>
            <w:r>
              <w:rPr>
                <w:rFonts w:ascii="Times New Roman" w:hAnsi="Times New Roman" w:cs="Times New Roman"/>
                <w:bCs/>
                <w:color w:val="000000"/>
                <w:sz w:val="26"/>
                <w:szCs w:val="26"/>
                <w:bdr w:val="none" w:color="auto" w:sz="0" w:space="0"/>
              </w:rPr>
              <w:t>表</w:t>
            </w:r>
            <w:r>
              <w:rPr>
                <w:rFonts w:hint="default" w:ascii="Times New Roman" w:hAnsi="Times New Roman" w:cs="Times New Roman"/>
                <w:bCs/>
                <w:color w:val="000000"/>
                <w:sz w:val="26"/>
                <w:szCs w:val="26"/>
                <w:bdr w:val="none" w:color="auto" w:sz="0" w:space="0"/>
                <w:lang w:val="en-US"/>
              </w:rPr>
              <w:t xml:space="preserve">1.2-5 </w:t>
            </w:r>
            <w:r>
              <w:rPr>
                <w:rFonts w:ascii="Times New Roman" w:hAnsi="Times New Roman" w:cs="Times New Roman"/>
                <w:bCs/>
                <w:color w:val="000000"/>
                <w:sz w:val="26"/>
                <w:szCs w:val="26"/>
                <w:bdr w:val="none" w:color="auto" w:sz="0" w:space="0"/>
              </w:rPr>
              <w:t>《合川区生态环境保护</w:t>
            </w:r>
            <w:r>
              <w:rPr>
                <w:rFonts w:hint="default" w:ascii="Times New Roman" w:hAnsi="Times New Roman" w:cs="Times New Roman"/>
                <w:bCs/>
                <w:color w:val="000000"/>
                <w:sz w:val="26"/>
                <w:szCs w:val="26"/>
                <w:bdr w:val="none" w:color="auto" w:sz="0" w:space="0"/>
                <w:lang w:val="en-US"/>
              </w:rPr>
              <w:t>“</w:t>
            </w:r>
            <w:r>
              <w:rPr>
                <w:rFonts w:ascii="Times New Roman" w:hAnsi="Times New Roman" w:cs="Times New Roman"/>
                <w:bCs/>
                <w:color w:val="000000"/>
                <w:sz w:val="26"/>
                <w:szCs w:val="26"/>
                <w:bdr w:val="none" w:color="auto" w:sz="0" w:space="0"/>
              </w:rPr>
              <w:t>十四五</w:t>
            </w:r>
            <w:r>
              <w:rPr>
                <w:rFonts w:hint="default" w:ascii="Times New Roman" w:hAnsi="Times New Roman" w:cs="Times New Roman"/>
                <w:bCs/>
                <w:color w:val="000000"/>
                <w:sz w:val="26"/>
                <w:szCs w:val="26"/>
                <w:bdr w:val="none" w:color="auto" w:sz="0" w:space="0"/>
                <w:lang w:val="en-US"/>
              </w:rPr>
              <w:t>”</w:t>
            </w:r>
            <w:r>
              <w:rPr>
                <w:rFonts w:ascii="Times New Roman" w:hAnsi="Times New Roman" w:cs="Times New Roman"/>
                <w:bCs/>
                <w:color w:val="000000"/>
                <w:sz w:val="26"/>
                <w:szCs w:val="26"/>
                <w:bdr w:val="none" w:color="auto" w:sz="0" w:space="0"/>
              </w:rPr>
              <w:t>规划》符合性</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Layout w:type="fixed"/>
              <w:tblCellMar>
                <w:top w:w="0" w:type="dxa"/>
                <w:left w:w="28" w:type="dxa"/>
                <w:bottom w:w="0" w:type="dxa"/>
                <w:right w:w="28" w:type="dxa"/>
              </w:tblCellMar>
            </w:tblPr>
            <w:tblGrid>
              <w:gridCol w:w="404"/>
              <w:gridCol w:w="5095"/>
              <w:gridCol w:w="165"/>
              <w:gridCol w:w="1644"/>
              <w:gridCol w:w="625"/>
            </w:tblGrid>
            <w:tr w14:paraId="16BB9E1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CellMar>
                  <w:top w:w="0" w:type="dxa"/>
                  <w:left w:w="28" w:type="dxa"/>
                  <w:bottom w:w="0" w:type="dxa"/>
                  <w:right w:w="28" w:type="dxa"/>
                </w:tblCellMar>
              </w:tblPrEx>
              <w:trPr>
                <w:trHeight w:val="340" w:hRule="atLeast"/>
                <w:jc w:val="center"/>
              </w:trPr>
              <w:tc>
                <w:tcPr>
                  <w:tcW w:w="404" w:type="dxa"/>
                  <w:tcBorders>
                    <w:top w:val="single" w:color="auto" w:sz="12" w:space="0"/>
                    <w:left w:val="nil"/>
                    <w:bottom w:val="single" w:color="auto" w:sz="4" w:space="0"/>
                    <w:right w:val="single" w:color="auto" w:sz="4" w:space="0"/>
                  </w:tcBorders>
                  <w:shd w:val="clear"/>
                  <w:vAlign w:val="center"/>
                </w:tcPr>
                <w:p w14:paraId="30264911">
                  <w:pPr>
                    <w:pStyle w:val="106"/>
                    <w:widowControl/>
                    <w:spacing w:line="240" w:lineRule="auto"/>
                    <w:ind w:left="0" w:firstLine="0"/>
                    <w:jc w:val="center"/>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color w:val="000000"/>
                      <w:sz w:val="21"/>
                      <w:szCs w:val="21"/>
                      <w:bdr w:val="none" w:color="auto" w:sz="0" w:space="0"/>
                    </w:rPr>
                    <w:t>序号</w:t>
                  </w:r>
                </w:p>
              </w:tc>
              <w:tc>
                <w:tcPr>
                  <w:tcW w:w="5094" w:type="dxa"/>
                  <w:tcBorders>
                    <w:top w:val="single" w:color="auto" w:sz="12" w:space="0"/>
                    <w:left w:val="single" w:color="auto" w:sz="4" w:space="0"/>
                    <w:bottom w:val="single" w:color="auto" w:sz="4" w:space="0"/>
                    <w:right w:val="single" w:color="auto" w:sz="4" w:space="0"/>
                  </w:tcBorders>
                  <w:shd w:val="clear"/>
                  <w:vAlign w:val="center"/>
                </w:tcPr>
                <w:p w14:paraId="68D9127D">
                  <w:pPr>
                    <w:pStyle w:val="106"/>
                    <w:widowControl/>
                    <w:spacing w:line="240" w:lineRule="auto"/>
                    <w:ind w:left="0" w:firstLine="0"/>
                    <w:jc w:val="center"/>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color w:val="000000"/>
                      <w:sz w:val="21"/>
                      <w:szCs w:val="21"/>
                      <w:bdr w:val="none" w:color="auto" w:sz="0" w:space="0"/>
                    </w:rPr>
                    <w:t>技术政策要求</w:t>
                  </w:r>
                </w:p>
              </w:tc>
              <w:tc>
                <w:tcPr>
                  <w:tcW w:w="1809" w:type="dxa"/>
                  <w:gridSpan w:val="2"/>
                  <w:tcBorders>
                    <w:top w:val="single" w:color="auto" w:sz="12" w:space="0"/>
                    <w:left w:val="single" w:color="auto" w:sz="4" w:space="0"/>
                    <w:bottom w:val="single" w:color="auto" w:sz="4" w:space="0"/>
                    <w:right w:val="single" w:color="auto" w:sz="4" w:space="0"/>
                  </w:tcBorders>
                  <w:shd w:val="clear"/>
                  <w:vAlign w:val="center"/>
                </w:tcPr>
                <w:p w14:paraId="0CBDFE1D">
                  <w:pPr>
                    <w:pStyle w:val="106"/>
                    <w:widowControl/>
                    <w:spacing w:line="240" w:lineRule="auto"/>
                    <w:ind w:left="0" w:firstLine="0"/>
                    <w:jc w:val="center"/>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color w:val="000000"/>
                      <w:sz w:val="21"/>
                      <w:szCs w:val="21"/>
                      <w:bdr w:val="none" w:color="auto" w:sz="0" w:space="0"/>
                    </w:rPr>
                    <w:t>本工程内容</w:t>
                  </w:r>
                </w:p>
              </w:tc>
              <w:tc>
                <w:tcPr>
                  <w:tcW w:w="625" w:type="dxa"/>
                  <w:tcBorders>
                    <w:top w:val="single" w:color="auto" w:sz="12" w:space="0"/>
                    <w:left w:val="single" w:color="auto" w:sz="4" w:space="0"/>
                    <w:bottom w:val="single" w:color="auto" w:sz="4" w:space="0"/>
                    <w:right w:val="nil"/>
                  </w:tcBorders>
                  <w:shd w:val="clear"/>
                  <w:vAlign w:val="center"/>
                </w:tcPr>
                <w:p w14:paraId="3EE338C6">
                  <w:pPr>
                    <w:pStyle w:val="106"/>
                    <w:widowControl/>
                    <w:spacing w:line="240" w:lineRule="auto"/>
                    <w:ind w:left="0" w:firstLine="0"/>
                    <w:jc w:val="center"/>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color w:val="000000"/>
                      <w:sz w:val="21"/>
                      <w:szCs w:val="21"/>
                      <w:bdr w:val="none" w:color="auto" w:sz="0" w:space="0"/>
                    </w:rPr>
                    <w:t>符合性</w:t>
                  </w:r>
                </w:p>
              </w:tc>
            </w:tr>
            <w:tr w14:paraId="366B5E2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932" w:type="dxa"/>
                  <w:gridSpan w:val="5"/>
                  <w:tcBorders>
                    <w:top w:val="single" w:color="auto" w:sz="4" w:space="0"/>
                    <w:left w:val="nil"/>
                    <w:bottom w:val="single" w:color="auto" w:sz="4" w:space="0"/>
                    <w:right w:val="nil"/>
                  </w:tcBorders>
                  <w:shd w:val="clear"/>
                  <w:vAlign w:val="center"/>
                </w:tcPr>
                <w:p w14:paraId="7974447E">
                  <w:pPr>
                    <w:pStyle w:val="106"/>
                    <w:widowControl/>
                    <w:spacing w:line="240" w:lineRule="auto"/>
                    <w:ind w:left="0" w:firstLine="0"/>
                    <w:jc w:val="center"/>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bCs/>
                      <w:color w:val="000000"/>
                      <w:sz w:val="21"/>
                      <w:szCs w:val="21"/>
                      <w:bdr w:val="none" w:color="auto" w:sz="0" w:space="0"/>
                    </w:rPr>
                    <w:t>第五章</w:t>
                  </w:r>
                  <w:r>
                    <w:rPr>
                      <w:rFonts w:hint="default" w:ascii="Times New Roman" w:hAnsi="Times New Roman" w:cs="Times New Roman"/>
                      <w:bCs/>
                      <w:color w:val="000000"/>
                      <w:sz w:val="21"/>
                      <w:szCs w:val="21"/>
                      <w:bdr w:val="none" w:color="auto" w:sz="0" w:space="0"/>
                    </w:rPr>
                    <w:t xml:space="preserve"> </w:t>
                  </w:r>
                  <w:r>
                    <w:rPr>
                      <w:rFonts w:ascii="Times New Roman" w:hAnsi="Times New Roman" w:cs="Times New Roman"/>
                      <w:bCs/>
                      <w:color w:val="000000"/>
                      <w:sz w:val="21"/>
                      <w:szCs w:val="21"/>
                      <w:bdr w:val="none" w:color="auto" w:sz="0" w:space="0"/>
                    </w:rPr>
                    <w:t>深入打好污染防治攻坚战，实现生态环境质量持续改善</w:t>
                  </w:r>
                </w:p>
              </w:tc>
            </w:tr>
            <w:tr w14:paraId="3C1FFB2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4" w:type="dxa"/>
                  <w:vMerge w:val="restart"/>
                  <w:tcBorders>
                    <w:top w:val="single" w:color="auto" w:sz="4" w:space="0"/>
                    <w:left w:val="nil"/>
                    <w:bottom w:val="single" w:color="auto" w:sz="4" w:space="0"/>
                    <w:right w:val="single" w:color="auto" w:sz="4" w:space="0"/>
                  </w:tcBorders>
                  <w:shd w:val="clear"/>
                  <w:vAlign w:val="center"/>
                </w:tcPr>
                <w:p w14:paraId="271DF35B">
                  <w:pPr>
                    <w:pStyle w:val="106"/>
                    <w:widowControl/>
                    <w:spacing w:line="240" w:lineRule="auto"/>
                    <w:ind w:left="0" w:firstLine="0"/>
                    <w:jc w:val="center"/>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bCs/>
                      <w:color w:val="000000"/>
                      <w:sz w:val="21"/>
                      <w:szCs w:val="21"/>
                      <w:bdr w:val="none" w:color="auto" w:sz="0" w:space="0"/>
                    </w:rPr>
                    <w:t>精准施策改善空气环境质量</w:t>
                  </w:r>
                </w:p>
              </w:tc>
              <w:tc>
                <w:tcPr>
                  <w:tcW w:w="5259" w:type="dxa"/>
                  <w:gridSpan w:val="2"/>
                  <w:tcBorders>
                    <w:top w:val="single" w:color="auto" w:sz="4" w:space="0"/>
                    <w:left w:val="single" w:color="auto" w:sz="4" w:space="0"/>
                    <w:bottom w:val="single" w:color="auto" w:sz="4" w:space="0"/>
                    <w:right w:val="single" w:color="auto" w:sz="4" w:space="0"/>
                  </w:tcBorders>
                  <w:shd w:val="clear"/>
                  <w:vAlign w:val="center"/>
                </w:tcPr>
                <w:p w14:paraId="75BFDA13">
                  <w:pPr>
                    <w:pStyle w:val="106"/>
                    <w:widowControl/>
                    <w:spacing w:line="240" w:lineRule="auto"/>
                    <w:ind w:left="0" w:firstLine="0"/>
                    <w:jc w:val="left"/>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bCs/>
                      <w:color w:val="000000"/>
                      <w:sz w:val="21"/>
                      <w:szCs w:val="21"/>
                      <w:bdr w:val="none" w:color="auto" w:sz="0" w:space="0"/>
                    </w:rPr>
                    <w:t>强化大气环境空间管控和约束。</w:t>
                  </w:r>
                  <w:r>
                    <w:rPr>
                      <w:rFonts w:ascii="Times New Roman" w:hAnsi="Times New Roman" w:cs="Times New Roman"/>
                      <w:color w:val="000000"/>
                      <w:sz w:val="21"/>
                      <w:szCs w:val="21"/>
                      <w:bdr w:val="none" w:color="auto" w:sz="0" w:space="0"/>
                    </w:rPr>
                    <w:t>按照《重庆市合川区人民政府关于印发合川区大气污染防治工作任务考核办法（试行）的通知》要求，结合</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三线一单</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和环境空气质量功能区划，将全区划分为大气污染防治重点控制区和一般控制区。重点控制区内的产业布局方案应根据大气环境承载力和输送规律合理制定，形成有利于大气污染物扩散的城市空间格局。</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严控燃煤锅炉新增，已铺设天然气管网的城区、场镇及其周边区域原则上不得新增燃煤锅炉，城市建成区禁止新建</w:t>
                  </w:r>
                  <w:r>
                    <w:rPr>
                      <w:rFonts w:hint="default" w:ascii="Times New Roman" w:hAnsi="Times New Roman" w:cs="Times New Roman"/>
                      <w:color w:val="000000"/>
                      <w:sz w:val="21"/>
                      <w:szCs w:val="21"/>
                      <w:bdr w:val="none" w:color="auto" w:sz="0" w:space="0"/>
                      <w:lang w:val="en-US"/>
                    </w:rPr>
                    <w:t>20</w:t>
                  </w:r>
                  <w:r>
                    <w:rPr>
                      <w:rFonts w:ascii="Times New Roman" w:hAnsi="Times New Roman" w:cs="Times New Roman"/>
                      <w:color w:val="000000"/>
                      <w:sz w:val="21"/>
                      <w:szCs w:val="21"/>
                      <w:bdr w:val="none" w:color="auto" w:sz="0" w:space="0"/>
                    </w:rPr>
                    <w:t>蒸吨及以下燃煤锅炉，全面淘汰</w:t>
                  </w:r>
                  <w:r>
                    <w:rPr>
                      <w:rFonts w:hint="default" w:ascii="Times New Roman" w:hAnsi="Times New Roman" w:cs="Times New Roman"/>
                      <w:color w:val="000000"/>
                      <w:sz w:val="21"/>
                      <w:szCs w:val="21"/>
                      <w:bdr w:val="none" w:color="auto" w:sz="0" w:space="0"/>
                      <w:lang w:val="en-US"/>
                    </w:rPr>
                    <w:t>10</w:t>
                  </w:r>
                  <w:r>
                    <w:rPr>
                      <w:rFonts w:ascii="Times New Roman" w:hAnsi="Times New Roman" w:cs="Times New Roman"/>
                      <w:color w:val="000000"/>
                      <w:sz w:val="21"/>
                      <w:szCs w:val="21"/>
                      <w:bdr w:val="none" w:color="auto" w:sz="0" w:space="0"/>
                    </w:rPr>
                    <w:t>蒸吨及以下的燃煤锅炉。</w:t>
                  </w:r>
                </w:p>
              </w:tc>
              <w:tc>
                <w:tcPr>
                  <w:tcW w:w="1644" w:type="dxa"/>
                  <w:tcBorders>
                    <w:top w:val="single" w:color="auto" w:sz="4" w:space="0"/>
                    <w:left w:val="single" w:color="auto" w:sz="4" w:space="0"/>
                    <w:bottom w:val="single" w:color="auto" w:sz="4" w:space="0"/>
                    <w:right w:val="single" w:color="auto" w:sz="4" w:space="0"/>
                  </w:tcBorders>
                  <w:shd w:val="clear"/>
                  <w:vAlign w:val="center"/>
                </w:tcPr>
                <w:p w14:paraId="31D27CDF">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扩建项目不涉及</w:t>
                  </w:r>
                  <w:r>
                    <w:rPr>
                      <w:rFonts w:hint="eastAsia" w:ascii="Times New Roman" w:hAnsi="Times New Roman" w:eastAsia="宋体" w:cs="宋体"/>
                      <w:color w:val="000000"/>
                      <w:kern w:val="2"/>
                      <w:sz w:val="21"/>
                      <w:szCs w:val="21"/>
                      <w:bdr w:val="none" w:color="auto" w:sz="0" w:space="0"/>
                      <w:lang w:val="en-US" w:eastAsia="zh-CN" w:bidi="ar"/>
                    </w:rPr>
                    <w:t>锅炉。</w:t>
                  </w:r>
                </w:p>
              </w:tc>
              <w:tc>
                <w:tcPr>
                  <w:tcW w:w="625" w:type="dxa"/>
                  <w:tcBorders>
                    <w:top w:val="single" w:color="auto" w:sz="4" w:space="0"/>
                    <w:left w:val="single" w:color="auto" w:sz="4" w:space="0"/>
                    <w:bottom w:val="single" w:color="auto" w:sz="4" w:space="0"/>
                    <w:right w:val="nil"/>
                  </w:tcBorders>
                  <w:shd w:val="clear"/>
                  <w:vAlign w:val="center"/>
                </w:tcPr>
                <w:p w14:paraId="117541F4">
                  <w:pPr>
                    <w:pStyle w:val="106"/>
                    <w:widowControl/>
                    <w:spacing w:line="240" w:lineRule="auto"/>
                    <w:ind w:left="0" w:firstLine="0"/>
                    <w:jc w:val="center"/>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color w:val="000000"/>
                      <w:sz w:val="21"/>
                      <w:szCs w:val="21"/>
                      <w:bdr w:val="none" w:color="auto" w:sz="0" w:space="0"/>
                    </w:rPr>
                    <w:t>符合</w:t>
                  </w:r>
                </w:p>
              </w:tc>
            </w:tr>
            <w:tr w14:paraId="1304EA5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4" w:type="dxa"/>
                  <w:vMerge w:val="continue"/>
                  <w:tcBorders>
                    <w:top w:val="single" w:color="auto" w:sz="4" w:space="0"/>
                    <w:left w:val="nil"/>
                    <w:bottom w:val="single" w:color="auto" w:sz="4" w:space="0"/>
                    <w:right w:val="single" w:color="auto" w:sz="4" w:space="0"/>
                  </w:tcBorders>
                  <w:shd w:val="clear"/>
                  <w:vAlign w:val="center"/>
                </w:tcPr>
                <w:p w14:paraId="6B3E72EB">
                  <w:pPr>
                    <w:rPr>
                      <w:rFonts w:hint="default" w:ascii="Calibri" w:hAnsi="Calibri" w:cs="Calibri"/>
                      <w:sz w:val="20"/>
                      <w:szCs w:val="20"/>
                    </w:rPr>
                  </w:pPr>
                </w:p>
              </w:tc>
              <w:tc>
                <w:tcPr>
                  <w:tcW w:w="5259" w:type="dxa"/>
                  <w:gridSpan w:val="2"/>
                  <w:tcBorders>
                    <w:top w:val="single" w:color="auto" w:sz="4" w:space="0"/>
                    <w:left w:val="single" w:color="auto" w:sz="4" w:space="0"/>
                    <w:bottom w:val="single" w:color="auto" w:sz="4" w:space="0"/>
                    <w:right w:val="single" w:color="auto" w:sz="4" w:space="0"/>
                  </w:tcBorders>
                  <w:shd w:val="clear"/>
                  <w:vAlign w:val="center"/>
                </w:tcPr>
                <w:p w14:paraId="40705182">
                  <w:pPr>
                    <w:pStyle w:val="106"/>
                    <w:widowControl/>
                    <w:spacing w:line="240" w:lineRule="auto"/>
                    <w:ind w:left="0" w:firstLine="0"/>
                    <w:jc w:val="left"/>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bCs/>
                      <w:color w:val="000000"/>
                      <w:sz w:val="21"/>
                      <w:szCs w:val="21"/>
                      <w:bdr w:val="none" w:color="auto" w:sz="0" w:space="0"/>
                    </w:rPr>
                    <w:t>加大工业废气综合治理力度。</w:t>
                  </w:r>
                  <w:r>
                    <w:rPr>
                      <w:rFonts w:ascii="Times New Roman" w:hAnsi="Times New Roman" w:cs="Times New Roman"/>
                      <w:color w:val="000000"/>
                      <w:sz w:val="21"/>
                      <w:szCs w:val="21"/>
                      <w:bdr w:val="none" w:color="auto" w:sz="0" w:space="0"/>
                    </w:rPr>
                    <w:t>严格执行大气污染物特别排放限值，</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全面开展挥发性有机物治理，深化重点行业挥发性有机物摸查，持续开展挥发性有机物排放企业专项整治，加大重点行业、重点企业</w:t>
                  </w:r>
                  <w:r>
                    <w:rPr>
                      <w:rFonts w:hint="default" w:ascii="Times New Roman" w:hAnsi="Times New Roman" w:cs="Times New Roman"/>
                      <w:color w:val="000000"/>
                      <w:sz w:val="21"/>
                      <w:szCs w:val="21"/>
                      <w:bdr w:val="none" w:color="auto" w:sz="0" w:space="0"/>
                      <w:lang w:val="en-US"/>
                    </w:rPr>
                    <w:t>VOCs</w:t>
                  </w:r>
                  <w:r>
                    <w:rPr>
                      <w:rFonts w:ascii="Times New Roman" w:hAnsi="Times New Roman" w:cs="Times New Roman"/>
                      <w:color w:val="000000"/>
                      <w:sz w:val="21"/>
                      <w:szCs w:val="21"/>
                      <w:bdr w:val="none" w:color="auto" w:sz="0" w:space="0"/>
                    </w:rPr>
                    <w:t>全过程污染治理整治，鼓励区内挥发性有机物企业安装在线监测监控和工况监测设施，并接入环保物联网系统。严格落实</w:t>
                  </w:r>
                  <w:r>
                    <w:rPr>
                      <w:rFonts w:hint="default" w:ascii="Times New Roman" w:hAnsi="Times New Roman" w:cs="Times New Roman"/>
                      <w:color w:val="000000"/>
                      <w:sz w:val="21"/>
                      <w:szCs w:val="21"/>
                      <w:bdr w:val="none" w:color="auto" w:sz="0" w:space="0"/>
                      <w:lang w:val="en-US"/>
                    </w:rPr>
                    <w:t>VOCs</w:t>
                  </w:r>
                  <w:r>
                    <w:rPr>
                      <w:rFonts w:ascii="Times New Roman" w:hAnsi="Times New Roman" w:cs="Times New Roman"/>
                      <w:color w:val="000000"/>
                      <w:sz w:val="21"/>
                      <w:szCs w:val="21"/>
                      <w:bdr w:val="none" w:color="auto" w:sz="0" w:space="0"/>
                    </w:rPr>
                    <w:t>含量限制标准，大力推进低（无）</w:t>
                  </w:r>
                  <w:r>
                    <w:rPr>
                      <w:rFonts w:hint="default" w:ascii="Times New Roman" w:hAnsi="Times New Roman" w:cs="Times New Roman"/>
                      <w:color w:val="000000"/>
                      <w:sz w:val="21"/>
                      <w:szCs w:val="21"/>
                      <w:bdr w:val="none" w:color="auto" w:sz="0" w:space="0"/>
                      <w:lang w:val="en-US"/>
                    </w:rPr>
                    <w:t>VOCs</w:t>
                  </w:r>
                  <w:r>
                    <w:rPr>
                      <w:rFonts w:ascii="Times New Roman" w:hAnsi="Times New Roman" w:cs="Times New Roman"/>
                      <w:color w:val="000000"/>
                      <w:sz w:val="21"/>
                      <w:szCs w:val="21"/>
                      <w:bdr w:val="none" w:color="auto" w:sz="0" w:space="0"/>
                    </w:rPr>
                    <w:t>原辅材料替代，将生产和使用高</w:t>
                  </w:r>
                  <w:r>
                    <w:rPr>
                      <w:rFonts w:hint="default" w:ascii="Times New Roman" w:hAnsi="Times New Roman" w:cs="Times New Roman"/>
                      <w:color w:val="000000"/>
                      <w:sz w:val="21"/>
                      <w:szCs w:val="21"/>
                      <w:bdr w:val="none" w:color="auto" w:sz="0" w:space="0"/>
                      <w:lang w:val="en-US"/>
                    </w:rPr>
                    <w:t>VOCs</w:t>
                  </w:r>
                  <w:r>
                    <w:rPr>
                      <w:rFonts w:ascii="Times New Roman" w:hAnsi="Times New Roman" w:cs="Times New Roman"/>
                      <w:color w:val="000000"/>
                      <w:sz w:val="21"/>
                      <w:szCs w:val="21"/>
                      <w:bdr w:val="none" w:color="auto" w:sz="0" w:space="0"/>
                    </w:rPr>
                    <w:t>含量产品的企业列入强制性清洁生产审核名单。</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强化污染企业台账管理，台账保存期限不少于三年。加强污染源监督监测，</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确保工业企业污染治理设施和在线监控监测系统正常运行。</w:t>
                  </w:r>
                </w:p>
              </w:tc>
              <w:tc>
                <w:tcPr>
                  <w:tcW w:w="1644" w:type="dxa"/>
                  <w:tcBorders>
                    <w:top w:val="single" w:color="auto" w:sz="4" w:space="0"/>
                    <w:left w:val="single" w:color="auto" w:sz="4" w:space="0"/>
                    <w:bottom w:val="single" w:color="auto" w:sz="4" w:space="0"/>
                    <w:right w:val="single" w:color="auto" w:sz="4" w:space="0"/>
                  </w:tcBorders>
                  <w:shd w:val="clear"/>
                  <w:vAlign w:val="center"/>
                </w:tcPr>
                <w:p w14:paraId="17A8AFC0">
                  <w:pPr>
                    <w:pStyle w:val="106"/>
                    <w:widowControl/>
                    <w:spacing w:line="240" w:lineRule="auto"/>
                    <w:ind w:left="0" w:firstLine="0"/>
                    <w:jc w:val="left"/>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color w:val="000000"/>
                      <w:sz w:val="21"/>
                      <w:szCs w:val="21"/>
                      <w:bdr w:val="none" w:color="auto" w:sz="0" w:space="0"/>
                    </w:rPr>
                    <w:t>扩建项目产生低浓度</w:t>
                  </w:r>
                  <w:r>
                    <w:rPr>
                      <w:rFonts w:hint="default" w:ascii="Times New Roman" w:hAnsi="Times New Roman" w:cs="Times New Roman"/>
                      <w:color w:val="000000"/>
                      <w:sz w:val="21"/>
                      <w:szCs w:val="21"/>
                      <w:bdr w:val="none" w:color="auto" w:sz="0" w:space="0"/>
                      <w:lang w:val="en-US"/>
                    </w:rPr>
                    <w:t>VOCs</w:t>
                  </w:r>
                  <w:r>
                    <w:rPr>
                      <w:rFonts w:ascii="Times New Roman" w:hAnsi="Times New Roman" w:cs="Times New Roman"/>
                      <w:color w:val="000000"/>
                      <w:sz w:val="21"/>
                      <w:szCs w:val="21"/>
                      <w:bdr w:val="none" w:color="auto" w:sz="0" w:space="0"/>
                    </w:rPr>
                    <w:t>废气，采用“</w:t>
                  </w:r>
                  <w:r>
                    <w:rPr>
                      <w:rFonts w:hint="default" w:ascii="Times New Roman" w:hAnsi="Times New Roman" w:cs="Times New Roman"/>
                      <w:color w:val="000000"/>
                      <w:sz w:val="21"/>
                      <w:szCs w:val="21"/>
                      <w:bdr w:val="none" w:color="auto" w:sz="0" w:space="0"/>
                      <w:lang w:val="en-US"/>
                    </w:rPr>
                    <w:t>UV</w:t>
                  </w:r>
                  <w:r>
                    <w:rPr>
                      <w:rFonts w:ascii="Times New Roman" w:hAnsi="Times New Roman" w:cs="Times New Roman"/>
                      <w:color w:val="000000"/>
                      <w:sz w:val="21"/>
                      <w:szCs w:val="21"/>
                      <w:bdr w:val="none" w:color="auto" w:sz="0" w:space="0"/>
                    </w:rPr>
                    <w:t>光解</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二级活性炭吸附”处理后达标排放。</w:t>
                  </w:r>
                </w:p>
              </w:tc>
              <w:tc>
                <w:tcPr>
                  <w:tcW w:w="625" w:type="dxa"/>
                  <w:tcBorders>
                    <w:top w:val="single" w:color="auto" w:sz="4" w:space="0"/>
                    <w:left w:val="single" w:color="auto" w:sz="4" w:space="0"/>
                    <w:bottom w:val="single" w:color="auto" w:sz="4" w:space="0"/>
                    <w:right w:val="nil"/>
                  </w:tcBorders>
                  <w:shd w:val="clear"/>
                  <w:vAlign w:val="center"/>
                </w:tcPr>
                <w:p w14:paraId="18696382">
                  <w:pPr>
                    <w:pStyle w:val="106"/>
                    <w:widowControl/>
                    <w:spacing w:line="240" w:lineRule="auto"/>
                    <w:ind w:left="0" w:firstLine="0"/>
                    <w:jc w:val="center"/>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color w:val="000000"/>
                      <w:sz w:val="21"/>
                      <w:szCs w:val="21"/>
                      <w:bdr w:val="none" w:color="auto" w:sz="0" w:space="0"/>
                    </w:rPr>
                    <w:t>符合</w:t>
                  </w:r>
                </w:p>
              </w:tc>
            </w:tr>
            <w:tr w14:paraId="7F17EAF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4" w:type="dxa"/>
                  <w:tcBorders>
                    <w:top w:val="single" w:color="auto" w:sz="4" w:space="0"/>
                    <w:left w:val="nil"/>
                    <w:bottom w:val="single" w:color="auto" w:sz="4" w:space="0"/>
                    <w:right w:val="single" w:color="auto" w:sz="4" w:space="0"/>
                  </w:tcBorders>
                  <w:shd w:val="clear"/>
                  <w:vAlign w:val="center"/>
                </w:tcPr>
                <w:p w14:paraId="28A1C616">
                  <w:pPr>
                    <w:pStyle w:val="106"/>
                    <w:widowControl/>
                    <w:spacing w:line="240" w:lineRule="auto"/>
                    <w:ind w:left="0" w:firstLine="0"/>
                    <w:jc w:val="center"/>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color w:val="000000"/>
                      <w:sz w:val="21"/>
                      <w:szCs w:val="21"/>
                      <w:bdr w:val="none" w:color="auto" w:sz="0" w:space="0"/>
                    </w:rPr>
                    <w:t>系统治理水生态环境</w:t>
                  </w:r>
                </w:p>
              </w:tc>
              <w:tc>
                <w:tcPr>
                  <w:tcW w:w="5259" w:type="dxa"/>
                  <w:gridSpan w:val="2"/>
                  <w:tcBorders>
                    <w:top w:val="single" w:color="auto" w:sz="4" w:space="0"/>
                    <w:left w:val="single" w:color="auto" w:sz="4" w:space="0"/>
                    <w:bottom w:val="single" w:color="auto" w:sz="4" w:space="0"/>
                    <w:right w:val="single" w:color="auto" w:sz="4" w:space="0"/>
                  </w:tcBorders>
                  <w:shd w:val="clear"/>
                  <w:vAlign w:val="center"/>
                </w:tcPr>
                <w:p w14:paraId="3214D6FC">
                  <w:pPr>
                    <w:pStyle w:val="106"/>
                    <w:widowControl/>
                    <w:spacing w:line="240" w:lineRule="auto"/>
                    <w:ind w:left="0" w:firstLine="0"/>
                    <w:jc w:val="left"/>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bCs/>
                      <w:color w:val="000000"/>
                      <w:sz w:val="21"/>
                      <w:szCs w:val="21"/>
                      <w:bdr w:val="none" w:color="auto" w:sz="0" w:space="0"/>
                    </w:rPr>
                    <w:t>深化水环境污染治理。</w:t>
                  </w:r>
                  <w:r>
                    <w:rPr>
                      <w:rFonts w:ascii="Times New Roman" w:hAnsi="Times New Roman" w:cs="Times New Roman"/>
                      <w:color w:val="000000"/>
                      <w:sz w:val="21"/>
                      <w:szCs w:val="21"/>
                      <w:bdr w:val="none" w:color="auto" w:sz="0" w:space="0"/>
                    </w:rPr>
                    <w:t>加强工业企业污染防治，逐步完善重点涉水企业废水排污口在线监测系统，强化工业园区外生产环节涉水的工业企业外排生产废水排放监管。</w:t>
                  </w:r>
                  <w:r>
                    <w:rPr>
                      <w:rFonts w:hint="default" w:ascii="Times New Roman" w:hAnsi="Times New Roman" w:cs="Times New Roman"/>
                      <w:color w:val="000000"/>
                      <w:sz w:val="21"/>
                      <w:szCs w:val="21"/>
                      <w:bdr w:val="none" w:color="auto" w:sz="0" w:space="0"/>
                      <w:lang w:val="en-US"/>
                    </w:rPr>
                    <w:t>…</w:t>
                  </w:r>
                </w:p>
              </w:tc>
              <w:tc>
                <w:tcPr>
                  <w:tcW w:w="1644" w:type="dxa"/>
                  <w:tcBorders>
                    <w:top w:val="single" w:color="auto" w:sz="4" w:space="0"/>
                    <w:left w:val="single" w:color="auto" w:sz="4" w:space="0"/>
                    <w:bottom w:val="single" w:color="auto" w:sz="4" w:space="0"/>
                    <w:right w:val="single" w:color="auto" w:sz="4" w:space="0"/>
                  </w:tcBorders>
                  <w:shd w:val="clear"/>
                  <w:vAlign w:val="center"/>
                </w:tcPr>
                <w:p w14:paraId="11F3C61C">
                  <w:pPr>
                    <w:pStyle w:val="106"/>
                    <w:widowControl/>
                    <w:spacing w:line="240" w:lineRule="auto"/>
                    <w:ind w:left="0" w:firstLine="0"/>
                    <w:jc w:val="left"/>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color w:val="000000"/>
                      <w:sz w:val="21"/>
                      <w:szCs w:val="21"/>
                      <w:bdr w:val="none" w:color="auto" w:sz="0" w:space="0"/>
                    </w:rPr>
                    <w:t>扩建项目无生产废水，新增员工生活污水依托盈田•合川工谷已建污水设施处理达标后排放。</w:t>
                  </w:r>
                </w:p>
              </w:tc>
              <w:tc>
                <w:tcPr>
                  <w:tcW w:w="625" w:type="dxa"/>
                  <w:tcBorders>
                    <w:top w:val="single" w:color="auto" w:sz="4" w:space="0"/>
                    <w:left w:val="single" w:color="auto" w:sz="4" w:space="0"/>
                    <w:bottom w:val="single" w:color="auto" w:sz="4" w:space="0"/>
                    <w:right w:val="nil"/>
                  </w:tcBorders>
                  <w:shd w:val="clear"/>
                  <w:vAlign w:val="center"/>
                </w:tcPr>
                <w:p w14:paraId="24E4DB0E">
                  <w:pPr>
                    <w:pStyle w:val="106"/>
                    <w:widowControl/>
                    <w:spacing w:line="240" w:lineRule="auto"/>
                    <w:ind w:left="0" w:firstLine="0"/>
                    <w:jc w:val="center"/>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color w:val="000000"/>
                      <w:sz w:val="21"/>
                      <w:szCs w:val="21"/>
                      <w:bdr w:val="none" w:color="auto" w:sz="0" w:space="0"/>
                    </w:rPr>
                    <w:t>符合</w:t>
                  </w:r>
                </w:p>
              </w:tc>
            </w:tr>
            <w:tr w14:paraId="7BAFF83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4" w:type="dxa"/>
                  <w:vMerge w:val="restart"/>
                  <w:tcBorders>
                    <w:top w:val="single" w:color="auto" w:sz="4" w:space="0"/>
                    <w:left w:val="nil"/>
                    <w:bottom w:val="single" w:color="auto" w:sz="4" w:space="0"/>
                    <w:right w:val="single" w:color="auto" w:sz="4" w:space="0"/>
                  </w:tcBorders>
                  <w:shd w:val="clear"/>
                  <w:vAlign w:val="center"/>
                </w:tcPr>
                <w:p w14:paraId="54095777">
                  <w:pPr>
                    <w:pStyle w:val="106"/>
                    <w:widowControl/>
                    <w:spacing w:line="240" w:lineRule="auto"/>
                    <w:ind w:left="0" w:firstLine="0"/>
                    <w:jc w:val="center"/>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color w:val="000000"/>
                      <w:sz w:val="21"/>
                      <w:szCs w:val="21"/>
                      <w:bdr w:val="none" w:color="auto" w:sz="0" w:space="0"/>
                    </w:rPr>
                    <w:t>全力保障土壤和地下水环境安全</w:t>
                  </w:r>
                </w:p>
              </w:tc>
              <w:tc>
                <w:tcPr>
                  <w:tcW w:w="5259" w:type="dxa"/>
                  <w:gridSpan w:val="2"/>
                  <w:tcBorders>
                    <w:top w:val="single" w:color="auto" w:sz="4" w:space="0"/>
                    <w:left w:val="single" w:color="auto" w:sz="4" w:space="0"/>
                    <w:bottom w:val="single" w:color="auto" w:sz="4" w:space="0"/>
                    <w:right w:val="single" w:color="auto" w:sz="4" w:space="0"/>
                  </w:tcBorders>
                  <w:shd w:val="clear"/>
                  <w:vAlign w:val="center"/>
                </w:tcPr>
                <w:p w14:paraId="70D87941">
                  <w:pPr>
                    <w:pStyle w:val="106"/>
                    <w:widowControl/>
                    <w:spacing w:line="240" w:lineRule="auto"/>
                    <w:ind w:left="0" w:firstLine="0"/>
                    <w:jc w:val="left"/>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bCs/>
                      <w:color w:val="000000"/>
                      <w:sz w:val="21"/>
                      <w:szCs w:val="21"/>
                      <w:bdr w:val="none" w:color="auto" w:sz="0" w:space="0"/>
                    </w:rPr>
                    <w:t>加强建设用地土壤污染防治。</w:t>
                  </w:r>
                  <w:r>
                    <w:rPr>
                      <w:rFonts w:ascii="Times New Roman" w:hAnsi="Times New Roman" w:cs="Times New Roman"/>
                      <w:color w:val="000000"/>
                      <w:sz w:val="21"/>
                      <w:szCs w:val="21"/>
                      <w:bdr w:val="none" w:color="auto" w:sz="0" w:space="0"/>
                    </w:rPr>
                    <w:t>以土壤污染状况详查结果为依据，识别土壤环境问题突出的重点区域、重点行业和有限管控污染物，针对重点行业企业周边，开展土壤污染综合防控示范区建设。全面落实《重庆市建设用地土壤污染防治办法》，实时发布土壤环境重点监管企业名单，强化土壤污染重点监管单元管理，</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w:t>
                  </w:r>
                </w:p>
              </w:tc>
              <w:tc>
                <w:tcPr>
                  <w:tcW w:w="1644" w:type="dxa"/>
                  <w:tcBorders>
                    <w:top w:val="single" w:color="auto" w:sz="4" w:space="0"/>
                    <w:left w:val="single" w:color="auto" w:sz="4" w:space="0"/>
                    <w:bottom w:val="single" w:color="auto" w:sz="4" w:space="0"/>
                    <w:right w:val="single" w:color="auto" w:sz="4" w:space="0"/>
                  </w:tcBorders>
                  <w:shd w:val="clear"/>
                  <w:vAlign w:val="center"/>
                </w:tcPr>
                <w:p w14:paraId="52ADE4FE">
                  <w:pPr>
                    <w:pStyle w:val="106"/>
                    <w:widowControl/>
                    <w:spacing w:line="240" w:lineRule="auto"/>
                    <w:ind w:left="0" w:firstLine="0"/>
                    <w:jc w:val="left"/>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color w:val="000000"/>
                      <w:sz w:val="21"/>
                      <w:szCs w:val="21"/>
                      <w:bdr w:val="none" w:color="auto" w:sz="0" w:space="0"/>
                    </w:rPr>
                    <w:t>扩建项目不涉及土壤修复；厂区内进行分区防渗，项目废气及原辅料等对土壤产生的影响小。</w:t>
                  </w:r>
                </w:p>
              </w:tc>
              <w:tc>
                <w:tcPr>
                  <w:tcW w:w="625" w:type="dxa"/>
                  <w:tcBorders>
                    <w:top w:val="single" w:color="auto" w:sz="4" w:space="0"/>
                    <w:left w:val="single" w:color="auto" w:sz="4" w:space="0"/>
                    <w:bottom w:val="single" w:color="auto" w:sz="4" w:space="0"/>
                    <w:right w:val="nil"/>
                  </w:tcBorders>
                  <w:shd w:val="clear"/>
                  <w:vAlign w:val="center"/>
                </w:tcPr>
                <w:p w14:paraId="6C2917FB">
                  <w:pPr>
                    <w:pStyle w:val="106"/>
                    <w:widowControl/>
                    <w:spacing w:line="240" w:lineRule="auto"/>
                    <w:ind w:left="0" w:firstLine="0"/>
                    <w:jc w:val="center"/>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color w:val="000000"/>
                      <w:sz w:val="21"/>
                      <w:szCs w:val="21"/>
                      <w:bdr w:val="none" w:color="auto" w:sz="0" w:space="0"/>
                    </w:rPr>
                    <w:t>符合</w:t>
                  </w:r>
                </w:p>
              </w:tc>
            </w:tr>
            <w:tr w14:paraId="74DEE55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4" w:type="dxa"/>
                  <w:vMerge w:val="continue"/>
                  <w:tcBorders>
                    <w:top w:val="single" w:color="auto" w:sz="4" w:space="0"/>
                    <w:left w:val="nil"/>
                    <w:bottom w:val="single" w:color="auto" w:sz="4" w:space="0"/>
                    <w:right w:val="single" w:color="auto" w:sz="4" w:space="0"/>
                  </w:tcBorders>
                  <w:shd w:val="clear"/>
                  <w:vAlign w:val="center"/>
                </w:tcPr>
                <w:p w14:paraId="4BA32BED">
                  <w:pPr>
                    <w:rPr>
                      <w:rFonts w:hint="default" w:ascii="Calibri" w:hAnsi="Calibri" w:cs="Calibri"/>
                      <w:sz w:val="20"/>
                      <w:szCs w:val="20"/>
                    </w:rPr>
                  </w:pPr>
                </w:p>
              </w:tc>
              <w:tc>
                <w:tcPr>
                  <w:tcW w:w="5259" w:type="dxa"/>
                  <w:gridSpan w:val="2"/>
                  <w:tcBorders>
                    <w:top w:val="single" w:color="auto" w:sz="4" w:space="0"/>
                    <w:left w:val="single" w:color="auto" w:sz="4" w:space="0"/>
                    <w:bottom w:val="single" w:color="auto" w:sz="4" w:space="0"/>
                    <w:right w:val="single" w:color="auto" w:sz="4" w:space="0"/>
                  </w:tcBorders>
                  <w:shd w:val="clear"/>
                  <w:vAlign w:val="center"/>
                </w:tcPr>
                <w:p w14:paraId="272F92DD">
                  <w:pPr>
                    <w:pStyle w:val="106"/>
                    <w:widowControl/>
                    <w:spacing w:line="240" w:lineRule="auto"/>
                    <w:ind w:left="0" w:firstLine="0"/>
                    <w:jc w:val="left"/>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bCs/>
                      <w:color w:val="000000"/>
                      <w:sz w:val="21"/>
                      <w:szCs w:val="21"/>
                      <w:bdr w:val="none" w:color="auto" w:sz="0" w:space="0"/>
                    </w:rPr>
                    <w:t>探索建立地下水环境质量管控体系。</w:t>
                  </w:r>
                  <w:r>
                    <w:rPr>
                      <w:rFonts w:ascii="Times New Roman" w:hAnsi="Times New Roman" w:cs="Times New Roman"/>
                      <w:color w:val="000000"/>
                      <w:sz w:val="21"/>
                      <w:szCs w:val="21"/>
                      <w:bdr w:val="none" w:color="auto" w:sz="0" w:space="0"/>
                    </w:rPr>
                    <w:t>开展地下水饮用水水源和地下水污染源</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双源</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环境安全调查评估，推进全区地下水污染防治分区划分，建立地下水环境状况清单。以工业园区、垃圾填埋场、加油站等为重点，完善地下水源头预防和风险管控机制，督促企业定期开展自行监测，逐步健全地下水环境质量监测网络和预警系统，形成完备的地下水污染突发事件应急预案和技术储备体系。</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保持全区地下水环境质量总体稳定。</w:t>
                  </w:r>
                </w:p>
              </w:tc>
              <w:tc>
                <w:tcPr>
                  <w:tcW w:w="1644" w:type="dxa"/>
                  <w:tcBorders>
                    <w:top w:val="single" w:color="auto" w:sz="4" w:space="0"/>
                    <w:left w:val="single" w:color="auto" w:sz="4" w:space="0"/>
                    <w:bottom w:val="single" w:color="auto" w:sz="4" w:space="0"/>
                    <w:right w:val="single" w:color="auto" w:sz="4" w:space="0"/>
                  </w:tcBorders>
                  <w:shd w:val="clear"/>
                  <w:vAlign w:val="center"/>
                </w:tcPr>
                <w:p w14:paraId="46506EC0">
                  <w:pPr>
                    <w:pStyle w:val="106"/>
                    <w:widowControl/>
                    <w:spacing w:line="240" w:lineRule="auto"/>
                    <w:ind w:left="0" w:firstLine="0"/>
                    <w:jc w:val="left"/>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color w:val="000000"/>
                      <w:sz w:val="21"/>
                      <w:szCs w:val="21"/>
                      <w:bdr w:val="none" w:color="auto" w:sz="0" w:space="0"/>
                    </w:rPr>
                    <w:t>扩建项目位于合川工业园区南溪组团</w:t>
                  </w:r>
                  <w:r>
                    <w:rPr>
                      <w:rFonts w:hint="default" w:ascii="Times New Roman" w:hAnsi="Times New Roman" w:cs="Times New Roman"/>
                      <w:color w:val="000000"/>
                      <w:sz w:val="21"/>
                      <w:szCs w:val="21"/>
                      <w:bdr w:val="none" w:color="auto" w:sz="0" w:space="0"/>
                      <w:lang w:val="en-US"/>
                    </w:rPr>
                    <w:t>B</w:t>
                  </w:r>
                  <w:r>
                    <w:rPr>
                      <w:rFonts w:ascii="Times New Roman" w:hAnsi="Times New Roman" w:cs="Times New Roman"/>
                      <w:color w:val="000000"/>
                      <w:sz w:val="21"/>
                      <w:szCs w:val="21"/>
                      <w:bdr w:val="none" w:color="auto" w:sz="0" w:space="0"/>
                    </w:rPr>
                    <w:t>区，工业园区进行了地下水环境分区防治；项目厂区进行分区防渗，废水及原辅料对地下水的影响小。</w:t>
                  </w:r>
                </w:p>
              </w:tc>
              <w:tc>
                <w:tcPr>
                  <w:tcW w:w="625" w:type="dxa"/>
                  <w:tcBorders>
                    <w:top w:val="single" w:color="auto" w:sz="4" w:space="0"/>
                    <w:left w:val="single" w:color="auto" w:sz="4" w:space="0"/>
                    <w:bottom w:val="single" w:color="auto" w:sz="4" w:space="0"/>
                    <w:right w:val="nil"/>
                  </w:tcBorders>
                  <w:shd w:val="clear"/>
                  <w:vAlign w:val="center"/>
                </w:tcPr>
                <w:p w14:paraId="2EAE7880">
                  <w:pPr>
                    <w:pStyle w:val="106"/>
                    <w:widowControl/>
                    <w:spacing w:line="240" w:lineRule="auto"/>
                    <w:ind w:left="0" w:firstLine="0"/>
                    <w:jc w:val="center"/>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color w:val="000000"/>
                      <w:sz w:val="21"/>
                      <w:szCs w:val="21"/>
                      <w:bdr w:val="none" w:color="auto" w:sz="0" w:space="0"/>
                    </w:rPr>
                    <w:t>符合</w:t>
                  </w:r>
                </w:p>
              </w:tc>
            </w:tr>
            <w:tr w14:paraId="435FB2A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4" w:type="dxa"/>
                  <w:vMerge w:val="restart"/>
                  <w:tcBorders>
                    <w:top w:val="single" w:color="auto" w:sz="4" w:space="0"/>
                    <w:left w:val="nil"/>
                    <w:bottom w:val="single" w:color="auto" w:sz="4" w:space="0"/>
                    <w:right w:val="single" w:color="auto" w:sz="4" w:space="0"/>
                  </w:tcBorders>
                  <w:shd w:val="clear"/>
                  <w:vAlign w:val="center"/>
                </w:tcPr>
                <w:p w14:paraId="65E4ABE6">
                  <w:pPr>
                    <w:pStyle w:val="106"/>
                    <w:widowControl/>
                    <w:spacing w:line="240" w:lineRule="auto"/>
                    <w:ind w:left="0" w:firstLine="0"/>
                    <w:jc w:val="center"/>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color w:val="000000"/>
                      <w:sz w:val="21"/>
                      <w:szCs w:val="21"/>
                      <w:bdr w:val="none" w:color="auto" w:sz="0" w:space="0"/>
                    </w:rPr>
                    <w:t>积极营造宁静生活环境</w:t>
                  </w:r>
                </w:p>
              </w:tc>
              <w:tc>
                <w:tcPr>
                  <w:tcW w:w="5259" w:type="dxa"/>
                  <w:gridSpan w:val="2"/>
                  <w:tcBorders>
                    <w:top w:val="single" w:color="auto" w:sz="4" w:space="0"/>
                    <w:left w:val="single" w:color="auto" w:sz="4" w:space="0"/>
                    <w:bottom w:val="single" w:color="auto" w:sz="4" w:space="0"/>
                    <w:right w:val="single" w:color="auto" w:sz="4" w:space="0"/>
                  </w:tcBorders>
                  <w:shd w:val="clear"/>
                  <w:vAlign w:val="center"/>
                </w:tcPr>
                <w:p w14:paraId="22527C91">
                  <w:pPr>
                    <w:pStyle w:val="106"/>
                    <w:widowControl/>
                    <w:spacing w:line="240" w:lineRule="auto"/>
                    <w:ind w:left="0" w:firstLine="0"/>
                    <w:jc w:val="left"/>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bCs/>
                      <w:color w:val="000000"/>
                      <w:sz w:val="21"/>
                      <w:szCs w:val="21"/>
                      <w:bdr w:val="none" w:color="auto" w:sz="0" w:space="0"/>
                    </w:rPr>
                    <w:t>强化噪声源头控制。</w:t>
                  </w:r>
                  <w:r>
                    <w:rPr>
                      <w:rFonts w:ascii="Times New Roman" w:hAnsi="Times New Roman" w:cs="Times New Roman"/>
                      <w:color w:val="000000"/>
                      <w:sz w:val="21"/>
                      <w:szCs w:val="21"/>
                      <w:bdr w:val="none" w:color="auto" w:sz="0" w:space="0"/>
                    </w:rPr>
                    <w:t>坚持规划引领，在制定国土空间规划、交通和公共设施建设等规划时，充分与《合川区声环境功能区划分方案》相协调，合理安排功能区和建设布局，强化城市声环境质量空间格局管理，保证住宅区、商业区、工业园区之间的空间隔离，在城市规划建设中利用绿色屏障吸收、隔离一定噪声，防止或者减轻环境噪声污染。强化噪声排放源监督管理，严格项目声环境准入，健全噪声污染源管理制度，加强重点噪声源监管，积极解决噪声扰民投诉。</w:t>
                  </w:r>
                  <w:r>
                    <w:rPr>
                      <w:rFonts w:hint="default" w:ascii="Times New Roman" w:hAnsi="Times New Roman" w:cs="Times New Roman"/>
                      <w:color w:val="000000"/>
                      <w:sz w:val="21"/>
                      <w:szCs w:val="21"/>
                      <w:bdr w:val="none" w:color="auto" w:sz="0" w:space="0"/>
                      <w:lang w:val="en-US"/>
                    </w:rPr>
                    <w:t>…</w:t>
                  </w:r>
                </w:p>
              </w:tc>
              <w:tc>
                <w:tcPr>
                  <w:tcW w:w="1644" w:type="dxa"/>
                  <w:vMerge w:val="restart"/>
                  <w:tcBorders>
                    <w:top w:val="single" w:color="auto" w:sz="4" w:space="0"/>
                    <w:left w:val="single" w:color="auto" w:sz="4" w:space="0"/>
                    <w:bottom w:val="single" w:color="auto" w:sz="4" w:space="0"/>
                    <w:right w:val="single" w:color="auto" w:sz="4" w:space="0"/>
                  </w:tcBorders>
                  <w:shd w:val="clear"/>
                  <w:vAlign w:val="center"/>
                </w:tcPr>
                <w:p w14:paraId="69506575">
                  <w:pPr>
                    <w:pStyle w:val="106"/>
                    <w:widowControl/>
                    <w:spacing w:line="240" w:lineRule="auto"/>
                    <w:ind w:left="0" w:firstLine="0"/>
                    <w:jc w:val="left"/>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color w:val="000000"/>
                      <w:sz w:val="21"/>
                      <w:szCs w:val="21"/>
                      <w:bdr w:val="none" w:color="auto" w:sz="0" w:space="0"/>
                    </w:rPr>
                    <w:t>扩建项目位于合川工业园区南溪组团</w:t>
                  </w:r>
                  <w:r>
                    <w:rPr>
                      <w:rFonts w:hint="default" w:ascii="Times New Roman" w:hAnsi="Times New Roman" w:cs="Times New Roman"/>
                      <w:color w:val="000000"/>
                      <w:sz w:val="21"/>
                      <w:szCs w:val="21"/>
                      <w:bdr w:val="none" w:color="auto" w:sz="0" w:space="0"/>
                      <w:lang w:val="en-US"/>
                    </w:rPr>
                    <w:t>B</w:t>
                  </w:r>
                  <w:r>
                    <w:rPr>
                      <w:rFonts w:ascii="Times New Roman" w:hAnsi="Times New Roman" w:cs="Times New Roman"/>
                      <w:color w:val="000000"/>
                      <w:sz w:val="21"/>
                      <w:szCs w:val="21"/>
                      <w:bdr w:val="none" w:color="auto" w:sz="0" w:space="0"/>
                    </w:rPr>
                    <w:t>区；项目设备噪声通过采取建筑隔声后，厂界噪声达标排放，满足</w:t>
                  </w:r>
                  <w:r>
                    <w:rPr>
                      <w:rFonts w:hint="default" w:ascii="Times New Roman" w:hAnsi="Times New Roman" w:cs="Times New Roman"/>
                      <w:color w:val="000000"/>
                      <w:sz w:val="21"/>
                      <w:szCs w:val="21"/>
                      <w:bdr w:val="none" w:color="auto" w:sz="0" w:space="0"/>
                      <w:lang w:val="en-US"/>
                    </w:rPr>
                    <w:t>3</w:t>
                  </w:r>
                  <w:r>
                    <w:rPr>
                      <w:rFonts w:ascii="Times New Roman" w:hAnsi="Times New Roman" w:cs="Times New Roman"/>
                      <w:color w:val="000000"/>
                      <w:sz w:val="21"/>
                      <w:szCs w:val="21"/>
                      <w:bdr w:val="none" w:color="auto" w:sz="0" w:space="0"/>
                    </w:rPr>
                    <w:t>类区标准。</w:t>
                  </w:r>
                </w:p>
              </w:tc>
              <w:tc>
                <w:tcPr>
                  <w:tcW w:w="625" w:type="dxa"/>
                  <w:tcBorders>
                    <w:top w:val="single" w:color="auto" w:sz="4" w:space="0"/>
                    <w:left w:val="single" w:color="auto" w:sz="4" w:space="0"/>
                    <w:bottom w:val="single" w:color="auto" w:sz="4" w:space="0"/>
                    <w:right w:val="nil"/>
                  </w:tcBorders>
                  <w:shd w:val="clear"/>
                  <w:vAlign w:val="center"/>
                </w:tcPr>
                <w:p w14:paraId="0BEA0DBA">
                  <w:pPr>
                    <w:pStyle w:val="106"/>
                    <w:widowControl/>
                    <w:spacing w:line="240" w:lineRule="auto"/>
                    <w:ind w:left="0" w:firstLine="0"/>
                    <w:jc w:val="center"/>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color w:val="000000"/>
                      <w:sz w:val="21"/>
                      <w:szCs w:val="21"/>
                      <w:bdr w:val="none" w:color="auto" w:sz="0" w:space="0"/>
                    </w:rPr>
                    <w:t>符合</w:t>
                  </w:r>
                </w:p>
              </w:tc>
            </w:tr>
            <w:tr w14:paraId="26744E0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4" w:type="dxa"/>
                  <w:vMerge w:val="continue"/>
                  <w:tcBorders>
                    <w:top w:val="single" w:color="auto" w:sz="4" w:space="0"/>
                    <w:left w:val="nil"/>
                    <w:bottom w:val="single" w:color="auto" w:sz="4" w:space="0"/>
                    <w:right w:val="single" w:color="auto" w:sz="4" w:space="0"/>
                  </w:tcBorders>
                  <w:shd w:val="clear"/>
                  <w:vAlign w:val="center"/>
                </w:tcPr>
                <w:p w14:paraId="3DE9E9AB">
                  <w:pPr>
                    <w:rPr>
                      <w:rFonts w:hint="default" w:ascii="Calibri" w:hAnsi="Calibri" w:cs="Calibri"/>
                      <w:sz w:val="20"/>
                      <w:szCs w:val="20"/>
                    </w:rPr>
                  </w:pPr>
                </w:p>
              </w:tc>
              <w:tc>
                <w:tcPr>
                  <w:tcW w:w="5259" w:type="dxa"/>
                  <w:gridSpan w:val="2"/>
                  <w:tcBorders>
                    <w:top w:val="single" w:color="auto" w:sz="4" w:space="0"/>
                    <w:left w:val="single" w:color="auto" w:sz="4" w:space="0"/>
                    <w:bottom w:val="single" w:color="auto" w:sz="4" w:space="0"/>
                    <w:right w:val="single" w:color="auto" w:sz="4" w:space="0"/>
                  </w:tcBorders>
                  <w:shd w:val="clear"/>
                  <w:vAlign w:val="center"/>
                </w:tcPr>
                <w:p w14:paraId="72506E5C">
                  <w:pPr>
                    <w:pStyle w:val="106"/>
                    <w:widowControl/>
                    <w:spacing w:line="240" w:lineRule="auto"/>
                    <w:ind w:left="0" w:firstLine="0"/>
                    <w:jc w:val="left"/>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bCs/>
                      <w:color w:val="000000"/>
                      <w:sz w:val="21"/>
                      <w:szCs w:val="21"/>
                      <w:bdr w:val="none" w:color="auto" w:sz="0" w:space="0"/>
                    </w:rPr>
                    <w:t>强化噪声控制措施。</w:t>
                  </w:r>
                  <w:r>
                    <w:rPr>
                      <w:rFonts w:ascii="Times New Roman" w:hAnsi="Times New Roman" w:cs="Times New Roman"/>
                      <w:color w:val="000000"/>
                      <w:sz w:val="21"/>
                      <w:szCs w:val="21"/>
                      <w:bdr w:val="none" w:color="auto" w:sz="0" w:space="0"/>
                    </w:rPr>
                    <w:t>以持续改善声环境质量为目标，强化社会生活、工业企业、建筑施工、交通噪声控制和城市声环境管理措施，巩固</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噪声达标区</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和</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安静居住小区</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创建成果，着力解决噪声扰民问题；</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加强工业噪声污染控制，推进新建、改建、扩建的工业企业完成噪声控制设计，从源头控制，实现全面防护；对噪声排放不达标、居民反映强烈的噪声污染工业企业实施限期治理、搬迁（关、停）。严格建筑施工噪声监管，控制建筑施工时间，</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w:t>
                  </w:r>
                </w:p>
              </w:tc>
              <w:tc>
                <w:tcPr>
                  <w:tcW w:w="1644" w:type="dxa"/>
                  <w:vMerge w:val="continue"/>
                  <w:tcBorders>
                    <w:top w:val="single" w:color="auto" w:sz="4" w:space="0"/>
                    <w:left w:val="single" w:color="auto" w:sz="4" w:space="0"/>
                    <w:bottom w:val="single" w:color="auto" w:sz="4" w:space="0"/>
                    <w:right w:val="single" w:color="auto" w:sz="4" w:space="0"/>
                  </w:tcBorders>
                  <w:shd w:val="clear"/>
                  <w:vAlign w:val="center"/>
                </w:tcPr>
                <w:p w14:paraId="71A2DF6D">
                  <w:pPr>
                    <w:rPr>
                      <w:rFonts w:hint="default" w:ascii="Calibri" w:hAnsi="Calibri" w:cs="Calibri"/>
                      <w:sz w:val="20"/>
                      <w:szCs w:val="20"/>
                    </w:rPr>
                  </w:pPr>
                </w:p>
              </w:tc>
              <w:tc>
                <w:tcPr>
                  <w:tcW w:w="625" w:type="dxa"/>
                  <w:tcBorders>
                    <w:top w:val="single" w:color="auto" w:sz="4" w:space="0"/>
                    <w:left w:val="single" w:color="auto" w:sz="4" w:space="0"/>
                    <w:bottom w:val="single" w:color="auto" w:sz="4" w:space="0"/>
                    <w:right w:val="nil"/>
                  </w:tcBorders>
                  <w:shd w:val="clear"/>
                  <w:vAlign w:val="center"/>
                </w:tcPr>
                <w:p w14:paraId="16759A6E">
                  <w:pPr>
                    <w:pStyle w:val="106"/>
                    <w:widowControl/>
                    <w:spacing w:line="240" w:lineRule="auto"/>
                    <w:ind w:left="0" w:firstLine="0"/>
                    <w:jc w:val="center"/>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color w:val="000000"/>
                      <w:sz w:val="21"/>
                      <w:szCs w:val="21"/>
                      <w:bdr w:val="none" w:color="auto" w:sz="0" w:space="0"/>
                    </w:rPr>
                    <w:t>符合</w:t>
                  </w:r>
                </w:p>
              </w:tc>
            </w:tr>
            <w:tr w14:paraId="240EA93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4" w:type="dxa"/>
                  <w:vMerge w:val="restart"/>
                  <w:tcBorders>
                    <w:top w:val="single" w:color="auto" w:sz="4" w:space="0"/>
                    <w:left w:val="nil"/>
                    <w:bottom w:val="single" w:color="auto" w:sz="4" w:space="0"/>
                    <w:right w:val="single" w:color="auto" w:sz="4" w:space="0"/>
                  </w:tcBorders>
                  <w:shd w:val="clear"/>
                  <w:vAlign w:val="center"/>
                </w:tcPr>
                <w:p w14:paraId="06C3ECF6">
                  <w:pPr>
                    <w:pStyle w:val="106"/>
                    <w:widowControl/>
                    <w:spacing w:line="240" w:lineRule="auto"/>
                    <w:ind w:left="0" w:firstLine="0"/>
                    <w:jc w:val="center"/>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color w:val="000000"/>
                      <w:sz w:val="21"/>
                      <w:szCs w:val="21"/>
                      <w:bdr w:val="none" w:color="auto" w:sz="0" w:space="0"/>
                    </w:rPr>
                    <w:t>完善风险防控和应急体系</w:t>
                  </w:r>
                </w:p>
              </w:tc>
              <w:tc>
                <w:tcPr>
                  <w:tcW w:w="5259" w:type="dxa"/>
                  <w:gridSpan w:val="2"/>
                  <w:tcBorders>
                    <w:top w:val="single" w:color="auto" w:sz="4" w:space="0"/>
                    <w:left w:val="single" w:color="auto" w:sz="4" w:space="0"/>
                    <w:bottom w:val="single" w:color="auto" w:sz="4" w:space="0"/>
                    <w:right w:val="single" w:color="auto" w:sz="4" w:space="0"/>
                  </w:tcBorders>
                  <w:shd w:val="clear"/>
                  <w:vAlign w:val="center"/>
                </w:tcPr>
                <w:p w14:paraId="1A9C14C0">
                  <w:pPr>
                    <w:pStyle w:val="106"/>
                    <w:widowControl/>
                    <w:spacing w:line="240" w:lineRule="auto"/>
                    <w:ind w:left="0" w:firstLine="0"/>
                    <w:jc w:val="left"/>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bCs/>
                      <w:color w:val="000000"/>
                      <w:sz w:val="21"/>
                      <w:szCs w:val="21"/>
                      <w:bdr w:val="none" w:color="auto" w:sz="0" w:space="0"/>
                    </w:rPr>
                    <w:t>强化环境风险源头防控。</w:t>
                  </w:r>
                  <w:r>
                    <w:rPr>
                      <w:rFonts w:ascii="Times New Roman" w:hAnsi="Times New Roman" w:cs="Times New Roman"/>
                      <w:color w:val="000000"/>
                      <w:sz w:val="21"/>
                      <w:szCs w:val="21"/>
                      <w:bdr w:val="none" w:color="auto" w:sz="0" w:space="0"/>
                    </w:rPr>
                    <w:t>结合</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两会一节</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、汛期、防范化解重大风险等环境安全排查整治专项行动，建立问题清单，实行</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全登记、周调度、回头看</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督促企事业单位认真整改，推进环境风险源排查常态化。定期对涉危险化学品、危险废物开展环境风险隐患排查整治，建立环境风险隐患排查档案。加强风险评估与源头防控，强化环境安全与风险事前协同防范，通过转方式、调结构、优布局、评风险，从源头降低突发和累积性环境风险。完善企业突发环境事件风险评估制度，推进突发环境事件风险分类分级管理，严格重大突发环境事件风险企业监管。强化环境风险防范预警体系建设，推进企业</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一源一事一案</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及风险信息登记制度，推进环境风险防范体系建设，推进企业环境风险预警。</w:t>
                  </w:r>
                </w:p>
              </w:tc>
              <w:tc>
                <w:tcPr>
                  <w:tcW w:w="1644" w:type="dxa"/>
                  <w:tcBorders>
                    <w:top w:val="single" w:color="auto" w:sz="4" w:space="0"/>
                    <w:left w:val="single" w:color="auto" w:sz="4" w:space="0"/>
                    <w:bottom w:val="single" w:color="auto" w:sz="4" w:space="0"/>
                    <w:right w:val="single" w:color="auto" w:sz="4" w:space="0"/>
                  </w:tcBorders>
                  <w:shd w:val="clear"/>
                  <w:vAlign w:val="center"/>
                </w:tcPr>
                <w:p w14:paraId="2A8B53AE">
                  <w:pPr>
                    <w:pStyle w:val="106"/>
                    <w:widowControl/>
                    <w:spacing w:line="240" w:lineRule="auto"/>
                    <w:ind w:left="0" w:firstLine="0"/>
                    <w:jc w:val="left"/>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color w:val="000000"/>
                      <w:sz w:val="21"/>
                      <w:szCs w:val="21"/>
                      <w:bdr w:val="none" w:color="auto" w:sz="0" w:space="0"/>
                    </w:rPr>
                    <w:t>扩建项目采取严格的管理措施及分区防渗措施等，环境风险控制在可接受范围内。</w:t>
                  </w:r>
                </w:p>
              </w:tc>
              <w:tc>
                <w:tcPr>
                  <w:tcW w:w="625" w:type="dxa"/>
                  <w:tcBorders>
                    <w:top w:val="single" w:color="auto" w:sz="4" w:space="0"/>
                    <w:left w:val="single" w:color="auto" w:sz="4" w:space="0"/>
                    <w:bottom w:val="single" w:color="auto" w:sz="4" w:space="0"/>
                    <w:right w:val="nil"/>
                  </w:tcBorders>
                  <w:shd w:val="clear"/>
                  <w:vAlign w:val="center"/>
                </w:tcPr>
                <w:p w14:paraId="57AA1F5B">
                  <w:pPr>
                    <w:pStyle w:val="106"/>
                    <w:widowControl/>
                    <w:spacing w:line="240" w:lineRule="auto"/>
                    <w:ind w:left="0" w:firstLine="0"/>
                    <w:jc w:val="center"/>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color w:val="000000"/>
                      <w:sz w:val="21"/>
                      <w:szCs w:val="21"/>
                      <w:bdr w:val="none" w:color="auto" w:sz="0" w:space="0"/>
                    </w:rPr>
                    <w:t>符合</w:t>
                  </w:r>
                </w:p>
              </w:tc>
            </w:tr>
            <w:tr w14:paraId="13B4648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4" w:type="dxa"/>
                  <w:vMerge w:val="continue"/>
                  <w:tcBorders>
                    <w:top w:val="single" w:color="auto" w:sz="4" w:space="0"/>
                    <w:left w:val="nil"/>
                    <w:bottom w:val="single" w:color="auto" w:sz="4" w:space="0"/>
                    <w:right w:val="single" w:color="auto" w:sz="4" w:space="0"/>
                  </w:tcBorders>
                  <w:shd w:val="clear"/>
                  <w:vAlign w:val="center"/>
                </w:tcPr>
                <w:p w14:paraId="4BA065A2">
                  <w:pPr>
                    <w:rPr>
                      <w:rFonts w:hint="default" w:ascii="Calibri" w:hAnsi="Calibri" w:cs="Calibri"/>
                      <w:sz w:val="20"/>
                      <w:szCs w:val="20"/>
                    </w:rPr>
                  </w:pPr>
                </w:p>
              </w:tc>
              <w:tc>
                <w:tcPr>
                  <w:tcW w:w="5259" w:type="dxa"/>
                  <w:gridSpan w:val="2"/>
                  <w:tcBorders>
                    <w:top w:val="single" w:color="auto" w:sz="4" w:space="0"/>
                    <w:left w:val="single" w:color="auto" w:sz="4" w:space="0"/>
                    <w:bottom w:val="single" w:color="auto" w:sz="4" w:space="0"/>
                    <w:right w:val="single" w:color="auto" w:sz="4" w:space="0"/>
                  </w:tcBorders>
                  <w:shd w:val="clear"/>
                  <w:vAlign w:val="center"/>
                </w:tcPr>
                <w:p w14:paraId="43BDE7B4">
                  <w:pPr>
                    <w:pStyle w:val="106"/>
                    <w:widowControl/>
                    <w:spacing w:line="240" w:lineRule="auto"/>
                    <w:ind w:left="0" w:firstLine="0"/>
                    <w:jc w:val="left"/>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bCs/>
                      <w:color w:val="000000"/>
                      <w:sz w:val="21"/>
                      <w:szCs w:val="21"/>
                      <w:bdr w:val="none" w:color="auto" w:sz="0" w:space="0"/>
                    </w:rPr>
                    <w:t>加强环境风险防范和应急处置能力建设。</w:t>
                  </w:r>
                  <w:r>
                    <w:rPr>
                      <w:rFonts w:ascii="Times New Roman" w:hAnsi="Times New Roman" w:cs="Times New Roman"/>
                      <w:color w:val="000000"/>
                      <w:sz w:val="21"/>
                      <w:szCs w:val="21"/>
                      <w:bdr w:val="none" w:color="auto" w:sz="0" w:space="0"/>
                    </w:rPr>
                    <w:t>强化应急预案备案，落实环境安全责任，推进重点企业突发环境事件应急预案备案全覆盖。完善</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企业主体、政府主导、部门联动、专家支持、社会救援</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的突发环境事件应急处置机制，提高突发环境事件处置救援能力。强化风险防控基础能力建设，完善环境应急监测设施，快速、准确识别环境风险种类和数量。</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完善和规范突发环境事件应急处置阶段环境损害评估，严格事后追责，鼓励专业环保机构参与突发环境事件的现场应急救援处置。</w:t>
                  </w:r>
                </w:p>
              </w:tc>
              <w:tc>
                <w:tcPr>
                  <w:tcW w:w="1644" w:type="dxa"/>
                  <w:tcBorders>
                    <w:top w:val="single" w:color="auto" w:sz="4" w:space="0"/>
                    <w:left w:val="single" w:color="auto" w:sz="4" w:space="0"/>
                    <w:bottom w:val="single" w:color="auto" w:sz="4" w:space="0"/>
                    <w:right w:val="single" w:color="auto" w:sz="4" w:space="0"/>
                  </w:tcBorders>
                  <w:shd w:val="clear"/>
                  <w:vAlign w:val="center"/>
                </w:tcPr>
                <w:p w14:paraId="485711DC">
                  <w:pPr>
                    <w:pStyle w:val="106"/>
                    <w:widowControl/>
                    <w:spacing w:line="240" w:lineRule="auto"/>
                    <w:ind w:left="0" w:firstLine="0"/>
                    <w:jc w:val="left"/>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color w:val="000000"/>
                      <w:sz w:val="21"/>
                      <w:szCs w:val="21"/>
                      <w:bdr w:val="none" w:color="auto" w:sz="0" w:space="0"/>
                    </w:rPr>
                    <w:t>建设单位将完善突发环境事件应急处置机制，并在厂区内采取相应风险防范及处置措施。</w:t>
                  </w:r>
                </w:p>
              </w:tc>
              <w:tc>
                <w:tcPr>
                  <w:tcW w:w="625" w:type="dxa"/>
                  <w:tcBorders>
                    <w:top w:val="single" w:color="auto" w:sz="4" w:space="0"/>
                    <w:left w:val="single" w:color="auto" w:sz="4" w:space="0"/>
                    <w:bottom w:val="single" w:color="auto" w:sz="4" w:space="0"/>
                    <w:right w:val="nil"/>
                  </w:tcBorders>
                  <w:shd w:val="clear"/>
                  <w:vAlign w:val="center"/>
                </w:tcPr>
                <w:p w14:paraId="79FF54E6">
                  <w:pPr>
                    <w:pStyle w:val="106"/>
                    <w:widowControl/>
                    <w:spacing w:line="240" w:lineRule="auto"/>
                    <w:ind w:left="0" w:firstLine="0"/>
                    <w:jc w:val="center"/>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color w:val="000000"/>
                      <w:sz w:val="21"/>
                      <w:szCs w:val="21"/>
                      <w:bdr w:val="none" w:color="auto" w:sz="0" w:space="0"/>
                    </w:rPr>
                    <w:t>符合</w:t>
                  </w:r>
                </w:p>
              </w:tc>
            </w:tr>
            <w:tr w14:paraId="3794993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4" w:type="dxa"/>
                  <w:vMerge w:val="restart"/>
                  <w:tcBorders>
                    <w:top w:val="single" w:color="auto" w:sz="4" w:space="0"/>
                    <w:left w:val="nil"/>
                    <w:bottom w:val="single" w:color="auto" w:sz="12" w:space="0"/>
                    <w:right w:val="single" w:color="auto" w:sz="4" w:space="0"/>
                  </w:tcBorders>
                  <w:shd w:val="clear"/>
                  <w:vAlign w:val="center"/>
                </w:tcPr>
                <w:p w14:paraId="74F6C298">
                  <w:pPr>
                    <w:pStyle w:val="106"/>
                    <w:widowControl/>
                    <w:spacing w:line="240" w:lineRule="auto"/>
                    <w:ind w:left="0" w:firstLine="0"/>
                    <w:jc w:val="center"/>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color w:val="000000"/>
                      <w:sz w:val="21"/>
                      <w:szCs w:val="21"/>
                      <w:bdr w:val="none" w:color="auto" w:sz="0" w:space="0"/>
                    </w:rPr>
                    <w:t>积极推进</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无废</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城市建设</w:t>
                  </w:r>
                </w:p>
              </w:tc>
              <w:tc>
                <w:tcPr>
                  <w:tcW w:w="5259" w:type="dxa"/>
                  <w:gridSpan w:val="2"/>
                  <w:tcBorders>
                    <w:top w:val="single" w:color="auto" w:sz="4" w:space="0"/>
                    <w:left w:val="single" w:color="auto" w:sz="4" w:space="0"/>
                    <w:bottom w:val="single" w:color="auto" w:sz="4" w:space="0"/>
                    <w:right w:val="single" w:color="auto" w:sz="4" w:space="0"/>
                  </w:tcBorders>
                  <w:shd w:val="clear"/>
                  <w:vAlign w:val="center"/>
                </w:tcPr>
                <w:p w14:paraId="760CB891">
                  <w:pPr>
                    <w:pStyle w:val="106"/>
                    <w:widowControl/>
                    <w:spacing w:line="240" w:lineRule="auto"/>
                    <w:ind w:left="0" w:firstLine="0"/>
                    <w:jc w:val="left"/>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bCs/>
                      <w:color w:val="000000"/>
                      <w:sz w:val="21"/>
                      <w:szCs w:val="21"/>
                      <w:bdr w:val="none" w:color="auto" w:sz="0" w:space="0"/>
                    </w:rPr>
                    <w:t>加强一般工业固体废物综合利用处置。</w:t>
                  </w:r>
                  <w:r>
                    <w:rPr>
                      <w:rFonts w:ascii="Times New Roman" w:hAnsi="Times New Roman" w:cs="Times New Roman"/>
                      <w:color w:val="000000"/>
                      <w:sz w:val="21"/>
                      <w:szCs w:val="21"/>
                      <w:bdr w:val="none" w:color="auto" w:sz="0" w:space="0"/>
                    </w:rPr>
                    <w:t>严格落实《重庆市工业项目环境准入规定》，在新、改、扩建工业项目中明确一般工业固体废物产生强度限值。</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，推进以新型高效包装材料替代传统包装材料，实现工业固体废物源头减量化。</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依托水泥窑协同处置一般工业固体废物，着力提升固体废物处理处置能力，实现固体废物利用处置能力与实际需求相匹配。</w:t>
                  </w:r>
                </w:p>
              </w:tc>
              <w:tc>
                <w:tcPr>
                  <w:tcW w:w="1644" w:type="dxa"/>
                  <w:tcBorders>
                    <w:top w:val="single" w:color="auto" w:sz="4" w:space="0"/>
                    <w:left w:val="single" w:color="auto" w:sz="4" w:space="0"/>
                    <w:bottom w:val="single" w:color="auto" w:sz="4" w:space="0"/>
                    <w:right w:val="single" w:color="auto" w:sz="4" w:space="0"/>
                  </w:tcBorders>
                  <w:shd w:val="clear"/>
                  <w:vAlign w:val="center"/>
                </w:tcPr>
                <w:p w14:paraId="1DAC711E">
                  <w:pPr>
                    <w:pStyle w:val="106"/>
                    <w:widowControl/>
                    <w:spacing w:line="240" w:lineRule="auto"/>
                    <w:ind w:left="0" w:firstLine="0"/>
                    <w:jc w:val="left"/>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color w:val="000000"/>
                      <w:sz w:val="21"/>
                      <w:szCs w:val="21"/>
                      <w:bdr w:val="none" w:color="auto" w:sz="0" w:space="0"/>
                    </w:rPr>
                    <w:t>扩建项目符合《重庆市工业项目环境准入规定》相关规定，项目产生工业固废合理处置，能满足相应规范要求。</w:t>
                  </w:r>
                </w:p>
              </w:tc>
              <w:tc>
                <w:tcPr>
                  <w:tcW w:w="625" w:type="dxa"/>
                  <w:tcBorders>
                    <w:top w:val="single" w:color="auto" w:sz="4" w:space="0"/>
                    <w:left w:val="single" w:color="auto" w:sz="4" w:space="0"/>
                    <w:bottom w:val="single" w:color="auto" w:sz="4" w:space="0"/>
                    <w:right w:val="nil"/>
                  </w:tcBorders>
                  <w:shd w:val="clear"/>
                  <w:vAlign w:val="center"/>
                </w:tcPr>
                <w:p w14:paraId="31E694CB">
                  <w:pPr>
                    <w:pStyle w:val="106"/>
                    <w:widowControl/>
                    <w:spacing w:line="240" w:lineRule="auto"/>
                    <w:ind w:left="0" w:firstLine="0"/>
                    <w:jc w:val="center"/>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color w:val="000000"/>
                      <w:sz w:val="21"/>
                      <w:szCs w:val="21"/>
                      <w:bdr w:val="none" w:color="auto" w:sz="0" w:space="0"/>
                    </w:rPr>
                    <w:t>符合</w:t>
                  </w:r>
                </w:p>
              </w:tc>
            </w:tr>
            <w:tr w14:paraId="57974C7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4" w:type="dxa"/>
                  <w:vMerge w:val="continue"/>
                  <w:tcBorders>
                    <w:top w:val="single" w:color="auto" w:sz="4" w:space="0"/>
                    <w:left w:val="nil"/>
                    <w:bottom w:val="single" w:color="auto" w:sz="12" w:space="0"/>
                    <w:right w:val="single" w:color="auto" w:sz="4" w:space="0"/>
                  </w:tcBorders>
                  <w:shd w:val="clear"/>
                  <w:vAlign w:val="center"/>
                </w:tcPr>
                <w:p w14:paraId="2D1AF5A9">
                  <w:pPr>
                    <w:rPr>
                      <w:rFonts w:hint="default" w:ascii="Calibri" w:hAnsi="Calibri" w:cs="Calibri"/>
                      <w:sz w:val="20"/>
                      <w:szCs w:val="20"/>
                    </w:rPr>
                  </w:pPr>
                </w:p>
              </w:tc>
              <w:tc>
                <w:tcPr>
                  <w:tcW w:w="5259" w:type="dxa"/>
                  <w:gridSpan w:val="2"/>
                  <w:tcBorders>
                    <w:top w:val="single" w:color="auto" w:sz="4" w:space="0"/>
                    <w:left w:val="single" w:color="auto" w:sz="4" w:space="0"/>
                    <w:bottom w:val="single" w:color="auto" w:sz="12" w:space="0"/>
                    <w:right w:val="single" w:color="auto" w:sz="4" w:space="0"/>
                  </w:tcBorders>
                  <w:shd w:val="clear"/>
                  <w:vAlign w:val="center"/>
                </w:tcPr>
                <w:p w14:paraId="7332EE1F">
                  <w:pPr>
                    <w:pStyle w:val="106"/>
                    <w:widowControl/>
                    <w:spacing w:line="240" w:lineRule="auto"/>
                    <w:ind w:left="0" w:firstLine="0"/>
                    <w:jc w:val="left"/>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bCs/>
                      <w:color w:val="000000"/>
                      <w:sz w:val="21"/>
                      <w:szCs w:val="21"/>
                      <w:bdr w:val="none" w:color="auto" w:sz="0" w:space="0"/>
                    </w:rPr>
                    <w:t>提高危险废物和医疗废物安全处理处置水平。</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严格落实危险废物管理计划备案、转移联单等制度，强化危险废物收集运输处置全过程监管，督促危险废物产生和经营单位切实落实危险废物各项法律制度和相关标准规范，提高规范化管理水平。严格执行危险废物</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一物一码</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管理制度，</w:t>
                  </w:r>
                  <w:r>
                    <w:rPr>
                      <w:rFonts w:hint="default" w:ascii="Times New Roman" w:hAnsi="Times New Roman" w:cs="Times New Roman"/>
                      <w:color w:val="000000"/>
                      <w:sz w:val="21"/>
                      <w:szCs w:val="21"/>
                      <w:bdr w:val="none" w:color="auto" w:sz="0" w:space="0"/>
                      <w:lang w:val="en-US"/>
                    </w:rPr>
                    <w:t>…</w:t>
                  </w:r>
                  <w:r>
                    <w:rPr>
                      <w:rFonts w:ascii="Times New Roman" w:hAnsi="Times New Roman" w:cs="Times New Roman"/>
                      <w:color w:val="000000"/>
                      <w:sz w:val="21"/>
                      <w:szCs w:val="21"/>
                      <w:bdr w:val="none" w:color="auto" w:sz="0" w:space="0"/>
                    </w:rPr>
                    <w:t>。</w:t>
                  </w:r>
                </w:p>
              </w:tc>
              <w:tc>
                <w:tcPr>
                  <w:tcW w:w="1644" w:type="dxa"/>
                  <w:tcBorders>
                    <w:top w:val="single" w:color="auto" w:sz="4" w:space="0"/>
                    <w:left w:val="single" w:color="auto" w:sz="4" w:space="0"/>
                    <w:bottom w:val="single" w:color="auto" w:sz="12" w:space="0"/>
                    <w:right w:val="single" w:color="auto" w:sz="4" w:space="0"/>
                  </w:tcBorders>
                  <w:shd w:val="clear"/>
                  <w:vAlign w:val="center"/>
                </w:tcPr>
                <w:p w14:paraId="660427C0">
                  <w:pPr>
                    <w:pStyle w:val="106"/>
                    <w:widowControl/>
                    <w:spacing w:line="240" w:lineRule="auto"/>
                    <w:ind w:left="0" w:firstLine="0"/>
                    <w:jc w:val="left"/>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color w:val="000000"/>
                      <w:sz w:val="21"/>
                      <w:szCs w:val="21"/>
                      <w:bdr w:val="none" w:color="auto" w:sz="0" w:space="0"/>
                    </w:rPr>
                    <w:t>扩建项目危险废物定期委托有资质单位外运处置。</w:t>
                  </w:r>
                </w:p>
              </w:tc>
              <w:tc>
                <w:tcPr>
                  <w:tcW w:w="625" w:type="dxa"/>
                  <w:tcBorders>
                    <w:top w:val="single" w:color="auto" w:sz="4" w:space="0"/>
                    <w:left w:val="single" w:color="auto" w:sz="4" w:space="0"/>
                    <w:bottom w:val="single" w:color="auto" w:sz="12" w:space="0"/>
                    <w:right w:val="nil"/>
                  </w:tcBorders>
                  <w:shd w:val="clear"/>
                  <w:vAlign w:val="center"/>
                </w:tcPr>
                <w:p w14:paraId="268F937A">
                  <w:pPr>
                    <w:pStyle w:val="106"/>
                    <w:widowControl/>
                    <w:spacing w:line="240" w:lineRule="auto"/>
                    <w:ind w:left="0" w:firstLine="0"/>
                    <w:jc w:val="center"/>
                    <w:rPr>
                      <w:rFonts w:hint="default" w:ascii="Times New Roman" w:hAnsi="Times New Roman" w:cs="Times New Roman"/>
                      <w:bCs/>
                      <w:color w:val="000000"/>
                      <w:sz w:val="21"/>
                      <w:szCs w:val="21"/>
                      <w:bdr w:val="none" w:color="auto" w:sz="0" w:space="0"/>
                      <w:lang w:val="en-US"/>
                    </w:rPr>
                  </w:pPr>
                  <w:r>
                    <w:rPr>
                      <w:rFonts w:ascii="Times New Roman" w:hAnsi="Times New Roman" w:cs="Times New Roman"/>
                      <w:color w:val="000000"/>
                      <w:sz w:val="21"/>
                      <w:szCs w:val="21"/>
                      <w:bdr w:val="none" w:color="auto" w:sz="0" w:space="0"/>
                    </w:rPr>
                    <w:t>符合</w:t>
                  </w:r>
                </w:p>
              </w:tc>
            </w:tr>
          </w:tbl>
          <w:p w14:paraId="086DAD69">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根据上述分析，扩建项目建设符合《合川区生态环境保护</w:t>
            </w:r>
            <w:r>
              <w:rPr>
                <w:rFonts w:hint="default" w:ascii="Times New Roman" w:hAnsi="Times New Roman" w:eastAsia="宋体" w:cs="Times New Roman"/>
                <w:color w:val="000000"/>
                <w:kern w:val="2"/>
                <w:sz w:val="24"/>
                <w:szCs w:val="24"/>
                <w:bdr w:val="none" w:color="auto" w:sz="0" w:space="0"/>
                <w:lang w:val="en-US" w:eastAsia="zh-CN" w:bidi="ar"/>
              </w:rPr>
              <w:t>“</w:t>
            </w:r>
            <w:r>
              <w:rPr>
                <w:rFonts w:hint="eastAsia" w:ascii="Times New Roman" w:hAnsi="Times New Roman" w:eastAsia="宋体" w:cs="宋体"/>
                <w:color w:val="000000"/>
                <w:kern w:val="2"/>
                <w:sz w:val="24"/>
                <w:szCs w:val="24"/>
                <w:bdr w:val="none" w:color="auto" w:sz="0" w:space="0"/>
                <w:lang w:val="en-US" w:eastAsia="zh-CN" w:bidi="ar"/>
              </w:rPr>
              <w:t>十四五</w:t>
            </w:r>
            <w:r>
              <w:rPr>
                <w:rFonts w:hint="default" w:ascii="Times New Roman" w:hAnsi="Times New Roman" w:eastAsia="宋体" w:cs="Times New Roman"/>
                <w:color w:val="000000"/>
                <w:kern w:val="2"/>
                <w:sz w:val="24"/>
                <w:szCs w:val="24"/>
                <w:bdr w:val="none" w:color="auto" w:sz="0" w:space="0"/>
                <w:lang w:val="en-US" w:eastAsia="zh-CN" w:bidi="ar"/>
              </w:rPr>
              <w:t>”</w:t>
            </w:r>
            <w:r>
              <w:rPr>
                <w:rFonts w:hint="eastAsia" w:ascii="Times New Roman" w:hAnsi="Times New Roman" w:eastAsia="宋体" w:cs="宋体"/>
                <w:color w:val="000000"/>
                <w:kern w:val="2"/>
                <w:sz w:val="24"/>
                <w:szCs w:val="24"/>
                <w:bdr w:val="none" w:color="auto" w:sz="0" w:space="0"/>
                <w:lang w:val="en-US" w:eastAsia="zh-CN" w:bidi="ar"/>
              </w:rPr>
              <w:t>规划（</w:t>
            </w:r>
            <w:r>
              <w:rPr>
                <w:rFonts w:hint="default" w:ascii="Times New Roman" w:hAnsi="Times New Roman" w:eastAsia="宋体" w:cs="Times New Roman"/>
                <w:color w:val="000000"/>
                <w:kern w:val="2"/>
                <w:sz w:val="24"/>
                <w:szCs w:val="24"/>
                <w:bdr w:val="none" w:color="auto" w:sz="0" w:space="0"/>
                <w:lang w:val="en-US" w:eastAsia="zh-CN" w:bidi="ar"/>
              </w:rPr>
              <w:t>2021-2025</w:t>
            </w:r>
            <w:r>
              <w:rPr>
                <w:rFonts w:hint="eastAsia" w:ascii="Times New Roman" w:hAnsi="Times New Roman" w:eastAsia="宋体" w:cs="宋体"/>
                <w:color w:val="000000"/>
                <w:kern w:val="2"/>
                <w:sz w:val="24"/>
                <w:szCs w:val="24"/>
                <w:bdr w:val="none" w:color="auto" w:sz="0" w:space="0"/>
                <w:lang w:val="en-US" w:eastAsia="zh-CN" w:bidi="ar"/>
              </w:rPr>
              <w:t>年）》生态环保相关要求。</w:t>
            </w:r>
          </w:p>
          <w:p w14:paraId="702B674A">
            <w:pPr>
              <w:keepNext w:val="0"/>
              <w:keepLines w:val="0"/>
              <w:widowControl/>
              <w:suppressLineNumbers w:val="0"/>
              <w:spacing w:before="0" w:beforeAutospacing="0" w:after="0" w:afterAutospacing="0" w:line="440" w:lineRule="exact"/>
              <w:ind w:left="0" w:right="0"/>
              <w:jc w:val="both"/>
              <w:outlineLvl w:val="2"/>
              <w:rPr>
                <w:rFonts w:hint="default" w:ascii="Times New Roman" w:hAnsi="Calibri" w:cs="Times New Roman"/>
                <w:b/>
                <w:bCs w:val="0"/>
                <w:color w:val="000000"/>
                <w:sz w:val="24"/>
                <w:szCs w:val="24"/>
                <w:bdr w:val="none" w:color="auto" w:sz="0" w:space="0"/>
                <w:lang w:val="en-US"/>
              </w:rPr>
            </w:pPr>
            <w:r>
              <w:rPr>
                <w:rFonts w:hint="default" w:ascii="Times New Roman" w:hAnsi="Calibri" w:eastAsia="宋体" w:cs="Times New Roman"/>
                <w:b/>
                <w:bCs w:val="0"/>
                <w:color w:val="000000"/>
                <w:kern w:val="2"/>
                <w:sz w:val="24"/>
                <w:szCs w:val="24"/>
                <w:bdr w:val="none" w:color="auto" w:sz="0" w:space="0"/>
                <w:lang w:val="en-US" w:eastAsia="zh-CN" w:bidi="ar"/>
              </w:rPr>
              <w:t>1.2.8</w:t>
            </w:r>
            <w:r>
              <w:rPr>
                <w:rFonts w:hint="eastAsia" w:ascii="Times New Roman" w:hAnsi="Calibri" w:eastAsia="宋体" w:cs="宋体"/>
                <w:b/>
                <w:bCs w:val="0"/>
                <w:color w:val="000000"/>
                <w:kern w:val="2"/>
                <w:sz w:val="24"/>
                <w:szCs w:val="24"/>
                <w:bdr w:val="none" w:color="auto" w:sz="0" w:space="0"/>
                <w:lang w:val="en-US" w:eastAsia="zh-CN" w:bidi="ar"/>
              </w:rPr>
              <w:t>与《挥发性有机物无组织排放控制标准》（</w:t>
            </w:r>
            <w:r>
              <w:rPr>
                <w:rFonts w:hint="default" w:ascii="Times New Roman" w:hAnsi="Calibri" w:eastAsia="宋体" w:cs="Times New Roman"/>
                <w:b/>
                <w:bCs w:val="0"/>
                <w:color w:val="000000"/>
                <w:kern w:val="2"/>
                <w:sz w:val="24"/>
                <w:szCs w:val="24"/>
                <w:bdr w:val="none" w:color="auto" w:sz="0" w:space="0"/>
                <w:lang w:val="en-US" w:eastAsia="zh-CN" w:bidi="ar"/>
              </w:rPr>
              <w:t>GB37822-2019</w:t>
            </w:r>
            <w:r>
              <w:rPr>
                <w:rFonts w:hint="eastAsia" w:ascii="Times New Roman" w:hAnsi="Calibri" w:eastAsia="宋体" w:cs="宋体"/>
                <w:b/>
                <w:bCs w:val="0"/>
                <w:color w:val="000000"/>
                <w:kern w:val="2"/>
                <w:sz w:val="24"/>
                <w:szCs w:val="24"/>
                <w:bdr w:val="none" w:color="auto" w:sz="0" w:space="0"/>
                <w:lang w:val="en-US" w:eastAsia="zh-CN" w:bidi="ar"/>
              </w:rPr>
              <w:t>）符合性分析</w:t>
            </w:r>
          </w:p>
          <w:p w14:paraId="0AD8344F">
            <w:pPr>
              <w:keepNext w:val="0"/>
              <w:keepLines w:val="0"/>
              <w:widowControl w:val="0"/>
              <w:suppressLineNumbers w:val="0"/>
              <w:spacing w:before="0" w:beforeAutospacing="0" w:after="0" w:afterAutospacing="0" w:line="460" w:lineRule="exact"/>
              <w:ind w:left="0" w:right="0"/>
              <w:jc w:val="center"/>
              <w:rPr>
                <w:rFonts w:hint="default" w:ascii="Times New Roman" w:hAnsi="Calibri" w:cs="Times New Roman"/>
                <w:color w:val="000000"/>
                <w:spacing w:val="-2"/>
                <w:sz w:val="24"/>
                <w:szCs w:val="24"/>
                <w:bdr w:val="none" w:color="auto" w:sz="0" w:space="0"/>
                <w:lang w:val="en-US"/>
              </w:rPr>
            </w:pPr>
          </w:p>
          <w:p w14:paraId="26E43355">
            <w:pPr>
              <w:keepNext w:val="0"/>
              <w:keepLines w:val="0"/>
              <w:widowControl w:val="0"/>
              <w:suppressLineNumbers w:val="0"/>
              <w:spacing w:before="0" w:beforeAutospacing="0" w:after="0" w:afterAutospacing="0" w:line="460" w:lineRule="exact"/>
              <w:ind w:left="0" w:right="0"/>
              <w:jc w:val="center"/>
              <w:rPr>
                <w:rFonts w:hint="default" w:ascii="Times New Roman" w:hAnsi="Times New Roman" w:cs="Times New Roman"/>
                <w:color w:val="000000"/>
                <w:spacing w:val="-2"/>
                <w:sz w:val="24"/>
                <w:szCs w:val="24"/>
                <w:bdr w:val="none" w:color="auto" w:sz="0" w:space="0"/>
                <w:lang w:val="en-US"/>
              </w:rPr>
            </w:pPr>
            <w:r>
              <w:rPr>
                <w:rFonts w:hint="eastAsia" w:ascii="Times New Roman" w:hAnsi="Calibri" w:eastAsia="宋体" w:cs="宋体"/>
                <w:color w:val="000000"/>
                <w:spacing w:val="-2"/>
                <w:kern w:val="2"/>
                <w:sz w:val="24"/>
                <w:szCs w:val="24"/>
                <w:bdr w:val="none" w:color="auto" w:sz="0" w:space="0"/>
                <w:lang w:val="en-US" w:eastAsia="zh-CN" w:bidi="ar"/>
              </w:rPr>
              <w:t>表</w:t>
            </w:r>
            <w:r>
              <w:rPr>
                <w:rFonts w:hint="default" w:ascii="Times New Roman" w:hAnsi="Times New Roman" w:eastAsia="宋体" w:cs="Times New Roman"/>
                <w:color w:val="000000"/>
                <w:spacing w:val="-2"/>
                <w:kern w:val="2"/>
                <w:sz w:val="24"/>
                <w:szCs w:val="24"/>
                <w:bdr w:val="none" w:color="auto" w:sz="0" w:space="0"/>
                <w:lang w:val="en-US" w:eastAsia="zh-CN" w:bidi="ar"/>
              </w:rPr>
              <w:t xml:space="preserve">1.2-6  </w:t>
            </w:r>
            <w:r>
              <w:rPr>
                <w:rFonts w:hint="eastAsia" w:ascii="Times New Roman" w:hAnsi="Calibri" w:eastAsia="宋体" w:cs="宋体"/>
                <w:color w:val="000000"/>
                <w:spacing w:val="-2"/>
                <w:kern w:val="2"/>
                <w:sz w:val="24"/>
                <w:szCs w:val="24"/>
                <w:bdr w:val="none" w:color="auto" w:sz="0" w:space="0"/>
                <w:lang w:val="en-US" w:eastAsia="zh-CN" w:bidi="ar"/>
              </w:rPr>
              <w:t>与《挥发性有机物无组织排放控制标准》符合性分析</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Layout w:type="fixed"/>
              <w:tblCellMar>
                <w:top w:w="0" w:type="dxa"/>
                <w:left w:w="108" w:type="dxa"/>
                <w:bottom w:w="0" w:type="dxa"/>
                <w:right w:w="108" w:type="dxa"/>
              </w:tblCellMar>
            </w:tblPr>
            <w:tblGrid>
              <w:gridCol w:w="639"/>
              <w:gridCol w:w="4100"/>
              <w:gridCol w:w="2514"/>
              <w:gridCol w:w="679"/>
            </w:tblGrid>
            <w:tr w14:paraId="1B3B957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CellMar>
                  <w:top w:w="0" w:type="dxa"/>
                  <w:left w:w="108" w:type="dxa"/>
                  <w:bottom w:w="0" w:type="dxa"/>
                  <w:right w:w="108" w:type="dxa"/>
                </w:tblCellMar>
              </w:tblPrEx>
              <w:trPr>
                <w:trHeight w:val="397" w:hRule="atLeast"/>
                <w:jc w:val="center"/>
              </w:trPr>
              <w:tc>
                <w:tcPr>
                  <w:tcW w:w="403" w:type="pct"/>
                  <w:tcBorders>
                    <w:top w:val="single" w:color="auto" w:sz="12" w:space="0"/>
                    <w:left w:val="nil"/>
                    <w:bottom w:val="single" w:color="auto" w:sz="4" w:space="0"/>
                    <w:right w:val="single" w:color="auto" w:sz="4" w:space="0"/>
                  </w:tcBorders>
                  <w:shd w:val="clear"/>
                  <w:vAlign w:val="center"/>
                </w:tcPr>
                <w:p w14:paraId="05AD842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序号</w:t>
                  </w:r>
                </w:p>
              </w:tc>
              <w:tc>
                <w:tcPr>
                  <w:tcW w:w="2584" w:type="pct"/>
                  <w:tcBorders>
                    <w:top w:val="single" w:color="auto" w:sz="12" w:space="0"/>
                    <w:left w:val="single" w:color="auto" w:sz="4" w:space="0"/>
                    <w:bottom w:val="single" w:color="auto" w:sz="4" w:space="0"/>
                    <w:right w:val="single" w:color="auto" w:sz="4" w:space="0"/>
                  </w:tcBorders>
                  <w:shd w:val="clear"/>
                  <w:vAlign w:val="center"/>
                </w:tcPr>
                <w:p w14:paraId="563CD44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控制要求</w:t>
                  </w:r>
                </w:p>
              </w:tc>
              <w:tc>
                <w:tcPr>
                  <w:tcW w:w="1585" w:type="pct"/>
                  <w:tcBorders>
                    <w:top w:val="single" w:color="auto" w:sz="12" w:space="0"/>
                    <w:left w:val="single" w:color="auto" w:sz="4" w:space="0"/>
                    <w:bottom w:val="single" w:color="auto" w:sz="4" w:space="0"/>
                    <w:right w:val="single" w:color="auto" w:sz="4" w:space="0"/>
                  </w:tcBorders>
                  <w:shd w:val="clear"/>
                  <w:vAlign w:val="center"/>
                </w:tcPr>
                <w:p w14:paraId="703933C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扩建项目情况</w:t>
                  </w:r>
                </w:p>
              </w:tc>
              <w:tc>
                <w:tcPr>
                  <w:tcW w:w="426" w:type="pct"/>
                  <w:tcBorders>
                    <w:top w:val="single" w:color="auto" w:sz="12" w:space="0"/>
                    <w:left w:val="single" w:color="auto" w:sz="4" w:space="0"/>
                    <w:bottom w:val="single" w:color="auto" w:sz="4" w:space="0"/>
                    <w:right w:val="nil"/>
                  </w:tcBorders>
                  <w:shd w:val="clear"/>
                  <w:vAlign w:val="center"/>
                </w:tcPr>
                <w:p w14:paraId="4FA8384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符合性</w:t>
                  </w:r>
                </w:p>
              </w:tc>
            </w:tr>
            <w:tr w14:paraId="2FB1253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tcBorders>
                    <w:top w:val="single" w:color="auto" w:sz="4" w:space="0"/>
                    <w:left w:val="nil"/>
                    <w:bottom w:val="single" w:color="auto" w:sz="4" w:space="0"/>
                    <w:right w:val="single" w:color="auto" w:sz="4" w:space="0"/>
                  </w:tcBorders>
                  <w:shd w:val="clear"/>
                  <w:vAlign w:val="center"/>
                </w:tcPr>
                <w:p w14:paraId="30E8FC0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w:t>
                  </w:r>
                </w:p>
              </w:tc>
              <w:tc>
                <w:tcPr>
                  <w:tcW w:w="2584" w:type="pct"/>
                  <w:tcBorders>
                    <w:top w:val="single" w:color="auto" w:sz="4" w:space="0"/>
                    <w:left w:val="single" w:color="auto" w:sz="4" w:space="0"/>
                    <w:bottom w:val="single" w:color="auto" w:sz="4" w:space="0"/>
                    <w:right w:val="single" w:color="auto" w:sz="4" w:space="0"/>
                  </w:tcBorders>
                  <w:shd w:val="clear"/>
                  <w:vAlign w:val="center"/>
                </w:tcPr>
                <w:p w14:paraId="2AD5CD26">
                  <w:pPr>
                    <w:pStyle w:val="69"/>
                    <w:widowControl/>
                    <w:adjustRightInd/>
                    <w:snapToGrid/>
                    <w:spacing w:line="300" w:lineRule="exact"/>
                    <w:jc w:val="both"/>
                    <w:rPr>
                      <w:rFonts w:hint="default" w:ascii="Times New Roman" w:hAnsi="Times New Roman" w:cs="Times New Roman"/>
                      <w:color w:val="000000"/>
                      <w:szCs w:val="21"/>
                      <w:bdr w:val="none" w:color="auto" w:sz="0" w:space="0"/>
                      <w:lang w:val="en-US"/>
                    </w:rPr>
                  </w:pPr>
                  <w:r>
                    <w:rPr>
                      <w:rFonts w:hint="default" w:ascii="Times New Roman" w:hAnsi="Times New Roman" w:cs="Times New Roman"/>
                      <w:color w:val="000000"/>
                      <w:szCs w:val="21"/>
                      <w:bdr w:val="none" w:color="auto" w:sz="0" w:space="0"/>
                      <w:lang w:val="en-US"/>
                    </w:rPr>
                    <w:t>VOCs</w:t>
                  </w:r>
                  <w:r>
                    <w:rPr>
                      <w:rFonts w:hint="eastAsia" w:ascii="Times New Roman" w:hAnsi="Calibri" w:eastAsia="宋体" w:cs="宋体"/>
                      <w:color w:val="000000"/>
                      <w:szCs w:val="21"/>
                      <w:bdr w:val="none" w:color="auto" w:sz="0" w:space="0"/>
                    </w:rPr>
                    <w:t>物料应储存于密闭的容器、包装袋、储罐、料仓中；盛装</w:t>
                  </w:r>
                  <w:r>
                    <w:rPr>
                      <w:rFonts w:hint="default" w:ascii="Times New Roman" w:hAnsi="Times New Roman" w:cs="Times New Roman"/>
                      <w:color w:val="000000"/>
                      <w:szCs w:val="21"/>
                      <w:bdr w:val="none" w:color="auto" w:sz="0" w:space="0"/>
                      <w:lang w:val="en-US"/>
                    </w:rPr>
                    <w:t>VOCs</w:t>
                  </w:r>
                  <w:r>
                    <w:rPr>
                      <w:rFonts w:hint="eastAsia" w:ascii="Times New Roman" w:hAnsi="Calibri" w:eastAsia="宋体" w:cs="宋体"/>
                      <w:color w:val="000000"/>
                      <w:szCs w:val="21"/>
                      <w:bdr w:val="none" w:color="auto" w:sz="0" w:space="0"/>
                    </w:rPr>
                    <w:t>物料的容器应放置于室内，或存放于设置有雨棚、遮阳和防渗设施的专用场地；容器在非取用状态时应加盖、封口、保持密闭</w:t>
                  </w:r>
                </w:p>
              </w:tc>
              <w:tc>
                <w:tcPr>
                  <w:tcW w:w="1585" w:type="pct"/>
                  <w:vMerge w:val="restart"/>
                  <w:tcBorders>
                    <w:top w:val="single" w:color="auto" w:sz="4" w:space="0"/>
                    <w:left w:val="single" w:color="auto" w:sz="4" w:space="0"/>
                    <w:bottom w:val="single" w:color="auto" w:sz="4" w:space="0"/>
                    <w:right w:val="single" w:color="auto" w:sz="4" w:space="0"/>
                  </w:tcBorders>
                  <w:shd w:val="clear"/>
                  <w:vAlign w:val="center"/>
                </w:tcPr>
                <w:p w14:paraId="790CE34D">
                  <w:pPr>
                    <w:pStyle w:val="69"/>
                    <w:widowControl/>
                    <w:adjustRightInd/>
                    <w:snapToGrid/>
                    <w:spacing w:line="300" w:lineRule="exact"/>
                    <w:jc w:val="both"/>
                    <w:rPr>
                      <w:rFonts w:hint="default" w:ascii="Times New Roman" w:hAnsi="Times New Roman" w:cs="Times New Roman"/>
                      <w:color w:val="000000"/>
                      <w:szCs w:val="21"/>
                      <w:bdr w:val="none" w:color="auto" w:sz="0" w:space="0"/>
                      <w:lang w:val="en-US"/>
                    </w:rPr>
                  </w:pPr>
                  <w:r>
                    <w:rPr>
                      <w:rFonts w:hint="eastAsia" w:ascii="Calibri" w:hAnsi="Calibri" w:eastAsia="宋体" w:cs="宋体"/>
                      <w:color w:val="000000"/>
                      <w:bdr w:val="none" w:color="auto" w:sz="0" w:space="0"/>
                    </w:rPr>
                    <w:t>扩建项目背胶处理剂使用密闭桶贮存，且位于室内，非取用状态时加盖、密闭存放。</w:t>
                  </w:r>
                </w:p>
              </w:tc>
              <w:tc>
                <w:tcPr>
                  <w:tcW w:w="426" w:type="pct"/>
                  <w:tcBorders>
                    <w:top w:val="single" w:color="auto" w:sz="4" w:space="0"/>
                    <w:left w:val="single" w:color="auto" w:sz="4" w:space="0"/>
                    <w:bottom w:val="single" w:color="auto" w:sz="4" w:space="0"/>
                    <w:right w:val="nil"/>
                  </w:tcBorders>
                  <w:shd w:val="clear"/>
                  <w:vAlign w:val="center"/>
                </w:tcPr>
                <w:p w14:paraId="7905C53D">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符合</w:t>
                  </w:r>
                </w:p>
              </w:tc>
            </w:tr>
            <w:tr w14:paraId="158D2DC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tcBorders>
                    <w:top w:val="single" w:color="auto" w:sz="4" w:space="0"/>
                    <w:left w:val="nil"/>
                    <w:bottom w:val="single" w:color="auto" w:sz="4" w:space="0"/>
                    <w:right w:val="single" w:color="auto" w:sz="4" w:space="0"/>
                  </w:tcBorders>
                  <w:shd w:val="clear"/>
                  <w:vAlign w:val="center"/>
                </w:tcPr>
                <w:p w14:paraId="1C39009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2</w:t>
                  </w:r>
                </w:p>
              </w:tc>
              <w:tc>
                <w:tcPr>
                  <w:tcW w:w="2584" w:type="pct"/>
                  <w:tcBorders>
                    <w:top w:val="single" w:color="auto" w:sz="4" w:space="0"/>
                    <w:left w:val="single" w:color="auto" w:sz="4" w:space="0"/>
                    <w:bottom w:val="single" w:color="auto" w:sz="4" w:space="0"/>
                    <w:right w:val="single" w:color="auto" w:sz="4" w:space="0"/>
                  </w:tcBorders>
                  <w:shd w:val="clear"/>
                  <w:vAlign w:val="center"/>
                </w:tcPr>
                <w:p w14:paraId="1C2CBB09">
                  <w:pPr>
                    <w:pStyle w:val="69"/>
                    <w:widowControl/>
                    <w:adjustRightInd/>
                    <w:snapToGrid/>
                    <w:spacing w:line="300" w:lineRule="exact"/>
                    <w:jc w:val="both"/>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szCs w:val="21"/>
                      <w:bdr w:val="none" w:color="auto" w:sz="0" w:space="0"/>
                    </w:rPr>
                    <w:t>粉状、粒装</w:t>
                  </w:r>
                  <w:r>
                    <w:rPr>
                      <w:rFonts w:hint="default" w:ascii="Times New Roman" w:hAnsi="Times New Roman" w:cs="Times New Roman"/>
                      <w:color w:val="000000"/>
                      <w:szCs w:val="21"/>
                      <w:bdr w:val="none" w:color="auto" w:sz="0" w:space="0"/>
                      <w:lang w:val="en-US"/>
                    </w:rPr>
                    <w:t>VOCs</w:t>
                  </w:r>
                  <w:r>
                    <w:rPr>
                      <w:rFonts w:hint="eastAsia" w:ascii="Times New Roman" w:hAnsi="Calibri" w:eastAsia="宋体" w:cs="宋体"/>
                      <w:color w:val="000000"/>
                      <w:szCs w:val="21"/>
                      <w:bdr w:val="none" w:color="auto" w:sz="0" w:space="0"/>
                    </w:rPr>
                    <w:t>物料应采用气力输送设备、管状带式输送机、螺旋输送机等密闭输送或者采用密闭的包装袋、容器或者罐车进行物料转移</w:t>
                  </w:r>
                </w:p>
              </w:tc>
              <w:tc>
                <w:tcPr>
                  <w:tcW w:w="1585" w:type="pct"/>
                  <w:vMerge w:val="continue"/>
                  <w:tcBorders>
                    <w:top w:val="single" w:color="auto" w:sz="4" w:space="0"/>
                    <w:left w:val="single" w:color="auto" w:sz="4" w:space="0"/>
                    <w:bottom w:val="single" w:color="auto" w:sz="4" w:space="0"/>
                    <w:right w:val="single" w:color="auto" w:sz="4" w:space="0"/>
                  </w:tcBorders>
                  <w:shd w:val="clear"/>
                  <w:vAlign w:val="center"/>
                </w:tcPr>
                <w:p w14:paraId="028225FF">
                  <w:pPr>
                    <w:rPr>
                      <w:rFonts w:hint="default" w:ascii="Calibri" w:hAnsi="Calibri" w:cs="Calibri"/>
                      <w:sz w:val="20"/>
                      <w:szCs w:val="20"/>
                    </w:rPr>
                  </w:pPr>
                </w:p>
              </w:tc>
              <w:tc>
                <w:tcPr>
                  <w:tcW w:w="426" w:type="pct"/>
                  <w:tcBorders>
                    <w:top w:val="single" w:color="auto" w:sz="4" w:space="0"/>
                    <w:left w:val="single" w:color="auto" w:sz="4" w:space="0"/>
                    <w:bottom w:val="single" w:color="auto" w:sz="4" w:space="0"/>
                    <w:right w:val="nil"/>
                  </w:tcBorders>
                  <w:shd w:val="clear"/>
                  <w:vAlign w:val="center"/>
                </w:tcPr>
                <w:p w14:paraId="77AEC87D">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符合</w:t>
                  </w:r>
                </w:p>
              </w:tc>
            </w:tr>
            <w:tr w14:paraId="1279F53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tcBorders>
                    <w:top w:val="single" w:color="auto" w:sz="4" w:space="0"/>
                    <w:left w:val="nil"/>
                    <w:bottom w:val="single" w:color="auto" w:sz="4" w:space="0"/>
                    <w:right w:val="single" w:color="auto" w:sz="4" w:space="0"/>
                  </w:tcBorders>
                  <w:shd w:val="clear"/>
                  <w:vAlign w:val="center"/>
                </w:tcPr>
                <w:p w14:paraId="23CCC61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3</w:t>
                  </w:r>
                </w:p>
              </w:tc>
              <w:tc>
                <w:tcPr>
                  <w:tcW w:w="2584" w:type="pct"/>
                  <w:tcBorders>
                    <w:top w:val="single" w:color="auto" w:sz="4" w:space="0"/>
                    <w:left w:val="single" w:color="auto" w:sz="4" w:space="0"/>
                    <w:bottom w:val="single" w:color="auto" w:sz="4" w:space="0"/>
                    <w:right w:val="single" w:color="auto" w:sz="4" w:space="0"/>
                  </w:tcBorders>
                  <w:shd w:val="clear"/>
                  <w:vAlign w:val="center"/>
                </w:tcPr>
                <w:p w14:paraId="0F782ADA">
                  <w:pPr>
                    <w:pStyle w:val="69"/>
                    <w:widowControl/>
                    <w:adjustRightInd/>
                    <w:snapToGrid/>
                    <w:spacing w:line="300" w:lineRule="exact"/>
                    <w:jc w:val="both"/>
                    <w:rPr>
                      <w:rFonts w:hint="default" w:ascii="Times New Roman" w:hAnsi="Times New Roman" w:cs="Times New Roman"/>
                      <w:color w:val="000000"/>
                      <w:szCs w:val="21"/>
                      <w:bdr w:val="none" w:color="auto" w:sz="0" w:space="0"/>
                      <w:lang w:val="en-US"/>
                    </w:rPr>
                  </w:pPr>
                  <w:r>
                    <w:rPr>
                      <w:rFonts w:hint="default" w:ascii="Times New Roman" w:hAnsi="Times New Roman" w:cs="Times New Roman"/>
                      <w:color w:val="000000"/>
                      <w:szCs w:val="21"/>
                      <w:bdr w:val="none" w:color="auto" w:sz="0" w:space="0"/>
                      <w:lang w:val="en-US"/>
                    </w:rPr>
                    <w:t>VOCs</w:t>
                  </w:r>
                  <w:r>
                    <w:rPr>
                      <w:rFonts w:hint="eastAsia" w:ascii="Times New Roman" w:hAnsi="Calibri" w:eastAsia="宋体" w:cs="宋体"/>
                      <w:color w:val="000000"/>
                      <w:szCs w:val="21"/>
                      <w:bdr w:val="none" w:color="auto" w:sz="0" w:space="0"/>
                    </w:rPr>
                    <w:t>质量占比大于等于</w:t>
                  </w:r>
                  <w:r>
                    <w:rPr>
                      <w:rFonts w:hint="default" w:ascii="Times New Roman" w:hAnsi="Times New Roman" w:cs="Times New Roman"/>
                      <w:color w:val="000000"/>
                      <w:szCs w:val="21"/>
                      <w:bdr w:val="none" w:color="auto" w:sz="0" w:space="0"/>
                      <w:lang w:val="en-US"/>
                    </w:rPr>
                    <w:t>10%</w:t>
                  </w:r>
                  <w:r>
                    <w:rPr>
                      <w:rFonts w:hint="eastAsia" w:ascii="Times New Roman" w:hAnsi="Calibri" w:eastAsia="宋体" w:cs="宋体"/>
                      <w:color w:val="000000"/>
                      <w:szCs w:val="21"/>
                      <w:bdr w:val="none" w:color="auto" w:sz="0" w:space="0"/>
                    </w:rPr>
                    <w:t>的含</w:t>
                  </w:r>
                  <w:r>
                    <w:rPr>
                      <w:rFonts w:hint="default" w:ascii="Times New Roman" w:hAnsi="Times New Roman" w:cs="Times New Roman"/>
                      <w:color w:val="000000"/>
                      <w:szCs w:val="21"/>
                      <w:bdr w:val="none" w:color="auto" w:sz="0" w:space="0"/>
                      <w:lang w:val="en-US"/>
                    </w:rPr>
                    <w:t>VOCs</w:t>
                  </w:r>
                  <w:r>
                    <w:rPr>
                      <w:rFonts w:hint="eastAsia" w:ascii="Times New Roman" w:hAnsi="Calibri" w:eastAsia="宋体" w:cs="宋体"/>
                      <w:color w:val="000000"/>
                      <w:szCs w:val="21"/>
                      <w:bdr w:val="none" w:color="auto" w:sz="0" w:space="0"/>
                    </w:rPr>
                    <w:t>产品，其使用过程应采用密闭设备或在密闭空间内操作，废气应排至</w:t>
                  </w:r>
                  <w:r>
                    <w:rPr>
                      <w:rFonts w:hint="default" w:ascii="Times New Roman" w:hAnsi="Times New Roman" w:cs="Times New Roman"/>
                      <w:color w:val="000000"/>
                      <w:szCs w:val="21"/>
                      <w:bdr w:val="none" w:color="auto" w:sz="0" w:space="0"/>
                      <w:lang w:val="en-US"/>
                    </w:rPr>
                    <w:t>VOCs</w:t>
                  </w:r>
                  <w:r>
                    <w:rPr>
                      <w:rFonts w:hint="eastAsia" w:ascii="Times New Roman" w:hAnsi="Calibri" w:eastAsia="宋体" w:cs="宋体"/>
                      <w:color w:val="000000"/>
                      <w:szCs w:val="21"/>
                      <w:bdr w:val="none" w:color="auto" w:sz="0" w:space="0"/>
                    </w:rPr>
                    <w:t>废气收集处理系统，无法密闭的，应采取局部气体收集措施，废气应排至</w:t>
                  </w:r>
                  <w:r>
                    <w:rPr>
                      <w:rFonts w:hint="default" w:ascii="Times New Roman" w:hAnsi="Times New Roman" w:cs="Times New Roman"/>
                      <w:color w:val="000000"/>
                      <w:szCs w:val="21"/>
                      <w:bdr w:val="none" w:color="auto" w:sz="0" w:space="0"/>
                      <w:lang w:val="en-US"/>
                    </w:rPr>
                    <w:t>VOCs</w:t>
                  </w:r>
                  <w:r>
                    <w:rPr>
                      <w:rFonts w:hint="eastAsia" w:ascii="Times New Roman" w:hAnsi="Calibri" w:eastAsia="宋体" w:cs="宋体"/>
                      <w:color w:val="000000"/>
                      <w:szCs w:val="21"/>
                      <w:bdr w:val="none" w:color="auto" w:sz="0" w:space="0"/>
                    </w:rPr>
                    <w:t>废气收集处理系统</w:t>
                  </w:r>
                </w:p>
              </w:tc>
              <w:tc>
                <w:tcPr>
                  <w:tcW w:w="1585" w:type="pct"/>
                  <w:tcBorders>
                    <w:top w:val="single" w:color="auto" w:sz="4" w:space="0"/>
                    <w:left w:val="single" w:color="auto" w:sz="4" w:space="0"/>
                    <w:bottom w:val="single" w:color="auto" w:sz="4" w:space="0"/>
                    <w:right w:val="single" w:color="auto" w:sz="4" w:space="0"/>
                  </w:tcBorders>
                  <w:shd w:val="clear"/>
                  <w:vAlign w:val="center"/>
                </w:tcPr>
                <w:p w14:paraId="5046D481">
                  <w:pPr>
                    <w:pStyle w:val="69"/>
                    <w:widowControl/>
                    <w:adjustRightInd/>
                    <w:snapToGrid/>
                    <w:spacing w:line="300" w:lineRule="exact"/>
                    <w:jc w:val="both"/>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szCs w:val="21"/>
                      <w:bdr w:val="none" w:color="auto" w:sz="0" w:space="0"/>
                    </w:rPr>
                    <w:t>扩建项目采用集气罩收集使用背胶处理剂产生的废气，废气设置“布袋</w:t>
                  </w:r>
                  <w:r>
                    <w:rPr>
                      <w:rFonts w:hint="default" w:ascii="Times New Roman" w:hAnsi="Calibri" w:cs="Times New Roman"/>
                      <w:color w:val="000000"/>
                      <w:szCs w:val="21"/>
                      <w:bdr w:val="none" w:color="auto" w:sz="0" w:space="0"/>
                      <w:lang w:val="en-US"/>
                    </w:rPr>
                    <w:t>+UV</w:t>
                  </w:r>
                  <w:r>
                    <w:rPr>
                      <w:rFonts w:hint="eastAsia" w:ascii="Times New Roman" w:hAnsi="Calibri" w:eastAsia="宋体" w:cs="宋体"/>
                      <w:color w:val="000000"/>
                      <w:szCs w:val="21"/>
                      <w:bdr w:val="none" w:color="auto" w:sz="0" w:space="0"/>
                    </w:rPr>
                    <w:t>光解</w:t>
                  </w:r>
                  <w:r>
                    <w:rPr>
                      <w:rFonts w:hint="default" w:ascii="Times New Roman" w:hAnsi="Calibri" w:cs="Times New Roman"/>
                      <w:color w:val="000000"/>
                      <w:szCs w:val="21"/>
                      <w:bdr w:val="none" w:color="auto" w:sz="0" w:space="0"/>
                      <w:lang w:val="en-US"/>
                    </w:rPr>
                    <w:t>+</w:t>
                  </w:r>
                  <w:r>
                    <w:rPr>
                      <w:rFonts w:hint="eastAsia" w:ascii="Times New Roman" w:hAnsi="Calibri" w:eastAsia="宋体" w:cs="宋体"/>
                      <w:color w:val="000000"/>
                      <w:szCs w:val="21"/>
                      <w:bdr w:val="none" w:color="auto" w:sz="0" w:space="0"/>
                    </w:rPr>
                    <w:t>二级活性炭吸附”处理。</w:t>
                  </w:r>
                </w:p>
              </w:tc>
              <w:tc>
                <w:tcPr>
                  <w:tcW w:w="426" w:type="pct"/>
                  <w:tcBorders>
                    <w:top w:val="single" w:color="auto" w:sz="4" w:space="0"/>
                    <w:left w:val="single" w:color="auto" w:sz="4" w:space="0"/>
                    <w:bottom w:val="single" w:color="auto" w:sz="4" w:space="0"/>
                    <w:right w:val="nil"/>
                  </w:tcBorders>
                  <w:shd w:val="clear"/>
                  <w:vAlign w:val="center"/>
                </w:tcPr>
                <w:p w14:paraId="4B2169D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符合</w:t>
                  </w:r>
                </w:p>
              </w:tc>
            </w:tr>
            <w:tr w14:paraId="31F6458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tcBorders>
                    <w:top w:val="single" w:color="auto" w:sz="4" w:space="0"/>
                    <w:left w:val="nil"/>
                    <w:bottom w:val="single" w:color="auto" w:sz="4" w:space="0"/>
                    <w:right w:val="single" w:color="auto" w:sz="4" w:space="0"/>
                  </w:tcBorders>
                  <w:shd w:val="clear"/>
                  <w:vAlign w:val="center"/>
                </w:tcPr>
                <w:p w14:paraId="64BA828D">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4</w:t>
                  </w:r>
                </w:p>
              </w:tc>
              <w:tc>
                <w:tcPr>
                  <w:tcW w:w="2584" w:type="pct"/>
                  <w:tcBorders>
                    <w:top w:val="single" w:color="auto" w:sz="4" w:space="0"/>
                    <w:left w:val="single" w:color="auto" w:sz="4" w:space="0"/>
                    <w:bottom w:val="single" w:color="auto" w:sz="4" w:space="0"/>
                    <w:right w:val="single" w:color="auto" w:sz="4" w:space="0"/>
                  </w:tcBorders>
                  <w:shd w:val="clear"/>
                  <w:vAlign w:val="center"/>
                </w:tcPr>
                <w:p w14:paraId="0E09FEDE">
                  <w:pPr>
                    <w:pStyle w:val="69"/>
                    <w:widowControl/>
                    <w:adjustRightInd/>
                    <w:snapToGrid/>
                    <w:spacing w:line="300" w:lineRule="exact"/>
                    <w:jc w:val="both"/>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szCs w:val="21"/>
                      <w:bdr w:val="none" w:color="auto" w:sz="0" w:space="0"/>
                    </w:rPr>
                    <w:t>企业应建立台账，记录含</w:t>
                  </w:r>
                  <w:r>
                    <w:rPr>
                      <w:rFonts w:hint="default" w:ascii="Times New Roman" w:hAnsi="Times New Roman" w:cs="Times New Roman"/>
                      <w:color w:val="000000"/>
                      <w:szCs w:val="21"/>
                      <w:bdr w:val="none" w:color="auto" w:sz="0" w:space="0"/>
                      <w:lang w:val="en-US"/>
                    </w:rPr>
                    <w:t>VOCs</w:t>
                  </w:r>
                  <w:r>
                    <w:rPr>
                      <w:rFonts w:hint="eastAsia" w:ascii="Times New Roman" w:hAnsi="Calibri" w:eastAsia="宋体" w:cs="宋体"/>
                      <w:color w:val="000000"/>
                      <w:szCs w:val="21"/>
                      <w:bdr w:val="none" w:color="auto" w:sz="0" w:space="0"/>
                    </w:rPr>
                    <w:t>原辅材料和含</w:t>
                  </w:r>
                  <w:r>
                    <w:rPr>
                      <w:rFonts w:hint="default" w:ascii="Times New Roman" w:hAnsi="Times New Roman" w:cs="Times New Roman"/>
                      <w:color w:val="000000"/>
                      <w:szCs w:val="21"/>
                      <w:bdr w:val="none" w:color="auto" w:sz="0" w:space="0"/>
                      <w:lang w:val="en-US"/>
                    </w:rPr>
                    <w:t>VOCs</w:t>
                  </w:r>
                  <w:r>
                    <w:rPr>
                      <w:rFonts w:hint="eastAsia" w:ascii="Times New Roman" w:hAnsi="Calibri" w:eastAsia="宋体" w:cs="宋体"/>
                      <w:color w:val="000000"/>
                      <w:szCs w:val="21"/>
                      <w:bdr w:val="none" w:color="auto" w:sz="0" w:space="0"/>
                    </w:rPr>
                    <w:t>产品的名称、使用量、回收量、废弃量、去向以及</w:t>
                  </w:r>
                  <w:r>
                    <w:rPr>
                      <w:rFonts w:hint="default" w:ascii="Times New Roman" w:hAnsi="Times New Roman" w:cs="Times New Roman"/>
                      <w:color w:val="000000"/>
                      <w:szCs w:val="21"/>
                      <w:bdr w:val="none" w:color="auto" w:sz="0" w:space="0"/>
                      <w:lang w:val="en-US"/>
                    </w:rPr>
                    <w:t>VOCs</w:t>
                  </w:r>
                  <w:r>
                    <w:rPr>
                      <w:rFonts w:hint="eastAsia" w:ascii="Times New Roman" w:hAnsi="Calibri" w:eastAsia="宋体" w:cs="宋体"/>
                      <w:color w:val="000000"/>
                      <w:szCs w:val="21"/>
                      <w:bdr w:val="none" w:color="auto" w:sz="0" w:space="0"/>
                    </w:rPr>
                    <w:t>含量等信息。台账保存期限不少于</w:t>
                  </w:r>
                  <w:r>
                    <w:rPr>
                      <w:rFonts w:hint="default" w:ascii="Times New Roman" w:hAnsi="Times New Roman" w:cs="Times New Roman"/>
                      <w:color w:val="000000"/>
                      <w:szCs w:val="21"/>
                      <w:bdr w:val="none" w:color="auto" w:sz="0" w:space="0"/>
                      <w:lang w:val="en-US"/>
                    </w:rPr>
                    <w:t>3</w:t>
                  </w:r>
                  <w:r>
                    <w:rPr>
                      <w:rFonts w:hint="eastAsia" w:ascii="Times New Roman" w:hAnsi="Calibri" w:eastAsia="宋体" w:cs="宋体"/>
                      <w:color w:val="000000"/>
                      <w:szCs w:val="21"/>
                      <w:bdr w:val="none" w:color="auto" w:sz="0" w:space="0"/>
                    </w:rPr>
                    <w:t>年</w:t>
                  </w:r>
                </w:p>
              </w:tc>
              <w:tc>
                <w:tcPr>
                  <w:tcW w:w="1585" w:type="pct"/>
                  <w:tcBorders>
                    <w:top w:val="single" w:color="auto" w:sz="4" w:space="0"/>
                    <w:left w:val="single" w:color="auto" w:sz="4" w:space="0"/>
                    <w:bottom w:val="single" w:color="auto" w:sz="4" w:space="0"/>
                    <w:right w:val="single" w:color="auto" w:sz="4" w:space="0"/>
                  </w:tcBorders>
                  <w:shd w:val="clear"/>
                  <w:vAlign w:val="center"/>
                </w:tcPr>
                <w:p w14:paraId="15FEB5A1">
                  <w:pPr>
                    <w:pStyle w:val="69"/>
                    <w:widowControl/>
                    <w:adjustRightInd/>
                    <w:snapToGrid/>
                    <w:spacing w:line="300" w:lineRule="exact"/>
                    <w:jc w:val="both"/>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szCs w:val="21"/>
                      <w:bdr w:val="none" w:color="auto" w:sz="0" w:space="0"/>
                    </w:rPr>
                    <w:t>扩建项目要求企业建立台账制度，记录含</w:t>
                  </w:r>
                  <w:r>
                    <w:rPr>
                      <w:rFonts w:hint="default" w:ascii="Times New Roman" w:hAnsi="Calibri" w:cs="Times New Roman"/>
                      <w:color w:val="000000"/>
                      <w:szCs w:val="21"/>
                      <w:bdr w:val="none" w:color="auto" w:sz="0" w:space="0"/>
                      <w:lang w:val="en-US"/>
                    </w:rPr>
                    <w:t>VOCs</w:t>
                  </w:r>
                  <w:r>
                    <w:rPr>
                      <w:rFonts w:hint="eastAsia" w:ascii="Times New Roman" w:hAnsi="Calibri" w:eastAsia="宋体" w:cs="宋体"/>
                      <w:color w:val="000000"/>
                      <w:szCs w:val="21"/>
                      <w:bdr w:val="none" w:color="auto" w:sz="0" w:space="0"/>
                    </w:rPr>
                    <w:t>原辅材料和含</w:t>
                  </w:r>
                  <w:r>
                    <w:rPr>
                      <w:rFonts w:hint="default" w:ascii="Times New Roman" w:hAnsi="Calibri" w:cs="Times New Roman"/>
                      <w:color w:val="000000"/>
                      <w:szCs w:val="21"/>
                      <w:bdr w:val="none" w:color="auto" w:sz="0" w:space="0"/>
                      <w:lang w:val="en-US"/>
                    </w:rPr>
                    <w:t>VOCs</w:t>
                  </w:r>
                  <w:r>
                    <w:rPr>
                      <w:rFonts w:hint="eastAsia" w:ascii="Times New Roman" w:hAnsi="Calibri" w:eastAsia="宋体" w:cs="宋体"/>
                      <w:color w:val="000000"/>
                      <w:szCs w:val="21"/>
                      <w:bdr w:val="none" w:color="auto" w:sz="0" w:space="0"/>
                    </w:rPr>
                    <w:t>产品的名称、使用量、回收量、废弃量、去向以及</w:t>
                  </w:r>
                  <w:r>
                    <w:rPr>
                      <w:rFonts w:hint="default" w:ascii="Times New Roman" w:hAnsi="Calibri" w:cs="Times New Roman"/>
                      <w:color w:val="000000"/>
                      <w:szCs w:val="21"/>
                      <w:bdr w:val="none" w:color="auto" w:sz="0" w:space="0"/>
                      <w:lang w:val="en-US"/>
                    </w:rPr>
                    <w:t>VOCs</w:t>
                  </w:r>
                  <w:r>
                    <w:rPr>
                      <w:rFonts w:hint="eastAsia" w:ascii="Times New Roman" w:hAnsi="Calibri" w:eastAsia="宋体" w:cs="宋体"/>
                      <w:color w:val="000000"/>
                      <w:szCs w:val="21"/>
                      <w:bdr w:val="none" w:color="auto" w:sz="0" w:space="0"/>
                    </w:rPr>
                    <w:t>含量等信息。台账保存期限不少于</w:t>
                  </w:r>
                  <w:r>
                    <w:rPr>
                      <w:rFonts w:hint="default" w:ascii="Times New Roman" w:hAnsi="Calibri" w:cs="Times New Roman"/>
                      <w:color w:val="000000"/>
                      <w:szCs w:val="21"/>
                      <w:bdr w:val="none" w:color="auto" w:sz="0" w:space="0"/>
                      <w:lang w:val="en-US"/>
                    </w:rPr>
                    <w:t>3</w:t>
                  </w:r>
                  <w:r>
                    <w:rPr>
                      <w:rFonts w:hint="eastAsia" w:ascii="Times New Roman" w:hAnsi="Calibri" w:eastAsia="宋体" w:cs="宋体"/>
                      <w:color w:val="000000"/>
                      <w:szCs w:val="21"/>
                      <w:bdr w:val="none" w:color="auto" w:sz="0" w:space="0"/>
                    </w:rPr>
                    <w:t>年。</w:t>
                  </w:r>
                </w:p>
              </w:tc>
              <w:tc>
                <w:tcPr>
                  <w:tcW w:w="426" w:type="pct"/>
                  <w:tcBorders>
                    <w:top w:val="single" w:color="auto" w:sz="4" w:space="0"/>
                    <w:left w:val="single" w:color="auto" w:sz="4" w:space="0"/>
                    <w:bottom w:val="single" w:color="auto" w:sz="4" w:space="0"/>
                    <w:right w:val="nil"/>
                  </w:tcBorders>
                  <w:shd w:val="clear"/>
                  <w:vAlign w:val="center"/>
                </w:tcPr>
                <w:p w14:paraId="04944C8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符合</w:t>
                  </w:r>
                </w:p>
              </w:tc>
            </w:tr>
            <w:tr w14:paraId="5BEB67D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tcBorders>
                    <w:top w:val="single" w:color="auto" w:sz="4" w:space="0"/>
                    <w:left w:val="nil"/>
                    <w:bottom w:val="single" w:color="auto" w:sz="4" w:space="0"/>
                    <w:right w:val="single" w:color="auto" w:sz="4" w:space="0"/>
                  </w:tcBorders>
                  <w:shd w:val="clear"/>
                  <w:vAlign w:val="center"/>
                </w:tcPr>
                <w:p w14:paraId="3508304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5</w:t>
                  </w:r>
                </w:p>
              </w:tc>
              <w:tc>
                <w:tcPr>
                  <w:tcW w:w="2584" w:type="pct"/>
                  <w:tcBorders>
                    <w:top w:val="single" w:color="auto" w:sz="4" w:space="0"/>
                    <w:left w:val="single" w:color="auto" w:sz="4" w:space="0"/>
                    <w:bottom w:val="single" w:color="auto" w:sz="4" w:space="0"/>
                    <w:right w:val="single" w:color="auto" w:sz="4" w:space="0"/>
                  </w:tcBorders>
                  <w:shd w:val="clear"/>
                  <w:vAlign w:val="center"/>
                </w:tcPr>
                <w:p w14:paraId="3E9C2FA3">
                  <w:pPr>
                    <w:pStyle w:val="69"/>
                    <w:widowControl/>
                    <w:adjustRightInd/>
                    <w:snapToGrid/>
                    <w:spacing w:line="300" w:lineRule="exact"/>
                    <w:jc w:val="both"/>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szCs w:val="21"/>
                      <w:bdr w:val="none" w:color="auto" w:sz="0" w:space="0"/>
                    </w:rPr>
                    <w:t>通风生产设备、操作工位、车间厂房等应在符合安全生产、职业卫生相关规定的前提下，根据行业作业规程与标准、工业建筑及洁净厂房通风设计规范等的要求，采用合理的通风量</w:t>
                  </w:r>
                </w:p>
              </w:tc>
              <w:tc>
                <w:tcPr>
                  <w:tcW w:w="1585" w:type="pct"/>
                  <w:tcBorders>
                    <w:top w:val="single" w:color="auto" w:sz="4" w:space="0"/>
                    <w:left w:val="single" w:color="auto" w:sz="4" w:space="0"/>
                    <w:bottom w:val="single" w:color="auto" w:sz="4" w:space="0"/>
                    <w:right w:val="single" w:color="auto" w:sz="4" w:space="0"/>
                  </w:tcBorders>
                  <w:shd w:val="clear"/>
                  <w:vAlign w:val="center"/>
                </w:tcPr>
                <w:p w14:paraId="7F88BEED">
                  <w:pPr>
                    <w:pStyle w:val="69"/>
                    <w:widowControl/>
                    <w:adjustRightInd/>
                    <w:snapToGrid/>
                    <w:spacing w:line="300" w:lineRule="exact"/>
                    <w:jc w:val="both"/>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szCs w:val="21"/>
                      <w:bdr w:val="none" w:color="auto" w:sz="0" w:space="0"/>
                    </w:rPr>
                    <w:t>扩建项目按照通风设计规范等的要求，采取了机械排风措施。</w:t>
                  </w:r>
                </w:p>
              </w:tc>
              <w:tc>
                <w:tcPr>
                  <w:tcW w:w="426" w:type="pct"/>
                  <w:tcBorders>
                    <w:top w:val="single" w:color="auto" w:sz="4" w:space="0"/>
                    <w:left w:val="single" w:color="auto" w:sz="4" w:space="0"/>
                    <w:bottom w:val="single" w:color="auto" w:sz="4" w:space="0"/>
                    <w:right w:val="nil"/>
                  </w:tcBorders>
                  <w:shd w:val="clear"/>
                  <w:vAlign w:val="center"/>
                </w:tcPr>
                <w:p w14:paraId="056BD41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符合</w:t>
                  </w:r>
                </w:p>
              </w:tc>
            </w:tr>
            <w:tr w14:paraId="2BBC694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tcBorders>
                    <w:top w:val="single" w:color="auto" w:sz="4" w:space="0"/>
                    <w:left w:val="nil"/>
                    <w:bottom w:val="single" w:color="auto" w:sz="4" w:space="0"/>
                    <w:right w:val="single" w:color="auto" w:sz="4" w:space="0"/>
                  </w:tcBorders>
                  <w:shd w:val="clear"/>
                  <w:vAlign w:val="center"/>
                </w:tcPr>
                <w:p w14:paraId="47F23E5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6</w:t>
                  </w:r>
                </w:p>
              </w:tc>
              <w:tc>
                <w:tcPr>
                  <w:tcW w:w="2584" w:type="pct"/>
                  <w:tcBorders>
                    <w:top w:val="single" w:color="auto" w:sz="4" w:space="0"/>
                    <w:left w:val="single" w:color="auto" w:sz="4" w:space="0"/>
                    <w:bottom w:val="single" w:color="auto" w:sz="4" w:space="0"/>
                    <w:right w:val="single" w:color="auto" w:sz="4" w:space="0"/>
                  </w:tcBorders>
                  <w:shd w:val="clear"/>
                  <w:vAlign w:val="center"/>
                </w:tcPr>
                <w:p w14:paraId="2A1C4F2D">
                  <w:pPr>
                    <w:pStyle w:val="69"/>
                    <w:widowControl/>
                    <w:adjustRightInd/>
                    <w:snapToGrid/>
                    <w:spacing w:line="300" w:lineRule="exact"/>
                    <w:jc w:val="both"/>
                    <w:rPr>
                      <w:rFonts w:hint="default" w:ascii="Times New Roman" w:hAnsi="Times New Roman" w:cs="Times New Roman"/>
                      <w:color w:val="000000"/>
                      <w:szCs w:val="21"/>
                      <w:bdr w:val="none" w:color="auto" w:sz="0" w:space="0"/>
                      <w:lang w:val="en-US"/>
                    </w:rPr>
                  </w:pPr>
                  <w:r>
                    <w:rPr>
                      <w:rFonts w:hint="default" w:ascii="Times New Roman" w:hAnsi="Times New Roman" w:cs="Times New Roman"/>
                      <w:color w:val="000000"/>
                      <w:szCs w:val="21"/>
                      <w:bdr w:val="none" w:color="auto" w:sz="0" w:space="0"/>
                      <w:lang w:val="en-US"/>
                    </w:rPr>
                    <w:t>VOCs</w:t>
                  </w:r>
                  <w:r>
                    <w:rPr>
                      <w:rFonts w:hint="eastAsia" w:ascii="Times New Roman" w:hAnsi="Calibri" w:eastAsia="宋体" w:cs="宋体"/>
                      <w:color w:val="000000"/>
                      <w:szCs w:val="21"/>
                      <w:bdr w:val="none" w:color="auto" w:sz="0" w:space="0"/>
                    </w:rPr>
                    <w:t>废气收集处理系统应与生产工艺设备同步运行。</w:t>
                  </w:r>
                  <w:r>
                    <w:rPr>
                      <w:rFonts w:hint="default" w:ascii="Times New Roman" w:hAnsi="Times New Roman" w:cs="Times New Roman"/>
                      <w:color w:val="000000"/>
                      <w:szCs w:val="21"/>
                      <w:bdr w:val="none" w:color="auto" w:sz="0" w:space="0"/>
                      <w:lang w:val="en-US"/>
                    </w:rPr>
                    <w:t>VOCs</w:t>
                  </w:r>
                  <w:r>
                    <w:rPr>
                      <w:rFonts w:hint="eastAsia" w:ascii="Times New Roman" w:hAnsi="Calibri" w:eastAsia="宋体" w:cs="宋体"/>
                      <w:color w:val="000000"/>
                      <w:szCs w:val="21"/>
                      <w:bdr w:val="none" w:color="auto" w:sz="0" w:space="0"/>
                    </w:rPr>
                    <w:t>废气收集处理系统发生故障或检修对应的生产工艺设备应停止运行，待检修完毕后同步投入使用；生产工艺设备不能停止运行或不能及时停止运行的，应设置废气应急处理设施或采取其他替代措施</w:t>
                  </w:r>
                </w:p>
              </w:tc>
              <w:tc>
                <w:tcPr>
                  <w:tcW w:w="1585" w:type="pct"/>
                  <w:tcBorders>
                    <w:top w:val="single" w:color="auto" w:sz="4" w:space="0"/>
                    <w:left w:val="single" w:color="auto" w:sz="4" w:space="0"/>
                    <w:bottom w:val="single" w:color="auto" w:sz="4" w:space="0"/>
                    <w:right w:val="single" w:color="auto" w:sz="4" w:space="0"/>
                  </w:tcBorders>
                  <w:shd w:val="clear"/>
                  <w:vAlign w:val="center"/>
                </w:tcPr>
                <w:p w14:paraId="67EB6CE2">
                  <w:pPr>
                    <w:pStyle w:val="69"/>
                    <w:widowControl/>
                    <w:adjustRightInd/>
                    <w:snapToGrid/>
                    <w:spacing w:line="300" w:lineRule="exact"/>
                    <w:jc w:val="both"/>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zCs w:val="21"/>
                      <w:bdr w:val="none" w:color="auto" w:sz="0" w:space="0"/>
                    </w:rPr>
                    <w:t>扩建项目</w:t>
                  </w:r>
                  <w:r>
                    <w:rPr>
                      <w:rFonts w:hint="default" w:ascii="Times New Roman" w:hAnsi="Times New Roman" w:cs="Times New Roman"/>
                      <w:color w:val="000000"/>
                      <w:szCs w:val="21"/>
                      <w:bdr w:val="none" w:color="auto" w:sz="0" w:space="0"/>
                      <w:lang w:val="en-US"/>
                    </w:rPr>
                    <w:t>“</w:t>
                  </w:r>
                  <w:r>
                    <w:rPr>
                      <w:rFonts w:hint="eastAsia" w:ascii="Times New Roman" w:hAnsi="Times New Roman" w:eastAsia="宋体" w:cs="宋体"/>
                      <w:color w:val="000000"/>
                      <w:szCs w:val="21"/>
                      <w:bdr w:val="none" w:color="auto" w:sz="0" w:space="0"/>
                    </w:rPr>
                    <w:t>布袋</w:t>
                  </w:r>
                  <w:r>
                    <w:rPr>
                      <w:rFonts w:hint="default" w:ascii="Times New Roman" w:hAnsi="Times New Roman" w:cs="Times New Roman"/>
                      <w:color w:val="000000"/>
                      <w:szCs w:val="21"/>
                      <w:bdr w:val="none" w:color="auto" w:sz="0" w:space="0"/>
                      <w:lang w:val="en-US"/>
                    </w:rPr>
                    <w:t>+UV</w:t>
                  </w:r>
                  <w:r>
                    <w:rPr>
                      <w:rFonts w:hint="eastAsia" w:ascii="Times New Roman" w:hAnsi="Times New Roman" w:eastAsia="宋体" w:cs="宋体"/>
                      <w:color w:val="000000"/>
                      <w:szCs w:val="21"/>
                      <w:bdr w:val="none" w:color="auto" w:sz="0" w:space="0"/>
                    </w:rPr>
                    <w:t>光解</w:t>
                  </w:r>
                  <w:r>
                    <w:rPr>
                      <w:rFonts w:hint="default" w:ascii="Times New Roman" w:hAnsi="Times New Roman" w:cs="Times New Roman"/>
                      <w:color w:val="000000"/>
                      <w:szCs w:val="21"/>
                      <w:bdr w:val="none" w:color="auto" w:sz="0" w:space="0"/>
                      <w:lang w:val="en-US"/>
                    </w:rPr>
                    <w:t>+</w:t>
                  </w:r>
                  <w:r>
                    <w:rPr>
                      <w:rFonts w:hint="eastAsia" w:ascii="Times New Roman" w:hAnsi="Times New Roman" w:eastAsia="宋体" w:cs="宋体"/>
                      <w:color w:val="000000"/>
                      <w:szCs w:val="21"/>
                      <w:bdr w:val="none" w:color="auto" w:sz="0" w:space="0"/>
                    </w:rPr>
                    <w:t>二级活性炭吸附</w:t>
                  </w:r>
                  <w:r>
                    <w:rPr>
                      <w:rFonts w:hint="default" w:ascii="Times New Roman" w:hAnsi="Times New Roman" w:cs="Times New Roman"/>
                      <w:color w:val="000000"/>
                      <w:szCs w:val="21"/>
                      <w:bdr w:val="none" w:color="auto" w:sz="0" w:space="0"/>
                      <w:lang w:val="en-US"/>
                    </w:rPr>
                    <w:t>”</w:t>
                  </w:r>
                  <w:r>
                    <w:rPr>
                      <w:rFonts w:hint="eastAsia" w:ascii="Times New Roman" w:hAnsi="Times New Roman" w:eastAsia="宋体" w:cs="宋体"/>
                      <w:color w:val="000000"/>
                      <w:szCs w:val="21"/>
                      <w:bdr w:val="none" w:color="auto" w:sz="0" w:space="0"/>
                    </w:rPr>
                    <w:t>废气处理装置与生产设备同步运行；处理装置发生故障或检修时，对应的生产设备停运，待检修完毕后同步投入使用。</w:t>
                  </w:r>
                </w:p>
              </w:tc>
              <w:tc>
                <w:tcPr>
                  <w:tcW w:w="426" w:type="pct"/>
                  <w:tcBorders>
                    <w:top w:val="single" w:color="auto" w:sz="4" w:space="0"/>
                    <w:left w:val="single" w:color="auto" w:sz="4" w:space="0"/>
                    <w:bottom w:val="single" w:color="auto" w:sz="4" w:space="0"/>
                    <w:right w:val="nil"/>
                  </w:tcBorders>
                  <w:shd w:val="clear"/>
                  <w:vAlign w:val="center"/>
                </w:tcPr>
                <w:p w14:paraId="76BFE91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符合</w:t>
                  </w:r>
                </w:p>
              </w:tc>
            </w:tr>
            <w:tr w14:paraId="04B357F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tcBorders>
                    <w:top w:val="single" w:color="auto" w:sz="4" w:space="0"/>
                    <w:left w:val="nil"/>
                    <w:bottom w:val="single" w:color="auto" w:sz="4" w:space="0"/>
                    <w:right w:val="single" w:color="auto" w:sz="4" w:space="0"/>
                  </w:tcBorders>
                  <w:shd w:val="clear"/>
                  <w:vAlign w:val="center"/>
                </w:tcPr>
                <w:p w14:paraId="0E84DD3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7</w:t>
                  </w:r>
                </w:p>
              </w:tc>
              <w:tc>
                <w:tcPr>
                  <w:tcW w:w="2584" w:type="pct"/>
                  <w:tcBorders>
                    <w:top w:val="single" w:color="auto" w:sz="4" w:space="0"/>
                    <w:left w:val="single" w:color="auto" w:sz="4" w:space="0"/>
                    <w:bottom w:val="single" w:color="auto" w:sz="4" w:space="0"/>
                    <w:right w:val="single" w:color="auto" w:sz="4" w:space="0"/>
                  </w:tcBorders>
                  <w:shd w:val="clear"/>
                  <w:vAlign w:val="center"/>
                </w:tcPr>
                <w:p w14:paraId="55CC68EE">
                  <w:pPr>
                    <w:pStyle w:val="69"/>
                    <w:widowControl/>
                    <w:adjustRightInd/>
                    <w:snapToGrid/>
                    <w:spacing w:line="300" w:lineRule="exact"/>
                    <w:jc w:val="both"/>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szCs w:val="21"/>
                      <w:bdr w:val="none" w:color="auto" w:sz="0" w:space="0"/>
                    </w:rPr>
                    <w:t>企业应考虑生产工艺、操作方式、废气性质、处理方法等因素，对</w:t>
                  </w:r>
                  <w:r>
                    <w:rPr>
                      <w:rFonts w:hint="default" w:ascii="Times New Roman" w:hAnsi="Times New Roman" w:cs="Times New Roman"/>
                      <w:color w:val="000000"/>
                      <w:szCs w:val="21"/>
                      <w:bdr w:val="none" w:color="auto" w:sz="0" w:space="0"/>
                      <w:lang w:val="en-US"/>
                    </w:rPr>
                    <w:t>VOCs</w:t>
                  </w:r>
                  <w:r>
                    <w:rPr>
                      <w:rFonts w:hint="eastAsia" w:ascii="Times New Roman" w:hAnsi="Calibri" w:eastAsia="宋体" w:cs="宋体"/>
                      <w:color w:val="000000"/>
                      <w:szCs w:val="21"/>
                      <w:bdr w:val="none" w:color="auto" w:sz="0" w:space="0"/>
                    </w:rPr>
                    <w:t>废气进行分类收集</w:t>
                  </w:r>
                </w:p>
              </w:tc>
              <w:tc>
                <w:tcPr>
                  <w:tcW w:w="1585" w:type="pct"/>
                  <w:tcBorders>
                    <w:top w:val="single" w:color="auto" w:sz="4" w:space="0"/>
                    <w:left w:val="single" w:color="auto" w:sz="4" w:space="0"/>
                    <w:bottom w:val="single" w:color="auto" w:sz="4" w:space="0"/>
                    <w:right w:val="single" w:color="auto" w:sz="4" w:space="0"/>
                  </w:tcBorders>
                  <w:shd w:val="clear"/>
                  <w:vAlign w:val="center"/>
                </w:tcPr>
                <w:p w14:paraId="2E3A2F12">
                  <w:pPr>
                    <w:pStyle w:val="69"/>
                    <w:widowControl/>
                    <w:adjustRightInd/>
                    <w:snapToGrid/>
                    <w:spacing w:line="300" w:lineRule="exact"/>
                    <w:jc w:val="both"/>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szCs w:val="21"/>
                      <w:bdr w:val="none" w:color="auto" w:sz="0" w:space="0"/>
                    </w:rPr>
                    <w:t>扩建项目使用胶水时采用机械抽风收集废气，处理后排放。</w:t>
                  </w:r>
                </w:p>
              </w:tc>
              <w:tc>
                <w:tcPr>
                  <w:tcW w:w="426" w:type="pct"/>
                  <w:tcBorders>
                    <w:top w:val="single" w:color="auto" w:sz="4" w:space="0"/>
                    <w:left w:val="single" w:color="auto" w:sz="4" w:space="0"/>
                    <w:bottom w:val="single" w:color="auto" w:sz="4" w:space="0"/>
                    <w:right w:val="nil"/>
                  </w:tcBorders>
                  <w:shd w:val="clear"/>
                  <w:vAlign w:val="center"/>
                </w:tcPr>
                <w:p w14:paraId="0AC52BB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符合</w:t>
                  </w:r>
                </w:p>
              </w:tc>
            </w:tr>
            <w:tr w14:paraId="05FB885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tcBorders>
                    <w:top w:val="single" w:color="auto" w:sz="4" w:space="0"/>
                    <w:left w:val="nil"/>
                    <w:bottom w:val="single" w:color="auto" w:sz="4" w:space="0"/>
                    <w:right w:val="single" w:color="auto" w:sz="4" w:space="0"/>
                  </w:tcBorders>
                  <w:shd w:val="clear"/>
                  <w:vAlign w:val="center"/>
                </w:tcPr>
                <w:p w14:paraId="1C7A90B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8</w:t>
                  </w:r>
                </w:p>
              </w:tc>
              <w:tc>
                <w:tcPr>
                  <w:tcW w:w="2584" w:type="pct"/>
                  <w:tcBorders>
                    <w:top w:val="single" w:color="auto" w:sz="4" w:space="0"/>
                    <w:left w:val="single" w:color="auto" w:sz="4" w:space="0"/>
                    <w:bottom w:val="single" w:color="auto" w:sz="4" w:space="0"/>
                    <w:right w:val="single" w:color="auto" w:sz="4" w:space="0"/>
                  </w:tcBorders>
                  <w:shd w:val="clear"/>
                  <w:vAlign w:val="center"/>
                </w:tcPr>
                <w:p w14:paraId="0BF17D10">
                  <w:pPr>
                    <w:pStyle w:val="69"/>
                    <w:widowControl/>
                    <w:adjustRightInd/>
                    <w:snapToGrid/>
                    <w:spacing w:line="300" w:lineRule="exact"/>
                    <w:jc w:val="both"/>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szCs w:val="21"/>
                      <w:bdr w:val="none" w:color="auto" w:sz="0" w:space="0"/>
                    </w:rPr>
                    <w:t>废气收集系统排风罩（集气罩）的设置应符合</w:t>
                  </w:r>
                  <w:r>
                    <w:rPr>
                      <w:rFonts w:hint="default" w:ascii="Times New Roman" w:hAnsi="Times New Roman" w:cs="Times New Roman"/>
                      <w:color w:val="000000"/>
                      <w:szCs w:val="21"/>
                      <w:bdr w:val="none" w:color="auto" w:sz="0" w:space="0"/>
                      <w:lang w:val="en-US"/>
                    </w:rPr>
                    <w:t>GB/T16758</w:t>
                  </w:r>
                  <w:r>
                    <w:rPr>
                      <w:rFonts w:hint="eastAsia" w:ascii="Times New Roman" w:hAnsi="Calibri" w:eastAsia="宋体" w:cs="宋体"/>
                      <w:color w:val="000000"/>
                      <w:szCs w:val="21"/>
                      <w:bdr w:val="none" w:color="auto" w:sz="0" w:space="0"/>
                    </w:rPr>
                    <w:t>的规定。采用外部排风罩的，应按</w:t>
                  </w:r>
                  <w:r>
                    <w:rPr>
                      <w:rFonts w:hint="default" w:ascii="Times New Roman" w:hAnsi="Times New Roman" w:cs="Times New Roman"/>
                      <w:color w:val="000000"/>
                      <w:szCs w:val="21"/>
                      <w:bdr w:val="none" w:color="auto" w:sz="0" w:space="0"/>
                      <w:lang w:val="en-US"/>
                    </w:rPr>
                    <w:t>GB/T16758</w:t>
                  </w:r>
                  <w:r>
                    <w:rPr>
                      <w:rFonts w:hint="eastAsia" w:ascii="Times New Roman" w:hAnsi="Calibri" w:eastAsia="宋体" w:cs="宋体"/>
                      <w:color w:val="000000"/>
                      <w:szCs w:val="21"/>
                      <w:bdr w:val="none" w:color="auto" w:sz="0" w:space="0"/>
                    </w:rPr>
                    <w:t>、</w:t>
                  </w:r>
                  <w:r>
                    <w:rPr>
                      <w:rFonts w:hint="default" w:ascii="Times New Roman" w:hAnsi="Times New Roman" w:cs="Times New Roman"/>
                      <w:color w:val="000000"/>
                      <w:szCs w:val="21"/>
                      <w:bdr w:val="none" w:color="auto" w:sz="0" w:space="0"/>
                      <w:lang w:val="en-US"/>
                    </w:rPr>
                    <w:t>AQ/T4274-2016</w:t>
                  </w:r>
                  <w:r>
                    <w:rPr>
                      <w:rFonts w:hint="eastAsia" w:ascii="Times New Roman" w:hAnsi="Calibri" w:eastAsia="宋体" w:cs="宋体"/>
                      <w:color w:val="000000"/>
                      <w:szCs w:val="21"/>
                      <w:bdr w:val="none" w:color="auto" w:sz="0" w:space="0"/>
                    </w:rPr>
                    <w:t>规定的方法测量控制风速，测量点应选取在距排风罩开口面最远处的</w:t>
                  </w:r>
                  <w:r>
                    <w:rPr>
                      <w:rFonts w:hint="default" w:ascii="Times New Roman" w:hAnsi="Times New Roman" w:cs="Times New Roman"/>
                      <w:color w:val="000000"/>
                      <w:szCs w:val="21"/>
                      <w:bdr w:val="none" w:color="auto" w:sz="0" w:space="0"/>
                      <w:lang w:val="en-US"/>
                    </w:rPr>
                    <w:t>VOCs</w:t>
                  </w:r>
                  <w:r>
                    <w:rPr>
                      <w:rFonts w:hint="eastAsia" w:ascii="Times New Roman" w:hAnsi="Calibri" w:eastAsia="宋体" w:cs="宋体"/>
                      <w:color w:val="000000"/>
                      <w:szCs w:val="21"/>
                      <w:bdr w:val="none" w:color="auto" w:sz="0" w:space="0"/>
                    </w:rPr>
                    <w:t>无组织排放位置，控制风速不应低于</w:t>
                  </w:r>
                  <w:r>
                    <w:rPr>
                      <w:rFonts w:hint="default" w:ascii="Times New Roman" w:hAnsi="Times New Roman" w:cs="Times New Roman"/>
                      <w:color w:val="000000"/>
                      <w:szCs w:val="21"/>
                      <w:bdr w:val="none" w:color="auto" w:sz="0" w:space="0"/>
                      <w:lang w:val="en-US"/>
                    </w:rPr>
                    <w:t>0.3m/s</w:t>
                  </w:r>
                </w:p>
              </w:tc>
              <w:tc>
                <w:tcPr>
                  <w:tcW w:w="1585" w:type="pct"/>
                  <w:tcBorders>
                    <w:top w:val="single" w:color="auto" w:sz="4" w:space="0"/>
                    <w:left w:val="single" w:color="auto" w:sz="4" w:space="0"/>
                    <w:bottom w:val="single" w:color="auto" w:sz="4" w:space="0"/>
                    <w:right w:val="single" w:color="auto" w:sz="4" w:space="0"/>
                  </w:tcBorders>
                  <w:shd w:val="clear"/>
                  <w:vAlign w:val="center"/>
                </w:tcPr>
                <w:p w14:paraId="1AF27C97">
                  <w:pPr>
                    <w:pStyle w:val="69"/>
                    <w:widowControl/>
                    <w:adjustRightInd/>
                    <w:snapToGrid/>
                    <w:spacing w:line="300" w:lineRule="exact"/>
                    <w:jc w:val="both"/>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szCs w:val="21"/>
                      <w:bdr w:val="none" w:color="auto" w:sz="0" w:space="0"/>
                    </w:rPr>
                    <w:t>扩建项目采用集气罩收集生产过程产生的有机废气。</w:t>
                  </w:r>
                </w:p>
              </w:tc>
              <w:tc>
                <w:tcPr>
                  <w:tcW w:w="426" w:type="pct"/>
                  <w:tcBorders>
                    <w:top w:val="single" w:color="auto" w:sz="4" w:space="0"/>
                    <w:left w:val="single" w:color="auto" w:sz="4" w:space="0"/>
                    <w:bottom w:val="single" w:color="auto" w:sz="4" w:space="0"/>
                    <w:right w:val="nil"/>
                  </w:tcBorders>
                  <w:shd w:val="clear"/>
                  <w:vAlign w:val="center"/>
                </w:tcPr>
                <w:p w14:paraId="1801E6A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符合</w:t>
                  </w:r>
                </w:p>
              </w:tc>
            </w:tr>
            <w:tr w14:paraId="01B2AF5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tcBorders>
                    <w:top w:val="single" w:color="auto" w:sz="4" w:space="0"/>
                    <w:left w:val="nil"/>
                    <w:bottom w:val="single" w:color="auto" w:sz="4" w:space="0"/>
                    <w:right w:val="single" w:color="auto" w:sz="4" w:space="0"/>
                  </w:tcBorders>
                  <w:shd w:val="clear"/>
                  <w:vAlign w:val="center"/>
                </w:tcPr>
                <w:p w14:paraId="4BA4322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9</w:t>
                  </w:r>
                </w:p>
              </w:tc>
              <w:tc>
                <w:tcPr>
                  <w:tcW w:w="2584" w:type="pct"/>
                  <w:tcBorders>
                    <w:top w:val="single" w:color="auto" w:sz="4" w:space="0"/>
                    <w:left w:val="single" w:color="auto" w:sz="4" w:space="0"/>
                    <w:bottom w:val="single" w:color="auto" w:sz="4" w:space="0"/>
                    <w:right w:val="single" w:color="auto" w:sz="4" w:space="0"/>
                  </w:tcBorders>
                  <w:shd w:val="clear"/>
                  <w:vAlign w:val="center"/>
                </w:tcPr>
                <w:p w14:paraId="6AFF39D6">
                  <w:pPr>
                    <w:pStyle w:val="69"/>
                    <w:widowControl/>
                    <w:adjustRightInd/>
                    <w:snapToGrid/>
                    <w:spacing w:line="300" w:lineRule="exact"/>
                    <w:jc w:val="both"/>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szCs w:val="21"/>
                      <w:bdr w:val="none" w:color="auto" w:sz="0" w:space="0"/>
                    </w:rPr>
                    <w:t>废气收集系统的输送管道应密闭。废气收集系统应在负压下运行，若处于正压状态，应对输送管道组件的密封点进行泄漏检测，泄漏检测值不应超过</w:t>
                  </w:r>
                  <w:r>
                    <w:rPr>
                      <w:rFonts w:hint="default" w:ascii="Times New Roman" w:hAnsi="Times New Roman" w:cs="Times New Roman"/>
                      <w:color w:val="000000"/>
                      <w:szCs w:val="21"/>
                      <w:bdr w:val="none" w:color="auto" w:sz="0" w:space="0"/>
                      <w:lang w:val="en-US"/>
                    </w:rPr>
                    <w:t>500μmol/mol</w:t>
                  </w:r>
                  <w:r>
                    <w:rPr>
                      <w:rFonts w:hint="eastAsia" w:ascii="Times New Roman" w:hAnsi="Calibri" w:eastAsia="宋体" w:cs="宋体"/>
                      <w:color w:val="000000"/>
                      <w:szCs w:val="21"/>
                      <w:bdr w:val="none" w:color="auto" w:sz="0" w:space="0"/>
                    </w:rPr>
                    <w:t>，亦不应有感官可察觉泄漏</w:t>
                  </w:r>
                </w:p>
              </w:tc>
              <w:tc>
                <w:tcPr>
                  <w:tcW w:w="1585" w:type="pct"/>
                  <w:tcBorders>
                    <w:top w:val="single" w:color="auto" w:sz="4" w:space="0"/>
                    <w:left w:val="single" w:color="auto" w:sz="4" w:space="0"/>
                    <w:bottom w:val="single" w:color="auto" w:sz="4" w:space="0"/>
                    <w:right w:val="single" w:color="auto" w:sz="4" w:space="0"/>
                  </w:tcBorders>
                  <w:shd w:val="clear"/>
                  <w:vAlign w:val="center"/>
                </w:tcPr>
                <w:p w14:paraId="7FD2D494">
                  <w:pPr>
                    <w:pStyle w:val="69"/>
                    <w:widowControl/>
                    <w:adjustRightInd/>
                    <w:snapToGrid/>
                    <w:spacing w:line="300" w:lineRule="exact"/>
                    <w:jc w:val="both"/>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szCs w:val="21"/>
                      <w:bdr w:val="none" w:color="auto" w:sz="0" w:space="0"/>
                    </w:rPr>
                    <w:t>扩建项目废气收集管道均全密闭。</w:t>
                  </w:r>
                </w:p>
              </w:tc>
              <w:tc>
                <w:tcPr>
                  <w:tcW w:w="426" w:type="pct"/>
                  <w:tcBorders>
                    <w:top w:val="single" w:color="auto" w:sz="4" w:space="0"/>
                    <w:left w:val="single" w:color="auto" w:sz="4" w:space="0"/>
                    <w:bottom w:val="single" w:color="auto" w:sz="4" w:space="0"/>
                    <w:right w:val="nil"/>
                  </w:tcBorders>
                  <w:shd w:val="clear"/>
                  <w:vAlign w:val="center"/>
                </w:tcPr>
                <w:p w14:paraId="0D3DF35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符合</w:t>
                  </w:r>
                </w:p>
              </w:tc>
            </w:tr>
            <w:tr w14:paraId="030FF48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tcBorders>
                    <w:top w:val="single" w:color="auto" w:sz="4" w:space="0"/>
                    <w:left w:val="nil"/>
                    <w:bottom w:val="single" w:color="auto" w:sz="4" w:space="0"/>
                    <w:right w:val="single" w:color="auto" w:sz="4" w:space="0"/>
                  </w:tcBorders>
                  <w:shd w:val="clear"/>
                  <w:vAlign w:val="center"/>
                </w:tcPr>
                <w:p w14:paraId="3EBEF2A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10</w:t>
                  </w:r>
                </w:p>
              </w:tc>
              <w:tc>
                <w:tcPr>
                  <w:tcW w:w="2584" w:type="pct"/>
                  <w:tcBorders>
                    <w:top w:val="single" w:color="auto" w:sz="4" w:space="0"/>
                    <w:left w:val="single" w:color="auto" w:sz="4" w:space="0"/>
                    <w:bottom w:val="single" w:color="auto" w:sz="4" w:space="0"/>
                    <w:right w:val="single" w:color="auto" w:sz="4" w:space="0"/>
                  </w:tcBorders>
                  <w:shd w:val="clear"/>
                  <w:vAlign w:val="center"/>
                </w:tcPr>
                <w:p w14:paraId="32A9A16C">
                  <w:pPr>
                    <w:pStyle w:val="69"/>
                    <w:widowControl/>
                    <w:adjustRightInd/>
                    <w:snapToGrid/>
                    <w:spacing w:line="300" w:lineRule="exact"/>
                    <w:jc w:val="both"/>
                    <w:rPr>
                      <w:rFonts w:hint="default" w:ascii="Times New Roman" w:hAnsi="Times New Roman" w:cs="Times New Roman"/>
                      <w:color w:val="000000"/>
                      <w:szCs w:val="21"/>
                      <w:bdr w:val="none" w:color="auto" w:sz="0" w:space="0"/>
                      <w:lang w:val="en-US"/>
                    </w:rPr>
                  </w:pPr>
                  <w:r>
                    <w:rPr>
                      <w:rFonts w:hint="default" w:ascii="Times New Roman" w:hAnsi="Times New Roman" w:cs="Times New Roman"/>
                      <w:color w:val="000000"/>
                      <w:szCs w:val="21"/>
                      <w:bdr w:val="none" w:color="auto" w:sz="0" w:space="0"/>
                      <w:lang w:val="en-US"/>
                    </w:rPr>
                    <w:t>VOCs</w:t>
                  </w:r>
                  <w:r>
                    <w:rPr>
                      <w:rFonts w:hint="eastAsia" w:ascii="Times New Roman" w:hAnsi="Calibri" w:eastAsia="宋体" w:cs="宋体"/>
                      <w:color w:val="000000"/>
                      <w:szCs w:val="21"/>
                      <w:bdr w:val="none" w:color="auto" w:sz="0" w:space="0"/>
                    </w:rPr>
                    <w:t>废气收集处理系统污染物排放应符</w:t>
                  </w:r>
                  <w:r>
                    <w:rPr>
                      <w:rFonts w:hint="default" w:ascii="Times New Roman" w:hAnsi="Times New Roman" w:cs="Times New Roman"/>
                      <w:color w:val="000000"/>
                      <w:szCs w:val="21"/>
                      <w:bdr w:val="none" w:color="auto" w:sz="0" w:space="0"/>
                      <w:lang w:val="en-US"/>
                    </w:rPr>
                    <w:t>GB16297</w:t>
                  </w:r>
                  <w:r>
                    <w:rPr>
                      <w:rFonts w:hint="eastAsia" w:ascii="Times New Roman" w:hAnsi="Calibri" w:eastAsia="宋体" w:cs="宋体"/>
                      <w:color w:val="000000"/>
                      <w:szCs w:val="21"/>
                      <w:bdr w:val="none" w:color="auto" w:sz="0" w:space="0"/>
                    </w:rPr>
                    <w:t>或相关行业排放标准的规定</w:t>
                  </w:r>
                </w:p>
              </w:tc>
              <w:tc>
                <w:tcPr>
                  <w:tcW w:w="1585" w:type="pct"/>
                  <w:tcBorders>
                    <w:top w:val="single" w:color="auto" w:sz="4" w:space="0"/>
                    <w:left w:val="single" w:color="auto" w:sz="4" w:space="0"/>
                    <w:bottom w:val="single" w:color="auto" w:sz="4" w:space="0"/>
                    <w:right w:val="single" w:color="auto" w:sz="4" w:space="0"/>
                  </w:tcBorders>
                  <w:shd w:val="clear"/>
                  <w:vAlign w:val="center"/>
                </w:tcPr>
                <w:p w14:paraId="557189BD">
                  <w:pPr>
                    <w:pStyle w:val="69"/>
                    <w:widowControl/>
                    <w:adjustRightInd/>
                    <w:snapToGrid/>
                    <w:spacing w:line="300" w:lineRule="exact"/>
                    <w:jc w:val="both"/>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szCs w:val="21"/>
                      <w:bdr w:val="none" w:color="auto" w:sz="0" w:space="0"/>
                    </w:rPr>
                    <w:t>扩建项目废气执行相关行业标准。</w:t>
                  </w:r>
                </w:p>
              </w:tc>
              <w:tc>
                <w:tcPr>
                  <w:tcW w:w="426" w:type="pct"/>
                  <w:tcBorders>
                    <w:top w:val="single" w:color="auto" w:sz="4" w:space="0"/>
                    <w:left w:val="single" w:color="auto" w:sz="4" w:space="0"/>
                    <w:bottom w:val="single" w:color="auto" w:sz="4" w:space="0"/>
                    <w:right w:val="nil"/>
                  </w:tcBorders>
                  <w:shd w:val="clear"/>
                  <w:vAlign w:val="center"/>
                </w:tcPr>
                <w:p w14:paraId="3E73B29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符合</w:t>
                  </w:r>
                </w:p>
              </w:tc>
            </w:tr>
            <w:tr w14:paraId="27CD777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tcBorders>
                    <w:top w:val="single" w:color="auto" w:sz="4" w:space="0"/>
                    <w:left w:val="nil"/>
                    <w:bottom w:val="single" w:color="auto" w:sz="4" w:space="0"/>
                    <w:right w:val="single" w:color="auto" w:sz="4" w:space="0"/>
                  </w:tcBorders>
                  <w:shd w:val="clear"/>
                  <w:vAlign w:val="center"/>
                </w:tcPr>
                <w:p w14:paraId="6545D01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11</w:t>
                  </w:r>
                </w:p>
              </w:tc>
              <w:tc>
                <w:tcPr>
                  <w:tcW w:w="2584" w:type="pct"/>
                  <w:tcBorders>
                    <w:top w:val="single" w:color="auto" w:sz="4" w:space="0"/>
                    <w:left w:val="single" w:color="auto" w:sz="4" w:space="0"/>
                    <w:bottom w:val="single" w:color="auto" w:sz="4" w:space="0"/>
                    <w:right w:val="single" w:color="auto" w:sz="4" w:space="0"/>
                  </w:tcBorders>
                  <w:shd w:val="clear"/>
                  <w:vAlign w:val="center"/>
                </w:tcPr>
                <w:p w14:paraId="29F72ADC">
                  <w:pPr>
                    <w:pStyle w:val="69"/>
                    <w:widowControl/>
                    <w:adjustRightInd/>
                    <w:snapToGrid/>
                    <w:spacing w:line="300" w:lineRule="exact"/>
                    <w:jc w:val="both"/>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szCs w:val="21"/>
                      <w:bdr w:val="none" w:color="auto" w:sz="0" w:space="0"/>
                    </w:rPr>
                    <w:t>收集的废气中</w:t>
                  </w:r>
                  <w:r>
                    <w:rPr>
                      <w:rFonts w:hint="default" w:ascii="Times New Roman" w:hAnsi="Times New Roman" w:cs="Times New Roman"/>
                      <w:color w:val="000000"/>
                      <w:szCs w:val="21"/>
                      <w:bdr w:val="none" w:color="auto" w:sz="0" w:space="0"/>
                      <w:lang w:val="en-US"/>
                    </w:rPr>
                    <w:t>NMHC</w:t>
                  </w:r>
                  <w:r>
                    <w:rPr>
                      <w:rFonts w:hint="eastAsia" w:ascii="Times New Roman" w:hAnsi="Calibri" w:eastAsia="宋体" w:cs="宋体"/>
                      <w:color w:val="000000"/>
                      <w:szCs w:val="21"/>
                      <w:bdr w:val="none" w:color="auto" w:sz="0" w:space="0"/>
                    </w:rPr>
                    <w:t>初始排放速率</w:t>
                  </w:r>
                  <w:r>
                    <w:rPr>
                      <w:rFonts w:hint="default" w:ascii="Times New Roman" w:hAnsi="Times New Roman" w:cs="Times New Roman"/>
                      <w:color w:val="000000"/>
                      <w:szCs w:val="21"/>
                      <w:bdr w:val="none" w:color="auto" w:sz="0" w:space="0"/>
                      <w:lang w:val="en-US"/>
                    </w:rPr>
                    <w:t>≥3.0kg/h</w:t>
                  </w:r>
                  <w:r>
                    <w:rPr>
                      <w:rFonts w:hint="eastAsia" w:ascii="Times New Roman" w:hAnsi="Calibri" w:eastAsia="宋体" w:cs="宋体"/>
                      <w:color w:val="000000"/>
                      <w:szCs w:val="21"/>
                      <w:bdr w:val="none" w:color="auto" w:sz="0" w:space="0"/>
                    </w:rPr>
                    <w:t>时，应配置</w:t>
                  </w:r>
                  <w:r>
                    <w:rPr>
                      <w:rFonts w:hint="default" w:ascii="Times New Roman" w:hAnsi="Times New Roman" w:cs="Times New Roman"/>
                      <w:color w:val="000000"/>
                      <w:szCs w:val="21"/>
                      <w:bdr w:val="none" w:color="auto" w:sz="0" w:space="0"/>
                      <w:lang w:val="en-US"/>
                    </w:rPr>
                    <w:t>VOCs</w:t>
                  </w:r>
                  <w:r>
                    <w:rPr>
                      <w:rFonts w:hint="eastAsia" w:ascii="Times New Roman" w:hAnsi="Calibri" w:eastAsia="宋体" w:cs="宋体"/>
                      <w:color w:val="000000"/>
                      <w:szCs w:val="21"/>
                      <w:bdr w:val="none" w:color="auto" w:sz="0" w:space="0"/>
                    </w:rPr>
                    <w:t>处理设施，处理效率不应低于</w:t>
                  </w:r>
                  <w:r>
                    <w:rPr>
                      <w:rFonts w:hint="default" w:ascii="Times New Roman" w:hAnsi="Times New Roman" w:cs="Times New Roman"/>
                      <w:color w:val="000000"/>
                      <w:szCs w:val="21"/>
                      <w:bdr w:val="none" w:color="auto" w:sz="0" w:space="0"/>
                      <w:lang w:val="en-US"/>
                    </w:rPr>
                    <w:t>80%</w:t>
                  </w:r>
                  <w:r>
                    <w:rPr>
                      <w:rFonts w:hint="eastAsia" w:ascii="Times New Roman" w:hAnsi="Calibri" w:eastAsia="宋体" w:cs="宋体"/>
                      <w:color w:val="000000"/>
                      <w:szCs w:val="21"/>
                      <w:bdr w:val="none" w:color="auto" w:sz="0" w:space="0"/>
                    </w:rPr>
                    <w:t>；对于重点地区，收集的废气中</w:t>
                  </w:r>
                  <w:r>
                    <w:rPr>
                      <w:rFonts w:hint="default" w:ascii="Times New Roman" w:hAnsi="Times New Roman" w:cs="Times New Roman"/>
                      <w:color w:val="000000"/>
                      <w:szCs w:val="21"/>
                      <w:bdr w:val="none" w:color="auto" w:sz="0" w:space="0"/>
                      <w:lang w:val="en-US"/>
                    </w:rPr>
                    <w:t>NMHC</w:t>
                  </w:r>
                  <w:r>
                    <w:rPr>
                      <w:rFonts w:hint="eastAsia" w:ascii="Times New Roman" w:hAnsi="Calibri" w:eastAsia="宋体" w:cs="宋体"/>
                      <w:color w:val="000000"/>
                      <w:szCs w:val="21"/>
                      <w:bdr w:val="none" w:color="auto" w:sz="0" w:space="0"/>
                    </w:rPr>
                    <w:t>初始排放速率</w:t>
                  </w:r>
                  <w:r>
                    <w:rPr>
                      <w:rFonts w:hint="default" w:ascii="Times New Roman" w:hAnsi="Times New Roman" w:cs="Times New Roman"/>
                      <w:color w:val="000000"/>
                      <w:szCs w:val="21"/>
                      <w:bdr w:val="none" w:color="auto" w:sz="0" w:space="0"/>
                      <w:lang w:val="en-US"/>
                    </w:rPr>
                    <w:t>≥2.0kg/h</w:t>
                  </w:r>
                  <w:r>
                    <w:rPr>
                      <w:rFonts w:hint="eastAsia" w:ascii="Times New Roman" w:hAnsi="Calibri" w:eastAsia="宋体" w:cs="宋体"/>
                      <w:color w:val="000000"/>
                      <w:szCs w:val="21"/>
                      <w:bdr w:val="none" w:color="auto" w:sz="0" w:space="0"/>
                    </w:rPr>
                    <w:t>时，应配置</w:t>
                  </w:r>
                  <w:r>
                    <w:rPr>
                      <w:rFonts w:hint="default" w:ascii="Times New Roman" w:hAnsi="Times New Roman" w:cs="Times New Roman"/>
                      <w:color w:val="000000"/>
                      <w:szCs w:val="21"/>
                      <w:bdr w:val="none" w:color="auto" w:sz="0" w:space="0"/>
                      <w:lang w:val="en-US"/>
                    </w:rPr>
                    <w:t>VOCs</w:t>
                  </w:r>
                  <w:r>
                    <w:rPr>
                      <w:rFonts w:hint="eastAsia" w:ascii="Times New Roman" w:hAnsi="Calibri" w:eastAsia="宋体" w:cs="宋体"/>
                      <w:color w:val="000000"/>
                      <w:szCs w:val="21"/>
                      <w:bdr w:val="none" w:color="auto" w:sz="0" w:space="0"/>
                    </w:rPr>
                    <w:t>处理设施，处理效率不应低于</w:t>
                  </w:r>
                  <w:r>
                    <w:rPr>
                      <w:rFonts w:hint="default" w:ascii="Times New Roman" w:hAnsi="Times New Roman" w:cs="Times New Roman"/>
                      <w:color w:val="000000"/>
                      <w:szCs w:val="21"/>
                      <w:bdr w:val="none" w:color="auto" w:sz="0" w:space="0"/>
                      <w:lang w:val="en-US"/>
                    </w:rPr>
                    <w:t>80%</w:t>
                  </w:r>
                  <w:r>
                    <w:rPr>
                      <w:rFonts w:hint="eastAsia" w:ascii="Times New Roman" w:hAnsi="Calibri" w:eastAsia="宋体" w:cs="宋体"/>
                      <w:color w:val="000000"/>
                      <w:szCs w:val="21"/>
                      <w:bdr w:val="none" w:color="auto" w:sz="0" w:space="0"/>
                    </w:rPr>
                    <w:t>；采用的原辅材料符合国家有关低</w:t>
                  </w:r>
                  <w:r>
                    <w:rPr>
                      <w:rFonts w:hint="default" w:ascii="Times New Roman" w:hAnsi="Times New Roman" w:cs="Times New Roman"/>
                      <w:color w:val="000000"/>
                      <w:szCs w:val="21"/>
                      <w:bdr w:val="none" w:color="auto" w:sz="0" w:space="0"/>
                      <w:lang w:val="en-US"/>
                    </w:rPr>
                    <w:t>VOCs</w:t>
                  </w:r>
                  <w:r>
                    <w:rPr>
                      <w:rFonts w:hint="eastAsia" w:ascii="Times New Roman" w:hAnsi="Calibri" w:eastAsia="宋体" w:cs="宋体"/>
                      <w:color w:val="000000"/>
                      <w:szCs w:val="21"/>
                      <w:bdr w:val="none" w:color="auto" w:sz="0" w:space="0"/>
                    </w:rPr>
                    <w:t>含量产品规定的除外</w:t>
                  </w:r>
                </w:p>
              </w:tc>
              <w:tc>
                <w:tcPr>
                  <w:tcW w:w="1585" w:type="pct"/>
                  <w:tcBorders>
                    <w:top w:val="single" w:color="auto" w:sz="4" w:space="0"/>
                    <w:left w:val="single" w:color="auto" w:sz="4" w:space="0"/>
                    <w:bottom w:val="single" w:color="auto" w:sz="4" w:space="0"/>
                    <w:right w:val="single" w:color="auto" w:sz="4" w:space="0"/>
                  </w:tcBorders>
                  <w:shd w:val="clear"/>
                  <w:vAlign w:val="center"/>
                </w:tcPr>
                <w:p w14:paraId="2B2A441A">
                  <w:pPr>
                    <w:pStyle w:val="69"/>
                    <w:widowControl/>
                    <w:adjustRightInd/>
                    <w:snapToGrid/>
                    <w:spacing w:line="300" w:lineRule="exact"/>
                    <w:jc w:val="both"/>
                    <w:rPr>
                      <w:rFonts w:hint="default" w:ascii="Times New Roman" w:hAnsi="Times New Roman" w:cs="Times New Roman"/>
                      <w:color w:val="000000"/>
                      <w:szCs w:val="21"/>
                      <w:highlight w:val="yellow"/>
                      <w:bdr w:val="none" w:color="auto" w:sz="0" w:space="0"/>
                      <w:lang w:val="en-US"/>
                    </w:rPr>
                  </w:pPr>
                  <w:r>
                    <w:rPr>
                      <w:rFonts w:hint="eastAsia" w:ascii="Times New Roman" w:hAnsi="Times New Roman" w:eastAsia="宋体" w:cs="宋体"/>
                      <w:color w:val="000000"/>
                      <w:szCs w:val="21"/>
                      <w:bdr w:val="none" w:color="auto" w:sz="0" w:space="0"/>
                    </w:rPr>
                    <w:t>扩建项目收集的背胶处理剂涂胶废气污染物非甲烷总烃的初始排放速率小于</w:t>
                  </w:r>
                  <w:r>
                    <w:rPr>
                      <w:rFonts w:hint="default" w:ascii="Times New Roman" w:hAnsi="Times New Roman" w:cs="Times New Roman"/>
                      <w:color w:val="000000"/>
                      <w:szCs w:val="21"/>
                      <w:bdr w:val="none" w:color="auto" w:sz="0" w:space="0"/>
                      <w:lang w:val="en-US"/>
                    </w:rPr>
                    <w:t>2kg/h</w:t>
                  </w:r>
                  <w:r>
                    <w:rPr>
                      <w:rFonts w:hint="eastAsia" w:ascii="Times New Roman" w:hAnsi="Times New Roman" w:eastAsia="宋体" w:cs="宋体"/>
                      <w:color w:val="000000"/>
                      <w:szCs w:val="21"/>
                      <w:bdr w:val="none" w:color="auto" w:sz="0" w:space="0"/>
                    </w:rPr>
                    <w:t>，配置了“布袋</w:t>
                  </w:r>
                  <w:r>
                    <w:rPr>
                      <w:rFonts w:hint="default" w:ascii="Times New Roman" w:hAnsi="Times New Roman" w:cs="Times New Roman"/>
                      <w:color w:val="000000"/>
                      <w:szCs w:val="21"/>
                      <w:bdr w:val="none" w:color="auto" w:sz="0" w:space="0"/>
                      <w:lang w:val="en-US"/>
                    </w:rPr>
                    <w:t>+UV</w:t>
                  </w:r>
                  <w:r>
                    <w:rPr>
                      <w:rFonts w:hint="eastAsia" w:ascii="Times New Roman" w:hAnsi="Times New Roman" w:eastAsia="宋体" w:cs="宋体"/>
                      <w:color w:val="000000"/>
                      <w:szCs w:val="21"/>
                      <w:bdr w:val="none" w:color="auto" w:sz="0" w:space="0"/>
                    </w:rPr>
                    <w:t>光解</w:t>
                  </w:r>
                  <w:r>
                    <w:rPr>
                      <w:rFonts w:hint="default" w:ascii="Times New Roman" w:hAnsi="Times New Roman" w:cs="Times New Roman"/>
                      <w:color w:val="000000"/>
                      <w:szCs w:val="21"/>
                      <w:bdr w:val="none" w:color="auto" w:sz="0" w:space="0"/>
                      <w:lang w:val="en-US"/>
                    </w:rPr>
                    <w:t>+</w:t>
                  </w:r>
                  <w:r>
                    <w:rPr>
                      <w:rFonts w:hint="eastAsia" w:ascii="Times New Roman" w:hAnsi="Times New Roman" w:eastAsia="宋体" w:cs="宋体"/>
                      <w:color w:val="000000"/>
                      <w:szCs w:val="21"/>
                      <w:bdr w:val="none" w:color="auto" w:sz="0" w:space="0"/>
                    </w:rPr>
                    <w:t>二级活性炭吸附”废气处理装置。</w:t>
                  </w:r>
                </w:p>
              </w:tc>
              <w:tc>
                <w:tcPr>
                  <w:tcW w:w="426" w:type="pct"/>
                  <w:tcBorders>
                    <w:top w:val="single" w:color="auto" w:sz="4" w:space="0"/>
                    <w:left w:val="single" w:color="auto" w:sz="4" w:space="0"/>
                    <w:bottom w:val="single" w:color="auto" w:sz="4" w:space="0"/>
                    <w:right w:val="nil"/>
                  </w:tcBorders>
                  <w:shd w:val="clear"/>
                  <w:vAlign w:val="center"/>
                </w:tcPr>
                <w:p w14:paraId="5F14968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符合</w:t>
                  </w:r>
                </w:p>
              </w:tc>
            </w:tr>
            <w:tr w14:paraId="12343F1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tcBorders>
                    <w:top w:val="single" w:color="auto" w:sz="4" w:space="0"/>
                    <w:left w:val="nil"/>
                    <w:bottom w:val="single" w:color="auto" w:sz="4" w:space="0"/>
                    <w:right w:val="single" w:color="auto" w:sz="4" w:space="0"/>
                  </w:tcBorders>
                  <w:shd w:val="clear"/>
                  <w:vAlign w:val="center"/>
                </w:tcPr>
                <w:p w14:paraId="7D1E9EA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12</w:t>
                  </w:r>
                </w:p>
              </w:tc>
              <w:tc>
                <w:tcPr>
                  <w:tcW w:w="2584" w:type="pct"/>
                  <w:tcBorders>
                    <w:top w:val="single" w:color="auto" w:sz="4" w:space="0"/>
                    <w:left w:val="single" w:color="auto" w:sz="4" w:space="0"/>
                    <w:bottom w:val="single" w:color="auto" w:sz="4" w:space="0"/>
                    <w:right w:val="single" w:color="auto" w:sz="4" w:space="0"/>
                  </w:tcBorders>
                  <w:shd w:val="clear"/>
                  <w:vAlign w:val="center"/>
                </w:tcPr>
                <w:p w14:paraId="631CA862">
                  <w:pPr>
                    <w:pStyle w:val="69"/>
                    <w:widowControl/>
                    <w:adjustRightInd/>
                    <w:snapToGrid/>
                    <w:spacing w:line="300" w:lineRule="exact"/>
                    <w:jc w:val="both"/>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szCs w:val="21"/>
                      <w:bdr w:val="none" w:color="auto" w:sz="0" w:space="0"/>
                    </w:rPr>
                    <w:t>吸附、吸收、冷凝、生物、膜分离等其他</w:t>
                  </w:r>
                  <w:r>
                    <w:rPr>
                      <w:rFonts w:hint="default" w:ascii="Times New Roman" w:hAnsi="Times New Roman" w:cs="Times New Roman"/>
                      <w:color w:val="000000"/>
                      <w:szCs w:val="21"/>
                      <w:bdr w:val="none" w:color="auto" w:sz="0" w:space="0"/>
                      <w:lang w:val="en-US"/>
                    </w:rPr>
                    <w:t>VOCs</w:t>
                  </w:r>
                  <w:r>
                    <w:rPr>
                      <w:rFonts w:hint="eastAsia" w:ascii="Times New Roman" w:hAnsi="Calibri" w:eastAsia="宋体" w:cs="宋体"/>
                      <w:color w:val="000000"/>
                      <w:szCs w:val="21"/>
                      <w:bdr w:val="none" w:color="auto" w:sz="0" w:space="0"/>
                    </w:rPr>
                    <w:t>处理设施，以实测质量浓度作为达标判定依据，不得稀释排放</w:t>
                  </w:r>
                </w:p>
              </w:tc>
              <w:tc>
                <w:tcPr>
                  <w:tcW w:w="1585" w:type="pct"/>
                  <w:tcBorders>
                    <w:top w:val="single" w:color="auto" w:sz="4" w:space="0"/>
                    <w:left w:val="single" w:color="auto" w:sz="4" w:space="0"/>
                    <w:bottom w:val="single" w:color="auto" w:sz="4" w:space="0"/>
                    <w:right w:val="single" w:color="auto" w:sz="4" w:space="0"/>
                  </w:tcBorders>
                  <w:shd w:val="clear"/>
                  <w:vAlign w:val="center"/>
                </w:tcPr>
                <w:p w14:paraId="3A064861">
                  <w:pPr>
                    <w:pStyle w:val="69"/>
                    <w:widowControl/>
                    <w:adjustRightInd/>
                    <w:snapToGrid/>
                    <w:spacing w:line="300" w:lineRule="exact"/>
                    <w:jc w:val="both"/>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szCs w:val="21"/>
                      <w:bdr w:val="none" w:color="auto" w:sz="0" w:space="0"/>
                    </w:rPr>
                    <w:t>扩建项目采用</w:t>
                  </w:r>
                  <w:r>
                    <w:rPr>
                      <w:rFonts w:hint="eastAsia" w:ascii="Times New Roman" w:hAnsi="Times New Roman" w:eastAsia="宋体" w:cs="宋体"/>
                      <w:color w:val="000000"/>
                      <w:szCs w:val="21"/>
                      <w:bdr w:val="none" w:color="auto" w:sz="0" w:space="0"/>
                    </w:rPr>
                    <w:t>“布袋</w:t>
                  </w:r>
                  <w:r>
                    <w:rPr>
                      <w:rFonts w:hint="default" w:ascii="Times New Roman" w:hAnsi="Times New Roman" w:cs="Times New Roman"/>
                      <w:color w:val="000000"/>
                      <w:szCs w:val="21"/>
                      <w:bdr w:val="none" w:color="auto" w:sz="0" w:space="0"/>
                      <w:lang w:val="en-US"/>
                    </w:rPr>
                    <w:t>+UV</w:t>
                  </w:r>
                  <w:r>
                    <w:rPr>
                      <w:rFonts w:hint="eastAsia" w:ascii="Times New Roman" w:hAnsi="Calibri" w:eastAsia="宋体" w:cs="宋体"/>
                      <w:color w:val="000000"/>
                      <w:szCs w:val="21"/>
                      <w:bdr w:val="none" w:color="auto" w:sz="0" w:space="0"/>
                    </w:rPr>
                    <w:t>光解</w:t>
                  </w:r>
                  <w:r>
                    <w:rPr>
                      <w:rFonts w:hint="default" w:ascii="Times New Roman" w:hAnsi="Times New Roman" w:cs="Times New Roman"/>
                      <w:color w:val="000000"/>
                      <w:szCs w:val="21"/>
                      <w:bdr w:val="none" w:color="auto" w:sz="0" w:space="0"/>
                      <w:lang w:val="en-US"/>
                    </w:rPr>
                    <w:t>+</w:t>
                  </w:r>
                  <w:r>
                    <w:rPr>
                      <w:rFonts w:hint="eastAsia" w:ascii="Times New Roman" w:hAnsi="Times New Roman" w:eastAsia="宋体" w:cs="宋体"/>
                      <w:color w:val="000000"/>
                      <w:szCs w:val="21"/>
                      <w:bdr w:val="none" w:color="auto" w:sz="0" w:space="0"/>
                    </w:rPr>
                    <w:t>二级</w:t>
                  </w:r>
                  <w:r>
                    <w:rPr>
                      <w:rFonts w:hint="eastAsia" w:ascii="Times New Roman" w:hAnsi="Calibri" w:eastAsia="宋体" w:cs="宋体"/>
                      <w:color w:val="000000"/>
                      <w:szCs w:val="21"/>
                      <w:bdr w:val="none" w:color="auto" w:sz="0" w:space="0"/>
                    </w:rPr>
                    <w:t>活性炭吸附</w:t>
                  </w:r>
                  <w:r>
                    <w:rPr>
                      <w:rFonts w:hint="eastAsia" w:ascii="Times New Roman" w:hAnsi="Times New Roman" w:eastAsia="宋体" w:cs="宋体"/>
                      <w:color w:val="000000"/>
                      <w:szCs w:val="21"/>
                      <w:bdr w:val="none" w:color="auto" w:sz="0" w:space="0"/>
                    </w:rPr>
                    <w:t>”</w:t>
                  </w:r>
                  <w:r>
                    <w:rPr>
                      <w:rFonts w:hint="eastAsia" w:ascii="Times New Roman" w:hAnsi="Calibri" w:eastAsia="宋体" w:cs="宋体"/>
                      <w:color w:val="000000"/>
                      <w:szCs w:val="21"/>
                      <w:bdr w:val="none" w:color="auto" w:sz="0" w:space="0"/>
                    </w:rPr>
                    <w:t>，以实测浓度为达标判定依据，不存在稀释排放。</w:t>
                  </w:r>
                </w:p>
              </w:tc>
              <w:tc>
                <w:tcPr>
                  <w:tcW w:w="426" w:type="pct"/>
                  <w:tcBorders>
                    <w:top w:val="single" w:color="auto" w:sz="4" w:space="0"/>
                    <w:left w:val="single" w:color="auto" w:sz="4" w:space="0"/>
                    <w:bottom w:val="single" w:color="auto" w:sz="4" w:space="0"/>
                    <w:right w:val="nil"/>
                  </w:tcBorders>
                  <w:shd w:val="clear"/>
                  <w:vAlign w:val="center"/>
                </w:tcPr>
                <w:p w14:paraId="45D39D5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符合</w:t>
                  </w:r>
                </w:p>
              </w:tc>
            </w:tr>
            <w:tr w14:paraId="6FC6540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tcBorders>
                    <w:top w:val="single" w:color="auto" w:sz="4" w:space="0"/>
                    <w:left w:val="nil"/>
                    <w:bottom w:val="single" w:color="auto" w:sz="4" w:space="0"/>
                    <w:right w:val="single" w:color="auto" w:sz="4" w:space="0"/>
                  </w:tcBorders>
                  <w:shd w:val="clear"/>
                  <w:vAlign w:val="center"/>
                </w:tcPr>
                <w:p w14:paraId="6A6AF2D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13</w:t>
                  </w:r>
                </w:p>
              </w:tc>
              <w:tc>
                <w:tcPr>
                  <w:tcW w:w="2584" w:type="pct"/>
                  <w:tcBorders>
                    <w:top w:val="single" w:color="auto" w:sz="4" w:space="0"/>
                    <w:left w:val="single" w:color="auto" w:sz="4" w:space="0"/>
                    <w:bottom w:val="single" w:color="auto" w:sz="4" w:space="0"/>
                    <w:right w:val="single" w:color="auto" w:sz="4" w:space="0"/>
                  </w:tcBorders>
                  <w:shd w:val="clear"/>
                  <w:vAlign w:val="center"/>
                </w:tcPr>
                <w:p w14:paraId="15107898">
                  <w:pPr>
                    <w:pStyle w:val="69"/>
                    <w:widowControl/>
                    <w:adjustRightInd/>
                    <w:snapToGrid/>
                    <w:spacing w:line="300" w:lineRule="exact"/>
                    <w:jc w:val="both"/>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szCs w:val="21"/>
                      <w:bdr w:val="none" w:color="auto" w:sz="0" w:space="0"/>
                    </w:rPr>
                    <w:t>排气筒高度不低于</w:t>
                  </w:r>
                  <w:r>
                    <w:rPr>
                      <w:rFonts w:hint="default" w:ascii="Times New Roman" w:hAnsi="Times New Roman" w:cs="Times New Roman"/>
                      <w:color w:val="000000"/>
                      <w:szCs w:val="21"/>
                      <w:bdr w:val="none" w:color="auto" w:sz="0" w:space="0"/>
                      <w:lang w:val="en-US"/>
                    </w:rPr>
                    <w:t>15m</w:t>
                  </w:r>
                  <w:r>
                    <w:rPr>
                      <w:rFonts w:hint="eastAsia" w:ascii="Times New Roman" w:hAnsi="Calibri" w:eastAsia="宋体" w:cs="宋体"/>
                      <w:color w:val="000000"/>
                      <w:szCs w:val="21"/>
                      <w:bdr w:val="none" w:color="auto" w:sz="0" w:space="0"/>
                    </w:rPr>
                    <w:t>（因安全考虑或有特殊工艺要求的除外），具体高度以及与周围建筑物的相对高度关系应根据环境影响评价文件确定</w:t>
                  </w:r>
                </w:p>
              </w:tc>
              <w:tc>
                <w:tcPr>
                  <w:tcW w:w="1585" w:type="pct"/>
                  <w:tcBorders>
                    <w:top w:val="single" w:color="auto" w:sz="4" w:space="0"/>
                    <w:left w:val="single" w:color="auto" w:sz="4" w:space="0"/>
                    <w:bottom w:val="single" w:color="auto" w:sz="4" w:space="0"/>
                    <w:right w:val="single" w:color="auto" w:sz="4" w:space="0"/>
                  </w:tcBorders>
                  <w:shd w:val="clear"/>
                  <w:vAlign w:val="center"/>
                </w:tcPr>
                <w:p w14:paraId="399E285B">
                  <w:pPr>
                    <w:pStyle w:val="69"/>
                    <w:widowControl/>
                    <w:adjustRightInd/>
                    <w:snapToGrid/>
                    <w:spacing w:line="300" w:lineRule="exact"/>
                    <w:jc w:val="both"/>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szCs w:val="21"/>
                      <w:bdr w:val="none" w:color="auto" w:sz="0" w:space="0"/>
                    </w:rPr>
                    <w:t>扩建项目厂房高约</w:t>
                  </w:r>
                  <w:r>
                    <w:rPr>
                      <w:rFonts w:hint="default" w:ascii="Times New Roman" w:hAnsi="Calibri" w:cs="Times New Roman"/>
                      <w:color w:val="000000"/>
                      <w:szCs w:val="21"/>
                      <w:bdr w:val="none" w:color="auto" w:sz="0" w:space="0"/>
                      <w:lang w:val="en-US"/>
                    </w:rPr>
                    <w:t>15m</w:t>
                  </w:r>
                  <w:r>
                    <w:rPr>
                      <w:rFonts w:hint="eastAsia" w:ascii="Times New Roman" w:hAnsi="Calibri" w:eastAsia="宋体" w:cs="宋体"/>
                      <w:color w:val="000000"/>
                      <w:szCs w:val="21"/>
                      <w:bdr w:val="none" w:color="auto" w:sz="0" w:space="0"/>
                    </w:rPr>
                    <w:t>，设置的排气筒高度为</w:t>
                  </w:r>
                  <w:r>
                    <w:rPr>
                      <w:rFonts w:hint="default" w:ascii="Times New Roman" w:hAnsi="Times New Roman" w:cs="Times New Roman"/>
                      <w:color w:val="000000"/>
                      <w:szCs w:val="21"/>
                      <w:bdr w:val="none" w:color="auto" w:sz="0" w:space="0"/>
                      <w:lang w:val="en-US"/>
                    </w:rPr>
                    <w:t>20m</w:t>
                  </w:r>
                  <w:r>
                    <w:rPr>
                      <w:rFonts w:hint="eastAsia" w:ascii="Times New Roman" w:hAnsi="Calibri" w:eastAsia="宋体" w:cs="宋体"/>
                      <w:color w:val="000000"/>
                      <w:szCs w:val="21"/>
                      <w:bdr w:val="none" w:color="auto" w:sz="0" w:space="0"/>
                    </w:rPr>
                    <w:t>，符合相关要求。</w:t>
                  </w:r>
                </w:p>
              </w:tc>
              <w:tc>
                <w:tcPr>
                  <w:tcW w:w="426" w:type="pct"/>
                  <w:tcBorders>
                    <w:top w:val="single" w:color="auto" w:sz="4" w:space="0"/>
                    <w:left w:val="single" w:color="auto" w:sz="4" w:space="0"/>
                    <w:bottom w:val="single" w:color="auto" w:sz="4" w:space="0"/>
                    <w:right w:val="nil"/>
                  </w:tcBorders>
                  <w:shd w:val="clear"/>
                  <w:vAlign w:val="center"/>
                </w:tcPr>
                <w:p w14:paraId="4342AC85">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符合</w:t>
                  </w:r>
                </w:p>
              </w:tc>
            </w:tr>
            <w:tr w14:paraId="067E3D2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tcBorders>
                    <w:top w:val="single" w:color="auto" w:sz="4" w:space="0"/>
                    <w:left w:val="nil"/>
                    <w:bottom w:val="single" w:color="auto" w:sz="4" w:space="0"/>
                    <w:right w:val="single" w:color="auto" w:sz="4" w:space="0"/>
                  </w:tcBorders>
                  <w:shd w:val="clear"/>
                  <w:vAlign w:val="center"/>
                </w:tcPr>
                <w:p w14:paraId="7124084D">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14</w:t>
                  </w:r>
                </w:p>
              </w:tc>
              <w:tc>
                <w:tcPr>
                  <w:tcW w:w="2584" w:type="pct"/>
                  <w:tcBorders>
                    <w:top w:val="single" w:color="auto" w:sz="4" w:space="0"/>
                    <w:left w:val="single" w:color="auto" w:sz="4" w:space="0"/>
                    <w:bottom w:val="single" w:color="auto" w:sz="4" w:space="0"/>
                    <w:right w:val="single" w:color="auto" w:sz="4" w:space="0"/>
                  </w:tcBorders>
                  <w:shd w:val="clear"/>
                  <w:vAlign w:val="center"/>
                </w:tcPr>
                <w:p w14:paraId="60353198">
                  <w:pPr>
                    <w:pStyle w:val="69"/>
                    <w:widowControl/>
                    <w:adjustRightInd/>
                    <w:snapToGrid/>
                    <w:spacing w:line="300" w:lineRule="exact"/>
                    <w:jc w:val="both"/>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szCs w:val="21"/>
                      <w:bdr w:val="none" w:color="auto" w:sz="0" w:space="0"/>
                    </w:rPr>
                    <w:t>有机聚合物产品用于制品生产过程，在混合</w:t>
                  </w:r>
                  <w:r>
                    <w:rPr>
                      <w:rFonts w:hint="default" w:ascii="Times New Roman" w:hAnsi="Times New Roman" w:cs="Times New Roman"/>
                      <w:color w:val="000000"/>
                      <w:szCs w:val="21"/>
                      <w:bdr w:val="none" w:color="auto" w:sz="0" w:space="0"/>
                      <w:lang w:val="en-US"/>
                    </w:rPr>
                    <w:t>/</w:t>
                  </w:r>
                  <w:r>
                    <w:rPr>
                      <w:rFonts w:hint="eastAsia" w:ascii="Times New Roman" w:hAnsi="Calibri" w:eastAsia="宋体" w:cs="宋体"/>
                      <w:color w:val="000000"/>
                      <w:szCs w:val="21"/>
                      <w:bdr w:val="none" w:color="auto" w:sz="0" w:space="0"/>
                    </w:rPr>
                    <w:t>混炼、塑炼</w:t>
                  </w:r>
                  <w:r>
                    <w:rPr>
                      <w:rFonts w:hint="default" w:ascii="Times New Roman" w:hAnsi="Times New Roman" w:cs="Times New Roman"/>
                      <w:color w:val="000000"/>
                      <w:szCs w:val="21"/>
                      <w:bdr w:val="none" w:color="auto" w:sz="0" w:space="0"/>
                      <w:lang w:val="en-US"/>
                    </w:rPr>
                    <w:t>/</w:t>
                  </w:r>
                  <w:r>
                    <w:rPr>
                      <w:rFonts w:hint="eastAsia" w:ascii="Times New Roman" w:hAnsi="Calibri" w:eastAsia="宋体" w:cs="宋体"/>
                      <w:color w:val="000000"/>
                      <w:szCs w:val="21"/>
                      <w:bdr w:val="none" w:color="auto" w:sz="0" w:space="0"/>
                    </w:rPr>
                    <w:t>塑化</w:t>
                  </w:r>
                  <w:r>
                    <w:rPr>
                      <w:rFonts w:hint="default" w:ascii="Times New Roman" w:hAnsi="Times New Roman" w:cs="Times New Roman"/>
                      <w:color w:val="000000"/>
                      <w:szCs w:val="21"/>
                      <w:bdr w:val="none" w:color="auto" w:sz="0" w:space="0"/>
                      <w:lang w:val="en-US"/>
                    </w:rPr>
                    <w:t>/</w:t>
                  </w:r>
                  <w:r>
                    <w:rPr>
                      <w:rFonts w:hint="eastAsia" w:ascii="Times New Roman" w:hAnsi="Calibri" w:eastAsia="宋体" w:cs="宋体"/>
                      <w:color w:val="000000"/>
                      <w:szCs w:val="21"/>
                      <w:bdr w:val="none" w:color="auto" w:sz="0" w:space="0"/>
                    </w:rPr>
                    <w:t>熔化、加工成型（挤出、注射、压制、压延、发泡、纺丝）等作业中应采用密闭空间内操作，废气应排至</w:t>
                  </w:r>
                  <w:r>
                    <w:rPr>
                      <w:rFonts w:hint="default" w:ascii="Times New Roman" w:hAnsi="Times New Roman" w:cs="Times New Roman"/>
                      <w:color w:val="000000"/>
                      <w:szCs w:val="21"/>
                      <w:bdr w:val="none" w:color="auto" w:sz="0" w:space="0"/>
                      <w:lang w:val="en-US"/>
                    </w:rPr>
                    <w:t>VOCs</w:t>
                  </w:r>
                  <w:r>
                    <w:rPr>
                      <w:rFonts w:hint="eastAsia" w:ascii="Times New Roman" w:hAnsi="Calibri" w:eastAsia="宋体" w:cs="宋体"/>
                      <w:color w:val="000000"/>
                      <w:szCs w:val="21"/>
                      <w:bdr w:val="none" w:color="auto" w:sz="0" w:space="0"/>
                    </w:rPr>
                    <w:t>废气收集处理系统；无法密闭的，应采取局部气体收集措施，废气应排至</w:t>
                  </w:r>
                  <w:r>
                    <w:rPr>
                      <w:rFonts w:hint="default" w:ascii="Times New Roman" w:hAnsi="Times New Roman" w:cs="Times New Roman"/>
                      <w:color w:val="000000"/>
                      <w:szCs w:val="21"/>
                      <w:bdr w:val="none" w:color="auto" w:sz="0" w:space="0"/>
                      <w:lang w:val="en-US"/>
                    </w:rPr>
                    <w:t>VOCs</w:t>
                  </w:r>
                  <w:r>
                    <w:rPr>
                      <w:rFonts w:hint="eastAsia" w:ascii="Times New Roman" w:hAnsi="Calibri" w:eastAsia="宋体" w:cs="宋体"/>
                      <w:color w:val="000000"/>
                      <w:szCs w:val="21"/>
                      <w:bdr w:val="none" w:color="auto" w:sz="0" w:space="0"/>
                    </w:rPr>
                    <w:t>废气收集处理系统</w:t>
                  </w:r>
                </w:p>
              </w:tc>
              <w:tc>
                <w:tcPr>
                  <w:tcW w:w="1585" w:type="pct"/>
                  <w:tcBorders>
                    <w:top w:val="single" w:color="auto" w:sz="4" w:space="0"/>
                    <w:left w:val="single" w:color="auto" w:sz="4" w:space="0"/>
                    <w:bottom w:val="single" w:color="auto" w:sz="4" w:space="0"/>
                    <w:right w:val="single" w:color="auto" w:sz="4" w:space="0"/>
                  </w:tcBorders>
                  <w:shd w:val="clear"/>
                  <w:vAlign w:val="center"/>
                </w:tcPr>
                <w:p w14:paraId="7DBD8C18">
                  <w:pPr>
                    <w:pStyle w:val="69"/>
                    <w:widowControl/>
                    <w:adjustRightInd/>
                    <w:snapToGrid/>
                    <w:spacing w:line="300" w:lineRule="exact"/>
                    <w:jc w:val="both"/>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szCs w:val="21"/>
                      <w:bdr w:val="none" w:color="auto" w:sz="0" w:space="0"/>
                    </w:rPr>
                    <w:t>扩建项目采用集气罩收集有机废气，废气经收集后，通过</w:t>
                  </w:r>
                  <w:r>
                    <w:rPr>
                      <w:rFonts w:hint="default" w:ascii="Times New Roman" w:hAnsi="Times New Roman" w:cs="Times New Roman"/>
                      <w:color w:val="000000"/>
                      <w:szCs w:val="21"/>
                      <w:bdr w:val="none" w:color="auto" w:sz="0" w:space="0"/>
                      <w:lang w:val="en-US"/>
                    </w:rPr>
                    <w:t>“</w:t>
                  </w:r>
                  <w:r>
                    <w:rPr>
                      <w:rFonts w:hint="eastAsia" w:ascii="Times New Roman" w:hAnsi="Times New Roman" w:eastAsia="宋体" w:cs="宋体"/>
                      <w:color w:val="000000"/>
                      <w:szCs w:val="21"/>
                      <w:bdr w:val="none" w:color="auto" w:sz="0" w:space="0"/>
                    </w:rPr>
                    <w:t>布袋</w:t>
                  </w:r>
                  <w:r>
                    <w:rPr>
                      <w:rFonts w:hint="default" w:ascii="Times New Roman" w:hAnsi="Times New Roman" w:cs="Times New Roman"/>
                      <w:color w:val="000000"/>
                      <w:szCs w:val="21"/>
                      <w:bdr w:val="none" w:color="auto" w:sz="0" w:space="0"/>
                      <w:lang w:val="en-US"/>
                    </w:rPr>
                    <w:t>+UV</w:t>
                  </w:r>
                  <w:r>
                    <w:rPr>
                      <w:rFonts w:hint="eastAsia" w:ascii="Times New Roman" w:hAnsi="Calibri" w:eastAsia="宋体" w:cs="宋体"/>
                      <w:color w:val="000000"/>
                      <w:szCs w:val="21"/>
                      <w:bdr w:val="none" w:color="auto" w:sz="0" w:space="0"/>
                    </w:rPr>
                    <w:t>光解</w:t>
                  </w:r>
                  <w:r>
                    <w:rPr>
                      <w:rFonts w:hint="default" w:ascii="Times New Roman" w:hAnsi="Times New Roman" w:cs="Times New Roman"/>
                      <w:color w:val="000000"/>
                      <w:szCs w:val="21"/>
                      <w:bdr w:val="none" w:color="auto" w:sz="0" w:space="0"/>
                      <w:lang w:val="en-US"/>
                    </w:rPr>
                    <w:t>+</w:t>
                  </w:r>
                  <w:r>
                    <w:rPr>
                      <w:rFonts w:hint="eastAsia" w:ascii="Times New Roman" w:hAnsi="Times New Roman" w:eastAsia="宋体" w:cs="宋体"/>
                      <w:color w:val="000000"/>
                      <w:szCs w:val="21"/>
                      <w:bdr w:val="none" w:color="auto" w:sz="0" w:space="0"/>
                    </w:rPr>
                    <w:t>二级</w:t>
                  </w:r>
                  <w:r>
                    <w:rPr>
                      <w:rFonts w:hint="eastAsia" w:ascii="Times New Roman" w:hAnsi="Calibri" w:eastAsia="宋体" w:cs="宋体"/>
                      <w:color w:val="000000"/>
                      <w:szCs w:val="21"/>
                      <w:bdr w:val="none" w:color="auto" w:sz="0" w:space="0"/>
                    </w:rPr>
                    <w:t>活性炭吸附</w:t>
                  </w:r>
                  <w:r>
                    <w:rPr>
                      <w:rFonts w:hint="default" w:ascii="Times New Roman" w:hAnsi="Times New Roman" w:cs="Times New Roman"/>
                      <w:color w:val="000000"/>
                      <w:szCs w:val="21"/>
                      <w:bdr w:val="none" w:color="auto" w:sz="0" w:space="0"/>
                      <w:lang w:val="en-US"/>
                    </w:rPr>
                    <w:t>”</w:t>
                  </w:r>
                  <w:r>
                    <w:rPr>
                      <w:rFonts w:hint="eastAsia" w:ascii="Times New Roman" w:hAnsi="Calibri" w:eastAsia="宋体" w:cs="宋体"/>
                      <w:color w:val="000000"/>
                      <w:szCs w:val="21"/>
                      <w:bdr w:val="none" w:color="auto" w:sz="0" w:space="0"/>
                    </w:rPr>
                    <w:t>处理后达标排放。</w:t>
                  </w:r>
                </w:p>
              </w:tc>
              <w:tc>
                <w:tcPr>
                  <w:tcW w:w="426" w:type="pct"/>
                  <w:tcBorders>
                    <w:top w:val="single" w:color="auto" w:sz="4" w:space="0"/>
                    <w:left w:val="single" w:color="auto" w:sz="4" w:space="0"/>
                    <w:bottom w:val="single" w:color="auto" w:sz="4" w:space="0"/>
                    <w:right w:val="nil"/>
                  </w:tcBorders>
                  <w:shd w:val="clear"/>
                  <w:vAlign w:val="center"/>
                </w:tcPr>
                <w:p w14:paraId="0E61D13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符合</w:t>
                  </w:r>
                </w:p>
              </w:tc>
            </w:tr>
            <w:tr w14:paraId="5D2C950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tcBorders>
                    <w:top w:val="single" w:color="auto" w:sz="4" w:space="0"/>
                    <w:left w:val="nil"/>
                    <w:bottom w:val="single" w:color="auto" w:sz="12" w:space="0"/>
                    <w:right w:val="single" w:color="auto" w:sz="4" w:space="0"/>
                  </w:tcBorders>
                  <w:shd w:val="clear"/>
                  <w:vAlign w:val="center"/>
                </w:tcPr>
                <w:p w14:paraId="14A4B94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15</w:t>
                  </w:r>
                </w:p>
              </w:tc>
              <w:tc>
                <w:tcPr>
                  <w:tcW w:w="2584" w:type="pct"/>
                  <w:tcBorders>
                    <w:top w:val="single" w:color="auto" w:sz="4" w:space="0"/>
                    <w:left w:val="single" w:color="auto" w:sz="4" w:space="0"/>
                    <w:bottom w:val="single" w:color="auto" w:sz="12" w:space="0"/>
                    <w:right w:val="single" w:color="auto" w:sz="4" w:space="0"/>
                  </w:tcBorders>
                  <w:shd w:val="clear"/>
                  <w:vAlign w:val="center"/>
                </w:tcPr>
                <w:p w14:paraId="0707E014">
                  <w:pPr>
                    <w:pStyle w:val="69"/>
                    <w:widowControl/>
                    <w:adjustRightInd/>
                    <w:snapToGrid/>
                    <w:spacing w:line="300" w:lineRule="exact"/>
                    <w:jc w:val="both"/>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szCs w:val="21"/>
                      <w:bdr w:val="none" w:color="auto" w:sz="0" w:space="0"/>
                    </w:rPr>
                    <w:t>企业边界及周边</w:t>
                  </w:r>
                  <w:r>
                    <w:rPr>
                      <w:rFonts w:hint="default" w:ascii="Times New Roman" w:hAnsi="Times New Roman" w:cs="Times New Roman"/>
                      <w:color w:val="000000"/>
                      <w:szCs w:val="21"/>
                      <w:bdr w:val="none" w:color="auto" w:sz="0" w:space="0"/>
                      <w:lang w:val="en-US"/>
                    </w:rPr>
                    <w:t>VOCs</w:t>
                  </w:r>
                  <w:r>
                    <w:rPr>
                      <w:rFonts w:hint="eastAsia" w:ascii="Times New Roman" w:hAnsi="Calibri" w:eastAsia="宋体" w:cs="宋体"/>
                      <w:color w:val="000000"/>
                      <w:szCs w:val="21"/>
                      <w:bdr w:val="none" w:color="auto" w:sz="0" w:space="0"/>
                    </w:rPr>
                    <w:t>监控要求执行</w:t>
                  </w:r>
                  <w:r>
                    <w:rPr>
                      <w:rFonts w:hint="default" w:ascii="Times New Roman" w:hAnsi="Times New Roman" w:cs="Times New Roman"/>
                      <w:color w:val="000000"/>
                      <w:szCs w:val="21"/>
                      <w:bdr w:val="none" w:color="auto" w:sz="0" w:space="0"/>
                      <w:lang w:val="en-US"/>
                    </w:rPr>
                    <w:t>GB16297</w:t>
                  </w:r>
                  <w:r>
                    <w:rPr>
                      <w:rFonts w:hint="eastAsia" w:ascii="Times New Roman" w:hAnsi="Calibri" w:eastAsia="宋体" w:cs="宋体"/>
                      <w:color w:val="000000"/>
                      <w:szCs w:val="21"/>
                      <w:bdr w:val="none" w:color="auto" w:sz="0" w:space="0"/>
                    </w:rPr>
                    <w:t>或相关行业排放标准的规定</w:t>
                  </w:r>
                </w:p>
              </w:tc>
              <w:tc>
                <w:tcPr>
                  <w:tcW w:w="1585" w:type="pct"/>
                  <w:tcBorders>
                    <w:top w:val="single" w:color="auto" w:sz="4" w:space="0"/>
                    <w:left w:val="single" w:color="auto" w:sz="4" w:space="0"/>
                    <w:bottom w:val="single" w:color="auto" w:sz="12" w:space="0"/>
                    <w:right w:val="single" w:color="auto" w:sz="4" w:space="0"/>
                  </w:tcBorders>
                  <w:shd w:val="clear"/>
                  <w:vAlign w:val="center"/>
                </w:tcPr>
                <w:p w14:paraId="31700484">
                  <w:pPr>
                    <w:pStyle w:val="69"/>
                    <w:widowControl/>
                    <w:adjustRightInd/>
                    <w:snapToGrid/>
                    <w:spacing w:line="300" w:lineRule="exact"/>
                    <w:jc w:val="both"/>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szCs w:val="21"/>
                      <w:bdr w:val="none" w:color="auto" w:sz="0" w:space="0"/>
                    </w:rPr>
                    <w:t>扩建项目无组织排放的非甲烷总烃执行相关行业排放标准的规定。</w:t>
                  </w:r>
                </w:p>
              </w:tc>
              <w:tc>
                <w:tcPr>
                  <w:tcW w:w="426" w:type="pct"/>
                  <w:tcBorders>
                    <w:top w:val="single" w:color="auto" w:sz="4" w:space="0"/>
                    <w:left w:val="single" w:color="auto" w:sz="4" w:space="0"/>
                    <w:bottom w:val="single" w:color="auto" w:sz="12" w:space="0"/>
                    <w:right w:val="nil"/>
                  </w:tcBorders>
                  <w:shd w:val="clear"/>
                  <w:vAlign w:val="center"/>
                </w:tcPr>
                <w:p w14:paraId="78DC9E3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符合</w:t>
                  </w:r>
                </w:p>
              </w:tc>
            </w:tr>
          </w:tbl>
          <w:p w14:paraId="2D7B565C">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由上述分析可知，扩建项目的建设符合《挥发性有机物无组织排放控制标准》（</w:t>
            </w:r>
            <w:r>
              <w:rPr>
                <w:rFonts w:hint="default" w:ascii="Times New Roman" w:hAnsi="Times New Roman" w:eastAsia="宋体" w:cs="Times New Roman"/>
                <w:color w:val="000000"/>
                <w:kern w:val="2"/>
                <w:sz w:val="24"/>
                <w:szCs w:val="24"/>
                <w:bdr w:val="none" w:color="auto" w:sz="0" w:space="0"/>
                <w:lang w:val="en-US" w:eastAsia="zh-CN" w:bidi="ar"/>
              </w:rPr>
              <w:t>GB37822-2019</w:t>
            </w:r>
            <w:r>
              <w:rPr>
                <w:rFonts w:hint="eastAsia" w:ascii="Times New Roman" w:hAnsi="Times New Roman" w:eastAsia="宋体" w:cs="宋体"/>
                <w:color w:val="000000"/>
                <w:kern w:val="2"/>
                <w:sz w:val="24"/>
                <w:szCs w:val="24"/>
                <w:bdr w:val="none" w:color="auto" w:sz="0" w:space="0"/>
                <w:lang w:val="en-US" w:eastAsia="zh-CN" w:bidi="ar"/>
              </w:rPr>
              <w:t>）中的相关规定及要求。</w:t>
            </w:r>
          </w:p>
          <w:p w14:paraId="77D508AC">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both"/>
              <w:outlineLvl w:val="2"/>
              <w:rPr>
                <w:rFonts w:hint="default" w:ascii="Times New Roman" w:hAnsi="Times New Roman" w:cs="Times New Roman"/>
                <w:b/>
                <w:bCs w:val="0"/>
                <w:color w:val="000000"/>
                <w:kern w:val="0"/>
                <w:sz w:val="24"/>
                <w:szCs w:val="24"/>
                <w:bdr w:val="none" w:color="auto" w:sz="0" w:space="0"/>
                <w:lang w:val="en-US"/>
              </w:rPr>
            </w:pPr>
            <w:r>
              <w:rPr>
                <w:rFonts w:hint="default" w:ascii="Times New Roman" w:hAnsi="Calibri" w:eastAsia="宋体" w:cs="Times New Roman"/>
                <w:b/>
                <w:bCs w:val="0"/>
                <w:color w:val="000000"/>
                <w:kern w:val="2"/>
                <w:sz w:val="24"/>
                <w:szCs w:val="24"/>
                <w:bdr w:val="none" w:color="auto" w:sz="0" w:space="0"/>
                <w:lang w:val="en-US" w:eastAsia="zh-CN" w:bidi="ar"/>
              </w:rPr>
              <w:t xml:space="preserve">1.2.9 </w:t>
            </w:r>
            <w:r>
              <w:rPr>
                <w:rFonts w:hint="eastAsia" w:ascii="Times New Roman" w:hAnsi="Calibri" w:eastAsia="宋体" w:cs="宋体"/>
                <w:b/>
                <w:bCs w:val="0"/>
                <w:color w:val="000000"/>
                <w:kern w:val="0"/>
                <w:sz w:val="24"/>
                <w:szCs w:val="24"/>
                <w:bdr w:val="none" w:color="auto" w:sz="0" w:space="0"/>
                <w:lang w:val="en-US" w:eastAsia="zh-CN" w:bidi="ar"/>
              </w:rPr>
              <w:t>与《挥发性有机物（</w:t>
            </w:r>
            <w:r>
              <w:rPr>
                <w:rFonts w:hint="default" w:ascii="Times New Roman" w:hAnsi="Times New Roman" w:eastAsia="宋体" w:cs="Times New Roman"/>
                <w:b/>
                <w:bCs w:val="0"/>
                <w:color w:val="000000"/>
                <w:kern w:val="0"/>
                <w:sz w:val="24"/>
                <w:szCs w:val="24"/>
                <w:bdr w:val="none" w:color="auto" w:sz="0" w:space="0"/>
                <w:lang w:val="en-US" w:eastAsia="zh-CN" w:bidi="ar"/>
              </w:rPr>
              <w:t>VOCs</w:t>
            </w:r>
            <w:r>
              <w:rPr>
                <w:rFonts w:hint="eastAsia" w:ascii="Times New Roman" w:hAnsi="Calibri" w:eastAsia="宋体" w:cs="宋体"/>
                <w:b/>
                <w:bCs w:val="0"/>
                <w:color w:val="000000"/>
                <w:kern w:val="0"/>
                <w:sz w:val="24"/>
                <w:szCs w:val="24"/>
                <w:bdr w:val="none" w:color="auto" w:sz="0" w:space="0"/>
                <w:lang w:val="en-US" w:eastAsia="zh-CN" w:bidi="ar"/>
              </w:rPr>
              <w:t>）污染防治技术政策》符合性分析</w:t>
            </w:r>
          </w:p>
          <w:p w14:paraId="149B7AFF">
            <w:pPr>
              <w:keepNext w:val="0"/>
              <w:keepLines w:val="0"/>
              <w:widowControl w:val="0"/>
              <w:suppressLineNumbers w:val="0"/>
              <w:spacing w:before="0" w:beforeAutospacing="0" w:after="0" w:afterAutospacing="0" w:line="440" w:lineRule="exact"/>
              <w:ind w:left="0" w:right="0"/>
              <w:jc w:val="center"/>
              <w:rPr>
                <w:color w:val="000000"/>
                <w:spacing w:val="-2"/>
                <w:sz w:val="24"/>
                <w:szCs w:val="24"/>
                <w:bdr w:val="none" w:color="auto" w:sz="0" w:space="0"/>
                <w:lang w:val="en-US"/>
              </w:rPr>
            </w:pPr>
            <w:r>
              <w:rPr>
                <w:rFonts w:hint="eastAsia" w:ascii="Times New Roman" w:hAnsi="Times New Roman" w:eastAsia="宋体" w:cs="宋体"/>
                <w:color w:val="000000"/>
                <w:spacing w:val="-2"/>
                <w:kern w:val="2"/>
                <w:sz w:val="24"/>
                <w:szCs w:val="24"/>
                <w:bdr w:val="none" w:color="auto" w:sz="0" w:space="0"/>
                <w:lang w:val="en-US" w:eastAsia="zh-CN" w:bidi="ar"/>
              </w:rPr>
              <w:t>表</w:t>
            </w:r>
            <w:r>
              <w:rPr>
                <w:rFonts w:hint="default" w:ascii="Times New Roman" w:hAnsi="Times New Roman" w:eastAsia="宋体" w:cs="Times New Roman"/>
                <w:color w:val="000000"/>
                <w:spacing w:val="-2"/>
                <w:kern w:val="2"/>
                <w:sz w:val="24"/>
                <w:szCs w:val="24"/>
                <w:bdr w:val="none" w:color="auto" w:sz="0" w:space="0"/>
                <w:lang w:val="en-US" w:eastAsia="zh-CN" w:bidi="ar"/>
              </w:rPr>
              <w:t xml:space="preserve">1.2-7 </w:t>
            </w:r>
            <w:r>
              <w:rPr>
                <w:rFonts w:hint="eastAsia" w:ascii="Times New Roman" w:hAnsi="Calibri" w:eastAsia="宋体" w:cs="宋体"/>
                <w:color w:val="000000"/>
                <w:spacing w:val="-2"/>
                <w:kern w:val="2"/>
                <w:sz w:val="24"/>
                <w:szCs w:val="24"/>
                <w:bdr w:val="none" w:color="auto" w:sz="0" w:space="0"/>
                <w:lang w:val="en-US" w:eastAsia="zh-CN" w:bidi="ar"/>
              </w:rPr>
              <w:t>与《挥发性有机物（</w:t>
            </w:r>
            <w:r>
              <w:rPr>
                <w:rFonts w:hint="default" w:ascii="Times New Roman" w:hAnsi="Times New Roman" w:eastAsia="宋体" w:cs="Times New Roman"/>
                <w:color w:val="000000"/>
                <w:spacing w:val="-2"/>
                <w:kern w:val="2"/>
                <w:sz w:val="24"/>
                <w:szCs w:val="24"/>
                <w:bdr w:val="none" w:color="auto" w:sz="0" w:space="0"/>
                <w:lang w:val="en-US" w:eastAsia="zh-CN" w:bidi="ar"/>
              </w:rPr>
              <w:t>VOCs</w:t>
            </w:r>
            <w:r>
              <w:rPr>
                <w:rFonts w:hint="eastAsia" w:ascii="Times New Roman" w:hAnsi="Calibri" w:eastAsia="宋体" w:cs="宋体"/>
                <w:color w:val="000000"/>
                <w:spacing w:val="-2"/>
                <w:kern w:val="2"/>
                <w:sz w:val="24"/>
                <w:szCs w:val="24"/>
                <w:bdr w:val="none" w:color="auto" w:sz="0" w:space="0"/>
                <w:lang w:val="en-US" w:eastAsia="zh-CN" w:bidi="ar"/>
              </w:rPr>
              <w:t>）污染防治技术政策》</w:t>
            </w:r>
            <w:r>
              <w:rPr>
                <w:rFonts w:hint="eastAsia" w:ascii="Calibri" w:hAnsi="Calibri" w:eastAsia="宋体" w:cs="宋体"/>
                <w:color w:val="000000"/>
                <w:spacing w:val="-2"/>
                <w:kern w:val="2"/>
                <w:sz w:val="24"/>
                <w:szCs w:val="24"/>
                <w:bdr w:val="none" w:color="auto" w:sz="0" w:space="0"/>
                <w:lang w:val="en-US" w:eastAsia="zh-CN" w:bidi="ar"/>
              </w:rPr>
              <w:t>符合性分析</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Layout w:type="fixed"/>
              <w:tblCellMar>
                <w:top w:w="0" w:type="dxa"/>
                <w:left w:w="108" w:type="dxa"/>
                <w:bottom w:w="0" w:type="dxa"/>
                <w:right w:w="108" w:type="dxa"/>
              </w:tblCellMar>
            </w:tblPr>
            <w:tblGrid>
              <w:gridCol w:w="4599"/>
              <w:gridCol w:w="2484"/>
              <w:gridCol w:w="849"/>
            </w:tblGrid>
            <w:tr w14:paraId="404E16C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CellMar>
                  <w:top w:w="0" w:type="dxa"/>
                  <w:left w:w="108" w:type="dxa"/>
                  <w:bottom w:w="0" w:type="dxa"/>
                  <w:right w:w="108" w:type="dxa"/>
                </w:tblCellMar>
              </w:tblPrEx>
              <w:trPr>
                <w:jc w:val="center"/>
              </w:trPr>
              <w:tc>
                <w:tcPr>
                  <w:tcW w:w="4599" w:type="dxa"/>
                  <w:tcBorders>
                    <w:top w:val="single" w:color="auto" w:sz="12" w:space="0"/>
                    <w:left w:val="nil"/>
                    <w:bottom w:val="single" w:color="auto" w:sz="4" w:space="0"/>
                    <w:right w:val="single" w:color="auto" w:sz="4" w:space="0"/>
                  </w:tcBorders>
                  <w:shd w:val="clear"/>
                  <w:vAlign w:val="center"/>
                </w:tcPr>
                <w:p w14:paraId="0A0B7C83">
                  <w:pPr>
                    <w:pStyle w:val="107"/>
                    <w:widowControl/>
                    <w:spacing w:line="300" w:lineRule="exact"/>
                    <w:jc w:val="center"/>
                    <w:rPr>
                      <w:color w:val="000000"/>
                      <w:bdr w:val="none" w:color="auto" w:sz="0" w:space="0"/>
                      <w:lang w:val="en-US"/>
                    </w:rPr>
                  </w:pPr>
                  <w:r>
                    <w:rPr>
                      <w:rFonts w:hint="eastAsia" w:ascii="Times New Roman" w:hAnsi="Times New Roman" w:eastAsia="宋体" w:cs="宋体"/>
                      <w:color w:val="000000"/>
                      <w:bdr w:val="none" w:color="auto" w:sz="0" w:space="0"/>
                    </w:rPr>
                    <w:t>政策相关要求</w:t>
                  </w:r>
                </w:p>
              </w:tc>
              <w:tc>
                <w:tcPr>
                  <w:tcW w:w="2484" w:type="dxa"/>
                  <w:tcBorders>
                    <w:top w:val="single" w:color="auto" w:sz="12" w:space="0"/>
                    <w:left w:val="single" w:color="auto" w:sz="4" w:space="0"/>
                    <w:bottom w:val="single" w:color="auto" w:sz="4" w:space="0"/>
                    <w:right w:val="single" w:color="auto" w:sz="4" w:space="0"/>
                  </w:tcBorders>
                  <w:shd w:val="clear"/>
                  <w:vAlign w:val="center"/>
                </w:tcPr>
                <w:p w14:paraId="28AD478C">
                  <w:pPr>
                    <w:pStyle w:val="107"/>
                    <w:widowControl/>
                    <w:spacing w:line="300" w:lineRule="exact"/>
                    <w:jc w:val="center"/>
                    <w:rPr>
                      <w:color w:val="000000"/>
                      <w:highlight w:val="yellow"/>
                      <w:bdr w:val="none" w:color="auto" w:sz="0" w:space="0"/>
                      <w:lang w:val="en-US"/>
                    </w:rPr>
                  </w:pPr>
                  <w:r>
                    <w:rPr>
                      <w:rFonts w:hint="eastAsia" w:ascii="Times New Roman" w:hAnsi="Times New Roman" w:eastAsia="宋体" w:cs="宋体"/>
                      <w:color w:val="000000"/>
                      <w:bdr w:val="none" w:color="auto" w:sz="0" w:space="0"/>
                    </w:rPr>
                    <w:t>扩建项目情况</w:t>
                  </w:r>
                </w:p>
              </w:tc>
              <w:tc>
                <w:tcPr>
                  <w:tcW w:w="849" w:type="dxa"/>
                  <w:tcBorders>
                    <w:top w:val="single" w:color="auto" w:sz="12" w:space="0"/>
                    <w:left w:val="single" w:color="auto" w:sz="4" w:space="0"/>
                    <w:bottom w:val="single" w:color="auto" w:sz="4" w:space="0"/>
                    <w:right w:val="nil"/>
                  </w:tcBorders>
                  <w:shd w:val="clear"/>
                  <w:vAlign w:val="center"/>
                </w:tcPr>
                <w:p w14:paraId="540B92AC">
                  <w:pPr>
                    <w:pStyle w:val="107"/>
                    <w:widowControl/>
                    <w:spacing w:line="300" w:lineRule="exact"/>
                    <w:jc w:val="center"/>
                    <w:rPr>
                      <w:color w:val="000000"/>
                      <w:bdr w:val="none" w:color="auto" w:sz="0" w:space="0"/>
                      <w:lang w:val="en-US"/>
                    </w:rPr>
                  </w:pPr>
                  <w:r>
                    <w:rPr>
                      <w:rFonts w:hint="eastAsia" w:ascii="Times New Roman" w:hAnsi="Times New Roman" w:eastAsia="宋体" w:cs="宋体"/>
                      <w:color w:val="000000"/>
                      <w:bdr w:val="none" w:color="auto" w:sz="0" w:space="0"/>
                    </w:rPr>
                    <w:t>符合性</w:t>
                  </w:r>
                </w:p>
              </w:tc>
            </w:tr>
            <w:tr w14:paraId="71E42E2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599" w:type="dxa"/>
                  <w:tcBorders>
                    <w:top w:val="single" w:color="auto" w:sz="4" w:space="0"/>
                    <w:left w:val="nil"/>
                    <w:bottom w:val="single" w:color="auto" w:sz="4" w:space="0"/>
                    <w:right w:val="single" w:color="auto" w:sz="4" w:space="0"/>
                  </w:tcBorders>
                  <w:shd w:val="clear"/>
                  <w:vAlign w:val="center"/>
                </w:tcPr>
                <w:p w14:paraId="7062608C">
                  <w:pPr>
                    <w:pStyle w:val="107"/>
                    <w:widowControl/>
                    <w:spacing w:line="300" w:lineRule="exact"/>
                    <w:jc w:val="left"/>
                    <w:rPr>
                      <w:color w:val="000000"/>
                      <w:bdr w:val="none" w:color="auto" w:sz="0" w:space="0"/>
                      <w:lang w:val="en-US"/>
                    </w:rPr>
                  </w:pPr>
                  <w:r>
                    <w:rPr>
                      <w:rFonts w:hint="eastAsia" w:ascii="Times New Roman" w:hAnsi="Times New Roman" w:eastAsia="宋体" w:cs="宋体"/>
                      <w:color w:val="000000"/>
                      <w:bdr w:val="none" w:color="auto" w:sz="0" w:space="0"/>
                    </w:rPr>
                    <w:t>对于含高浓度</w:t>
                  </w:r>
                  <w:r>
                    <w:rPr>
                      <w:color w:val="000000"/>
                      <w:bdr w:val="none" w:color="auto" w:sz="0" w:space="0"/>
                      <w:lang w:val="en-US"/>
                    </w:rPr>
                    <w:t>VOCs</w:t>
                  </w:r>
                  <w:r>
                    <w:rPr>
                      <w:rFonts w:hint="eastAsia" w:ascii="Times New Roman" w:hAnsi="Times New Roman" w:eastAsia="宋体" w:cs="宋体"/>
                      <w:color w:val="000000"/>
                      <w:bdr w:val="none" w:color="auto" w:sz="0" w:space="0"/>
                    </w:rPr>
                    <w:t>的废气，宜优先采用冷凝回收、吸附回收技术进行回收利用，并辅助以其他治理技术实现达标排放；对于含中等浓度</w:t>
                  </w:r>
                  <w:r>
                    <w:rPr>
                      <w:color w:val="000000"/>
                      <w:bdr w:val="none" w:color="auto" w:sz="0" w:space="0"/>
                      <w:lang w:val="en-US"/>
                    </w:rPr>
                    <w:t>VOCs</w:t>
                  </w:r>
                  <w:r>
                    <w:rPr>
                      <w:rFonts w:hint="eastAsia" w:ascii="Times New Roman" w:hAnsi="Times New Roman" w:eastAsia="宋体" w:cs="宋体"/>
                      <w:color w:val="000000"/>
                      <w:bdr w:val="none" w:color="auto" w:sz="0" w:space="0"/>
                    </w:rPr>
                    <w:t>的废气，可采用吸附技术回收有机溶剂，或采用催化燃烧和热力焚烧技术净化后达标排放。当采用催化燃烧和热力焚烧技术进行净化时，应进行余热回收利用</w:t>
                  </w:r>
                  <w:r>
                    <w:rPr>
                      <w:color w:val="000000"/>
                      <w:bdr w:val="none" w:color="auto" w:sz="0" w:space="0"/>
                      <w:lang w:val="en-US"/>
                    </w:rPr>
                    <w:t xml:space="preserve"> </w:t>
                  </w:r>
                </w:p>
              </w:tc>
              <w:tc>
                <w:tcPr>
                  <w:tcW w:w="2484" w:type="dxa"/>
                  <w:tcBorders>
                    <w:top w:val="single" w:color="auto" w:sz="4" w:space="0"/>
                    <w:left w:val="single" w:color="auto" w:sz="4" w:space="0"/>
                    <w:bottom w:val="single" w:color="auto" w:sz="4" w:space="0"/>
                    <w:right w:val="single" w:color="auto" w:sz="4" w:space="0"/>
                  </w:tcBorders>
                  <w:shd w:val="clear"/>
                  <w:vAlign w:val="center"/>
                </w:tcPr>
                <w:p w14:paraId="1FF68FAF">
                  <w:pPr>
                    <w:pStyle w:val="107"/>
                    <w:widowControl/>
                    <w:spacing w:line="300" w:lineRule="exact"/>
                    <w:jc w:val="left"/>
                    <w:rPr>
                      <w:color w:val="000000"/>
                      <w:bdr w:val="none" w:color="auto" w:sz="0" w:space="0"/>
                      <w:lang w:val="en-US"/>
                    </w:rPr>
                  </w:pPr>
                  <w:r>
                    <w:rPr>
                      <w:rFonts w:hint="eastAsia" w:ascii="Times New Roman" w:hAnsi="Times New Roman" w:eastAsia="宋体" w:cs="宋体"/>
                      <w:color w:val="000000"/>
                      <w:bdr w:val="none" w:color="auto" w:sz="0" w:space="0"/>
                    </w:rPr>
                    <w:t>扩建项目</w:t>
                  </w:r>
                  <w:r>
                    <w:rPr>
                      <w:color w:val="000000"/>
                      <w:bdr w:val="none" w:color="auto" w:sz="0" w:space="0"/>
                      <w:lang w:val="en-US"/>
                    </w:rPr>
                    <w:t>VOCs</w:t>
                  </w:r>
                  <w:r>
                    <w:rPr>
                      <w:rFonts w:hint="eastAsia" w:ascii="Times New Roman" w:hAnsi="Times New Roman" w:eastAsia="宋体" w:cs="宋体"/>
                      <w:color w:val="000000"/>
                      <w:bdr w:val="none" w:color="auto" w:sz="0" w:space="0"/>
                    </w:rPr>
                    <w:t>废气采用“布袋</w:t>
                  </w:r>
                  <w:r>
                    <w:rPr>
                      <w:color w:val="000000"/>
                      <w:bdr w:val="none" w:color="auto" w:sz="0" w:space="0"/>
                      <w:lang w:val="en-US"/>
                    </w:rPr>
                    <w:t>+UV</w:t>
                  </w:r>
                  <w:r>
                    <w:rPr>
                      <w:rFonts w:hint="eastAsia" w:ascii="Times New Roman" w:hAnsi="Times New Roman" w:eastAsia="宋体" w:cs="宋体"/>
                      <w:color w:val="000000"/>
                      <w:bdr w:val="none" w:color="auto" w:sz="0" w:space="0"/>
                    </w:rPr>
                    <w:t>光解</w:t>
                  </w:r>
                  <w:r>
                    <w:rPr>
                      <w:color w:val="000000"/>
                      <w:bdr w:val="none" w:color="auto" w:sz="0" w:space="0"/>
                      <w:lang w:val="en-US"/>
                    </w:rPr>
                    <w:t>+</w:t>
                  </w:r>
                  <w:r>
                    <w:rPr>
                      <w:rFonts w:hint="eastAsia" w:ascii="Times New Roman" w:hAnsi="Times New Roman" w:eastAsia="宋体" w:cs="宋体"/>
                      <w:color w:val="000000"/>
                      <w:bdr w:val="none" w:color="auto" w:sz="0" w:space="0"/>
                    </w:rPr>
                    <w:t>二级活性炭吸附”处理达标后排放，采用的处理技术属于可行技术。</w:t>
                  </w:r>
                </w:p>
              </w:tc>
              <w:tc>
                <w:tcPr>
                  <w:tcW w:w="849" w:type="dxa"/>
                  <w:tcBorders>
                    <w:top w:val="single" w:color="auto" w:sz="4" w:space="0"/>
                    <w:left w:val="single" w:color="auto" w:sz="4" w:space="0"/>
                    <w:bottom w:val="single" w:color="auto" w:sz="4" w:space="0"/>
                    <w:right w:val="nil"/>
                  </w:tcBorders>
                  <w:shd w:val="clear"/>
                  <w:vAlign w:val="center"/>
                </w:tcPr>
                <w:p w14:paraId="1447F656">
                  <w:pPr>
                    <w:pStyle w:val="107"/>
                    <w:widowControl/>
                    <w:spacing w:line="300" w:lineRule="exact"/>
                    <w:jc w:val="center"/>
                    <w:rPr>
                      <w:color w:val="000000"/>
                      <w:bdr w:val="none" w:color="auto" w:sz="0" w:space="0"/>
                      <w:lang w:val="en-US"/>
                    </w:rPr>
                  </w:pPr>
                  <w:r>
                    <w:rPr>
                      <w:rFonts w:hint="eastAsia" w:ascii="Times New Roman" w:hAnsi="Times New Roman" w:eastAsia="宋体" w:cs="宋体"/>
                      <w:color w:val="000000"/>
                      <w:bdr w:val="none" w:color="auto" w:sz="0" w:space="0"/>
                    </w:rPr>
                    <w:t>符合</w:t>
                  </w:r>
                </w:p>
              </w:tc>
            </w:tr>
            <w:tr w14:paraId="42FBEB2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599" w:type="dxa"/>
                  <w:tcBorders>
                    <w:top w:val="single" w:color="auto" w:sz="4" w:space="0"/>
                    <w:left w:val="nil"/>
                    <w:bottom w:val="single" w:color="auto" w:sz="4" w:space="0"/>
                    <w:right w:val="single" w:color="auto" w:sz="4" w:space="0"/>
                  </w:tcBorders>
                  <w:shd w:val="clear"/>
                  <w:vAlign w:val="center"/>
                </w:tcPr>
                <w:p w14:paraId="3ECD2961">
                  <w:pPr>
                    <w:pStyle w:val="107"/>
                    <w:widowControl/>
                    <w:spacing w:line="300" w:lineRule="exact"/>
                    <w:jc w:val="left"/>
                    <w:rPr>
                      <w:color w:val="000000"/>
                      <w:bdr w:val="none" w:color="auto" w:sz="0" w:space="0"/>
                      <w:lang w:val="en-US"/>
                    </w:rPr>
                  </w:pPr>
                  <w:r>
                    <w:rPr>
                      <w:rFonts w:hint="eastAsia" w:ascii="Times New Roman" w:hAnsi="Times New Roman" w:eastAsia="宋体" w:cs="宋体"/>
                      <w:color w:val="000000"/>
                      <w:bdr w:val="none" w:color="auto" w:sz="0" w:space="0"/>
                    </w:rPr>
                    <w:t>对于不能再生的过滤材料、吸附剂及催化剂等净化材料，应按照国家固体废物管理的相关规定处理处置</w:t>
                  </w:r>
                </w:p>
              </w:tc>
              <w:tc>
                <w:tcPr>
                  <w:tcW w:w="2484" w:type="dxa"/>
                  <w:tcBorders>
                    <w:top w:val="single" w:color="auto" w:sz="4" w:space="0"/>
                    <w:left w:val="single" w:color="auto" w:sz="4" w:space="0"/>
                    <w:bottom w:val="single" w:color="auto" w:sz="4" w:space="0"/>
                    <w:right w:val="single" w:color="auto" w:sz="4" w:space="0"/>
                  </w:tcBorders>
                  <w:shd w:val="clear"/>
                  <w:vAlign w:val="center"/>
                </w:tcPr>
                <w:p w14:paraId="41279339">
                  <w:pPr>
                    <w:pStyle w:val="107"/>
                    <w:widowControl/>
                    <w:spacing w:line="300" w:lineRule="exact"/>
                    <w:jc w:val="left"/>
                    <w:rPr>
                      <w:color w:val="000000"/>
                      <w:highlight w:val="yellow"/>
                      <w:bdr w:val="none" w:color="auto" w:sz="0" w:space="0"/>
                      <w:lang w:val="en-US"/>
                    </w:rPr>
                  </w:pPr>
                  <w:r>
                    <w:rPr>
                      <w:rFonts w:hint="eastAsia" w:ascii="Times New Roman" w:hAnsi="Times New Roman" w:eastAsia="宋体" w:cs="宋体"/>
                      <w:color w:val="000000"/>
                      <w:bdr w:val="none" w:color="auto" w:sz="0" w:space="0"/>
                    </w:rPr>
                    <w:t>扩建项目产生的废活性炭定期交有资质单位处置。</w:t>
                  </w:r>
                </w:p>
              </w:tc>
              <w:tc>
                <w:tcPr>
                  <w:tcW w:w="849" w:type="dxa"/>
                  <w:tcBorders>
                    <w:top w:val="single" w:color="auto" w:sz="4" w:space="0"/>
                    <w:left w:val="single" w:color="auto" w:sz="4" w:space="0"/>
                    <w:bottom w:val="single" w:color="auto" w:sz="4" w:space="0"/>
                    <w:right w:val="nil"/>
                  </w:tcBorders>
                  <w:shd w:val="clear"/>
                  <w:vAlign w:val="center"/>
                </w:tcPr>
                <w:p w14:paraId="6A63797D">
                  <w:pPr>
                    <w:pStyle w:val="107"/>
                    <w:widowControl/>
                    <w:spacing w:line="300" w:lineRule="exact"/>
                    <w:jc w:val="center"/>
                    <w:rPr>
                      <w:color w:val="000000"/>
                      <w:bdr w:val="none" w:color="auto" w:sz="0" w:space="0"/>
                      <w:lang w:val="en-US"/>
                    </w:rPr>
                  </w:pPr>
                  <w:r>
                    <w:rPr>
                      <w:rFonts w:hint="eastAsia" w:ascii="Times New Roman" w:hAnsi="Times New Roman" w:eastAsia="宋体" w:cs="宋体"/>
                      <w:color w:val="000000"/>
                      <w:bdr w:val="none" w:color="auto" w:sz="0" w:space="0"/>
                    </w:rPr>
                    <w:t>符合</w:t>
                  </w:r>
                </w:p>
              </w:tc>
            </w:tr>
            <w:tr w14:paraId="4FA6658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599" w:type="dxa"/>
                  <w:tcBorders>
                    <w:top w:val="single" w:color="auto" w:sz="4" w:space="0"/>
                    <w:left w:val="nil"/>
                    <w:bottom w:val="single" w:color="auto" w:sz="4" w:space="0"/>
                    <w:right w:val="single" w:color="auto" w:sz="4" w:space="0"/>
                  </w:tcBorders>
                  <w:shd w:val="clear"/>
                  <w:vAlign w:val="center"/>
                </w:tcPr>
                <w:p w14:paraId="2A2F35D4">
                  <w:pPr>
                    <w:pStyle w:val="107"/>
                    <w:widowControl/>
                    <w:spacing w:line="300" w:lineRule="exact"/>
                    <w:jc w:val="left"/>
                    <w:rPr>
                      <w:color w:val="000000"/>
                      <w:bdr w:val="none" w:color="auto" w:sz="0" w:space="0"/>
                      <w:lang w:val="en-US"/>
                    </w:rPr>
                  </w:pPr>
                  <w:r>
                    <w:rPr>
                      <w:rFonts w:hint="eastAsia" w:ascii="Times New Roman" w:hAnsi="Times New Roman" w:eastAsia="宋体" w:cs="宋体"/>
                      <w:color w:val="000000"/>
                      <w:bdr w:val="none" w:color="auto" w:sz="0" w:space="0"/>
                    </w:rPr>
                    <w:t>鼓励企业自行开展</w:t>
                  </w:r>
                  <w:r>
                    <w:rPr>
                      <w:color w:val="000000"/>
                      <w:bdr w:val="none" w:color="auto" w:sz="0" w:space="0"/>
                      <w:lang w:val="en-US"/>
                    </w:rPr>
                    <w:t>VOCs</w:t>
                  </w:r>
                  <w:r>
                    <w:rPr>
                      <w:rFonts w:hint="eastAsia" w:ascii="Times New Roman" w:hAnsi="Times New Roman" w:eastAsia="宋体" w:cs="宋体"/>
                      <w:color w:val="000000"/>
                      <w:bdr w:val="none" w:color="auto" w:sz="0" w:space="0"/>
                    </w:rPr>
                    <w:t>监测，并及时主动向当地环保行政主管部门报送监测结果。</w:t>
                  </w:r>
                </w:p>
              </w:tc>
              <w:tc>
                <w:tcPr>
                  <w:tcW w:w="2484" w:type="dxa"/>
                  <w:tcBorders>
                    <w:top w:val="single" w:color="auto" w:sz="4" w:space="0"/>
                    <w:left w:val="single" w:color="auto" w:sz="4" w:space="0"/>
                    <w:bottom w:val="single" w:color="auto" w:sz="4" w:space="0"/>
                    <w:right w:val="single" w:color="auto" w:sz="4" w:space="0"/>
                  </w:tcBorders>
                  <w:shd w:val="clear"/>
                  <w:vAlign w:val="center"/>
                </w:tcPr>
                <w:p w14:paraId="0ED481CC">
                  <w:pPr>
                    <w:pStyle w:val="107"/>
                    <w:widowControl/>
                    <w:spacing w:line="300" w:lineRule="exact"/>
                    <w:jc w:val="left"/>
                    <w:rPr>
                      <w:color w:val="000000"/>
                      <w:bdr w:val="none" w:color="auto" w:sz="0" w:space="0"/>
                      <w:lang w:val="en-US"/>
                    </w:rPr>
                  </w:pPr>
                  <w:r>
                    <w:rPr>
                      <w:rFonts w:hint="eastAsia" w:ascii="Times New Roman" w:hAnsi="Times New Roman" w:eastAsia="宋体" w:cs="宋体"/>
                      <w:color w:val="000000"/>
                      <w:bdr w:val="none" w:color="auto" w:sz="0" w:space="0"/>
                    </w:rPr>
                    <w:t>企业将根据环评监测要求开展例行监测，及时上报合川区生态环境局主管部门。</w:t>
                  </w:r>
                </w:p>
              </w:tc>
              <w:tc>
                <w:tcPr>
                  <w:tcW w:w="849" w:type="dxa"/>
                  <w:tcBorders>
                    <w:top w:val="single" w:color="auto" w:sz="4" w:space="0"/>
                    <w:left w:val="single" w:color="auto" w:sz="4" w:space="0"/>
                    <w:bottom w:val="single" w:color="auto" w:sz="4" w:space="0"/>
                    <w:right w:val="nil"/>
                  </w:tcBorders>
                  <w:shd w:val="clear"/>
                  <w:vAlign w:val="center"/>
                </w:tcPr>
                <w:p w14:paraId="198DEEC7">
                  <w:pPr>
                    <w:pStyle w:val="107"/>
                    <w:widowControl/>
                    <w:spacing w:line="300" w:lineRule="exact"/>
                    <w:jc w:val="center"/>
                    <w:rPr>
                      <w:color w:val="000000"/>
                      <w:bdr w:val="none" w:color="auto" w:sz="0" w:space="0"/>
                      <w:lang w:val="en-US"/>
                    </w:rPr>
                  </w:pPr>
                  <w:r>
                    <w:rPr>
                      <w:rFonts w:hint="eastAsia" w:ascii="Times New Roman" w:hAnsi="Times New Roman" w:eastAsia="宋体" w:cs="宋体"/>
                      <w:color w:val="000000"/>
                      <w:bdr w:val="none" w:color="auto" w:sz="0" w:space="0"/>
                    </w:rPr>
                    <w:t>符合</w:t>
                  </w:r>
                </w:p>
              </w:tc>
            </w:tr>
            <w:tr w14:paraId="0FC5E6D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599" w:type="dxa"/>
                  <w:tcBorders>
                    <w:top w:val="single" w:color="auto" w:sz="4" w:space="0"/>
                    <w:left w:val="nil"/>
                    <w:bottom w:val="single" w:color="auto" w:sz="12" w:space="0"/>
                    <w:right w:val="single" w:color="auto" w:sz="4" w:space="0"/>
                  </w:tcBorders>
                  <w:shd w:val="clear"/>
                  <w:vAlign w:val="center"/>
                </w:tcPr>
                <w:p w14:paraId="23B551AD">
                  <w:pPr>
                    <w:pStyle w:val="107"/>
                    <w:widowControl/>
                    <w:spacing w:line="300" w:lineRule="exact"/>
                    <w:jc w:val="left"/>
                    <w:rPr>
                      <w:color w:val="000000"/>
                      <w:bdr w:val="none" w:color="auto" w:sz="0" w:space="0"/>
                      <w:lang w:val="en-US"/>
                    </w:rPr>
                  </w:pPr>
                  <w:r>
                    <w:rPr>
                      <w:rFonts w:hint="eastAsia" w:ascii="Times New Roman" w:hAnsi="Times New Roman" w:eastAsia="宋体" w:cs="宋体"/>
                      <w:color w:val="000000"/>
                      <w:bdr w:val="none" w:color="auto" w:sz="0" w:space="0"/>
                    </w:rPr>
                    <w:t>企业应建立健全</w:t>
                  </w:r>
                  <w:r>
                    <w:rPr>
                      <w:color w:val="000000"/>
                      <w:bdr w:val="none" w:color="auto" w:sz="0" w:space="0"/>
                      <w:lang w:val="en-US"/>
                    </w:rPr>
                    <w:t>VOCs</w:t>
                  </w:r>
                  <w:r>
                    <w:rPr>
                      <w:rFonts w:hint="eastAsia" w:ascii="Times New Roman" w:hAnsi="Times New Roman" w:eastAsia="宋体" w:cs="宋体"/>
                      <w:color w:val="000000"/>
                      <w:bdr w:val="none" w:color="auto" w:sz="0" w:space="0"/>
                    </w:rPr>
                    <w:t>治理设施的运行维护规程和台帐等日常管理制度，并根据工艺要求定期对各类设备、电气、自控仪表等进行检修维护，确保设施的稳定运行</w:t>
                  </w:r>
                </w:p>
              </w:tc>
              <w:tc>
                <w:tcPr>
                  <w:tcW w:w="2484" w:type="dxa"/>
                  <w:tcBorders>
                    <w:top w:val="single" w:color="auto" w:sz="4" w:space="0"/>
                    <w:left w:val="single" w:color="auto" w:sz="4" w:space="0"/>
                    <w:bottom w:val="single" w:color="auto" w:sz="12" w:space="0"/>
                    <w:right w:val="single" w:color="auto" w:sz="4" w:space="0"/>
                  </w:tcBorders>
                  <w:shd w:val="clear"/>
                  <w:vAlign w:val="center"/>
                </w:tcPr>
                <w:p w14:paraId="7BB6CDC9">
                  <w:pPr>
                    <w:pStyle w:val="107"/>
                    <w:widowControl/>
                    <w:spacing w:line="300" w:lineRule="exact"/>
                    <w:jc w:val="left"/>
                    <w:rPr>
                      <w:color w:val="000000"/>
                      <w:bdr w:val="none" w:color="auto" w:sz="0" w:space="0"/>
                      <w:lang w:val="en-US"/>
                    </w:rPr>
                  </w:pPr>
                  <w:r>
                    <w:rPr>
                      <w:rFonts w:hint="eastAsia" w:ascii="Times New Roman" w:hAnsi="Times New Roman" w:eastAsia="宋体" w:cs="宋体"/>
                      <w:color w:val="000000"/>
                      <w:bdr w:val="none" w:color="auto" w:sz="0" w:space="0"/>
                    </w:rPr>
                    <w:t>企业将按照相关规定进行台账记录、设备检修等。</w:t>
                  </w:r>
                </w:p>
              </w:tc>
              <w:tc>
                <w:tcPr>
                  <w:tcW w:w="849" w:type="dxa"/>
                  <w:tcBorders>
                    <w:top w:val="single" w:color="auto" w:sz="4" w:space="0"/>
                    <w:left w:val="single" w:color="auto" w:sz="4" w:space="0"/>
                    <w:bottom w:val="single" w:color="auto" w:sz="12" w:space="0"/>
                    <w:right w:val="nil"/>
                  </w:tcBorders>
                  <w:shd w:val="clear"/>
                  <w:vAlign w:val="center"/>
                </w:tcPr>
                <w:p w14:paraId="700C6527">
                  <w:pPr>
                    <w:pStyle w:val="107"/>
                    <w:widowControl/>
                    <w:spacing w:line="300" w:lineRule="exact"/>
                    <w:jc w:val="center"/>
                    <w:rPr>
                      <w:color w:val="000000"/>
                      <w:bdr w:val="none" w:color="auto" w:sz="0" w:space="0"/>
                      <w:lang w:val="en-US"/>
                    </w:rPr>
                  </w:pPr>
                  <w:r>
                    <w:rPr>
                      <w:rFonts w:hint="eastAsia" w:ascii="Times New Roman" w:hAnsi="Times New Roman" w:eastAsia="宋体" w:cs="宋体"/>
                      <w:color w:val="000000"/>
                      <w:bdr w:val="none" w:color="auto" w:sz="0" w:space="0"/>
                    </w:rPr>
                    <w:t>符合</w:t>
                  </w:r>
                </w:p>
              </w:tc>
            </w:tr>
          </w:tbl>
          <w:p w14:paraId="68E27DAC">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由上述分析可知，扩建项目的建设符合相关规定及要求。</w:t>
            </w:r>
          </w:p>
          <w:p w14:paraId="7DFA63A1">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p>
          <w:p w14:paraId="524ED391">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p>
          <w:p w14:paraId="5F3EB8CF">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p>
          <w:p w14:paraId="1AB14E7E">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p>
          <w:p w14:paraId="4BB52AC1">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p>
          <w:p w14:paraId="25F5D8C1">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p>
          <w:p w14:paraId="100C5EB9">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p>
          <w:p w14:paraId="6EE97EB3">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p>
          <w:p w14:paraId="15518983">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p>
          <w:p w14:paraId="56CB03CD">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p>
          <w:p w14:paraId="1C3E352E">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p>
          <w:p w14:paraId="3F6EB13F">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p>
          <w:p w14:paraId="08155B94">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p>
          <w:p w14:paraId="06C54117">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p>
          <w:p w14:paraId="5ED272D3">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p>
          <w:p w14:paraId="18EF1B6E">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p>
          <w:p w14:paraId="7FC106A9">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p>
          <w:p w14:paraId="0453BC4C">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 xml:space="preserve"> </w:t>
            </w:r>
          </w:p>
        </w:tc>
      </w:tr>
    </w:tbl>
    <w:p w14:paraId="524E2AAC">
      <w:pPr>
        <w:keepNext w:val="0"/>
        <w:keepLines w:val="0"/>
        <w:widowControl w:val="0"/>
        <w:suppressLineNumbers w:val="0"/>
        <w:spacing w:before="0" w:beforeAutospacing="0" w:after="0" w:afterAutospacing="0"/>
        <w:ind w:left="0" w:right="0"/>
        <w:jc w:val="both"/>
        <w:rPr>
          <w:color w:val="000000"/>
          <w:lang w:val="en-US"/>
        </w:rPr>
      </w:pPr>
    </w:p>
    <w:p w14:paraId="1EE899C3">
      <w:pPr>
        <w:pStyle w:val="14"/>
        <w:widowControl/>
        <w:jc w:val="center"/>
        <w:outlineLvl w:val="0"/>
        <w:rPr>
          <w:rFonts w:hint="eastAsia" w:ascii="黑体" w:hAnsi="宋体" w:eastAsia="黑体" w:cs="黑体"/>
          <w:snapToGrid w:val="0"/>
          <w:color w:val="000000"/>
          <w:sz w:val="30"/>
          <w:szCs w:val="30"/>
          <w:lang/>
        </w:rPr>
      </w:pPr>
      <w:r>
        <w:rPr>
          <w:rFonts w:hint="eastAsia" w:ascii="黑体" w:hAnsi="宋体" w:eastAsia="黑体" w:cs="Times New Roman"/>
          <w:snapToGrid w:val="0"/>
          <w:color w:val="000000"/>
          <w:sz w:val="30"/>
          <w:szCs w:val="30"/>
          <w:lang w:bidi="ar"/>
        </w:rPr>
        <w:br w:type="page"/>
      </w:r>
      <w:r>
        <w:rPr>
          <w:rFonts w:hint="eastAsia" w:ascii="黑体" w:hAnsi="宋体" w:eastAsia="黑体" w:cs="黑体"/>
          <w:snapToGrid w:val="0"/>
          <w:color w:val="000000"/>
          <w:sz w:val="30"/>
          <w:szCs w:val="30"/>
          <w:lang/>
        </w:rPr>
        <w:t>二、建设项目工程分析</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tblLayout w:type="fixed"/>
        <w:tblCellMar>
          <w:top w:w="0" w:type="dxa"/>
          <w:left w:w="108" w:type="dxa"/>
          <w:bottom w:w="0" w:type="dxa"/>
          <w:right w:w="108" w:type="dxa"/>
        </w:tblCellMar>
      </w:tblPr>
      <w:tblGrid>
        <w:gridCol w:w="383"/>
        <w:gridCol w:w="8601"/>
      </w:tblGrid>
      <w:tr w14:paraId="665D06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tblCellMar>
            <w:top w:w="0" w:type="dxa"/>
            <w:left w:w="108" w:type="dxa"/>
            <w:bottom w:w="0" w:type="dxa"/>
            <w:right w:w="108" w:type="dxa"/>
          </w:tblCellMar>
        </w:tblPrEx>
        <w:trPr>
          <w:trHeight w:val="1534" w:hRule="atLeast"/>
          <w:jc w:val="center"/>
        </w:trPr>
        <w:tc>
          <w:tcPr>
            <w:tcW w:w="383" w:type="dxa"/>
            <w:tcBorders>
              <w:top w:val="single" w:color="auto" w:sz="8" w:space="0"/>
              <w:left w:val="single" w:color="auto" w:sz="8" w:space="0"/>
              <w:bottom w:val="single" w:color="auto" w:sz="4" w:space="0"/>
              <w:right w:val="single" w:color="auto" w:sz="4" w:space="0"/>
            </w:tcBorders>
            <w:shd w:val="clear"/>
            <w:vAlign w:val="center"/>
          </w:tcPr>
          <w:p w14:paraId="697D7F2F">
            <w:pPr>
              <w:pStyle w:val="14"/>
              <w:widowControl/>
              <w:adjustRightInd w:val="0"/>
              <w:snapToGrid w:val="0"/>
              <w:spacing w:before="0" w:beforeAutospacing="0" w:after="0" w:afterAutospacing="0"/>
              <w:ind w:left="0" w:right="0"/>
              <w:jc w:val="center"/>
              <w:rPr>
                <w:rFonts w:cs="宋体"/>
                <w:color w:val="000000"/>
                <w:szCs w:val="24"/>
                <w:bdr w:val="none" w:color="auto" w:sz="0" w:space="0"/>
                <w:lang w:val="en-US" w:eastAsia="zh-CN"/>
              </w:rPr>
            </w:pPr>
            <w:r>
              <w:rPr>
                <w:rFonts w:cs="宋体"/>
                <w:color w:val="000000"/>
                <w:szCs w:val="24"/>
                <w:bdr w:val="none" w:color="auto" w:sz="0" w:space="0"/>
                <w:lang w:val="en-US" w:eastAsia="zh-CN"/>
              </w:rPr>
              <w:t>建设内容</w:t>
            </w:r>
          </w:p>
        </w:tc>
        <w:tc>
          <w:tcPr>
            <w:tcW w:w="8601" w:type="dxa"/>
            <w:tcBorders>
              <w:top w:val="single" w:color="auto" w:sz="8" w:space="0"/>
              <w:left w:val="single" w:color="auto" w:sz="4" w:space="0"/>
              <w:bottom w:val="single" w:color="auto" w:sz="4" w:space="0"/>
              <w:right w:val="single" w:color="auto" w:sz="8" w:space="0"/>
            </w:tcBorders>
            <w:shd w:val="clear"/>
            <w:vAlign w:val="top"/>
          </w:tcPr>
          <w:p w14:paraId="14713446">
            <w:pPr>
              <w:keepNext w:val="0"/>
              <w:keepLines w:val="0"/>
              <w:widowControl/>
              <w:suppressLineNumbers w:val="0"/>
              <w:spacing w:before="0" w:beforeAutospacing="0" w:after="0" w:afterAutospacing="0" w:line="440" w:lineRule="exact"/>
              <w:ind w:left="0" w:right="0"/>
              <w:jc w:val="left"/>
              <w:outlineLvl w:val="1"/>
              <w:rPr>
                <w:rFonts w:hint="default" w:ascii="Times New Roman" w:hAnsi="Times New Roman" w:cs="Times New Roman"/>
                <w:b/>
                <w:bCs/>
                <w:color w:val="000000"/>
                <w:sz w:val="24"/>
                <w:szCs w:val="24"/>
                <w:bdr w:val="none" w:color="auto" w:sz="0" w:space="0"/>
                <w:lang w:val="en-US"/>
              </w:rPr>
            </w:pPr>
            <w:r>
              <w:rPr>
                <w:rFonts w:hint="default" w:ascii="Times New Roman" w:hAnsi="Times New Roman" w:eastAsia="宋体" w:cs="Times New Roman"/>
                <w:b/>
                <w:bCs/>
                <w:color w:val="000000"/>
                <w:kern w:val="2"/>
                <w:sz w:val="24"/>
                <w:szCs w:val="24"/>
                <w:bdr w:val="none" w:color="auto" w:sz="0" w:space="0"/>
                <w:lang w:val="en-US" w:eastAsia="zh-CN" w:bidi="ar"/>
              </w:rPr>
              <w:t>2.1</w:t>
            </w:r>
            <w:r>
              <w:rPr>
                <w:rFonts w:hint="eastAsia" w:ascii="Times New Roman" w:hAnsi="Times New Roman" w:eastAsia="宋体" w:cs="宋体"/>
                <w:b/>
                <w:bCs/>
                <w:color w:val="000000"/>
                <w:kern w:val="2"/>
                <w:sz w:val="24"/>
                <w:szCs w:val="24"/>
                <w:bdr w:val="none" w:color="auto" w:sz="0" w:space="0"/>
                <w:lang w:val="en-US" w:eastAsia="zh-CN" w:bidi="ar"/>
              </w:rPr>
              <w:t>项目由来</w:t>
            </w:r>
          </w:p>
          <w:p w14:paraId="13CAA80E">
            <w:pPr>
              <w:keepNext w:val="0"/>
              <w:keepLines w:val="0"/>
              <w:widowControl w:val="0"/>
              <w:suppressLineNumbers w:val="0"/>
              <w:spacing w:before="0" w:beforeAutospacing="0" w:after="0" w:afterAutospacing="0" w:line="460" w:lineRule="exact"/>
              <w:ind w:left="0" w:right="0" w:firstLine="480" w:firstLineChars="200"/>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重庆永祺新能源科技有限公司（以下简称“永祺公司”）主要从事</w:t>
            </w:r>
            <w:r>
              <w:rPr>
                <w:rFonts w:hint="eastAsia" w:ascii="Calibri" w:hAnsi="宋体" w:eastAsia="宋体" w:cs="宋体"/>
                <w:color w:val="000000"/>
                <w:kern w:val="2"/>
                <w:sz w:val="24"/>
                <w:szCs w:val="24"/>
                <w:bdr w:val="none" w:color="auto" w:sz="0" w:space="0"/>
                <w:lang w:val="en-US" w:eastAsia="zh-CN" w:bidi="ar"/>
              </w:rPr>
              <w:t>汽车零部件及配件制造，产品应用于生产新能源汽车座椅、电池盒等部件的密封、缓冲、压紧等</w:t>
            </w:r>
            <w:r>
              <w:rPr>
                <w:rFonts w:hint="eastAsia" w:ascii="Times New Roman" w:hAnsi="Calibri" w:eastAsia="宋体" w:cs="宋体"/>
                <w:color w:val="000000"/>
                <w:kern w:val="2"/>
                <w:sz w:val="24"/>
                <w:szCs w:val="24"/>
                <w:bdr w:val="none" w:color="auto" w:sz="0" w:space="0"/>
                <w:lang w:val="en-US" w:eastAsia="zh-CN" w:bidi="ar"/>
              </w:rPr>
              <w:t>。</w:t>
            </w:r>
          </w:p>
          <w:p w14:paraId="6665A848">
            <w:pPr>
              <w:keepNext w:val="0"/>
              <w:keepLines w:val="0"/>
              <w:widowControl w:val="0"/>
              <w:suppressLineNumbers w:val="0"/>
              <w:spacing w:before="0" w:beforeAutospacing="0" w:after="0" w:afterAutospacing="0" w:line="460" w:lineRule="exact"/>
              <w:ind w:left="0" w:right="0" w:firstLine="480" w:firstLineChars="200"/>
              <w:jc w:val="both"/>
              <w:rPr>
                <w:rFonts w:hint="default" w:ascii="Times New Roman" w:hAnsi="Calibri" w:cs="Times New Roman"/>
                <w:color w:val="000000"/>
                <w:sz w:val="24"/>
                <w:szCs w:val="24"/>
                <w:bdr w:val="none" w:color="auto" w:sz="0" w:space="0"/>
                <w:lang w:val="en-US"/>
              </w:rPr>
            </w:pPr>
            <w:r>
              <w:rPr>
                <w:rFonts w:hint="default" w:ascii="Times New Roman" w:hAnsi="Calibri" w:eastAsia="宋体" w:cs="Times New Roman"/>
                <w:color w:val="000000"/>
                <w:kern w:val="2"/>
                <w:sz w:val="24"/>
                <w:szCs w:val="24"/>
                <w:bdr w:val="none" w:color="auto" w:sz="0" w:space="0"/>
                <w:lang w:val="en-US" w:eastAsia="zh-CN" w:bidi="ar"/>
              </w:rPr>
              <w:t>2023</w:t>
            </w:r>
            <w:r>
              <w:rPr>
                <w:rFonts w:hint="eastAsia" w:ascii="Times New Roman" w:hAnsi="Calibri" w:eastAsia="宋体" w:cs="宋体"/>
                <w:color w:val="000000"/>
                <w:kern w:val="2"/>
                <w:sz w:val="24"/>
                <w:szCs w:val="24"/>
                <w:bdr w:val="none" w:color="auto" w:sz="0" w:space="0"/>
                <w:lang w:val="en-US" w:eastAsia="zh-CN" w:bidi="ar"/>
              </w:rPr>
              <w:t>年，永祺公司在</w:t>
            </w:r>
            <w:r>
              <w:rPr>
                <w:rFonts w:hint="eastAsia" w:ascii="Times New Roman" w:hAnsi="Times New Roman" w:eastAsia="宋体" w:cs="宋体"/>
                <w:color w:val="000000"/>
                <w:kern w:val="2"/>
                <w:sz w:val="24"/>
                <w:szCs w:val="24"/>
                <w:bdr w:val="none" w:color="auto" w:sz="0" w:space="0"/>
                <w:lang w:val="en-US" w:eastAsia="zh-CN" w:bidi="ar"/>
              </w:rPr>
              <w:t>合川区草街街道盈田•合川工谷</w:t>
            </w:r>
            <w:r>
              <w:rPr>
                <w:rFonts w:hint="eastAsia" w:ascii="Times New Roman" w:hAnsi="Calibri" w:eastAsia="宋体" w:cs="宋体"/>
                <w:color w:val="000000"/>
                <w:kern w:val="2"/>
                <w:sz w:val="24"/>
                <w:szCs w:val="24"/>
                <w:bdr w:val="none" w:color="auto" w:sz="0" w:space="0"/>
                <w:lang w:val="en-US" w:eastAsia="zh-CN" w:bidi="ar"/>
              </w:rPr>
              <w:t>投资建设了“重庆永祺胶粘制品有限公司迁建项目”，并于</w:t>
            </w:r>
            <w:r>
              <w:rPr>
                <w:rFonts w:hint="default" w:ascii="Times New Roman" w:hAnsi="Calibri" w:eastAsia="宋体" w:cs="Times New Roman"/>
                <w:color w:val="000000"/>
                <w:kern w:val="2"/>
                <w:sz w:val="24"/>
                <w:szCs w:val="24"/>
                <w:bdr w:val="none" w:color="auto" w:sz="0" w:space="0"/>
                <w:lang w:val="en-US" w:eastAsia="zh-CN" w:bidi="ar"/>
              </w:rPr>
              <w:t>2023</w:t>
            </w:r>
            <w:r>
              <w:rPr>
                <w:rFonts w:hint="eastAsia" w:ascii="Times New Roman" w:hAnsi="Calibri" w:eastAsia="宋体" w:cs="宋体"/>
                <w:color w:val="000000"/>
                <w:kern w:val="2"/>
                <w:sz w:val="24"/>
                <w:szCs w:val="24"/>
                <w:bdr w:val="none" w:color="auto" w:sz="0" w:space="0"/>
                <w:lang w:val="en-US" w:eastAsia="zh-CN" w:bidi="ar"/>
              </w:rPr>
              <w:t>年</w:t>
            </w:r>
            <w:r>
              <w:rPr>
                <w:rFonts w:hint="default" w:ascii="Times New Roman" w:hAnsi="Calibri" w:eastAsia="宋体" w:cs="Times New Roman"/>
                <w:color w:val="000000"/>
                <w:kern w:val="2"/>
                <w:sz w:val="24"/>
                <w:szCs w:val="24"/>
                <w:bdr w:val="none" w:color="auto" w:sz="0" w:space="0"/>
                <w:lang w:val="en-US" w:eastAsia="zh-CN" w:bidi="ar"/>
              </w:rPr>
              <w:t>8</w:t>
            </w:r>
            <w:r>
              <w:rPr>
                <w:rFonts w:hint="eastAsia" w:ascii="Times New Roman" w:hAnsi="Calibri" w:eastAsia="宋体" w:cs="宋体"/>
                <w:color w:val="000000"/>
                <w:kern w:val="2"/>
                <w:sz w:val="24"/>
                <w:szCs w:val="24"/>
                <w:bdr w:val="none" w:color="auto" w:sz="0" w:space="0"/>
                <w:lang w:val="en-US" w:eastAsia="zh-CN" w:bidi="ar"/>
              </w:rPr>
              <w:t>月</w:t>
            </w:r>
            <w:r>
              <w:rPr>
                <w:rFonts w:hint="default" w:ascii="Times New Roman" w:hAnsi="Calibri" w:eastAsia="宋体" w:cs="Times New Roman"/>
                <w:color w:val="000000"/>
                <w:kern w:val="2"/>
                <w:sz w:val="24"/>
                <w:szCs w:val="24"/>
                <w:bdr w:val="none" w:color="auto" w:sz="0" w:space="0"/>
                <w:lang w:val="en-US" w:eastAsia="zh-CN" w:bidi="ar"/>
              </w:rPr>
              <w:t>15</w:t>
            </w:r>
            <w:r>
              <w:rPr>
                <w:rFonts w:hint="eastAsia" w:ascii="Times New Roman" w:hAnsi="Calibri" w:eastAsia="宋体" w:cs="宋体"/>
                <w:color w:val="000000"/>
                <w:kern w:val="2"/>
                <w:sz w:val="24"/>
                <w:szCs w:val="24"/>
                <w:bdr w:val="none" w:color="auto" w:sz="0" w:space="0"/>
                <w:lang w:val="en-US" w:eastAsia="zh-CN" w:bidi="ar"/>
              </w:rPr>
              <w:t>日取得了重庆市合川区生态环境局下发的“渝</w:t>
            </w:r>
            <w:r>
              <w:rPr>
                <w:rFonts w:hint="default" w:ascii="Times New Roman" w:hAnsi="Calibri" w:eastAsia="宋体" w:cs="Times New Roman"/>
                <w:color w:val="000000"/>
                <w:kern w:val="2"/>
                <w:sz w:val="24"/>
                <w:szCs w:val="24"/>
                <w:bdr w:val="none" w:color="auto" w:sz="0" w:space="0"/>
                <w:lang w:val="en-US" w:eastAsia="zh-CN" w:bidi="ar"/>
              </w:rPr>
              <w:t>(</w:t>
            </w:r>
            <w:r>
              <w:rPr>
                <w:rFonts w:hint="eastAsia" w:ascii="Times New Roman" w:hAnsi="Calibri" w:eastAsia="宋体" w:cs="宋体"/>
                <w:color w:val="000000"/>
                <w:kern w:val="2"/>
                <w:sz w:val="24"/>
                <w:szCs w:val="24"/>
                <w:bdr w:val="none" w:color="auto" w:sz="0" w:space="0"/>
                <w:lang w:val="en-US" w:eastAsia="zh-CN" w:bidi="ar"/>
              </w:rPr>
              <w:t>合</w:t>
            </w:r>
            <w:r>
              <w:rPr>
                <w:rFonts w:hint="default" w:ascii="Times New Roman" w:hAnsi="Calibri" w:eastAsia="宋体" w:cs="Times New Roman"/>
                <w:color w:val="000000"/>
                <w:kern w:val="2"/>
                <w:sz w:val="24"/>
                <w:szCs w:val="24"/>
                <w:bdr w:val="none" w:color="auto" w:sz="0" w:space="0"/>
                <w:lang w:val="en-US" w:eastAsia="zh-CN" w:bidi="ar"/>
              </w:rPr>
              <w:t>)</w:t>
            </w:r>
            <w:r>
              <w:rPr>
                <w:rFonts w:hint="eastAsia" w:ascii="Times New Roman" w:hAnsi="Calibri" w:eastAsia="宋体" w:cs="宋体"/>
                <w:color w:val="000000"/>
                <w:kern w:val="2"/>
                <w:sz w:val="24"/>
                <w:szCs w:val="24"/>
                <w:bdr w:val="none" w:color="auto" w:sz="0" w:space="0"/>
                <w:lang w:val="en-US" w:eastAsia="zh-CN" w:bidi="ar"/>
              </w:rPr>
              <w:t>环准</w:t>
            </w:r>
            <w:r>
              <w:rPr>
                <w:rFonts w:hint="default" w:ascii="Times New Roman" w:hAnsi="Calibri" w:eastAsia="宋体" w:cs="Times New Roman"/>
                <w:color w:val="000000"/>
                <w:kern w:val="2"/>
                <w:sz w:val="24"/>
                <w:szCs w:val="24"/>
                <w:bdr w:val="none" w:color="auto" w:sz="0" w:space="0"/>
                <w:lang w:val="en-US" w:eastAsia="zh-CN" w:bidi="ar"/>
              </w:rPr>
              <w:t>[2023]043</w:t>
            </w:r>
            <w:r>
              <w:rPr>
                <w:rFonts w:hint="eastAsia" w:ascii="Times New Roman" w:hAnsi="Calibri" w:eastAsia="宋体" w:cs="宋体"/>
                <w:color w:val="000000"/>
                <w:kern w:val="2"/>
                <w:sz w:val="24"/>
                <w:szCs w:val="24"/>
                <w:bdr w:val="none" w:color="auto" w:sz="0" w:space="0"/>
                <w:lang w:val="en-US" w:eastAsia="zh-CN" w:bidi="ar"/>
              </w:rPr>
              <w:t>号”批准书，主要建设内容为：配套设置皮革分切机、涂胶复合跳切机、高速模切机、自动四柱全断机、</w:t>
            </w:r>
            <w:r>
              <w:rPr>
                <w:rFonts w:hint="default" w:ascii="Times New Roman" w:hAnsi="Calibri" w:eastAsia="宋体" w:cs="Times New Roman"/>
                <w:color w:val="000000"/>
                <w:kern w:val="2"/>
                <w:sz w:val="24"/>
                <w:szCs w:val="24"/>
                <w:bdr w:val="none" w:color="auto" w:sz="0" w:space="0"/>
                <w:lang w:val="en-US" w:eastAsia="zh-CN" w:bidi="ar"/>
              </w:rPr>
              <w:t>CO</w:t>
            </w:r>
            <w:r>
              <w:rPr>
                <w:rFonts w:hint="default" w:ascii="Times New Roman" w:hAnsi="Calibri" w:eastAsia="宋体" w:cs="Times New Roman"/>
                <w:color w:val="000000"/>
                <w:kern w:val="2"/>
                <w:sz w:val="24"/>
                <w:szCs w:val="24"/>
                <w:bdr w:val="none" w:color="auto" w:sz="0" w:space="0"/>
                <w:vertAlign w:val="subscript"/>
                <w:lang w:val="en-US" w:eastAsia="zh-CN" w:bidi="ar"/>
              </w:rPr>
              <w:t>2</w:t>
            </w:r>
            <w:r>
              <w:rPr>
                <w:rFonts w:hint="eastAsia" w:ascii="Times New Roman" w:hAnsi="Calibri" w:eastAsia="宋体" w:cs="宋体"/>
                <w:color w:val="000000"/>
                <w:kern w:val="2"/>
                <w:sz w:val="24"/>
                <w:szCs w:val="24"/>
                <w:bdr w:val="none" w:color="auto" w:sz="0" w:space="0"/>
                <w:lang w:val="en-US" w:eastAsia="zh-CN" w:bidi="ar"/>
              </w:rPr>
              <w:t>激光雕刻机、雕刻机等设备，年产装饰条</w:t>
            </w:r>
            <w:r>
              <w:rPr>
                <w:rFonts w:hint="default" w:ascii="Times New Roman" w:hAnsi="Calibri" w:eastAsia="宋体" w:cs="Times New Roman"/>
                <w:color w:val="000000"/>
                <w:kern w:val="2"/>
                <w:sz w:val="24"/>
                <w:szCs w:val="24"/>
                <w:bdr w:val="none" w:color="auto" w:sz="0" w:space="0"/>
                <w:lang w:val="en-US" w:eastAsia="zh-CN" w:bidi="ar"/>
              </w:rPr>
              <w:t>1.5</w:t>
            </w:r>
            <w:r>
              <w:rPr>
                <w:rFonts w:hint="eastAsia" w:ascii="Times New Roman" w:hAnsi="Calibri" w:eastAsia="宋体" w:cs="宋体"/>
                <w:color w:val="000000"/>
                <w:kern w:val="2"/>
                <w:sz w:val="24"/>
                <w:szCs w:val="24"/>
                <w:bdr w:val="none" w:color="auto" w:sz="0" w:space="0"/>
                <w:lang w:val="en-US" w:eastAsia="zh-CN" w:bidi="ar"/>
              </w:rPr>
              <w:t>万</w:t>
            </w:r>
            <w:r>
              <w:rPr>
                <w:rFonts w:hint="default" w:ascii="Times New Roman" w:hAnsi="Calibri" w:eastAsia="宋体" w:cs="Times New Roman"/>
                <w:color w:val="000000"/>
                <w:kern w:val="2"/>
                <w:sz w:val="24"/>
                <w:szCs w:val="24"/>
                <w:bdr w:val="none" w:color="auto" w:sz="0" w:space="0"/>
                <w:lang w:val="en-US" w:eastAsia="zh-CN" w:bidi="ar"/>
              </w:rPr>
              <w:t>m</w:t>
            </w:r>
            <w:r>
              <w:rPr>
                <w:rFonts w:hint="default" w:ascii="Times New Roman" w:hAnsi="Calibri" w:eastAsia="宋体" w:cs="Times New Roman"/>
                <w:color w:val="000000"/>
                <w:kern w:val="2"/>
                <w:sz w:val="24"/>
                <w:szCs w:val="24"/>
                <w:bdr w:val="none" w:color="auto" w:sz="0" w:space="0"/>
                <w:vertAlign w:val="superscript"/>
                <w:lang w:val="en-US" w:eastAsia="zh-CN" w:bidi="ar"/>
              </w:rPr>
              <w:t>2</w:t>
            </w:r>
            <w:r>
              <w:rPr>
                <w:rFonts w:hint="eastAsia" w:ascii="Times New Roman" w:hAnsi="Calibri" w:eastAsia="宋体" w:cs="宋体"/>
                <w:color w:val="000000"/>
                <w:kern w:val="2"/>
                <w:sz w:val="24"/>
                <w:szCs w:val="24"/>
                <w:bdr w:val="none" w:color="auto" w:sz="0" w:space="0"/>
                <w:lang w:val="en-US" w:eastAsia="zh-CN" w:bidi="ar"/>
              </w:rPr>
              <w:t>、泡棉制品</w:t>
            </w:r>
            <w:r>
              <w:rPr>
                <w:rFonts w:hint="default" w:ascii="Times New Roman" w:hAnsi="Calibri" w:eastAsia="宋体" w:cs="Times New Roman"/>
                <w:color w:val="000000"/>
                <w:kern w:val="2"/>
                <w:sz w:val="24"/>
                <w:szCs w:val="24"/>
                <w:bdr w:val="none" w:color="auto" w:sz="0" w:space="0"/>
                <w:lang w:val="en-US" w:eastAsia="zh-CN" w:bidi="ar"/>
              </w:rPr>
              <w:t>1.5</w:t>
            </w:r>
            <w:r>
              <w:rPr>
                <w:rFonts w:hint="eastAsia" w:ascii="Times New Roman" w:hAnsi="Calibri" w:eastAsia="宋体" w:cs="宋体"/>
                <w:color w:val="000000"/>
                <w:kern w:val="2"/>
                <w:sz w:val="24"/>
                <w:szCs w:val="24"/>
                <w:bdr w:val="none" w:color="auto" w:sz="0" w:space="0"/>
                <w:lang w:val="en-US" w:eastAsia="zh-CN" w:bidi="ar"/>
              </w:rPr>
              <w:t>万</w:t>
            </w:r>
            <w:r>
              <w:rPr>
                <w:rFonts w:hint="default" w:ascii="Times New Roman" w:hAnsi="Calibri" w:eastAsia="宋体" w:cs="Times New Roman"/>
                <w:color w:val="000000"/>
                <w:kern w:val="2"/>
                <w:sz w:val="24"/>
                <w:szCs w:val="24"/>
                <w:bdr w:val="none" w:color="auto" w:sz="0" w:space="0"/>
                <w:lang w:val="en-US" w:eastAsia="zh-CN" w:bidi="ar"/>
              </w:rPr>
              <w:t>m</w:t>
            </w:r>
            <w:r>
              <w:rPr>
                <w:rFonts w:hint="default" w:ascii="Times New Roman" w:hAnsi="Calibri" w:eastAsia="宋体" w:cs="Times New Roman"/>
                <w:color w:val="000000"/>
                <w:kern w:val="2"/>
                <w:sz w:val="24"/>
                <w:szCs w:val="24"/>
                <w:bdr w:val="none" w:color="auto" w:sz="0" w:space="0"/>
                <w:vertAlign w:val="superscript"/>
                <w:lang w:val="en-US" w:eastAsia="zh-CN" w:bidi="ar"/>
              </w:rPr>
              <w:t>2</w:t>
            </w:r>
            <w:r>
              <w:rPr>
                <w:rFonts w:hint="eastAsia" w:ascii="Times New Roman" w:hAnsi="Calibri" w:eastAsia="宋体" w:cs="宋体"/>
                <w:color w:val="000000"/>
                <w:kern w:val="2"/>
                <w:sz w:val="24"/>
                <w:szCs w:val="24"/>
                <w:bdr w:val="none" w:color="auto" w:sz="0" w:space="0"/>
                <w:lang w:val="en-US" w:eastAsia="zh-CN" w:bidi="ar"/>
              </w:rPr>
              <w:t>、云母板</w:t>
            </w:r>
            <w:r>
              <w:rPr>
                <w:rFonts w:hint="default" w:ascii="Times New Roman" w:hAnsi="Calibri" w:eastAsia="宋体" w:cs="Times New Roman"/>
                <w:color w:val="000000"/>
                <w:kern w:val="2"/>
                <w:sz w:val="24"/>
                <w:szCs w:val="24"/>
                <w:bdr w:val="none" w:color="auto" w:sz="0" w:space="0"/>
                <w:lang w:val="en-US" w:eastAsia="zh-CN" w:bidi="ar"/>
              </w:rPr>
              <w:t>1.2</w:t>
            </w:r>
            <w:r>
              <w:rPr>
                <w:rFonts w:hint="eastAsia" w:ascii="Times New Roman" w:hAnsi="Calibri" w:eastAsia="宋体" w:cs="宋体"/>
                <w:color w:val="000000"/>
                <w:kern w:val="2"/>
                <w:sz w:val="24"/>
                <w:szCs w:val="24"/>
                <w:bdr w:val="none" w:color="auto" w:sz="0" w:space="0"/>
                <w:lang w:val="en-US" w:eastAsia="zh-CN" w:bidi="ar"/>
              </w:rPr>
              <w:t>万片。</w:t>
            </w:r>
            <w:r>
              <w:rPr>
                <w:rFonts w:hint="default" w:ascii="Times New Roman" w:hAnsi="Calibri" w:eastAsia="宋体" w:cs="Times New Roman"/>
                <w:color w:val="000000"/>
                <w:kern w:val="2"/>
                <w:sz w:val="24"/>
                <w:szCs w:val="24"/>
                <w:bdr w:val="none" w:color="auto" w:sz="0" w:space="0"/>
                <w:lang w:val="en-US" w:eastAsia="zh-CN" w:bidi="ar"/>
              </w:rPr>
              <w:t>2023</w:t>
            </w:r>
            <w:r>
              <w:rPr>
                <w:rFonts w:hint="eastAsia" w:ascii="Times New Roman" w:hAnsi="Calibri" w:eastAsia="宋体" w:cs="宋体"/>
                <w:color w:val="000000"/>
                <w:kern w:val="2"/>
                <w:sz w:val="24"/>
                <w:szCs w:val="24"/>
                <w:bdr w:val="none" w:color="auto" w:sz="0" w:space="0"/>
                <w:lang w:val="en-US" w:eastAsia="zh-CN" w:bidi="ar"/>
              </w:rPr>
              <w:t>年</w:t>
            </w:r>
            <w:r>
              <w:rPr>
                <w:rFonts w:hint="default" w:ascii="Times New Roman" w:hAnsi="Calibri" w:eastAsia="宋体" w:cs="Times New Roman"/>
                <w:color w:val="000000"/>
                <w:kern w:val="2"/>
                <w:sz w:val="24"/>
                <w:szCs w:val="24"/>
                <w:bdr w:val="none" w:color="auto" w:sz="0" w:space="0"/>
                <w:lang w:val="en-US" w:eastAsia="zh-CN" w:bidi="ar"/>
              </w:rPr>
              <w:t>12</w:t>
            </w:r>
            <w:r>
              <w:rPr>
                <w:rFonts w:hint="eastAsia" w:ascii="Times New Roman" w:hAnsi="Calibri" w:eastAsia="宋体" w:cs="宋体"/>
                <w:color w:val="000000"/>
                <w:kern w:val="2"/>
                <w:sz w:val="24"/>
                <w:szCs w:val="24"/>
                <w:bdr w:val="none" w:color="auto" w:sz="0" w:space="0"/>
                <w:lang w:val="en-US" w:eastAsia="zh-CN" w:bidi="ar"/>
              </w:rPr>
              <w:t>月，项目通过竣工环保验收，取得了“重庆永祺胶粘制品有限公司迁建项目竣工环境保护验收意见”。</w:t>
            </w:r>
          </w:p>
          <w:p w14:paraId="651E2EE5">
            <w:pPr>
              <w:keepNext w:val="0"/>
              <w:keepLines w:val="0"/>
              <w:widowControl w:val="0"/>
              <w:suppressLineNumbers w:val="0"/>
              <w:spacing w:before="0" w:beforeAutospacing="0" w:after="0" w:afterAutospacing="0" w:line="460" w:lineRule="exact"/>
              <w:ind w:left="0" w:right="0" w:firstLine="480" w:firstLineChars="200"/>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目前，随着社会新能源车辆的不断发展，为适应市场需求，永祺公司在不改变现有生产工艺流程的基础上新增生产设备数量，同时增加夜间生产班次，扩大产能，投资建设“永祺汽车配件扩建项目”（以下简称“扩建项目”），项目建成后，形成年产装饰条</w:t>
            </w:r>
            <w:r>
              <w:rPr>
                <w:rFonts w:hint="default" w:ascii="Times New Roman" w:hAnsi="Calibri" w:eastAsia="宋体" w:cs="Times New Roman"/>
                <w:color w:val="000000"/>
                <w:kern w:val="2"/>
                <w:sz w:val="24"/>
                <w:szCs w:val="24"/>
                <w:bdr w:val="none" w:color="auto" w:sz="0" w:space="0"/>
                <w:lang w:val="en-US" w:eastAsia="zh-CN" w:bidi="ar"/>
              </w:rPr>
              <w:t>3</w:t>
            </w:r>
            <w:r>
              <w:rPr>
                <w:rFonts w:hint="eastAsia" w:ascii="Times New Roman" w:hAnsi="Calibri" w:eastAsia="宋体" w:cs="宋体"/>
                <w:color w:val="000000"/>
                <w:kern w:val="2"/>
                <w:sz w:val="24"/>
                <w:szCs w:val="24"/>
                <w:bdr w:val="none" w:color="auto" w:sz="0" w:space="0"/>
                <w:lang w:val="en-US" w:eastAsia="zh-CN" w:bidi="ar"/>
              </w:rPr>
              <w:t>万</w:t>
            </w:r>
            <w:r>
              <w:rPr>
                <w:rFonts w:hint="default" w:ascii="Times New Roman" w:hAnsi="Calibri" w:eastAsia="宋体" w:cs="Times New Roman"/>
                <w:color w:val="000000"/>
                <w:kern w:val="2"/>
                <w:sz w:val="24"/>
                <w:szCs w:val="24"/>
                <w:bdr w:val="none" w:color="auto" w:sz="0" w:space="0"/>
                <w:lang w:val="en-US" w:eastAsia="zh-CN" w:bidi="ar"/>
              </w:rPr>
              <w:t>m</w:t>
            </w:r>
            <w:r>
              <w:rPr>
                <w:rFonts w:hint="default" w:ascii="Times New Roman" w:hAnsi="Calibri" w:eastAsia="宋体" w:cs="Times New Roman"/>
                <w:color w:val="000000"/>
                <w:kern w:val="2"/>
                <w:sz w:val="24"/>
                <w:szCs w:val="24"/>
                <w:bdr w:val="none" w:color="auto" w:sz="0" w:space="0"/>
                <w:vertAlign w:val="superscript"/>
                <w:lang w:val="en-US" w:eastAsia="zh-CN" w:bidi="ar"/>
              </w:rPr>
              <w:t>2</w:t>
            </w:r>
            <w:r>
              <w:rPr>
                <w:rFonts w:hint="eastAsia" w:ascii="Times New Roman" w:hAnsi="Calibri" w:eastAsia="宋体" w:cs="宋体"/>
                <w:color w:val="000000"/>
                <w:kern w:val="2"/>
                <w:sz w:val="24"/>
                <w:szCs w:val="24"/>
                <w:bdr w:val="none" w:color="auto" w:sz="0" w:space="0"/>
                <w:lang w:val="en-US" w:eastAsia="zh-CN" w:bidi="ar"/>
              </w:rPr>
              <w:t>、泡棉制品</w:t>
            </w:r>
            <w:r>
              <w:rPr>
                <w:rFonts w:hint="default" w:ascii="Times New Roman" w:hAnsi="Calibri" w:eastAsia="宋体" w:cs="Times New Roman"/>
                <w:color w:val="000000"/>
                <w:kern w:val="2"/>
                <w:sz w:val="24"/>
                <w:szCs w:val="24"/>
                <w:bdr w:val="none" w:color="auto" w:sz="0" w:space="0"/>
                <w:lang w:val="en-US" w:eastAsia="zh-CN" w:bidi="ar"/>
              </w:rPr>
              <w:t>5</w:t>
            </w:r>
            <w:r>
              <w:rPr>
                <w:rFonts w:hint="eastAsia" w:ascii="Times New Roman" w:hAnsi="Calibri" w:eastAsia="宋体" w:cs="宋体"/>
                <w:color w:val="000000"/>
                <w:kern w:val="2"/>
                <w:sz w:val="24"/>
                <w:szCs w:val="24"/>
                <w:bdr w:val="none" w:color="auto" w:sz="0" w:space="0"/>
                <w:lang w:val="en-US" w:eastAsia="zh-CN" w:bidi="ar"/>
              </w:rPr>
              <w:t>万</w:t>
            </w:r>
            <w:r>
              <w:rPr>
                <w:rFonts w:hint="default" w:ascii="Times New Roman" w:hAnsi="Calibri" w:eastAsia="宋体" w:cs="Times New Roman"/>
                <w:color w:val="000000"/>
                <w:kern w:val="2"/>
                <w:sz w:val="24"/>
                <w:szCs w:val="24"/>
                <w:bdr w:val="none" w:color="auto" w:sz="0" w:space="0"/>
                <w:lang w:val="en-US" w:eastAsia="zh-CN" w:bidi="ar"/>
              </w:rPr>
              <w:t>m</w:t>
            </w:r>
            <w:r>
              <w:rPr>
                <w:rFonts w:hint="default" w:ascii="Times New Roman" w:hAnsi="Calibri" w:eastAsia="宋体" w:cs="Times New Roman"/>
                <w:color w:val="000000"/>
                <w:kern w:val="2"/>
                <w:sz w:val="24"/>
                <w:szCs w:val="24"/>
                <w:bdr w:val="none" w:color="auto" w:sz="0" w:space="0"/>
                <w:vertAlign w:val="superscript"/>
                <w:lang w:val="en-US" w:eastAsia="zh-CN" w:bidi="ar"/>
              </w:rPr>
              <w:t>2</w:t>
            </w:r>
            <w:r>
              <w:rPr>
                <w:rFonts w:hint="eastAsia" w:ascii="Times New Roman" w:hAnsi="Calibri" w:eastAsia="宋体" w:cs="宋体"/>
                <w:color w:val="000000"/>
                <w:kern w:val="2"/>
                <w:sz w:val="24"/>
                <w:szCs w:val="24"/>
                <w:bdr w:val="none" w:color="auto" w:sz="0" w:space="0"/>
                <w:lang w:val="en-US" w:eastAsia="zh-CN" w:bidi="ar"/>
              </w:rPr>
              <w:t>、云母板</w:t>
            </w:r>
            <w:r>
              <w:rPr>
                <w:rFonts w:hint="default" w:ascii="Times New Roman" w:hAnsi="Calibri" w:eastAsia="宋体" w:cs="Times New Roman"/>
                <w:color w:val="000000"/>
                <w:kern w:val="2"/>
                <w:sz w:val="24"/>
                <w:szCs w:val="24"/>
                <w:bdr w:val="none" w:color="auto" w:sz="0" w:space="0"/>
                <w:lang w:val="en-US" w:eastAsia="zh-CN" w:bidi="ar"/>
              </w:rPr>
              <w:t>2</w:t>
            </w:r>
            <w:r>
              <w:rPr>
                <w:rFonts w:hint="eastAsia" w:ascii="Times New Roman" w:hAnsi="Calibri" w:eastAsia="宋体" w:cs="宋体"/>
                <w:color w:val="000000"/>
                <w:kern w:val="2"/>
                <w:sz w:val="24"/>
                <w:szCs w:val="24"/>
                <w:bdr w:val="none" w:color="auto" w:sz="0" w:space="0"/>
                <w:lang w:val="en-US" w:eastAsia="zh-CN" w:bidi="ar"/>
              </w:rPr>
              <w:t>万片的规模。</w:t>
            </w:r>
          </w:p>
          <w:p w14:paraId="722B4A45">
            <w:pPr>
              <w:keepNext w:val="0"/>
              <w:keepLines w:val="0"/>
              <w:widowControl w:val="0"/>
              <w:suppressLineNumbers w:val="0"/>
              <w:spacing w:before="0" w:beforeAutospacing="0" w:after="0" w:afterAutospacing="0" w:line="460" w:lineRule="exact"/>
              <w:ind w:left="0" w:right="0" w:firstLine="480" w:firstLineChars="200"/>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重庆市合川区发展和改革委员会以项目代码：</w:t>
            </w:r>
            <w:r>
              <w:rPr>
                <w:rFonts w:hint="default" w:ascii="Times New Roman" w:hAnsi="Times New Roman" w:eastAsia="宋体" w:cs="Times New Roman"/>
                <w:color w:val="000000"/>
                <w:kern w:val="2"/>
                <w:sz w:val="24"/>
                <w:szCs w:val="24"/>
                <w:bdr w:val="none" w:color="auto" w:sz="0" w:space="0"/>
                <w:lang w:val="en-US" w:eastAsia="zh-CN" w:bidi="ar"/>
              </w:rPr>
              <w:t>2502-500117-04-01-216976</w:t>
            </w:r>
            <w:r>
              <w:rPr>
                <w:rFonts w:hint="eastAsia" w:ascii="Times New Roman" w:hAnsi="Calibri" w:eastAsia="宋体" w:cs="宋体"/>
                <w:color w:val="000000"/>
                <w:kern w:val="2"/>
                <w:sz w:val="24"/>
                <w:szCs w:val="24"/>
                <w:bdr w:val="none" w:color="auto" w:sz="0" w:space="0"/>
                <w:lang w:val="en-US" w:eastAsia="zh-CN" w:bidi="ar"/>
              </w:rPr>
              <w:t>《重庆市企业投资项目备案证》对扩建项目予以投资备案（附件</w:t>
            </w:r>
            <w:r>
              <w:rPr>
                <w:rFonts w:hint="default" w:ascii="Times New Roman" w:hAnsi="Calibri" w:eastAsia="宋体" w:cs="Times New Roman"/>
                <w:color w:val="000000"/>
                <w:kern w:val="2"/>
                <w:sz w:val="24"/>
                <w:szCs w:val="24"/>
                <w:bdr w:val="none" w:color="auto" w:sz="0" w:space="0"/>
                <w:lang w:val="en-US" w:eastAsia="zh-CN" w:bidi="ar"/>
              </w:rPr>
              <w:t>2</w:t>
            </w:r>
            <w:r>
              <w:rPr>
                <w:rFonts w:hint="eastAsia" w:ascii="Times New Roman" w:hAnsi="Calibri" w:eastAsia="宋体" w:cs="宋体"/>
                <w:color w:val="000000"/>
                <w:kern w:val="2"/>
                <w:sz w:val="24"/>
                <w:szCs w:val="24"/>
                <w:bdr w:val="none" w:color="auto" w:sz="0" w:space="0"/>
                <w:lang w:val="en-US" w:eastAsia="zh-CN" w:bidi="ar"/>
              </w:rPr>
              <w:t>）。</w:t>
            </w:r>
          </w:p>
          <w:p w14:paraId="4023E329">
            <w:pPr>
              <w:keepNext w:val="0"/>
              <w:keepLines w:val="0"/>
              <w:widowControl w:val="0"/>
              <w:suppressLineNumbers w:val="0"/>
              <w:spacing w:before="0" w:beforeAutospacing="0" w:after="0" w:afterAutospacing="0" w:line="46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根据《中华人民共和国环境影响评价法》和《建设项目环境影响评价分类管理名录》</w:t>
            </w:r>
            <w:r>
              <w:rPr>
                <w:rFonts w:hint="default" w:ascii="Times New Roman" w:hAnsi="Times New Roman" w:eastAsia="宋体" w:cs="Times New Roman"/>
                <w:color w:val="000000"/>
                <w:kern w:val="2"/>
                <w:sz w:val="24"/>
                <w:szCs w:val="24"/>
                <w:bdr w:val="none" w:color="auto" w:sz="0" w:space="0"/>
                <w:lang w:val="en-US" w:eastAsia="zh-CN" w:bidi="ar"/>
              </w:rPr>
              <w:t>(2021</w:t>
            </w:r>
            <w:r>
              <w:rPr>
                <w:rFonts w:hint="eastAsia" w:ascii="Times New Roman" w:hAnsi="Times New Roman" w:eastAsia="宋体" w:cs="宋体"/>
                <w:color w:val="000000"/>
                <w:kern w:val="2"/>
                <w:sz w:val="24"/>
                <w:szCs w:val="24"/>
                <w:bdr w:val="none" w:color="auto" w:sz="0" w:space="0"/>
                <w:lang w:val="en-US" w:eastAsia="zh-CN" w:bidi="ar"/>
              </w:rPr>
              <w:t>年版</w:t>
            </w:r>
            <w:r>
              <w:rPr>
                <w:rFonts w:hint="default" w:ascii="Times New Roman" w:hAnsi="Times New Roman" w:eastAsia="宋体" w:cs="Times New Roman"/>
                <w:color w:val="000000"/>
                <w:kern w:val="2"/>
                <w:sz w:val="24"/>
                <w:szCs w:val="24"/>
                <w:bdr w:val="none" w:color="auto" w:sz="0" w:space="0"/>
                <w:lang w:val="en-US" w:eastAsia="zh-CN" w:bidi="ar"/>
              </w:rPr>
              <w:t>)</w:t>
            </w:r>
            <w:r>
              <w:rPr>
                <w:rFonts w:hint="eastAsia" w:ascii="Times New Roman" w:hAnsi="宋体" w:eastAsia="宋体" w:cs="宋体"/>
                <w:color w:val="000000"/>
                <w:kern w:val="2"/>
                <w:sz w:val="24"/>
                <w:szCs w:val="24"/>
                <w:bdr w:val="none" w:color="auto" w:sz="0" w:space="0"/>
                <w:lang w:val="en-US" w:eastAsia="zh-CN" w:bidi="ar"/>
              </w:rPr>
              <w:t>，项目属于“三十三、汽车制造业</w:t>
            </w:r>
            <w:r>
              <w:rPr>
                <w:rFonts w:hint="default" w:ascii="Times New Roman" w:hAnsi="宋体" w:eastAsia="宋体" w:cs="Times New Roman"/>
                <w:color w:val="000000"/>
                <w:kern w:val="2"/>
                <w:sz w:val="24"/>
                <w:szCs w:val="24"/>
                <w:bdr w:val="none" w:color="auto" w:sz="0" w:space="0"/>
                <w:lang w:val="en-US" w:eastAsia="zh-CN" w:bidi="ar"/>
              </w:rPr>
              <w:t>36-71</w:t>
            </w:r>
            <w:r>
              <w:rPr>
                <w:rFonts w:hint="eastAsia" w:ascii="Times New Roman" w:hAnsi="宋体" w:eastAsia="宋体" w:cs="宋体"/>
                <w:color w:val="000000"/>
                <w:kern w:val="2"/>
                <w:sz w:val="24"/>
                <w:szCs w:val="24"/>
                <w:bdr w:val="none" w:color="auto" w:sz="0" w:space="0"/>
                <w:lang w:val="en-US" w:eastAsia="zh-CN" w:bidi="ar"/>
              </w:rPr>
              <w:t>汽车零部件及配件制造</w:t>
            </w:r>
            <w:r>
              <w:rPr>
                <w:rFonts w:hint="default" w:ascii="Times New Roman" w:hAnsi="宋体" w:eastAsia="宋体" w:cs="Times New Roman"/>
                <w:color w:val="000000"/>
                <w:kern w:val="2"/>
                <w:sz w:val="24"/>
                <w:szCs w:val="24"/>
                <w:bdr w:val="none" w:color="auto" w:sz="0" w:space="0"/>
                <w:lang w:val="en-US" w:eastAsia="zh-CN" w:bidi="ar"/>
              </w:rPr>
              <w:t>367</w:t>
            </w:r>
            <w:r>
              <w:rPr>
                <w:rFonts w:hint="eastAsia" w:ascii="Times New Roman" w:hAnsi="宋体" w:eastAsia="宋体" w:cs="宋体"/>
                <w:color w:val="000000"/>
                <w:kern w:val="2"/>
                <w:sz w:val="24"/>
                <w:szCs w:val="24"/>
                <w:bdr w:val="none" w:color="auto" w:sz="0" w:space="0"/>
                <w:lang w:val="en-US" w:eastAsia="zh-CN" w:bidi="ar"/>
              </w:rPr>
              <w:t>”中“其他”</w:t>
            </w:r>
            <w:r>
              <w:rPr>
                <w:rFonts w:hint="eastAsia" w:ascii="Times New Roman" w:hAnsi="Times New Roman" w:eastAsia="宋体" w:cs="宋体"/>
                <w:color w:val="000000"/>
                <w:kern w:val="2"/>
                <w:sz w:val="24"/>
                <w:szCs w:val="24"/>
                <w:bdr w:val="none" w:color="auto" w:sz="0" w:space="0"/>
                <w:lang w:val="en-US" w:eastAsia="zh-CN" w:bidi="ar"/>
              </w:rPr>
              <w:t>，应编制环境影响报告表。</w:t>
            </w:r>
            <w:r>
              <w:rPr>
                <w:rFonts w:hint="eastAsia" w:ascii="Times New Roman" w:hAnsi="Calibri" w:eastAsia="宋体" w:cs="宋体"/>
                <w:color w:val="000000"/>
                <w:kern w:val="2"/>
                <w:sz w:val="24"/>
                <w:szCs w:val="24"/>
                <w:bdr w:val="none" w:color="auto" w:sz="0" w:space="0"/>
                <w:lang w:val="en-US" w:eastAsia="zh-CN" w:bidi="ar"/>
              </w:rPr>
              <w:t>重庆永祺新能源科技有限公司</w:t>
            </w:r>
            <w:r>
              <w:rPr>
                <w:rFonts w:hint="eastAsia" w:ascii="Times New Roman" w:hAnsi="Times New Roman" w:eastAsia="宋体" w:cs="宋体"/>
                <w:color w:val="000000"/>
                <w:kern w:val="2"/>
                <w:sz w:val="24"/>
                <w:szCs w:val="24"/>
                <w:bdr w:val="none" w:color="auto" w:sz="0" w:space="0"/>
                <w:lang w:val="en-US" w:eastAsia="zh-CN" w:bidi="ar"/>
              </w:rPr>
              <w:t>特委托重庆吉麟科技发展有限公司承担扩建项目环境影响评价工作。接受委托后，我公司立即组织有关技术人员进行现场踏勘、收集资料，依据国家有关法规和环境影响评价技术导则，编制完成《</w:t>
            </w:r>
            <w:r>
              <w:rPr>
                <w:rFonts w:hint="eastAsia" w:ascii="Times New Roman" w:hAnsi="Calibri" w:eastAsia="宋体" w:cs="宋体"/>
                <w:color w:val="000000"/>
                <w:kern w:val="2"/>
                <w:sz w:val="24"/>
                <w:szCs w:val="24"/>
                <w:bdr w:val="none" w:color="auto" w:sz="0" w:space="0"/>
                <w:lang w:val="en-US" w:eastAsia="zh-CN" w:bidi="ar"/>
              </w:rPr>
              <w:t>永祺汽车配件扩建项目</w:t>
            </w:r>
            <w:r>
              <w:rPr>
                <w:rFonts w:hint="eastAsia" w:ascii="Times New Roman" w:hAnsi="Times New Roman" w:eastAsia="宋体" w:cs="宋体"/>
                <w:color w:val="000000"/>
                <w:kern w:val="2"/>
                <w:sz w:val="24"/>
                <w:szCs w:val="24"/>
                <w:bdr w:val="none" w:color="auto" w:sz="0" w:space="0"/>
                <w:lang w:val="en-US" w:eastAsia="zh-CN" w:bidi="ar"/>
              </w:rPr>
              <w:t>环境影响报告表》。</w:t>
            </w:r>
          </w:p>
          <w:p w14:paraId="13A5E366">
            <w:pPr>
              <w:keepNext w:val="0"/>
              <w:keepLines w:val="0"/>
              <w:widowControl/>
              <w:suppressLineNumbers w:val="0"/>
              <w:spacing w:before="0" w:beforeAutospacing="0" w:after="0" w:afterAutospacing="0" w:line="440" w:lineRule="exact"/>
              <w:ind w:left="0" w:right="0"/>
              <w:jc w:val="left"/>
              <w:outlineLvl w:val="1"/>
              <w:rPr>
                <w:rFonts w:hint="default" w:ascii="Times New Roman" w:hAnsi="Times New Roman" w:cs="Times New Roman"/>
                <w:b/>
                <w:bCs/>
                <w:color w:val="000000"/>
                <w:sz w:val="24"/>
                <w:szCs w:val="24"/>
                <w:bdr w:val="none" w:color="auto" w:sz="0" w:space="0"/>
                <w:lang w:val="en-US"/>
              </w:rPr>
            </w:pPr>
            <w:r>
              <w:rPr>
                <w:rFonts w:hint="default" w:ascii="Times New Roman" w:hAnsi="Times New Roman" w:eastAsia="宋体" w:cs="Times New Roman"/>
                <w:b/>
                <w:bCs/>
                <w:color w:val="000000"/>
                <w:kern w:val="2"/>
                <w:sz w:val="24"/>
                <w:szCs w:val="24"/>
                <w:bdr w:val="none" w:color="auto" w:sz="0" w:space="0"/>
                <w:lang w:val="en-US" w:eastAsia="zh-CN" w:bidi="ar"/>
              </w:rPr>
              <w:t>2.2</w:t>
            </w:r>
            <w:r>
              <w:rPr>
                <w:rFonts w:hint="eastAsia" w:ascii="Times New Roman" w:hAnsi="Times New Roman" w:eastAsia="宋体" w:cs="宋体"/>
                <w:b/>
                <w:bCs/>
                <w:color w:val="000000"/>
                <w:kern w:val="2"/>
                <w:sz w:val="24"/>
                <w:szCs w:val="24"/>
                <w:bdr w:val="none" w:color="auto" w:sz="0" w:space="0"/>
                <w:lang w:val="en-US" w:eastAsia="zh-CN" w:bidi="ar"/>
              </w:rPr>
              <w:t>评价构思</w:t>
            </w:r>
          </w:p>
          <w:p w14:paraId="0D17B1D3">
            <w:pPr>
              <w:keepNext w:val="0"/>
              <w:keepLines w:val="0"/>
              <w:widowControl w:val="0"/>
              <w:suppressLineNumbers w:val="0"/>
              <w:spacing w:before="0" w:beforeAutospacing="0" w:after="0" w:afterAutospacing="0" w:line="460" w:lineRule="exact"/>
              <w:ind w:left="0" w:right="0" w:firstLine="480" w:firstLineChars="200"/>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由于扩建项目生产工艺流程、产品等未发生改变，与现有工程设施、污染防治措施等存在依托关系，且新增生产设备数量、原辅材料用量、生产时间等，导致厂区现有部分设施平面布局、污染物排放发生变化。因此，本次运营期产排污分析将根据扩建后的全厂情况重新进行整体评价。</w:t>
            </w:r>
          </w:p>
          <w:p w14:paraId="2DC1AE2C">
            <w:pPr>
              <w:keepNext w:val="0"/>
              <w:keepLines w:val="0"/>
              <w:widowControl/>
              <w:suppressLineNumbers w:val="0"/>
              <w:spacing w:before="0" w:beforeAutospacing="0" w:after="0" w:afterAutospacing="0" w:line="440" w:lineRule="exact"/>
              <w:ind w:left="0" w:right="0"/>
              <w:jc w:val="left"/>
              <w:outlineLvl w:val="1"/>
              <w:rPr>
                <w:rFonts w:hint="default" w:ascii="Times New Roman" w:hAnsi="Times New Roman" w:cs="Times New Roman"/>
                <w:b/>
                <w:bCs/>
                <w:color w:val="000000"/>
                <w:sz w:val="24"/>
                <w:szCs w:val="24"/>
                <w:bdr w:val="none" w:color="auto" w:sz="0" w:space="0"/>
                <w:lang w:val="en-US"/>
              </w:rPr>
            </w:pPr>
            <w:r>
              <w:rPr>
                <w:rFonts w:hint="default" w:ascii="Times New Roman" w:hAnsi="Times New Roman" w:eastAsia="宋体" w:cs="Times New Roman"/>
                <w:b/>
                <w:bCs/>
                <w:color w:val="000000"/>
                <w:kern w:val="2"/>
                <w:sz w:val="24"/>
                <w:szCs w:val="24"/>
                <w:bdr w:val="none" w:color="auto" w:sz="0" w:space="0"/>
                <w:lang w:val="en-US" w:eastAsia="zh-CN" w:bidi="ar"/>
              </w:rPr>
              <w:t>2.3</w:t>
            </w:r>
            <w:r>
              <w:rPr>
                <w:rFonts w:hint="eastAsia" w:ascii="Times New Roman" w:hAnsi="Times New Roman" w:eastAsia="宋体" w:cs="宋体"/>
                <w:b/>
                <w:bCs/>
                <w:color w:val="000000"/>
                <w:kern w:val="2"/>
                <w:sz w:val="24"/>
                <w:szCs w:val="24"/>
                <w:bdr w:val="none" w:color="auto" w:sz="0" w:space="0"/>
                <w:lang w:val="en-US" w:eastAsia="zh-CN" w:bidi="ar"/>
              </w:rPr>
              <w:t>建设内容及规模</w:t>
            </w:r>
          </w:p>
          <w:p w14:paraId="3E63E21F">
            <w:pPr>
              <w:keepNext w:val="0"/>
              <w:keepLines w:val="0"/>
              <w:widowControl/>
              <w:suppressLineNumbers w:val="0"/>
              <w:spacing w:before="0" w:beforeAutospacing="0" w:after="0" w:afterAutospacing="0" w:line="440" w:lineRule="exact"/>
              <w:ind w:left="0" w:right="0"/>
              <w:jc w:val="left"/>
              <w:outlineLvl w:val="2"/>
              <w:rPr>
                <w:rFonts w:hint="default" w:ascii="Times New Roman" w:hAnsi="Times New Roman" w:cs="Times New Roman"/>
                <w:b/>
                <w:bCs/>
                <w:color w:val="000000"/>
                <w:sz w:val="24"/>
                <w:szCs w:val="24"/>
                <w:bdr w:val="none" w:color="auto" w:sz="0" w:space="0"/>
                <w:lang w:val="en-US"/>
              </w:rPr>
            </w:pPr>
            <w:r>
              <w:rPr>
                <w:rFonts w:hint="default" w:ascii="Times New Roman" w:hAnsi="Times New Roman" w:eastAsia="宋体" w:cs="Times New Roman"/>
                <w:b/>
                <w:bCs/>
                <w:color w:val="000000"/>
                <w:kern w:val="2"/>
                <w:sz w:val="24"/>
                <w:szCs w:val="24"/>
                <w:bdr w:val="none" w:color="auto" w:sz="0" w:space="0"/>
                <w:lang w:val="en-US" w:eastAsia="zh-CN" w:bidi="ar"/>
              </w:rPr>
              <w:t>2.3.1</w:t>
            </w:r>
            <w:r>
              <w:rPr>
                <w:rFonts w:hint="eastAsia" w:ascii="Times New Roman" w:hAnsi="Times New Roman" w:eastAsia="宋体" w:cs="宋体"/>
                <w:b/>
                <w:bCs/>
                <w:color w:val="000000"/>
                <w:kern w:val="2"/>
                <w:sz w:val="24"/>
                <w:szCs w:val="24"/>
                <w:bdr w:val="none" w:color="auto" w:sz="0" w:space="0"/>
                <w:lang w:val="en-US" w:eastAsia="zh-CN" w:bidi="ar"/>
              </w:rPr>
              <w:t>项目基本情况</w:t>
            </w:r>
          </w:p>
          <w:p w14:paraId="64643202">
            <w:pPr>
              <w:keepNext w:val="0"/>
              <w:keepLines w:val="0"/>
              <w:widowControl w:val="0"/>
              <w:suppressLineNumbers w:val="0"/>
              <w:spacing w:before="0" w:beforeAutospacing="0" w:after="0" w:afterAutospacing="0" w:line="460" w:lineRule="exact"/>
              <w:ind w:left="0" w:right="0" w:firstLine="480" w:firstLineChars="200"/>
              <w:jc w:val="both"/>
              <w:rPr>
                <w:rFonts w:hint="default" w:ascii="Times New Roman" w:hAnsi="Calibri"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项目名称：</w:t>
            </w:r>
            <w:r>
              <w:rPr>
                <w:rFonts w:hint="eastAsia" w:ascii="Times New Roman" w:hAnsi="Calibri" w:eastAsia="宋体" w:cs="宋体"/>
                <w:color w:val="000000"/>
                <w:kern w:val="2"/>
                <w:sz w:val="24"/>
                <w:szCs w:val="24"/>
                <w:bdr w:val="none" w:color="auto" w:sz="0" w:space="0"/>
                <w:lang w:val="en-US" w:eastAsia="zh-CN" w:bidi="ar"/>
              </w:rPr>
              <w:t>永祺汽车配件扩建项目</w:t>
            </w:r>
          </w:p>
          <w:p w14:paraId="27C8ADF9">
            <w:pPr>
              <w:keepNext w:val="0"/>
              <w:keepLines w:val="0"/>
              <w:widowControl w:val="0"/>
              <w:suppressLineNumbers w:val="0"/>
              <w:spacing w:before="0" w:beforeAutospacing="0" w:after="0" w:afterAutospacing="0" w:line="46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建设单位：</w:t>
            </w:r>
            <w:r>
              <w:rPr>
                <w:rFonts w:hint="eastAsia" w:ascii="Times New Roman" w:hAnsi="Calibri" w:eastAsia="宋体" w:cs="宋体"/>
                <w:color w:val="000000"/>
                <w:kern w:val="2"/>
                <w:sz w:val="24"/>
                <w:szCs w:val="24"/>
                <w:bdr w:val="none" w:color="auto" w:sz="0" w:space="0"/>
                <w:lang w:val="en-US" w:eastAsia="zh-CN" w:bidi="ar"/>
              </w:rPr>
              <w:t>重庆永祺新能源科技有限公司</w:t>
            </w:r>
          </w:p>
          <w:p w14:paraId="1A9AE42C">
            <w:pPr>
              <w:keepNext w:val="0"/>
              <w:keepLines w:val="0"/>
              <w:widowControl w:val="0"/>
              <w:suppressLineNumbers w:val="0"/>
              <w:spacing w:before="0" w:beforeAutospacing="0" w:after="0" w:afterAutospacing="0" w:line="46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建设地点：重庆市合川区草街街道农创路</w:t>
            </w:r>
            <w:r>
              <w:rPr>
                <w:rFonts w:hint="default" w:ascii="Times New Roman" w:hAnsi="Times New Roman" w:eastAsia="宋体" w:cs="Times New Roman"/>
                <w:color w:val="000000"/>
                <w:kern w:val="2"/>
                <w:sz w:val="24"/>
                <w:szCs w:val="24"/>
                <w:bdr w:val="none" w:color="auto" w:sz="0" w:space="0"/>
                <w:lang w:val="en-US" w:eastAsia="zh-CN" w:bidi="ar"/>
              </w:rPr>
              <w:t>201</w:t>
            </w:r>
            <w:r>
              <w:rPr>
                <w:rFonts w:hint="eastAsia" w:ascii="Times New Roman" w:hAnsi="Times New Roman" w:eastAsia="宋体" w:cs="宋体"/>
                <w:color w:val="000000"/>
                <w:kern w:val="2"/>
                <w:sz w:val="24"/>
                <w:szCs w:val="24"/>
                <w:bdr w:val="none" w:color="auto" w:sz="0" w:space="0"/>
                <w:lang w:val="en-US" w:eastAsia="zh-CN" w:bidi="ar"/>
              </w:rPr>
              <w:t>号（盈田•合川工谷）</w:t>
            </w:r>
          </w:p>
          <w:p w14:paraId="7E813088">
            <w:pPr>
              <w:keepNext w:val="0"/>
              <w:keepLines w:val="0"/>
              <w:widowControl w:val="0"/>
              <w:suppressLineNumbers w:val="0"/>
              <w:spacing w:before="0" w:beforeAutospacing="0" w:after="0" w:afterAutospacing="0" w:line="46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建设性质：扩建</w:t>
            </w:r>
          </w:p>
          <w:p w14:paraId="72D36DAB">
            <w:pPr>
              <w:keepNext w:val="0"/>
              <w:keepLines w:val="0"/>
              <w:widowControl w:val="0"/>
              <w:suppressLineNumbers w:val="0"/>
              <w:spacing w:before="0" w:beforeAutospacing="0" w:after="0" w:afterAutospacing="0" w:line="460" w:lineRule="exact"/>
              <w:ind w:left="0" w:right="0" w:firstLine="480" w:firstLineChars="200"/>
              <w:jc w:val="both"/>
              <w:rPr>
                <w:rFonts w:hint="default" w:ascii="Times New Roman" w:hAnsi="Calibri"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建设内容及规模：</w:t>
            </w:r>
            <w:bookmarkStart w:id="3" w:name="OLE_LINK13"/>
            <w:bookmarkStart w:id="4" w:name="OLE_LINK14"/>
            <w:r>
              <w:rPr>
                <w:rFonts w:hint="eastAsia" w:ascii="Times New Roman" w:hAnsi="Times New Roman" w:eastAsia="宋体" w:cs="宋体"/>
                <w:color w:val="000000"/>
                <w:kern w:val="2"/>
                <w:sz w:val="24"/>
                <w:szCs w:val="24"/>
                <w:bdr w:val="none" w:color="auto" w:sz="0" w:space="0"/>
                <w:lang w:val="en-US" w:eastAsia="zh-CN" w:bidi="ar"/>
              </w:rPr>
              <w:t>在不改变现有生产工艺流程的基础上新增</w:t>
            </w:r>
            <w:bookmarkStart w:id="5" w:name="OLE_LINK33"/>
            <w:r>
              <w:rPr>
                <w:rFonts w:hint="eastAsia" w:ascii="Times New Roman" w:hAnsi="Times New Roman" w:eastAsia="宋体" w:cs="宋体"/>
                <w:color w:val="000000"/>
                <w:kern w:val="2"/>
                <w:sz w:val="24"/>
                <w:szCs w:val="24"/>
                <w:bdr w:val="none" w:color="auto" w:sz="0" w:space="0"/>
                <w:lang w:val="en-US" w:eastAsia="zh-CN" w:bidi="ar"/>
              </w:rPr>
              <w:t>自动四柱全断机</w:t>
            </w:r>
            <w:bookmarkEnd w:id="5"/>
            <w:r>
              <w:rPr>
                <w:rFonts w:hint="eastAsia" w:ascii="Times New Roman" w:hAnsi="Times New Roman" w:eastAsia="宋体" w:cs="宋体"/>
                <w:color w:val="000000"/>
                <w:kern w:val="2"/>
                <w:sz w:val="24"/>
                <w:szCs w:val="24"/>
                <w:bdr w:val="none" w:color="auto" w:sz="0" w:space="0"/>
                <w:lang w:val="en-US" w:eastAsia="zh-CN" w:bidi="ar"/>
              </w:rPr>
              <w:t>、泡棉贴合机、粘接机等生产设备数量，同时增加夜间生产班次，扩大产能，形成</w:t>
            </w:r>
            <w:r>
              <w:rPr>
                <w:rFonts w:hint="eastAsia" w:ascii="Times New Roman" w:hAnsi="Calibri" w:eastAsia="宋体" w:cs="宋体"/>
                <w:color w:val="000000"/>
                <w:kern w:val="2"/>
                <w:sz w:val="24"/>
                <w:szCs w:val="24"/>
                <w:bdr w:val="none" w:color="auto" w:sz="0" w:space="0"/>
                <w:lang w:val="en-US" w:eastAsia="zh-CN" w:bidi="ar"/>
              </w:rPr>
              <w:t>年产装饰条</w:t>
            </w:r>
            <w:r>
              <w:rPr>
                <w:rFonts w:hint="default" w:ascii="Times New Roman" w:hAnsi="Calibri" w:eastAsia="宋体" w:cs="Times New Roman"/>
                <w:color w:val="000000"/>
                <w:kern w:val="2"/>
                <w:sz w:val="24"/>
                <w:szCs w:val="24"/>
                <w:bdr w:val="none" w:color="auto" w:sz="0" w:space="0"/>
                <w:lang w:val="en-US" w:eastAsia="zh-CN" w:bidi="ar"/>
              </w:rPr>
              <w:t>3</w:t>
            </w:r>
            <w:r>
              <w:rPr>
                <w:rFonts w:hint="eastAsia" w:ascii="Times New Roman" w:hAnsi="Calibri" w:eastAsia="宋体" w:cs="宋体"/>
                <w:color w:val="000000"/>
                <w:kern w:val="2"/>
                <w:sz w:val="24"/>
                <w:szCs w:val="24"/>
                <w:bdr w:val="none" w:color="auto" w:sz="0" w:space="0"/>
                <w:lang w:val="en-US" w:eastAsia="zh-CN" w:bidi="ar"/>
              </w:rPr>
              <w:t>万</w:t>
            </w:r>
            <w:r>
              <w:rPr>
                <w:rFonts w:hint="default" w:ascii="Times New Roman" w:hAnsi="Calibri" w:eastAsia="宋体" w:cs="Times New Roman"/>
                <w:color w:val="000000"/>
                <w:kern w:val="2"/>
                <w:sz w:val="24"/>
                <w:szCs w:val="24"/>
                <w:bdr w:val="none" w:color="auto" w:sz="0" w:space="0"/>
                <w:lang w:val="en-US" w:eastAsia="zh-CN" w:bidi="ar"/>
              </w:rPr>
              <w:t>m</w:t>
            </w:r>
            <w:r>
              <w:rPr>
                <w:rFonts w:hint="default" w:ascii="Times New Roman" w:hAnsi="Calibri" w:eastAsia="宋体" w:cs="Times New Roman"/>
                <w:color w:val="000000"/>
                <w:kern w:val="2"/>
                <w:sz w:val="24"/>
                <w:szCs w:val="24"/>
                <w:bdr w:val="none" w:color="auto" w:sz="0" w:space="0"/>
                <w:vertAlign w:val="superscript"/>
                <w:lang w:val="en-US" w:eastAsia="zh-CN" w:bidi="ar"/>
              </w:rPr>
              <w:t>2</w:t>
            </w:r>
            <w:r>
              <w:rPr>
                <w:rFonts w:hint="eastAsia" w:ascii="Times New Roman" w:hAnsi="Calibri" w:eastAsia="宋体" w:cs="宋体"/>
                <w:color w:val="000000"/>
                <w:kern w:val="2"/>
                <w:sz w:val="24"/>
                <w:szCs w:val="24"/>
                <w:bdr w:val="none" w:color="auto" w:sz="0" w:space="0"/>
                <w:lang w:val="en-US" w:eastAsia="zh-CN" w:bidi="ar"/>
              </w:rPr>
              <w:t>、泡棉制品</w:t>
            </w:r>
            <w:r>
              <w:rPr>
                <w:rFonts w:hint="default" w:ascii="Times New Roman" w:hAnsi="Calibri" w:eastAsia="宋体" w:cs="Times New Roman"/>
                <w:color w:val="000000"/>
                <w:kern w:val="2"/>
                <w:sz w:val="24"/>
                <w:szCs w:val="24"/>
                <w:bdr w:val="none" w:color="auto" w:sz="0" w:space="0"/>
                <w:lang w:val="en-US" w:eastAsia="zh-CN" w:bidi="ar"/>
              </w:rPr>
              <w:t>5</w:t>
            </w:r>
            <w:r>
              <w:rPr>
                <w:rFonts w:hint="eastAsia" w:ascii="Times New Roman" w:hAnsi="Calibri" w:eastAsia="宋体" w:cs="宋体"/>
                <w:color w:val="000000"/>
                <w:kern w:val="2"/>
                <w:sz w:val="24"/>
                <w:szCs w:val="24"/>
                <w:bdr w:val="none" w:color="auto" w:sz="0" w:space="0"/>
                <w:lang w:val="en-US" w:eastAsia="zh-CN" w:bidi="ar"/>
              </w:rPr>
              <w:t>万</w:t>
            </w:r>
            <w:r>
              <w:rPr>
                <w:rFonts w:hint="default" w:ascii="Times New Roman" w:hAnsi="Calibri" w:eastAsia="宋体" w:cs="Times New Roman"/>
                <w:color w:val="000000"/>
                <w:kern w:val="2"/>
                <w:sz w:val="24"/>
                <w:szCs w:val="24"/>
                <w:bdr w:val="none" w:color="auto" w:sz="0" w:space="0"/>
                <w:lang w:val="en-US" w:eastAsia="zh-CN" w:bidi="ar"/>
              </w:rPr>
              <w:t>m</w:t>
            </w:r>
            <w:r>
              <w:rPr>
                <w:rFonts w:hint="default" w:ascii="Times New Roman" w:hAnsi="Calibri" w:eastAsia="宋体" w:cs="Times New Roman"/>
                <w:color w:val="000000"/>
                <w:kern w:val="2"/>
                <w:sz w:val="24"/>
                <w:szCs w:val="24"/>
                <w:bdr w:val="none" w:color="auto" w:sz="0" w:space="0"/>
                <w:vertAlign w:val="superscript"/>
                <w:lang w:val="en-US" w:eastAsia="zh-CN" w:bidi="ar"/>
              </w:rPr>
              <w:t>2</w:t>
            </w:r>
            <w:r>
              <w:rPr>
                <w:rFonts w:hint="eastAsia" w:ascii="Times New Roman" w:hAnsi="Calibri" w:eastAsia="宋体" w:cs="宋体"/>
                <w:color w:val="000000"/>
                <w:kern w:val="2"/>
                <w:sz w:val="24"/>
                <w:szCs w:val="24"/>
                <w:bdr w:val="none" w:color="auto" w:sz="0" w:space="0"/>
                <w:lang w:val="en-US" w:eastAsia="zh-CN" w:bidi="ar"/>
              </w:rPr>
              <w:t>、云母板</w:t>
            </w:r>
            <w:r>
              <w:rPr>
                <w:rFonts w:hint="default" w:ascii="Times New Roman" w:hAnsi="Calibri" w:eastAsia="宋体" w:cs="Times New Roman"/>
                <w:color w:val="000000"/>
                <w:kern w:val="2"/>
                <w:sz w:val="24"/>
                <w:szCs w:val="24"/>
                <w:bdr w:val="none" w:color="auto" w:sz="0" w:space="0"/>
                <w:lang w:val="en-US" w:eastAsia="zh-CN" w:bidi="ar"/>
              </w:rPr>
              <w:t>2</w:t>
            </w:r>
            <w:r>
              <w:rPr>
                <w:rFonts w:hint="eastAsia" w:ascii="Times New Roman" w:hAnsi="Calibri" w:eastAsia="宋体" w:cs="宋体"/>
                <w:color w:val="000000"/>
                <w:kern w:val="2"/>
                <w:sz w:val="24"/>
                <w:szCs w:val="24"/>
                <w:bdr w:val="none" w:color="auto" w:sz="0" w:space="0"/>
                <w:lang w:val="en-US" w:eastAsia="zh-CN" w:bidi="ar"/>
              </w:rPr>
              <w:t>万片的规模。</w:t>
            </w:r>
            <w:bookmarkEnd w:id="3"/>
            <w:bookmarkEnd w:id="4"/>
          </w:p>
          <w:p w14:paraId="3151FAD8">
            <w:pPr>
              <w:keepNext w:val="0"/>
              <w:keepLines w:val="0"/>
              <w:widowControl w:val="0"/>
              <w:suppressLineNumbers w:val="0"/>
              <w:spacing w:before="0" w:beforeAutospacing="0" w:after="0" w:afterAutospacing="0" w:line="46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项目投资：总投资</w:t>
            </w:r>
            <w:r>
              <w:rPr>
                <w:rFonts w:hint="default" w:ascii="Times New Roman" w:hAnsi="Times New Roman" w:eastAsia="宋体" w:cs="Times New Roman"/>
                <w:color w:val="000000"/>
                <w:kern w:val="2"/>
                <w:sz w:val="24"/>
                <w:szCs w:val="24"/>
                <w:bdr w:val="none" w:color="auto" w:sz="0" w:space="0"/>
                <w:lang w:val="en-US" w:eastAsia="zh-CN" w:bidi="ar"/>
              </w:rPr>
              <w:t>500</w:t>
            </w:r>
            <w:r>
              <w:rPr>
                <w:rFonts w:hint="eastAsia" w:ascii="Times New Roman" w:hAnsi="Times New Roman" w:eastAsia="宋体" w:cs="宋体"/>
                <w:color w:val="000000"/>
                <w:kern w:val="2"/>
                <w:sz w:val="24"/>
                <w:szCs w:val="24"/>
                <w:bdr w:val="none" w:color="auto" w:sz="0" w:space="0"/>
                <w:lang w:val="en-US" w:eastAsia="zh-CN" w:bidi="ar"/>
              </w:rPr>
              <w:t>万元，其中环保投资</w:t>
            </w:r>
            <w:r>
              <w:rPr>
                <w:rFonts w:hint="default" w:ascii="Times New Roman" w:hAnsi="Times New Roman" w:eastAsia="宋体" w:cs="Times New Roman"/>
                <w:color w:val="000000"/>
                <w:kern w:val="2"/>
                <w:sz w:val="24"/>
                <w:szCs w:val="24"/>
                <w:bdr w:val="none" w:color="auto" w:sz="0" w:space="0"/>
                <w:lang w:val="en-US" w:eastAsia="zh-CN" w:bidi="ar"/>
              </w:rPr>
              <w:t>10</w:t>
            </w:r>
            <w:r>
              <w:rPr>
                <w:rFonts w:hint="eastAsia" w:ascii="Times New Roman" w:hAnsi="Times New Roman" w:eastAsia="宋体" w:cs="宋体"/>
                <w:color w:val="000000"/>
                <w:kern w:val="2"/>
                <w:sz w:val="24"/>
                <w:szCs w:val="24"/>
                <w:bdr w:val="none" w:color="auto" w:sz="0" w:space="0"/>
                <w:lang w:val="en-US" w:eastAsia="zh-CN" w:bidi="ar"/>
              </w:rPr>
              <w:t>万元，占总投资的</w:t>
            </w:r>
            <w:r>
              <w:rPr>
                <w:rFonts w:hint="default" w:ascii="Times New Roman" w:hAnsi="Times New Roman" w:eastAsia="宋体" w:cs="Times New Roman"/>
                <w:color w:val="000000"/>
                <w:kern w:val="2"/>
                <w:sz w:val="24"/>
                <w:szCs w:val="24"/>
                <w:bdr w:val="none" w:color="auto" w:sz="0" w:space="0"/>
                <w:lang w:val="en-US" w:eastAsia="zh-CN" w:bidi="ar"/>
              </w:rPr>
              <w:t>2%</w:t>
            </w:r>
            <w:r>
              <w:rPr>
                <w:rFonts w:hint="eastAsia" w:ascii="Times New Roman" w:hAnsi="Times New Roman" w:eastAsia="宋体" w:cs="宋体"/>
                <w:color w:val="000000"/>
                <w:kern w:val="2"/>
                <w:sz w:val="24"/>
                <w:szCs w:val="24"/>
                <w:bdr w:val="none" w:color="auto" w:sz="0" w:space="0"/>
                <w:lang w:val="en-US" w:eastAsia="zh-CN" w:bidi="ar"/>
              </w:rPr>
              <w:t>。</w:t>
            </w:r>
          </w:p>
          <w:p w14:paraId="3C5F4AC6">
            <w:pPr>
              <w:keepNext w:val="0"/>
              <w:keepLines w:val="0"/>
              <w:widowControl/>
              <w:suppressLineNumbers w:val="0"/>
              <w:spacing w:before="0" w:beforeAutospacing="0" w:after="0" w:afterAutospacing="0" w:line="440" w:lineRule="exact"/>
              <w:ind w:left="0" w:right="0"/>
              <w:jc w:val="left"/>
              <w:outlineLvl w:val="2"/>
              <w:rPr>
                <w:rFonts w:hint="default" w:ascii="Times New Roman" w:hAnsi="Times New Roman" w:cs="Times New Roman"/>
                <w:b/>
                <w:bCs/>
                <w:color w:val="000000"/>
                <w:sz w:val="24"/>
                <w:szCs w:val="24"/>
                <w:bdr w:val="none" w:color="auto" w:sz="0" w:space="0"/>
                <w:lang w:val="en-US"/>
              </w:rPr>
            </w:pPr>
            <w:r>
              <w:rPr>
                <w:rFonts w:hint="default" w:ascii="Times New Roman" w:hAnsi="Times New Roman" w:eastAsia="宋体" w:cs="Times New Roman"/>
                <w:b/>
                <w:bCs/>
                <w:color w:val="000000"/>
                <w:kern w:val="2"/>
                <w:sz w:val="24"/>
                <w:szCs w:val="24"/>
                <w:bdr w:val="none" w:color="auto" w:sz="0" w:space="0"/>
                <w:lang w:val="en-US" w:eastAsia="zh-CN" w:bidi="ar"/>
              </w:rPr>
              <w:t>2.3.2</w:t>
            </w:r>
            <w:r>
              <w:rPr>
                <w:rFonts w:hint="eastAsia" w:ascii="Times New Roman" w:hAnsi="Times New Roman" w:eastAsia="宋体" w:cs="宋体"/>
                <w:b/>
                <w:bCs/>
                <w:color w:val="000000"/>
                <w:kern w:val="2"/>
                <w:sz w:val="24"/>
                <w:szCs w:val="24"/>
                <w:bdr w:val="none" w:color="auto" w:sz="0" w:space="0"/>
                <w:lang w:val="en-US" w:eastAsia="zh-CN" w:bidi="ar"/>
              </w:rPr>
              <w:t>产品方案</w:t>
            </w:r>
          </w:p>
          <w:p w14:paraId="7F35DD77">
            <w:pPr>
              <w:keepNext w:val="0"/>
              <w:keepLines w:val="0"/>
              <w:widowControl/>
              <w:suppressLineNumbers w:val="0"/>
              <w:spacing w:before="0" w:beforeAutospacing="0" w:after="0" w:afterAutospacing="0" w:line="440" w:lineRule="exact"/>
              <w:ind w:left="0" w:right="0" w:firstLine="482"/>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扩建后全厂产品方案见表</w:t>
            </w:r>
            <w:r>
              <w:rPr>
                <w:rFonts w:hint="default" w:ascii="Times New Roman" w:hAnsi="Calibri" w:eastAsia="宋体" w:cs="Times New Roman"/>
                <w:color w:val="000000"/>
                <w:kern w:val="2"/>
                <w:sz w:val="24"/>
                <w:szCs w:val="24"/>
                <w:bdr w:val="none" w:color="auto" w:sz="0" w:space="0"/>
                <w:lang w:val="en-US" w:eastAsia="zh-CN" w:bidi="ar"/>
              </w:rPr>
              <w:t>2.3-1</w:t>
            </w:r>
            <w:r>
              <w:rPr>
                <w:rFonts w:hint="eastAsia" w:ascii="Times New Roman" w:hAnsi="Calibri" w:eastAsia="宋体" w:cs="宋体"/>
                <w:color w:val="000000"/>
                <w:kern w:val="2"/>
                <w:sz w:val="24"/>
                <w:szCs w:val="24"/>
                <w:bdr w:val="none" w:color="auto" w:sz="0" w:space="0"/>
                <w:lang w:val="en-US" w:eastAsia="zh-CN" w:bidi="ar"/>
              </w:rPr>
              <w:t>。</w:t>
            </w:r>
          </w:p>
          <w:p w14:paraId="35E31926">
            <w:pPr>
              <w:keepNext w:val="0"/>
              <w:keepLines w:val="0"/>
              <w:widowControl/>
              <w:suppressLineNumbers w:val="0"/>
              <w:spacing w:before="0" w:beforeAutospacing="0" w:after="0" w:afterAutospacing="0" w:line="440" w:lineRule="exact"/>
              <w:ind w:left="0" w:right="0" w:firstLine="482"/>
              <w:jc w:val="center"/>
              <w:rPr>
                <w:rFonts w:hint="default" w:ascii="Times New Roman" w:hAnsi="Times New Roman" w:cs="Times New Roman"/>
                <w:bCs/>
                <w:color w:val="000000"/>
                <w:sz w:val="24"/>
                <w:szCs w:val="24"/>
                <w:bdr w:val="none" w:color="auto" w:sz="0" w:space="0"/>
                <w:lang w:val="en-US"/>
              </w:rPr>
            </w:pPr>
            <w:r>
              <w:rPr>
                <w:rFonts w:hint="eastAsia" w:ascii="Times New Roman" w:hAnsi="Times New Roman" w:eastAsia="宋体" w:cs="宋体"/>
                <w:bCs/>
                <w:color w:val="000000"/>
                <w:kern w:val="2"/>
                <w:sz w:val="24"/>
                <w:szCs w:val="24"/>
                <w:bdr w:val="none" w:color="auto" w:sz="0" w:space="0"/>
                <w:lang w:val="en-US" w:eastAsia="zh-CN" w:bidi="ar"/>
              </w:rPr>
              <w:t>表</w:t>
            </w:r>
            <w:r>
              <w:rPr>
                <w:rFonts w:hint="default" w:ascii="Times New Roman" w:hAnsi="Times New Roman" w:eastAsia="宋体" w:cs="Times New Roman"/>
                <w:bCs/>
                <w:color w:val="000000"/>
                <w:kern w:val="2"/>
                <w:sz w:val="24"/>
                <w:szCs w:val="24"/>
                <w:bdr w:val="none" w:color="auto" w:sz="0" w:space="0"/>
                <w:lang w:val="en-US" w:eastAsia="zh-CN" w:bidi="ar"/>
              </w:rPr>
              <w:t xml:space="preserve">2.3-1 </w:t>
            </w:r>
            <w:r>
              <w:rPr>
                <w:rFonts w:hint="eastAsia" w:ascii="Times New Roman" w:hAnsi="Times New Roman" w:eastAsia="宋体" w:cs="宋体"/>
                <w:bCs/>
                <w:color w:val="000000"/>
                <w:kern w:val="2"/>
                <w:sz w:val="24"/>
                <w:szCs w:val="24"/>
                <w:bdr w:val="none" w:color="auto" w:sz="0" w:space="0"/>
                <w:lang w:val="en-US" w:eastAsia="zh-CN" w:bidi="ar"/>
              </w:rPr>
              <w:t>扩建项目产品方案</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Layout w:type="fixed"/>
              <w:tblCellMar>
                <w:top w:w="0" w:type="dxa"/>
                <w:left w:w="108" w:type="dxa"/>
                <w:bottom w:w="0" w:type="dxa"/>
                <w:right w:w="108" w:type="dxa"/>
              </w:tblCellMar>
            </w:tblPr>
            <w:tblGrid>
              <w:gridCol w:w="528"/>
              <w:gridCol w:w="1065"/>
              <w:gridCol w:w="1555"/>
              <w:gridCol w:w="1040"/>
              <w:gridCol w:w="1040"/>
              <w:gridCol w:w="1185"/>
              <w:gridCol w:w="1973"/>
            </w:tblGrid>
            <w:tr w14:paraId="1F95B9C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CellMar>
                  <w:top w:w="0" w:type="dxa"/>
                  <w:left w:w="108" w:type="dxa"/>
                  <w:bottom w:w="0" w:type="dxa"/>
                  <w:right w:w="108" w:type="dxa"/>
                </w:tblCellMar>
              </w:tblPrEx>
              <w:trPr>
                <w:trHeight w:val="181" w:hRule="atLeast"/>
                <w:jc w:val="center"/>
              </w:trPr>
              <w:tc>
                <w:tcPr>
                  <w:tcW w:w="1593" w:type="dxa"/>
                  <w:gridSpan w:val="2"/>
                  <w:vMerge w:val="restart"/>
                  <w:tcBorders>
                    <w:top w:val="single" w:color="auto" w:sz="12" w:space="0"/>
                    <w:left w:val="nil"/>
                    <w:bottom w:val="single" w:color="auto" w:sz="4" w:space="0"/>
                    <w:right w:val="single" w:color="auto" w:sz="4" w:space="0"/>
                  </w:tcBorders>
                  <w:shd w:val="clear"/>
                  <w:vAlign w:val="center"/>
                </w:tcPr>
                <w:p w14:paraId="0F7D1F0E">
                  <w:pPr>
                    <w:pStyle w:val="69"/>
                    <w:widowControl/>
                    <w:spacing w:line="300" w:lineRule="exact"/>
                    <w:rPr>
                      <w:rFonts w:hint="default" w:ascii="Times New Roman" w:hAnsi="宋体" w:cs="Times New Roman"/>
                      <w:color w:val="000000"/>
                      <w:szCs w:val="21"/>
                      <w:bdr w:val="none" w:color="auto" w:sz="0" w:space="0"/>
                      <w:lang w:val="en-US"/>
                    </w:rPr>
                  </w:pPr>
                  <w:r>
                    <w:rPr>
                      <w:rFonts w:hint="eastAsia" w:ascii="Times New Roman" w:hAnsi="宋体" w:eastAsia="宋体" w:cs="宋体"/>
                      <w:color w:val="000000"/>
                      <w:szCs w:val="21"/>
                      <w:bdr w:val="none" w:color="auto" w:sz="0" w:space="0"/>
                    </w:rPr>
                    <w:t>产品名称</w:t>
                  </w:r>
                </w:p>
              </w:tc>
              <w:tc>
                <w:tcPr>
                  <w:tcW w:w="1554" w:type="dxa"/>
                  <w:vMerge w:val="restart"/>
                  <w:tcBorders>
                    <w:top w:val="single" w:color="auto" w:sz="12" w:space="0"/>
                    <w:left w:val="single" w:color="auto" w:sz="4" w:space="0"/>
                    <w:bottom w:val="single" w:color="auto" w:sz="4" w:space="0"/>
                    <w:right w:val="single" w:color="auto" w:sz="4" w:space="0"/>
                  </w:tcBorders>
                  <w:shd w:val="clear"/>
                  <w:vAlign w:val="center"/>
                </w:tcPr>
                <w:p w14:paraId="5ECDFE75">
                  <w:pPr>
                    <w:pStyle w:val="69"/>
                    <w:widowControl/>
                    <w:spacing w:line="300" w:lineRule="exact"/>
                    <w:rPr>
                      <w:rFonts w:hint="default" w:ascii="Times New Roman" w:hAnsi="宋体" w:cs="Times New Roman"/>
                      <w:color w:val="000000"/>
                      <w:szCs w:val="21"/>
                      <w:bdr w:val="none" w:color="auto" w:sz="0" w:space="0"/>
                      <w:lang w:val="en-US"/>
                    </w:rPr>
                  </w:pPr>
                  <w:r>
                    <w:rPr>
                      <w:rFonts w:hint="eastAsia" w:ascii="Times New Roman" w:hAnsi="宋体" w:eastAsia="宋体" w:cs="宋体"/>
                      <w:color w:val="000000"/>
                      <w:szCs w:val="21"/>
                      <w:bdr w:val="none" w:color="auto" w:sz="0" w:space="0"/>
                    </w:rPr>
                    <w:t>规格</w:t>
                  </w:r>
                </w:p>
              </w:tc>
              <w:tc>
                <w:tcPr>
                  <w:tcW w:w="3265" w:type="dxa"/>
                  <w:gridSpan w:val="3"/>
                  <w:tcBorders>
                    <w:top w:val="single" w:color="auto" w:sz="12" w:space="0"/>
                    <w:left w:val="single" w:color="auto" w:sz="4" w:space="0"/>
                    <w:bottom w:val="single" w:color="auto" w:sz="4" w:space="0"/>
                    <w:right w:val="single" w:color="auto" w:sz="4" w:space="0"/>
                  </w:tcBorders>
                  <w:shd w:val="clear"/>
                  <w:vAlign w:val="center"/>
                </w:tcPr>
                <w:p w14:paraId="43F2E357">
                  <w:pPr>
                    <w:pStyle w:val="69"/>
                    <w:widowControl/>
                    <w:spacing w:line="300" w:lineRule="exact"/>
                    <w:rPr>
                      <w:rFonts w:hint="default" w:ascii="Times New Roman" w:hAnsi="宋体" w:cs="Times New Roman"/>
                      <w:color w:val="000000"/>
                      <w:szCs w:val="21"/>
                      <w:bdr w:val="none" w:color="auto" w:sz="0" w:space="0"/>
                      <w:lang w:val="en-US"/>
                    </w:rPr>
                  </w:pPr>
                  <w:r>
                    <w:rPr>
                      <w:rFonts w:hint="eastAsia" w:ascii="Times New Roman" w:hAnsi="宋体" w:eastAsia="宋体" w:cs="宋体"/>
                      <w:color w:val="000000"/>
                      <w:szCs w:val="21"/>
                      <w:bdr w:val="none" w:color="auto" w:sz="0" w:space="0"/>
                    </w:rPr>
                    <w:t>年产量</w:t>
                  </w:r>
                </w:p>
              </w:tc>
              <w:tc>
                <w:tcPr>
                  <w:tcW w:w="1973" w:type="dxa"/>
                  <w:vMerge w:val="restart"/>
                  <w:tcBorders>
                    <w:top w:val="single" w:color="auto" w:sz="12" w:space="0"/>
                    <w:left w:val="single" w:color="auto" w:sz="4" w:space="0"/>
                    <w:bottom w:val="single" w:color="auto" w:sz="4" w:space="0"/>
                    <w:right w:val="nil"/>
                  </w:tcBorders>
                  <w:shd w:val="clear"/>
                  <w:vAlign w:val="center"/>
                </w:tcPr>
                <w:p w14:paraId="60D33920">
                  <w:pPr>
                    <w:pStyle w:val="69"/>
                    <w:widowControl/>
                    <w:spacing w:line="300" w:lineRule="exact"/>
                    <w:rPr>
                      <w:rFonts w:hint="default" w:ascii="Times New Roman" w:hAnsi="宋体" w:cs="Times New Roman"/>
                      <w:color w:val="000000"/>
                      <w:szCs w:val="21"/>
                      <w:bdr w:val="none" w:color="auto" w:sz="0" w:space="0"/>
                      <w:lang w:val="en-US"/>
                    </w:rPr>
                  </w:pPr>
                  <w:r>
                    <w:rPr>
                      <w:rFonts w:hint="eastAsia" w:ascii="Times New Roman" w:hAnsi="宋体" w:eastAsia="宋体" w:cs="宋体"/>
                      <w:color w:val="000000"/>
                      <w:szCs w:val="21"/>
                      <w:bdr w:val="none" w:color="auto" w:sz="0" w:space="0"/>
                    </w:rPr>
                    <w:t>备注</w:t>
                  </w:r>
                </w:p>
              </w:tc>
            </w:tr>
            <w:tr w14:paraId="7886A46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1593" w:type="dxa"/>
                  <w:gridSpan w:val="2"/>
                  <w:vMerge w:val="continue"/>
                  <w:tcBorders>
                    <w:top w:val="single" w:color="auto" w:sz="12" w:space="0"/>
                    <w:left w:val="nil"/>
                    <w:bottom w:val="single" w:color="auto" w:sz="4" w:space="0"/>
                    <w:right w:val="single" w:color="auto" w:sz="4" w:space="0"/>
                  </w:tcBorders>
                  <w:shd w:val="clear"/>
                  <w:vAlign w:val="center"/>
                </w:tcPr>
                <w:p w14:paraId="032D69C6">
                  <w:pPr>
                    <w:rPr>
                      <w:rFonts w:hint="default" w:ascii="Calibri" w:hAnsi="Calibri" w:cs="Calibri"/>
                      <w:sz w:val="20"/>
                      <w:szCs w:val="20"/>
                    </w:rPr>
                  </w:pPr>
                </w:p>
              </w:tc>
              <w:tc>
                <w:tcPr>
                  <w:tcW w:w="1554" w:type="dxa"/>
                  <w:vMerge w:val="continue"/>
                  <w:tcBorders>
                    <w:top w:val="single" w:color="auto" w:sz="12" w:space="0"/>
                    <w:left w:val="single" w:color="auto" w:sz="4" w:space="0"/>
                    <w:bottom w:val="single" w:color="auto" w:sz="4" w:space="0"/>
                    <w:right w:val="single" w:color="auto" w:sz="4" w:space="0"/>
                  </w:tcBorders>
                  <w:shd w:val="clear"/>
                  <w:vAlign w:val="center"/>
                </w:tcPr>
                <w:p w14:paraId="3CBFECC9">
                  <w:pPr>
                    <w:rPr>
                      <w:rFonts w:hint="default" w:ascii="Calibri" w:hAnsi="Calibri" w:cs="Calibri"/>
                      <w:sz w:val="20"/>
                      <w:szCs w:val="20"/>
                    </w:rPr>
                  </w:pPr>
                </w:p>
              </w:tc>
              <w:tc>
                <w:tcPr>
                  <w:tcW w:w="1040" w:type="dxa"/>
                  <w:tcBorders>
                    <w:top w:val="single" w:color="auto" w:sz="4" w:space="0"/>
                    <w:left w:val="single" w:color="auto" w:sz="4" w:space="0"/>
                    <w:bottom w:val="single" w:color="auto" w:sz="4" w:space="0"/>
                    <w:right w:val="single" w:color="auto" w:sz="4" w:space="0"/>
                  </w:tcBorders>
                  <w:shd w:val="clear"/>
                  <w:vAlign w:val="center"/>
                </w:tcPr>
                <w:p w14:paraId="7BAB3447">
                  <w:pPr>
                    <w:pStyle w:val="69"/>
                    <w:widowControl/>
                    <w:spacing w:line="300" w:lineRule="exact"/>
                    <w:rPr>
                      <w:rFonts w:hint="default" w:ascii="Times New Roman" w:hAnsi="宋体" w:cs="Times New Roman"/>
                      <w:color w:val="000000"/>
                      <w:szCs w:val="21"/>
                      <w:bdr w:val="none" w:color="auto" w:sz="0" w:space="0"/>
                      <w:lang w:val="en-US"/>
                    </w:rPr>
                  </w:pPr>
                  <w:r>
                    <w:rPr>
                      <w:rFonts w:hint="eastAsia" w:ascii="Times New Roman" w:hAnsi="宋体" w:eastAsia="宋体" w:cs="宋体"/>
                      <w:color w:val="000000"/>
                      <w:szCs w:val="21"/>
                      <w:bdr w:val="none" w:color="auto" w:sz="0" w:space="0"/>
                    </w:rPr>
                    <w:t>现有</w:t>
                  </w:r>
                </w:p>
              </w:tc>
              <w:tc>
                <w:tcPr>
                  <w:tcW w:w="1040" w:type="dxa"/>
                  <w:tcBorders>
                    <w:top w:val="single" w:color="auto" w:sz="4" w:space="0"/>
                    <w:left w:val="single" w:color="auto" w:sz="4" w:space="0"/>
                    <w:bottom w:val="single" w:color="auto" w:sz="4" w:space="0"/>
                    <w:right w:val="single" w:color="auto" w:sz="4" w:space="0"/>
                  </w:tcBorders>
                  <w:shd w:val="clear"/>
                  <w:vAlign w:val="center"/>
                </w:tcPr>
                <w:p w14:paraId="78163787">
                  <w:pPr>
                    <w:pStyle w:val="69"/>
                    <w:widowControl/>
                    <w:spacing w:line="300" w:lineRule="exact"/>
                    <w:rPr>
                      <w:rFonts w:hint="default" w:ascii="Times New Roman" w:hAnsi="宋体" w:cs="Times New Roman"/>
                      <w:color w:val="000000"/>
                      <w:szCs w:val="21"/>
                      <w:bdr w:val="none" w:color="auto" w:sz="0" w:space="0"/>
                      <w:lang w:val="en-US"/>
                    </w:rPr>
                  </w:pPr>
                  <w:r>
                    <w:rPr>
                      <w:rFonts w:hint="eastAsia" w:ascii="Times New Roman" w:hAnsi="宋体" w:eastAsia="宋体" w:cs="宋体"/>
                      <w:color w:val="000000"/>
                      <w:szCs w:val="21"/>
                      <w:bdr w:val="none" w:color="auto" w:sz="0" w:space="0"/>
                    </w:rPr>
                    <w:t>扩建后</w:t>
                  </w:r>
                </w:p>
              </w:tc>
              <w:tc>
                <w:tcPr>
                  <w:tcW w:w="1185" w:type="dxa"/>
                  <w:tcBorders>
                    <w:top w:val="single" w:color="auto" w:sz="4" w:space="0"/>
                    <w:left w:val="single" w:color="auto" w:sz="4" w:space="0"/>
                    <w:bottom w:val="single" w:color="auto" w:sz="4" w:space="0"/>
                    <w:right w:val="single" w:color="auto" w:sz="4" w:space="0"/>
                  </w:tcBorders>
                  <w:shd w:val="clear"/>
                  <w:vAlign w:val="center"/>
                </w:tcPr>
                <w:p w14:paraId="392C7524">
                  <w:pPr>
                    <w:pStyle w:val="69"/>
                    <w:widowControl/>
                    <w:spacing w:line="300" w:lineRule="exact"/>
                    <w:rPr>
                      <w:rFonts w:hint="default" w:ascii="Times New Roman" w:hAnsi="宋体" w:cs="Times New Roman"/>
                      <w:color w:val="000000"/>
                      <w:szCs w:val="21"/>
                      <w:bdr w:val="none" w:color="auto" w:sz="0" w:space="0"/>
                      <w:lang w:val="en-US"/>
                    </w:rPr>
                  </w:pPr>
                  <w:r>
                    <w:rPr>
                      <w:rFonts w:hint="eastAsia" w:ascii="Times New Roman" w:hAnsi="宋体" w:eastAsia="宋体" w:cs="宋体"/>
                      <w:color w:val="000000"/>
                      <w:szCs w:val="21"/>
                      <w:bdr w:val="none" w:color="auto" w:sz="0" w:space="0"/>
                    </w:rPr>
                    <w:t>变化量</w:t>
                  </w:r>
                </w:p>
              </w:tc>
              <w:tc>
                <w:tcPr>
                  <w:tcW w:w="1973" w:type="dxa"/>
                  <w:vMerge w:val="continue"/>
                  <w:tcBorders>
                    <w:top w:val="single" w:color="auto" w:sz="12" w:space="0"/>
                    <w:left w:val="single" w:color="auto" w:sz="4" w:space="0"/>
                    <w:bottom w:val="single" w:color="auto" w:sz="4" w:space="0"/>
                    <w:right w:val="nil"/>
                  </w:tcBorders>
                  <w:shd w:val="clear"/>
                  <w:vAlign w:val="center"/>
                </w:tcPr>
                <w:p w14:paraId="30E09830">
                  <w:pPr>
                    <w:rPr>
                      <w:rFonts w:hint="default" w:ascii="Calibri" w:hAnsi="Calibri" w:cs="Calibri"/>
                      <w:sz w:val="20"/>
                      <w:szCs w:val="20"/>
                    </w:rPr>
                  </w:pPr>
                </w:p>
              </w:tc>
            </w:tr>
            <w:tr w14:paraId="5D1254A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28" w:type="dxa"/>
                  <w:vMerge w:val="restart"/>
                  <w:tcBorders>
                    <w:top w:val="single" w:color="auto" w:sz="4" w:space="0"/>
                    <w:left w:val="nil"/>
                    <w:bottom w:val="single" w:color="auto" w:sz="4" w:space="0"/>
                    <w:right w:val="single" w:color="auto" w:sz="4" w:space="0"/>
                  </w:tcBorders>
                  <w:shd w:val="clear"/>
                  <w:vAlign w:val="center"/>
                </w:tcPr>
                <w:p w14:paraId="70F90FF4">
                  <w:pPr>
                    <w:keepNext w:val="0"/>
                    <w:keepLines w:val="0"/>
                    <w:widowControl w:val="0"/>
                    <w:suppressLineNumbers w:val="0"/>
                    <w:adjustRightInd w:val="0"/>
                    <w:snapToGrid w:val="0"/>
                    <w:spacing w:before="0" w:beforeAutospacing="0" w:after="0" w:afterAutospacing="0"/>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泡棉制品</w:t>
                  </w:r>
                </w:p>
              </w:tc>
              <w:tc>
                <w:tcPr>
                  <w:tcW w:w="1065" w:type="dxa"/>
                  <w:tcBorders>
                    <w:top w:val="single" w:color="auto" w:sz="4" w:space="0"/>
                    <w:left w:val="single" w:color="auto" w:sz="4" w:space="0"/>
                    <w:bottom w:val="single" w:color="auto" w:sz="4" w:space="0"/>
                    <w:right w:val="single" w:color="auto" w:sz="4" w:space="0"/>
                  </w:tcBorders>
                  <w:shd w:val="clear"/>
                  <w:vAlign w:val="center"/>
                </w:tcPr>
                <w:p w14:paraId="16B1BDE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Calibri"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硅胶泡棉制品</w:t>
                  </w:r>
                </w:p>
              </w:tc>
              <w:tc>
                <w:tcPr>
                  <w:tcW w:w="1554" w:type="dxa"/>
                  <w:tcBorders>
                    <w:top w:val="single" w:color="auto" w:sz="4" w:space="0"/>
                    <w:left w:val="single" w:color="auto" w:sz="4" w:space="0"/>
                    <w:bottom w:val="single" w:color="auto" w:sz="4" w:space="0"/>
                    <w:right w:val="single" w:color="auto" w:sz="4" w:space="0"/>
                  </w:tcBorders>
                  <w:shd w:val="clear"/>
                  <w:vAlign w:val="center"/>
                </w:tcPr>
                <w:p w14:paraId="52CB369B">
                  <w:pPr>
                    <w:pStyle w:val="69"/>
                    <w:widowControl/>
                    <w:spacing w:line="300" w:lineRule="exact"/>
                    <w:rPr>
                      <w:rFonts w:hint="default" w:ascii="Times New Roman" w:hAnsi="宋体" w:cs="Times New Roman"/>
                      <w:color w:val="000000"/>
                      <w:szCs w:val="21"/>
                      <w:bdr w:val="none" w:color="auto" w:sz="0" w:space="0"/>
                      <w:lang w:val="en-US"/>
                    </w:rPr>
                  </w:pPr>
                  <w:r>
                    <w:rPr>
                      <w:rFonts w:hint="default" w:ascii="Times New Roman" w:hAnsi="宋体" w:cs="Times New Roman"/>
                      <w:color w:val="000000"/>
                      <w:szCs w:val="21"/>
                      <w:bdr w:val="none" w:color="auto" w:sz="0" w:space="0"/>
                      <w:lang w:val="en-US"/>
                    </w:rPr>
                    <w:t>40mm</w:t>
                  </w:r>
                  <w:r>
                    <w:rPr>
                      <w:rFonts w:hint="eastAsia" w:ascii="Times New Roman" w:hAnsi="宋体" w:eastAsia="宋体" w:cs="宋体"/>
                      <w:color w:val="000000"/>
                      <w:szCs w:val="21"/>
                      <w:bdr w:val="none" w:color="auto" w:sz="0" w:space="0"/>
                    </w:rPr>
                    <w:t>×</w:t>
                  </w:r>
                  <w:r>
                    <w:rPr>
                      <w:rFonts w:hint="default" w:ascii="Times New Roman" w:hAnsi="宋体" w:cs="Times New Roman"/>
                      <w:color w:val="000000"/>
                      <w:szCs w:val="21"/>
                      <w:bdr w:val="none" w:color="auto" w:sz="0" w:space="0"/>
                      <w:lang w:val="en-US"/>
                    </w:rPr>
                    <w:t>41mm</w:t>
                  </w:r>
                  <w:r>
                    <w:rPr>
                      <w:rFonts w:hint="eastAsia" w:ascii="Times New Roman" w:hAnsi="宋体" w:eastAsia="宋体" w:cs="宋体"/>
                      <w:color w:val="000000"/>
                      <w:szCs w:val="21"/>
                      <w:bdr w:val="none" w:color="auto" w:sz="0" w:space="0"/>
                    </w:rPr>
                    <w:t>等</w:t>
                  </w:r>
                </w:p>
              </w:tc>
              <w:tc>
                <w:tcPr>
                  <w:tcW w:w="1040" w:type="dxa"/>
                  <w:tcBorders>
                    <w:top w:val="single" w:color="auto" w:sz="4" w:space="0"/>
                    <w:left w:val="single" w:color="auto" w:sz="4" w:space="0"/>
                    <w:bottom w:val="single" w:color="auto" w:sz="4" w:space="0"/>
                    <w:right w:val="single" w:color="auto" w:sz="4" w:space="0"/>
                  </w:tcBorders>
                  <w:shd w:val="clear"/>
                  <w:vAlign w:val="center"/>
                </w:tcPr>
                <w:p w14:paraId="766E7754">
                  <w:pPr>
                    <w:pStyle w:val="69"/>
                    <w:widowControl/>
                    <w:spacing w:line="300" w:lineRule="exact"/>
                    <w:rPr>
                      <w:rFonts w:hint="default" w:ascii="Times New Roman" w:hAnsi="宋体" w:cs="Times New Roman"/>
                      <w:color w:val="000000"/>
                      <w:szCs w:val="21"/>
                      <w:bdr w:val="none" w:color="auto" w:sz="0" w:space="0"/>
                      <w:lang w:val="en-US"/>
                    </w:rPr>
                  </w:pPr>
                  <w:r>
                    <w:rPr>
                      <w:rFonts w:hint="default" w:ascii="Times New Roman" w:hAnsi="宋体" w:cs="Times New Roman"/>
                      <w:color w:val="000000"/>
                      <w:szCs w:val="21"/>
                      <w:bdr w:val="none" w:color="auto" w:sz="0" w:space="0"/>
                      <w:lang w:val="en-US"/>
                    </w:rPr>
                    <w:t>1</w:t>
                  </w:r>
                  <w:r>
                    <w:rPr>
                      <w:rFonts w:hint="eastAsia" w:ascii="Times New Roman" w:hAnsi="宋体" w:eastAsia="宋体" w:cs="宋体"/>
                      <w:color w:val="000000"/>
                      <w:szCs w:val="21"/>
                      <w:bdr w:val="none" w:color="auto" w:sz="0" w:space="0"/>
                    </w:rPr>
                    <w:t>万</w:t>
                  </w:r>
                  <w:r>
                    <w:rPr>
                      <w:rFonts w:hint="default" w:ascii="Times New Roman" w:hAnsi="宋体" w:cs="Times New Roman"/>
                      <w:color w:val="000000"/>
                      <w:szCs w:val="21"/>
                      <w:bdr w:val="none" w:color="auto" w:sz="0" w:space="0"/>
                      <w:lang w:val="en-US"/>
                    </w:rPr>
                    <w:t>m</w:t>
                  </w:r>
                  <w:r>
                    <w:rPr>
                      <w:rFonts w:hint="default" w:ascii="Times New Roman" w:hAnsi="宋体" w:cs="Times New Roman"/>
                      <w:color w:val="000000"/>
                      <w:szCs w:val="21"/>
                      <w:bdr w:val="none" w:color="auto" w:sz="0" w:space="0"/>
                      <w:vertAlign w:val="superscript"/>
                      <w:lang w:val="en-US"/>
                    </w:rPr>
                    <w:t>2</w:t>
                  </w:r>
                </w:p>
              </w:tc>
              <w:tc>
                <w:tcPr>
                  <w:tcW w:w="1040" w:type="dxa"/>
                  <w:tcBorders>
                    <w:top w:val="single" w:color="auto" w:sz="4" w:space="0"/>
                    <w:left w:val="single" w:color="auto" w:sz="4" w:space="0"/>
                    <w:bottom w:val="single" w:color="auto" w:sz="4" w:space="0"/>
                    <w:right w:val="single" w:color="auto" w:sz="4" w:space="0"/>
                  </w:tcBorders>
                  <w:shd w:val="clear"/>
                  <w:vAlign w:val="center"/>
                </w:tcPr>
                <w:p w14:paraId="71F96E0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Calibri" w:cs="Times New Roman"/>
                      <w:color w:val="000000"/>
                      <w:szCs w:val="21"/>
                      <w:bdr w:val="none" w:color="auto" w:sz="0" w:space="0"/>
                      <w:lang w:val="en-US"/>
                    </w:rPr>
                  </w:pPr>
                  <w:r>
                    <w:rPr>
                      <w:rFonts w:hint="default" w:ascii="Times New Roman" w:hAnsi="Calibri" w:eastAsia="宋体" w:cs="Times New Roman"/>
                      <w:color w:val="000000"/>
                      <w:kern w:val="2"/>
                      <w:sz w:val="21"/>
                      <w:szCs w:val="21"/>
                      <w:bdr w:val="none" w:color="auto" w:sz="0" w:space="0"/>
                      <w:lang w:val="en-US" w:eastAsia="zh-CN" w:bidi="ar"/>
                    </w:rPr>
                    <w:t>3</w:t>
                  </w:r>
                  <w:r>
                    <w:rPr>
                      <w:rFonts w:hint="eastAsia" w:ascii="Times New Roman" w:hAnsi="Calibri" w:eastAsia="宋体" w:cs="宋体"/>
                      <w:color w:val="000000"/>
                      <w:kern w:val="2"/>
                      <w:sz w:val="21"/>
                      <w:szCs w:val="21"/>
                      <w:bdr w:val="none" w:color="auto" w:sz="0" w:space="0"/>
                      <w:lang w:val="en-US" w:eastAsia="zh-CN" w:bidi="ar"/>
                    </w:rPr>
                    <w:t>万</w:t>
                  </w:r>
                  <w:r>
                    <w:rPr>
                      <w:rFonts w:hint="default" w:ascii="Times New Roman" w:hAnsi="宋体" w:eastAsia="宋体" w:cs="Times New Roman"/>
                      <w:color w:val="000000"/>
                      <w:kern w:val="2"/>
                      <w:sz w:val="21"/>
                      <w:szCs w:val="21"/>
                      <w:bdr w:val="none" w:color="auto" w:sz="0" w:space="0"/>
                      <w:lang w:val="en-US" w:eastAsia="zh-CN" w:bidi="ar"/>
                    </w:rPr>
                    <w:t>m</w:t>
                  </w:r>
                  <w:r>
                    <w:rPr>
                      <w:rFonts w:hint="default" w:ascii="Times New Roman" w:hAnsi="宋体" w:eastAsia="宋体" w:cs="Times New Roman"/>
                      <w:color w:val="000000"/>
                      <w:kern w:val="2"/>
                      <w:sz w:val="21"/>
                      <w:szCs w:val="21"/>
                      <w:bdr w:val="none" w:color="auto" w:sz="0" w:space="0"/>
                      <w:vertAlign w:val="superscript"/>
                      <w:lang w:val="en-US" w:eastAsia="zh-CN" w:bidi="ar"/>
                    </w:rPr>
                    <w:t>2</w:t>
                  </w:r>
                </w:p>
              </w:tc>
              <w:tc>
                <w:tcPr>
                  <w:tcW w:w="1185" w:type="dxa"/>
                  <w:tcBorders>
                    <w:top w:val="single" w:color="auto" w:sz="4" w:space="0"/>
                    <w:left w:val="single" w:color="auto" w:sz="4" w:space="0"/>
                    <w:bottom w:val="single" w:color="auto" w:sz="4" w:space="0"/>
                    <w:right w:val="single" w:color="auto" w:sz="4" w:space="0"/>
                  </w:tcBorders>
                  <w:shd w:val="clear"/>
                  <w:vAlign w:val="center"/>
                </w:tcPr>
                <w:p w14:paraId="5899A71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Calibri" w:cs="Times New Roman"/>
                      <w:color w:val="000000"/>
                      <w:szCs w:val="21"/>
                      <w:bdr w:val="none" w:color="auto" w:sz="0" w:space="0"/>
                      <w:lang w:val="en-US"/>
                    </w:rPr>
                  </w:pPr>
                  <w:r>
                    <w:rPr>
                      <w:rFonts w:hint="default" w:ascii="Times New Roman" w:hAnsi="Calibri" w:eastAsia="宋体" w:cs="Times New Roman"/>
                      <w:color w:val="000000"/>
                      <w:kern w:val="2"/>
                      <w:sz w:val="21"/>
                      <w:szCs w:val="21"/>
                      <w:bdr w:val="none" w:color="auto" w:sz="0" w:space="0"/>
                      <w:lang w:val="en-US" w:eastAsia="zh-CN" w:bidi="ar"/>
                    </w:rPr>
                    <w:t>+2</w:t>
                  </w:r>
                  <w:r>
                    <w:rPr>
                      <w:rFonts w:hint="eastAsia" w:ascii="Times New Roman" w:hAnsi="Calibri" w:eastAsia="宋体" w:cs="宋体"/>
                      <w:color w:val="000000"/>
                      <w:kern w:val="2"/>
                      <w:sz w:val="21"/>
                      <w:szCs w:val="21"/>
                      <w:bdr w:val="none" w:color="auto" w:sz="0" w:space="0"/>
                      <w:lang w:val="en-US" w:eastAsia="zh-CN" w:bidi="ar"/>
                    </w:rPr>
                    <w:t>万</w:t>
                  </w:r>
                  <w:r>
                    <w:rPr>
                      <w:rFonts w:hint="default" w:ascii="Times New Roman" w:hAnsi="宋体" w:eastAsia="宋体" w:cs="Times New Roman"/>
                      <w:color w:val="000000"/>
                      <w:kern w:val="2"/>
                      <w:sz w:val="21"/>
                      <w:szCs w:val="21"/>
                      <w:bdr w:val="none" w:color="auto" w:sz="0" w:space="0"/>
                      <w:lang w:val="en-US" w:eastAsia="zh-CN" w:bidi="ar"/>
                    </w:rPr>
                    <w:t>m</w:t>
                  </w:r>
                  <w:r>
                    <w:rPr>
                      <w:rFonts w:hint="default" w:ascii="Times New Roman" w:hAnsi="宋体" w:eastAsia="宋体" w:cs="Times New Roman"/>
                      <w:color w:val="000000"/>
                      <w:kern w:val="2"/>
                      <w:sz w:val="21"/>
                      <w:szCs w:val="21"/>
                      <w:bdr w:val="none" w:color="auto" w:sz="0" w:space="0"/>
                      <w:vertAlign w:val="superscript"/>
                      <w:lang w:val="en-US" w:eastAsia="zh-CN" w:bidi="ar"/>
                    </w:rPr>
                    <w:t>2</w:t>
                  </w:r>
                </w:p>
              </w:tc>
              <w:tc>
                <w:tcPr>
                  <w:tcW w:w="1973" w:type="dxa"/>
                  <w:vMerge w:val="restart"/>
                  <w:tcBorders>
                    <w:top w:val="single" w:color="auto" w:sz="4" w:space="0"/>
                    <w:left w:val="single" w:color="auto" w:sz="4" w:space="0"/>
                    <w:bottom w:val="single" w:color="auto" w:sz="4" w:space="0"/>
                    <w:right w:val="nil"/>
                  </w:tcBorders>
                  <w:shd w:val="clear"/>
                  <w:vAlign w:val="center"/>
                </w:tcPr>
                <w:p w14:paraId="23681D21">
                  <w:pPr>
                    <w:keepNext w:val="0"/>
                    <w:keepLines w:val="0"/>
                    <w:widowControl w:val="0"/>
                    <w:suppressLineNumbers w:val="0"/>
                    <w:adjustRightInd w:val="0"/>
                    <w:snapToGrid w:val="0"/>
                    <w:spacing w:before="0" w:beforeAutospacing="0" w:after="0" w:afterAutospacing="0"/>
                    <w:ind w:left="0" w:right="0"/>
                    <w:jc w:val="center"/>
                    <w:rPr>
                      <w:color w:val="000000"/>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主要应用于新能源汽车等领域密封、缓冲、压紧</w:t>
                  </w:r>
                </w:p>
              </w:tc>
            </w:tr>
            <w:tr w14:paraId="09E6A16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28" w:type="dxa"/>
                  <w:vMerge w:val="continue"/>
                  <w:tcBorders>
                    <w:top w:val="single" w:color="auto" w:sz="4" w:space="0"/>
                    <w:left w:val="nil"/>
                    <w:bottom w:val="single" w:color="auto" w:sz="4" w:space="0"/>
                    <w:right w:val="single" w:color="auto" w:sz="4" w:space="0"/>
                  </w:tcBorders>
                  <w:shd w:val="clear"/>
                  <w:vAlign w:val="center"/>
                </w:tcPr>
                <w:p w14:paraId="7E9F0322">
                  <w:pPr>
                    <w:rPr>
                      <w:rFonts w:hint="default" w:ascii="Calibri" w:hAnsi="Calibri" w:cs="Calibri"/>
                      <w:sz w:val="20"/>
                      <w:szCs w:val="20"/>
                    </w:rPr>
                  </w:pPr>
                </w:p>
              </w:tc>
              <w:tc>
                <w:tcPr>
                  <w:tcW w:w="1065" w:type="dxa"/>
                  <w:tcBorders>
                    <w:top w:val="single" w:color="auto" w:sz="4" w:space="0"/>
                    <w:left w:val="single" w:color="auto" w:sz="4" w:space="0"/>
                    <w:bottom w:val="single" w:color="auto" w:sz="4" w:space="0"/>
                    <w:right w:val="single" w:color="auto" w:sz="4" w:space="0"/>
                  </w:tcBorders>
                  <w:shd w:val="clear"/>
                  <w:vAlign w:val="center"/>
                </w:tcPr>
                <w:p w14:paraId="23B7B80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网格通风棉制品</w:t>
                  </w:r>
                </w:p>
              </w:tc>
              <w:tc>
                <w:tcPr>
                  <w:tcW w:w="1554" w:type="dxa"/>
                  <w:tcBorders>
                    <w:top w:val="single" w:color="auto" w:sz="4" w:space="0"/>
                    <w:left w:val="single" w:color="auto" w:sz="4" w:space="0"/>
                    <w:bottom w:val="single" w:color="auto" w:sz="4" w:space="0"/>
                    <w:right w:val="single" w:color="auto" w:sz="4" w:space="0"/>
                  </w:tcBorders>
                  <w:shd w:val="clear"/>
                  <w:vAlign w:val="center"/>
                </w:tcPr>
                <w:p w14:paraId="08267105">
                  <w:pPr>
                    <w:pStyle w:val="69"/>
                    <w:widowControl/>
                    <w:spacing w:line="300" w:lineRule="exact"/>
                    <w:rPr>
                      <w:rFonts w:hint="default" w:ascii="Times New Roman" w:hAnsi="宋体" w:cs="Times New Roman"/>
                      <w:color w:val="000000"/>
                      <w:szCs w:val="21"/>
                      <w:bdr w:val="none" w:color="auto" w:sz="0" w:space="0"/>
                      <w:lang w:val="en-US"/>
                    </w:rPr>
                  </w:pPr>
                  <w:r>
                    <w:rPr>
                      <w:rFonts w:hint="eastAsia" w:ascii="Times New Roman" w:hAnsi="宋体" w:eastAsia="宋体" w:cs="宋体"/>
                      <w:color w:val="000000"/>
                      <w:szCs w:val="21"/>
                      <w:bdr w:val="none" w:color="auto" w:sz="0" w:space="0"/>
                    </w:rPr>
                    <w:t>根据客户要求定制</w:t>
                  </w:r>
                </w:p>
              </w:tc>
              <w:tc>
                <w:tcPr>
                  <w:tcW w:w="1040" w:type="dxa"/>
                  <w:tcBorders>
                    <w:top w:val="single" w:color="auto" w:sz="4" w:space="0"/>
                    <w:left w:val="single" w:color="auto" w:sz="4" w:space="0"/>
                    <w:bottom w:val="single" w:color="auto" w:sz="4" w:space="0"/>
                    <w:right w:val="single" w:color="auto" w:sz="4" w:space="0"/>
                  </w:tcBorders>
                  <w:shd w:val="clear"/>
                  <w:vAlign w:val="center"/>
                </w:tcPr>
                <w:p w14:paraId="466C0FE6">
                  <w:pPr>
                    <w:pStyle w:val="69"/>
                    <w:widowControl/>
                    <w:spacing w:line="300" w:lineRule="exact"/>
                    <w:rPr>
                      <w:rFonts w:hint="default" w:ascii="Times New Roman" w:hAnsi="宋体" w:cs="Times New Roman"/>
                      <w:color w:val="000000"/>
                      <w:szCs w:val="21"/>
                      <w:bdr w:val="none" w:color="auto" w:sz="0" w:space="0"/>
                      <w:lang w:val="en-US"/>
                    </w:rPr>
                  </w:pPr>
                  <w:r>
                    <w:rPr>
                      <w:rFonts w:hint="default" w:ascii="Times New Roman" w:hAnsi="宋体" w:cs="Times New Roman"/>
                      <w:color w:val="000000"/>
                      <w:szCs w:val="21"/>
                      <w:bdr w:val="none" w:color="auto" w:sz="0" w:space="0"/>
                      <w:lang w:val="en-US"/>
                    </w:rPr>
                    <w:t>0.1</w:t>
                  </w:r>
                  <w:r>
                    <w:rPr>
                      <w:rFonts w:hint="eastAsia" w:ascii="Times New Roman" w:hAnsi="宋体" w:eastAsia="宋体" w:cs="宋体"/>
                      <w:color w:val="000000"/>
                      <w:szCs w:val="21"/>
                      <w:bdr w:val="none" w:color="auto" w:sz="0" w:space="0"/>
                    </w:rPr>
                    <w:t>万</w:t>
                  </w:r>
                  <w:r>
                    <w:rPr>
                      <w:rFonts w:hint="default" w:ascii="Times New Roman" w:hAnsi="宋体" w:cs="Times New Roman"/>
                      <w:color w:val="000000"/>
                      <w:szCs w:val="21"/>
                      <w:bdr w:val="none" w:color="auto" w:sz="0" w:space="0"/>
                      <w:lang w:val="en-US"/>
                    </w:rPr>
                    <w:t>m</w:t>
                  </w:r>
                  <w:r>
                    <w:rPr>
                      <w:rFonts w:hint="default" w:ascii="Times New Roman" w:hAnsi="宋体" w:cs="Times New Roman"/>
                      <w:color w:val="000000"/>
                      <w:szCs w:val="21"/>
                      <w:bdr w:val="none" w:color="auto" w:sz="0" w:space="0"/>
                      <w:vertAlign w:val="superscript"/>
                      <w:lang w:val="en-US"/>
                    </w:rPr>
                    <w:t>2</w:t>
                  </w:r>
                </w:p>
              </w:tc>
              <w:tc>
                <w:tcPr>
                  <w:tcW w:w="1040" w:type="dxa"/>
                  <w:tcBorders>
                    <w:top w:val="single" w:color="auto" w:sz="4" w:space="0"/>
                    <w:left w:val="single" w:color="auto" w:sz="4" w:space="0"/>
                    <w:bottom w:val="single" w:color="auto" w:sz="4" w:space="0"/>
                    <w:right w:val="single" w:color="auto" w:sz="4" w:space="0"/>
                  </w:tcBorders>
                  <w:shd w:val="clear"/>
                  <w:vAlign w:val="center"/>
                </w:tcPr>
                <w:p w14:paraId="1825934D">
                  <w:pPr>
                    <w:pStyle w:val="69"/>
                    <w:widowControl/>
                    <w:spacing w:line="300" w:lineRule="exact"/>
                    <w:rPr>
                      <w:rFonts w:hint="default" w:ascii="Times New Roman" w:hAnsi="宋体" w:cs="Times New Roman"/>
                      <w:color w:val="000000"/>
                      <w:szCs w:val="21"/>
                      <w:bdr w:val="none" w:color="auto" w:sz="0" w:space="0"/>
                      <w:lang w:val="en-US"/>
                    </w:rPr>
                  </w:pPr>
                  <w:r>
                    <w:rPr>
                      <w:rFonts w:hint="default" w:ascii="Times New Roman" w:hAnsi="宋体" w:cs="Times New Roman"/>
                      <w:color w:val="000000"/>
                      <w:szCs w:val="21"/>
                      <w:bdr w:val="none" w:color="auto" w:sz="0" w:space="0"/>
                      <w:lang w:val="en-US"/>
                    </w:rPr>
                    <w:t>0.5</w:t>
                  </w:r>
                  <w:r>
                    <w:rPr>
                      <w:rFonts w:hint="eastAsia" w:ascii="Times New Roman" w:hAnsi="宋体" w:eastAsia="宋体" w:cs="宋体"/>
                      <w:color w:val="000000"/>
                      <w:szCs w:val="21"/>
                      <w:bdr w:val="none" w:color="auto" w:sz="0" w:space="0"/>
                    </w:rPr>
                    <w:t>万</w:t>
                  </w:r>
                  <w:r>
                    <w:rPr>
                      <w:rFonts w:hint="default" w:ascii="Times New Roman" w:hAnsi="宋体" w:cs="Times New Roman"/>
                      <w:color w:val="000000"/>
                      <w:szCs w:val="21"/>
                      <w:bdr w:val="none" w:color="auto" w:sz="0" w:space="0"/>
                      <w:lang w:val="en-US"/>
                    </w:rPr>
                    <w:t>m</w:t>
                  </w:r>
                  <w:r>
                    <w:rPr>
                      <w:rFonts w:hint="default" w:ascii="Times New Roman" w:hAnsi="宋体" w:cs="Times New Roman"/>
                      <w:color w:val="000000"/>
                      <w:szCs w:val="21"/>
                      <w:bdr w:val="none" w:color="auto" w:sz="0" w:space="0"/>
                      <w:vertAlign w:val="superscript"/>
                      <w:lang w:val="en-US"/>
                    </w:rPr>
                    <w:t>2</w:t>
                  </w:r>
                </w:p>
              </w:tc>
              <w:tc>
                <w:tcPr>
                  <w:tcW w:w="1185" w:type="dxa"/>
                  <w:tcBorders>
                    <w:top w:val="single" w:color="auto" w:sz="4" w:space="0"/>
                    <w:left w:val="single" w:color="auto" w:sz="4" w:space="0"/>
                    <w:bottom w:val="single" w:color="auto" w:sz="4" w:space="0"/>
                    <w:right w:val="single" w:color="auto" w:sz="4" w:space="0"/>
                  </w:tcBorders>
                  <w:shd w:val="clear"/>
                  <w:vAlign w:val="center"/>
                </w:tcPr>
                <w:p w14:paraId="2442D768">
                  <w:pPr>
                    <w:pStyle w:val="69"/>
                    <w:widowControl/>
                    <w:spacing w:line="300" w:lineRule="exact"/>
                    <w:rPr>
                      <w:rFonts w:hint="default" w:ascii="Times New Roman" w:hAnsi="宋体" w:cs="Times New Roman"/>
                      <w:color w:val="000000"/>
                      <w:szCs w:val="21"/>
                      <w:bdr w:val="none" w:color="auto" w:sz="0" w:space="0"/>
                      <w:lang w:val="en-US"/>
                    </w:rPr>
                  </w:pPr>
                  <w:r>
                    <w:rPr>
                      <w:rFonts w:hint="default" w:ascii="Times New Roman" w:hAnsi="宋体" w:cs="Times New Roman"/>
                      <w:color w:val="000000"/>
                      <w:szCs w:val="21"/>
                      <w:bdr w:val="none" w:color="auto" w:sz="0" w:space="0"/>
                      <w:lang w:val="en-US"/>
                    </w:rPr>
                    <w:t>+0.4</w:t>
                  </w:r>
                  <w:r>
                    <w:rPr>
                      <w:rFonts w:hint="eastAsia" w:ascii="Times New Roman" w:hAnsi="Calibri" w:eastAsia="宋体" w:cs="宋体"/>
                      <w:color w:val="000000"/>
                      <w:szCs w:val="21"/>
                      <w:bdr w:val="none" w:color="auto" w:sz="0" w:space="0"/>
                    </w:rPr>
                    <w:t>万</w:t>
                  </w:r>
                  <w:r>
                    <w:rPr>
                      <w:rFonts w:hint="default" w:ascii="Times New Roman" w:hAnsi="宋体" w:cs="Times New Roman"/>
                      <w:color w:val="000000"/>
                      <w:szCs w:val="21"/>
                      <w:bdr w:val="none" w:color="auto" w:sz="0" w:space="0"/>
                      <w:lang w:val="en-US"/>
                    </w:rPr>
                    <w:t>m</w:t>
                  </w:r>
                  <w:r>
                    <w:rPr>
                      <w:rFonts w:hint="default" w:ascii="Times New Roman" w:hAnsi="宋体" w:cs="Times New Roman"/>
                      <w:color w:val="000000"/>
                      <w:szCs w:val="21"/>
                      <w:bdr w:val="none" w:color="auto" w:sz="0" w:space="0"/>
                      <w:vertAlign w:val="superscript"/>
                      <w:lang w:val="en-US"/>
                    </w:rPr>
                    <w:t>2</w:t>
                  </w:r>
                </w:p>
              </w:tc>
              <w:tc>
                <w:tcPr>
                  <w:tcW w:w="1973" w:type="dxa"/>
                  <w:vMerge w:val="continue"/>
                  <w:tcBorders>
                    <w:top w:val="single" w:color="auto" w:sz="4" w:space="0"/>
                    <w:left w:val="single" w:color="auto" w:sz="4" w:space="0"/>
                    <w:bottom w:val="single" w:color="auto" w:sz="4" w:space="0"/>
                    <w:right w:val="nil"/>
                  </w:tcBorders>
                  <w:shd w:val="clear"/>
                  <w:vAlign w:val="center"/>
                </w:tcPr>
                <w:p w14:paraId="6EBAEA02">
                  <w:pPr>
                    <w:rPr>
                      <w:rFonts w:hint="default" w:ascii="Calibri" w:hAnsi="Calibri" w:cs="Calibri"/>
                      <w:sz w:val="20"/>
                      <w:szCs w:val="20"/>
                    </w:rPr>
                  </w:pPr>
                </w:p>
              </w:tc>
            </w:tr>
            <w:tr w14:paraId="6DCE7EA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28" w:type="dxa"/>
                  <w:vMerge w:val="continue"/>
                  <w:tcBorders>
                    <w:top w:val="single" w:color="auto" w:sz="4" w:space="0"/>
                    <w:left w:val="nil"/>
                    <w:bottom w:val="single" w:color="auto" w:sz="4" w:space="0"/>
                    <w:right w:val="single" w:color="auto" w:sz="4" w:space="0"/>
                  </w:tcBorders>
                  <w:shd w:val="clear"/>
                  <w:vAlign w:val="center"/>
                </w:tcPr>
                <w:p w14:paraId="4F2436F5">
                  <w:pPr>
                    <w:rPr>
                      <w:rFonts w:hint="default" w:ascii="Calibri" w:hAnsi="Calibri" w:cs="Calibri"/>
                      <w:sz w:val="20"/>
                      <w:szCs w:val="20"/>
                    </w:rPr>
                  </w:pPr>
                </w:p>
              </w:tc>
              <w:tc>
                <w:tcPr>
                  <w:tcW w:w="1065" w:type="dxa"/>
                  <w:tcBorders>
                    <w:top w:val="single" w:color="auto" w:sz="4" w:space="0"/>
                    <w:left w:val="single" w:color="auto" w:sz="4" w:space="0"/>
                    <w:bottom w:val="single" w:color="auto" w:sz="4" w:space="0"/>
                    <w:right w:val="single" w:color="auto" w:sz="4" w:space="0"/>
                  </w:tcBorders>
                  <w:shd w:val="clear"/>
                  <w:vAlign w:val="center"/>
                </w:tcPr>
                <w:p w14:paraId="79570A09">
                  <w:pPr>
                    <w:keepNext w:val="0"/>
                    <w:keepLines w:val="0"/>
                    <w:widowControl w:val="0"/>
                    <w:suppressLineNumbers w:val="0"/>
                    <w:spacing w:before="0" w:beforeAutospacing="0" w:after="0" w:afterAutospacing="0"/>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其他泡棉制品</w:t>
                  </w:r>
                </w:p>
              </w:tc>
              <w:tc>
                <w:tcPr>
                  <w:tcW w:w="1554" w:type="dxa"/>
                  <w:tcBorders>
                    <w:top w:val="single" w:color="auto" w:sz="4" w:space="0"/>
                    <w:left w:val="single" w:color="auto" w:sz="4" w:space="0"/>
                    <w:bottom w:val="single" w:color="auto" w:sz="4" w:space="0"/>
                    <w:right w:val="single" w:color="auto" w:sz="4" w:space="0"/>
                  </w:tcBorders>
                  <w:shd w:val="clear"/>
                  <w:vAlign w:val="center"/>
                </w:tcPr>
                <w:p w14:paraId="2D7AC0DC">
                  <w:pPr>
                    <w:pStyle w:val="69"/>
                    <w:widowControl/>
                    <w:spacing w:line="300" w:lineRule="exact"/>
                    <w:rPr>
                      <w:rFonts w:hint="default" w:ascii="Times New Roman" w:hAnsi="宋体" w:cs="Times New Roman"/>
                      <w:color w:val="000000"/>
                      <w:szCs w:val="21"/>
                      <w:bdr w:val="none" w:color="auto" w:sz="0" w:space="0"/>
                      <w:lang w:val="en-US"/>
                    </w:rPr>
                  </w:pPr>
                  <w:r>
                    <w:rPr>
                      <w:rFonts w:hint="default" w:ascii="Times New Roman" w:hAnsi="宋体" w:cs="Times New Roman"/>
                      <w:color w:val="000000"/>
                      <w:szCs w:val="21"/>
                      <w:bdr w:val="none" w:color="auto" w:sz="0" w:space="0"/>
                      <w:lang w:val="en-US"/>
                    </w:rPr>
                    <w:t>100mm</w:t>
                  </w:r>
                  <w:r>
                    <w:rPr>
                      <w:rFonts w:hint="eastAsia" w:ascii="Times New Roman" w:hAnsi="宋体" w:eastAsia="宋体" w:cs="宋体"/>
                      <w:color w:val="000000"/>
                      <w:szCs w:val="21"/>
                      <w:bdr w:val="none" w:color="auto" w:sz="0" w:space="0"/>
                    </w:rPr>
                    <w:t>×</w:t>
                  </w:r>
                  <w:r>
                    <w:rPr>
                      <w:rFonts w:hint="default" w:ascii="Times New Roman" w:hAnsi="宋体" w:cs="Times New Roman"/>
                      <w:color w:val="000000"/>
                      <w:szCs w:val="21"/>
                      <w:bdr w:val="none" w:color="auto" w:sz="0" w:space="0"/>
                      <w:lang w:val="en-US"/>
                    </w:rPr>
                    <w:t>200mm</w:t>
                  </w:r>
                  <w:r>
                    <w:rPr>
                      <w:rFonts w:hint="eastAsia" w:ascii="Times New Roman" w:hAnsi="宋体" w:eastAsia="宋体" w:cs="宋体"/>
                      <w:color w:val="000000"/>
                      <w:szCs w:val="21"/>
                      <w:bdr w:val="none" w:color="auto" w:sz="0" w:space="0"/>
                    </w:rPr>
                    <w:t>等</w:t>
                  </w:r>
                </w:p>
              </w:tc>
              <w:tc>
                <w:tcPr>
                  <w:tcW w:w="1040" w:type="dxa"/>
                  <w:tcBorders>
                    <w:top w:val="single" w:color="auto" w:sz="4" w:space="0"/>
                    <w:left w:val="single" w:color="auto" w:sz="4" w:space="0"/>
                    <w:bottom w:val="single" w:color="auto" w:sz="4" w:space="0"/>
                    <w:right w:val="single" w:color="auto" w:sz="4" w:space="0"/>
                  </w:tcBorders>
                  <w:shd w:val="clear"/>
                  <w:vAlign w:val="center"/>
                </w:tcPr>
                <w:p w14:paraId="3BFF0940">
                  <w:pPr>
                    <w:pStyle w:val="69"/>
                    <w:widowControl/>
                    <w:spacing w:line="300" w:lineRule="exact"/>
                    <w:rPr>
                      <w:rFonts w:hint="default" w:ascii="Times New Roman" w:hAnsi="宋体" w:cs="Times New Roman"/>
                      <w:color w:val="000000"/>
                      <w:szCs w:val="21"/>
                      <w:bdr w:val="none" w:color="auto" w:sz="0" w:space="0"/>
                      <w:lang w:val="en-US"/>
                    </w:rPr>
                  </w:pPr>
                  <w:r>
                    <w:rPr>
                      <w:rFonts w:hint="default" w:ascii="Times New Roman" w:hAnsi="宋体" w:cs="Times New Roman"/>
                      <w:color w:val="000000"/>
                      <w:szCs w:val="21"/>
                      <w:bdr w:val="none" w:color="auto" w:sz="0" w:space="0"/>
                      <w:lang w:val="en-US"/>
                    </w:rPr>
                    <w:t>0.4</w:t>
                  </w:r>
                  <w:r>
                    <w:rPr>
                      <w:rFonts w:hint="eastAsia" w:ascii="Times New Roman" w:hAnsi="宋体" w:eastAsia="宋体" w:cs="宋体"/>
                      <w:color w:val="000000"/>
                      <w:szCs w:val="21"/>
                      <w:bdr w:val="none" w:color="auto" w:sz="0" w:space="0"/>
                    </w:rPr>
                    <w:t>万</w:t>
                  </w:r>
                  <w:r>
                    <w:rPr>
                      <w:rFonts w:hint="default" w:ascii="Times New Roman" w:hAnsi="宋体" w:cs="Times New Roman"/>
                      <w:color w:val="000000"/>
                      <w:szCs w:val="21"/>
                      <w:bdr w:val="none" w:color="auto" w:sz="0" w:space="0"/>
                      <w:lang w:val="en-US"/>
                    </w:rPr>
                    <w:t>m</w:t>
                  </w:r>
                  <w:r>
                    <w:rPr>
                      <w:rFonts w:hint="default" w:ascii="Times New Roman" w:hAnsi="宋体" w:cs="Times New Roman"/>
                      <w:color w:val="000000"/>
                      <w:szCs w:val="21"/>
                      <w:bdr w:val="none" w:color="auto" w:sz="0" w:space="0"/>
                      <w:vertAlign w:val="superscript"/>
                      <w:lang w:val="en-US"/>
                    </w:rPr>
                    <w:t>2</w:t>
                  </w:r>
                </w:p>
              </w:tc>
              <w:tc>
                <w:tcPr>
                  <w:tcW w:w="1040" w:type="dxa"/>
                  <w:tcBorders>
                    <w:top w:val="single" w:color="auto" w:sz="4" w:space="0"/>
                    <w:left w:val="single" w:color="auto" w:sz="4" w:space="0"/>
                    <w:bottom w:val="single" w:color="auto" w:sz="4" w:space="0"/>
                    <w:right w:val="single" w:color="auto" w:sz="4" w:space="0"/>
                  </w:tcBorders>
                  <w:shd w:val="clear"/>
                  <w:vAlign w:val="center"/>
                </w:tcPr>
                <w:p w14:paraId="4E854D5C">
                  <w:pPr>
                    <w:pStyle w:val="69"/>
                    <w:widowControl/>
                    <w:spacing w:line="300" w:lineRule="exact"/>
                    <w:rPr>
                      <w:rFonts w:hint="default" w:ascii="Times New Roman" w:hAnsi="宋体" w:cs="Times New Roman"/>
                      <w:color w:val="000000"/>
                      <w:szCs w:val="21"/>
                      <w:bdr w:val="none" w:color="auto" w:sz="0" w:space="0"/>
                      <w:lang w:val="en-US"/>
                    </w:rPr>
                  </w:pPr>
                  <w:r>
                    <w:rPr>
                      <w:rFonts w:hint="default" w:ascii="Times New Roman" w:hAnsi="宋体" w:cs="Times New Roman"/>
                      <w:color w:val="000000"/>
                      <w:szCs w:val="21"/>
                      <w:bdr w:val="none" w:color="auto" w:sz="0" w:space="0"/>
                      <w:lang w:val="en-US"/>
                    </w:rPr>
                    <w:t>1.5</w:t>
                  </w:r>
                  <w:r>
                    <w:rPr>
                      <w:rFonts w:hint="eastAsia" w:ascii="Times New Roman" w:hAnsi="宋体" w:eastAsia="宋体" w:cs="宋体"/>
                      <w:color w:val="000000"/>
                      <w:szCs w:val="21"/>
                      <w:bdr w:val="none" w:color="auto" w:sz="0" w:space="0"/>
                    </w:rPr>
                    <w:t>万</w:t>
                  </w:r>
                  <w:r>
                    <w:rPr>
                      <w:rFonts w:hint="default" w:ascii="Times New Roman" w:hAnsi="宋体" w:cs="Times New Roman"/>
                      <w:color w:val="000000"/>
                      <w:szCs w:val="21"/>
                      <w:bdr w:val="none" w:color="auto" w:sz="0" w:space="0"/>
                      <w:lang w:val="en-US"/>
                    </w:rPr>
                    <w:t>m</w:t>
                  </w:r>
                  <w:r>
                    <w:rPr>
                      <w:rFonts w:hint="default" w:ascii="Times New Roman" w:hAnsi="宋体" w:cs="Times New Roman"/>
                      <w:color w:val="000000"/>
                      <w:szCs w:val="21"/>
                      <w:bdr w:val="none" w:color="auto" w:sz="0" w:space="0"/>
                      <w:vertAlign w:val="superscript"/>
                      <w:lang w:val="en-US"/>
                    </w:rPr>
                    <w:t>2</w:t>
                  </w:r>
                </w:p>
              </w:tc>
              <w:tc>
                <w:tcPr>
                  <w:tcW w:w="1185" w:type="dxa"/>
                  <w:tcBorders>
                    <w:top w:val="single" w:color="auto" w:sz="4" w:space="0"/>
                    <w:left w:val="single" w:color="auto" w:sz="4" w:space="0"/>
                    <w:bottom w:val="single" w:color="auto" w:sz="4" w:space="0"/>
                    <w:right w:val="single" w:color="auto" w:sz="4" w:space="0"/>
                  </w:tcBorders>
                  <w:shd w:val="clear"/>
                  <w:vAlign w:val="center"/>
                </w:tcPr>
                <w:p w14:paraId="02E2F3E6">
                  <w:pPr>
                    <w:pStyle w:val="69"/>
                    <w:widowControl/>
                    <w:spacing w:line="300" w:lineRule="exact"/>
                    <w:rPr>
                      <w:rFonts w:hint="default" w:ascii="Times New Roman" w:hAnsi="宋体" w:cs="Times New Roman"/>
                      <w:color w:val="000000"/>
                      <w:szCs w:val="21"/>
                      <w:bdr w:val="none" w:color="auto" w:sz="0" w:space="0"/>
                      <w:lang w:val="en-US"/>
                    </w:rPr>
                  </w:pPr>
                  <w:r>
                    <w:rPr>
                      <w:rFonts w:hint="default" w:ascii="Times New Roman" w:hAnsi="宋体" w:cs="Times New Roman"/>
                      <w:color w:val="000000"/>
                      <w:szCs w:val="21"/>
                      <w:bdr w:val="none" w:color="auto" w:sz="0" w:space="0"/>
                      <w:lang w:val="en-US"/>
                    </w:rPr>
                    <w:t>+1.1</w:t>
                  </w:r>
                  <w:r>
                    <w:rPr>
                      <w:rFonts w:hint="eastAsia" w:ascii="Times New Roman" w:hAnsi="Calibri" w:eastAsia="宋体" w:cs="宋体"/>
                      <w:color w:val="000000"/>
                      <w:szCs w:val="21"/>
                      <w:bdr w:val="none" w:color="auto" w:sz="0" w:space="0"/>
                    </w:rPr>
                    <w:t>万</w:t>
                  </w:r>
                  <w:r>
                    <w:rPr>
                      <w:rFonts w:hint="default" w:ascii="Times New Roman" w:hAnsi="宋体" w:cs="Times New Roman"/>
                      <w:color w:val="000000"/>
                      <w:szCs w:val="21"/>
                      <w:bdr w:val="none" w:color="auto" w:sz="0" w:space="0"/>
                      <w:lang w:val="en-US"/>
                    </w:rPr>
                    <w:t>m</w:t>
                  </w:r>
                  <w:r>
                    <w:rPr>
                      <w:rFonts w:hint="default" w:ascii="Times New Roman" w:hAnsi="宋体" w:cs="Times New Roman"/>
                      <w:color w:val="000000"/>
                      <w:szCs w:val="21"/>
                      <w:bdr w:val="none" w:color="auto" w:sz="0" w:space="0"/>
                      <w:vertAlign w:val="superscript"/>
                      <w:lang w:val="en-US"/>
                    </w:rPr>
                    <w:t>2</w:t>
                  </w:r>
                </w:p>
              </w:tc>
              <w:tc>
                <w:tcPr>
                  <w:tcW w:w="1973" w:type="dxa"/>
                  <w:vMerge w:val="continue"/>
                  <w:tcBorders>
                    <w:top w:val="single" w:color="auto" w:sz="4" w:space="0"/>
                    <w:left w:val="single" w:color="auto" w:sz="4" w:space="0"/>
                    <w:bottom w:val="single" w:color="auto" w:sz="4" w:space="0"/>
                    <w:right w:val="nil"/>
                  </w:tcBorders>
                  <w:shd w:val="clear"/>
                  <w:vAlign w:val="center"/>
                </w:tcPr>
                <w:p w14:paraId="743DEA6B">
                  <w:pPr>
                    <w:rPr>
                      <w:rFonts w:hint="default" w:ascii="Calibri" w:hAnsi="Calibri" w:cs="Calibri"/>
                      <w:sz w:val="20"/>
                      <w:szCs w:val="20"/>
                    </w:rPr>
                  </w:pPr>
                </w:p>
              </w:tc>
            </w:tr>
            <w:tr w14:paraId="510D8B0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593" w:type="dxa"/>
                  <w:gridSpan w:val="2"/>
                  <w:tcBorders>
                    <w:top w:val="single" w:color="auto" w:sz="4" w:space="0"/>
                    <w:left w:val="nil"/>
                    <w:bottom w:val="single" w:color="auto" w:sz="4" w:space="0"/>
                    <w:right w:val="single" w:color="auto" w:sz="4" w:space="0"/>
                  </w:tcBorders>
                  <w:shd w:val="clear"/>
                  <w:vAlign w:val="center"/>
                </w:tcPr>
                <w:p w14:paraId="0F9E2822">
                  <w:pPr>
                    <w:keepNext w:val="0"/>
                    <w:keepLines w:val="0"/>
                    <w:widowControl w:val="0"/>
                    <w:suppressLineNumbers w:val="0"/>
                    <w:spacing w:before="0" w:beforeAutospacing="0" w:after="0" w:afterAutospacing="0"/>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云母板</w:t>
                  </w:r>
                </w:p>
              </w:tc>
              <w:tc>
                <w:tcPr>
                  <w:tcW w:w="1554" w:type="dxa"/>
                  <w:tcBorders>
                    <w:top w:val="single" w:color="auto" w:sz="4" w:space="0"/>
                    <w:left w:val="single" w:color="auto" w:sz="4" w:space="0"/>
                    <w:bottom w:val="single" w:color="auto" w:sz="4" w:space="0"/>
                    <w:right w:val="single" w:color="auto" w:sz="4" w:space="0"/>
                  </w:tcBorders>
                  <w:shd w:val="clear"/>
                  <w:vAlign w:val="center"/>
                </w:tcPr>
                <w:p w14:paraId="5AFDC655">
                  <w:pPr>
                    <w:pStyle w:val="69"/>
                    <w:widowControl/>
                    <w:spacing w:line="300" w:lineRule="exact"/>
                    <w:rPr>
                      <w:rFonts w:hint="default" w:ascii="Times New Roman" w:hAnsi="宋体" w:cs="Times New Roman"/>
                      <w:color w:val="000000"/>
                      <w:szCs w:val="21"/>
                      <w:bdr w:val="none" w:color="auto" w:sz="0" w:space="0"/>
                      <w:lang w:val="en-US"/>
                    </w:rPr>
                  </w:pPr>
                  <w:r>
                    <w:rPr>
                      <w:rFonts w:hint="eastAsia" w:ascii="Times New Roman" w:hAnsi="宋体" w:eastAsia="宋体" w:cs="宋体"/>
                      <w:color w:val="000000"/>
                      <w:szCs w:val="21"/>
                      <w:bdr w:val="none" w:color="auto" w:sz="0" w:space="0"/>
                    </w:rPr>
                    <w:t>根据客户要求定制</w:t>
                  </w:r>
                </w:p>
              </w:tc>
              <w:tc>
                <w:tcPr>
                  <w:tcW w:w="1040" w:type="dxa"/>
                  <w:tcBorders>
                    <w:top w:val="single" w:color="auto" w:sz="4" w:space="0"/>
                    <w:left w:val="single" w:color="auto" w:sz="4" w:space="0"/>
                    <w:bottom w:val="single" w:color="auto" w:sz="4" w:space="0"/>
                    <w:right w:val="single" w:color="auto" w:sz="4" w:space="0"/>
                  </w:tcBorders>
                  <w:shd w:val="clear"/>
                  <w:vAlign w:val="center"/>
                </w:tcPr>
                <w:p w14:paraId="604D702C">
                  <w:pPr>
                    <w:pStyle w:val="69"/>
                    <w:widowControl/>
                    <w:spacing w:line="300" w:lineRule="exact"/>
                    <w:rPr>
                      <w:rFonts w:hint="default" w:ascii="Times New Roman" w:hAnsi="宋体" w:cs="Times New Roman"/>
                      <w:color w:val="000000"/>
                      <w:szCs w:val="21"/>
                      <w:bdr w:val="none" w:color="auto" w:sz="0" w:space="0"/>
                      <w:lang w:val="en-US"/>
                    </w:rPr>
                  </w:pPr>
                  <w:r>
                    <w:rPr>
                      <w:rFonts w:hint="default" w:ascii="Times New Roman" w:hAnsi="宋体" w:cs="Times New Roman"/>
                      <w:color w:val="000000"/>
                      <w:szCs w:val="21"/>
                      <w:bdr w:val="none" w:color="auto" w:sz="0" w:space="0"/>
                      <w:lang w:val="en-US"/>
                    </w:rPr>
                    <w:t>1.2</w:t>
                  </w:r>
                  <w:r>
                    <w:rPr>
                      <w:rFonts w:hint="eastAsia" w:ascii="Times New Roman" w:hAnsi="宋体" w:eastAsia="宋体" w:cs="宋体"/>
                      <w:color w:val="000000"/>
                      <w:szCs w:val="21"/>
                      <w:bdr w:val="none" w:color="auto" w:sz="0" w:space="0"/>
                    </w:rPr>
                    <w:t>万片</w:t>
                  </w:r>
                </w:p>
              </w:tc>
              <w:tc>
                <w:tcPr>
                  <w:tcW w:w="1040" w:type="dxa"/>
                  <w:tcBorders>
                    <w:top w:val="single" w:color="auto" w:sz="4" w:space="0"/>
                    <w:left w:val="single" w:color="auto" w:sz="4" w:space="0"/>
                    <w:bottom w:val="single" w:color="auto" w:sz="4" w:space="0"/>
                    <w:right w:val="single" w:color="auto" w:sz="4" w:space="0"/>
                  </w:tcBorders>
                  <w:shd w:val="clear"/>
                  <w:vAlign w:val="center"/>
                </w:tcPr>
                <w:p w14:paraId="009AD151">
                  <w:pPr>
                    <w:pStyle w:val="69"/>
                    <w:widowControl/>
                    <w:spacing w:line="300" w:lineRule="exact"/>
                    <w:rPr>
                      <w:rFonts w:hint="default" w:ascii="Times New Roman" w:hAnsi="宋体" w:cs="Times New Roman"/>
                      <w:color w:val="000000"/>
                      <w:szCs w:val="21"/>
                      <w:bdr w:val="none" w:color="auto" w:sz="0" w:space="0"/>
                      <w:lang w:val="en-US"/>
                    </w:rPr>
                  </w:pPr>
                  <w:r>
                    <w:rPr>
                      <w:rFonts w:hint="default" w:ascii="Times New Roman" w:hAnsi="宋体" w:cs="Times New Roman"/>
                      <w:color w:val="000000"/>
                      <w:szCs w:val="21"/>
                      <w:bdr w:val="none" w:color="auto" w:sz="0" w:space="0"/>
                      <w:lang w:val="en-US"/>
                    </w:rPr>
                    <w:t>2</w:t>
                  </w:r>
                  <w:r>
                    <w:rPr>
                      <w:rFonts w:hint="eastAsia" w:ascii="Times New Roman" w:hAnsi="宋体" w:eastAsia="宋体" w:cs="宋体"/>
                      <w:color w:val="000000"/>
                      <w:szCs w:val="21"/>
                      <w:bdr w:val="none" w:color="auto" w:sz="0" w:space="0"/>
                    </w:rPr>
                    <w:t>万片</w:t>
                  </w:r>
                </w:p>
              </w:tc>
              <w:tc>
                <w:tcPr>
                  <w:tcW w:w="1185" w:type="dxa"/>
                  <w:tcBorders>
                    <w:top w:val="single" w:color="auto" w:sz="4" w:space="0"/>
                    <w:left w:val="single" w:color="auto" w:sz="4" w:space="0"/>
                    <w:bottom w:val="single" w:color="auto" w:sz="4" w:space="0"/>
                    <w:right w:val="single" w:color="auto" w:sz="4" w:space="0"/>
                  </w:tcBorders>
                  <w:shd w:val="clear"/>
                  <w:vAlign w:val="center"/>
                </w:tcPr>
                <w:p w14:paraId="4E7C22BF">
                  <w:pPr>
                    <w:pStyle w:val="69"/>
                    <w:widowControl/>
                    <w:spacing w:line="300" w:lineRule="exact"/>
                    <w:rPr>
                      <w:rFonts w:hint="default" w:ascii="Times New Roman" w:hAnsi="宋体" w:cs="Times New Roman"/>
                      <w:color w:val="000000"/>
                      <w:szCs w:val="21"/>
                      <w:bdr w:val="none" w:color="auto" w:sz="0" w:space="0"/>
                      <w:lang w:val="en-US"/>
                    </w:rPr>
                  </w:pPr>
                  <w:r>
                    <w:rPr>
                      <w:rFonts w:hint="default" w:ascii="Times New Roman" w:hAnsi="宋体" w:cs="Times New Roman"/>
                      <w:color w:val="000000"/>
                      <w:szCs w:val="21"/>
                      <w:bdr w:val="none" w:color="auto" w:sz="0" w:space="0"/>
                      <w:lang w:val="en-US"/>
                    </w:rPr>
                    <w:t>+0.8</w:t>
                  </w:r>
                  <w:r>
                    <w:rPr>
                      <w:rFonts w:hint="eastAsia" w:ascii="Times New Roman" w:hAnsi="宋体" w:eastAsia="宋体" w:cs="宋体"/>
                      <w:color w:val="000000"/>
                      <w:szCs w:val="21"/>
                      <w:bdr w:val="none" w:color="auto" w:sz="0" w:space="0"/>
                    </w:rPr>
                    <w:t>万片</w:t>
                  </w:r>
                </w:p>
              </w:tc>
              <w:tc>
                <w:tcPr>
                  <w:tcW w:w="1973" w:type="dxa"/>
                  <w:tcBorders>
                    <w:top w:val="single" w:color="auto" w:sz="4" w:space="0"/>
                    <w:left w:val="single" w:color="auto" w:sz="4" w:space="0"/>
                    <w:bottom w:val="single" w:color="auto" w:sz="4" w:space="0"/>
                    <w:right w:val="nil"/>
                  </w:tcBorders>
                  <w:shd w:val="clear"/>
                  <w:vAlign w:val="center"/>
                </w:tcPr>
                <w:p w14:paraId="79AA679A">
                  <w:pPr>
                    <w:pStyle w:val="69"/>
                    <w:widowControl/>
                    <w:spacing w:line="300" w:lineRule="exact"/>
                    <w:rPr>
                      <w:rFonts w:hint="default" w:ascii="Times New Roman" w:hAnsi="宋体" w:cs="Times New Roman"/>
                      <w:color w:val="000000"/>
                      <w:szCs w:val="21"/>
                      <w:bdr w:val="none" w:color="auto" w:sz="0" w:space="0"/>
                      <w:lang w:val="en-US"/>
                    </w:rPr>
                  </w:pPr>
                  <w:r>
                    <w:rPr>
                      <w:rFonts w:hint="eastAsia" w:ascii="Times New Roman" w:hAnsi="宋体" w:eastAsia="宋体" w:cs="宋体"/>
                      <w:color w:val="000000"/>
                      <w:szCs w:val="21"/>
                      <w:bdr w:val="none" w:color="auto" w:sz="0" w:space="0"/>
                    </w:rPr>
                    <w:t>用于新能源车用电池，具有绝缘、隔热功效</w:t>
                  </w:r>
                </w:p>
              </w:tc>
            </w:tr>
            <w:tr w14:paraId="3C89270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593" w:type="dxa"/>
                  <w:gridSpan w:val="2"/>
                  <w:tcBorders>
                    <w:top w:val="single" w:color="auto" w:sz="4" w:space="0"/>
                    <w:left w:val="nil"/>
                    <w:bottom w:val="single" w:color="auto" w:sz="12" w:space="0"/>
                    <w:right w:val="single" w:color="auto" w:sz="4" w:space="0"/>
                  </w:tcBorders>
                  <w:shd w:val="clear"/>
                  <w:vAlign w:val="center"/>
                </w:tcPr>
                <w:p w14:paraId="079B6CC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Calibri" w:cs="Times New Roman"/>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皮革装饰条</w:t>
                  </w:r>
                </w:p>
              </w:tc>
              <w:tc>
                <w:tcPr>
                  <w:tcW w:w="1554" w:type="dxa"/>
                  <w:tcBorders>
                    <w:top w:val="single" w:color="auto" w:sz="4" w:space="0"/>
                    <w:left w:val="single" w:color="auto" w:sz="4" w:space="0"/>
                    <w:bottom w:val="single" w:color="auto" w:sz="12" w:space="0"/>
                    <w:right w:val="single" w:color="auto" w:sz="4" w:space="0"/>
                  </w:tcBorders>
                  <w:shd w:val="clear"/>
                  <w:vAlign w:val="center"/>
                </w:tcPr>
                <w:p w14:paraId="1AA4A9DE">
                  <w:pPr>
                    <w:pStyle w:val="69"/>
                    <w:widowControl/>
                    <w:spacing w:line="300" w:lineRule="exact"/>
                    <w:rPr>
                      <w:rFonts w:hint="default" w:ascii="Times New Roman" w:hAnsi="宋体" w:cs="Times New Roman"/>
                      <w:color w:val="000000"/>
                      <w:szCs w:val="21"/>
                      <w:bdr w:val="none" w:color="auto" w:sz="0" w:space="0"/>
                      <w:lang w:val="en-US"/>
                    </w:rPr>
                  </w:pPr>
                  <w:r>
                    <w:rPr>
                      <w:rFonts w:hint="default" w:ascii="Times New Roman" w:hAnsi="宋体" w:cs="Times New Roman"/>
                      <w:color w:val="000000"/>
                      <w:szCs w:val="21"/>
                      <w:bdr w:val="none" w:color="auto" w:sz="0" w:space="0"/>
                      <w:lang w:val="en-US"/>
                    </w:rPr>
                    <w:t>200m</w:t>
                  </w:r>
                  <w:r>
                    <w:rPr>
                      <w:rFonts w:hint="eastAsia" w:ascii="Times New Roman" w:hAnsi="宋体" w:eastAsia="宋体" w:cs="宋体"/>
                      <w:color w:val="000000"/>
                      <w:szCs w:val="21"/>
                      <w:bdr w:val="none" w:color="auto" w:sz="0" w:space="0"/>
                      <w:lang w:val="en-US"/>
                    </w:rPr>
                    <w:t>×</w:t>
                  </w:r>
                  <w:r>
                    <w:rPr>
                      <w:rFonts w:hint="default" w:ascii="Times New Roman" w:hAnsi="宋体" w:cs="Times New Roman"/>
                      <w:color w:val="000000"/>
                      <w:szCs w:val="21"/>
                      <w:bdr w:val="none" w:color="auto" w:sz="0" w:space="0"/>
                      <w:lang w:val="en-US"/>
                    </w:rPr>
                    <w:t>(9~12)mm</w:t>
                  </w:r>
                </w:p>
              </w:tc>
              <w:tc>
                <w:tcPr>
                  <w:tcW w:w="1040" w:type="dxa"/>
                  <w:tcBorders>
                    <w:top w:val="single" w:color="auto" w:sz="4" w:space="0"/>
                    <w:left w:val="single" w:color="auto" w:sz="4" w:space="0"/>
                    <w:bottom w:val="single" w:color="auto" w:sz="12" w:space="0"/>
                    <w:right w:val="single" w:color="auto" w:sz="4" w:space="0"/>
                  </w:tcBorders>
                  <w:shd w:val="clear"/>
                  <w:vAlign w:val="center"/>
                </w:tcPr>
                <w:p w14:paraId="5D92D51E">
                  <w:pPr>
                    <w:pStyle w:val="69"/>
                    <w:widowControl/>
                    <w:spacing w:line="300" w:lineRule="exact"/>
                    <w:rPr>
                      <w:rFonts w:hint="default" w:ascii="Times New Roman" w:hAnsi="宋体" w:cs="Times New Roman"/>
                      <w:color w:val="000000"/>
                      <w:szCs w:val="21"/>
                      <w:bdr w:val="none" w:color="auto" w:sz="0" w:space="0"/>
                      <w:lang w:val="en-US"/>
                    </w:rPr>
                  </w:pPr>
                  <w:r>
                    <w:rPr>
                      <w:rFonts w:hint="default" w:ascii="Times New Roman" w:hAnsi="宋体" w:cs="Times New Roman"/>
                      <w:color w:val="000000"/>
                      <w:szCs w:val="21"/>
                      <w:bdr w:val="none" w:color="auto" w:sz="0" w:space="0"/>
                      <w:lang w:val="en-US"/>
                    </w:rPr>
                    <w:t>1.5</w:t>
                  </w:r>
                  <w:r>
                    <w:rPr>
                      <w:rFonts w:hint="eastAsia" w:ascii="Times New Roman" w:hAnsi="宋体" w:eastAsia="宋体" w:cs="宋体"/>
                      <w:color w:val="000000"/>
                      <w:szCs w:val="21"/>
                      <w:bdr w:val="none" w:color="auto" w:sz="0" w:space="0"/>
                    </w:rPr>
                    <w:t>万</w:t>
                  </w:r>
                  <w:r>
                    <w:rPr>
                      <w:rFonts w:hint="default" w:ascii="Times New Roman" w:hAnsi="宋体" w:cs="Times New Roman"/>
                      <w:color w:val="000000"/>
                      <w:szCs w:val="21"/>
                      <w:bdr w:val="none" w:color="auto" w:sz="0" w:space="0"/>
                      <w:lang w:val="en-US"/>
                    </w:rPr>
                    <w:t>m</w:t>
                  </w:r>
                  <w:r>
                    <w:rPr>
                      <w:rFonts w:hint="default" w:ascii="Times New Roman" w:hAnsi="宋体" w:cs="Times New Roman"/>
                      <w:color w:val="000000"/>
                      <w:szCs w:val="21"/>
                      <w:bdr w:val="none" w:color="auto" w:sz="0" w:space="0"/>
                      <w:vertAlign w:val="superscript"/>
                      <w:lang w:val="en-US"/>
                    </w:rPr>
                    <w:t>2</w:t>
                  </w:r>
                </w:p>
              </w:tc>
              <w:tc>
                <w:tcPr>
                  <w:tcW w:w="1040" w:type="dxa"/>
                  <w:tcBorders>
                    <w:top w:val="single" w:color="auto" w:sz="4" w:space="0"/>
                    <w:left w:val="single" w:color="auto" w:sz="4" w:space="0"/>
                    <w:bottom w:val="single" w:color="auto" w:sz="12" w:space="0"/>
                    <w:right w:val="single" w:color="auto" w:sz="4" w:space="0"/>
                  </w:tcBorders>
                  <w:shd w:val="clear"/>
                  <w:vAlign w:val="center"/>
                </w:tcPr>
                <w:p w14:paraId="403ECAFE">
                  <w:pPr>
                    <w:pStyle w:val="69"/>
                    <w:widowControl/>
                    <w:spacing w:line="300" w:lineRule="exact"/>
                    <w:rPr>
                      <w:rFonts w:hint="default" w:ascii="Times New Roman" w:hAnsi="宋体" w:cs="Times New Roman"/>
                      <w:color w:val="000000"/>
                      <w:szCs w:val="21"/>
                      <w:bdr w:val="none" w:color="auto" w:sz="0" w:space="0"/>
                      <w:lang w:val="en-US"/>
                    </w:rPr>
                  </w:pPr>
                  <w:r>
                    <w:rPr>
                      <w:rFonts w:hint="default" w:ascii="Times New Roman" w:hAnsi="宋体" w:cs="Times New Roman"/>
                      <w:color w:val="000000"/>
                      <w:szCs w:val="21"/>
                      <w:bdr w:val="none" w:color="auto" w:sz="0" w:space="0"/>
                      <w:lang w:val="en-US"/>
                    </w:rPr>
                    <w:t>3</w:t>
                  </w:r>
                  <w:r>
                    <w:rPr>
                      <w:rFonts w:hint="eastAsia" w:ascii="Times New Roman" w:hAnsi="宋体" w:eastAsia="宋体" w:cs="宋体"/>
                      <w:color w:val="000000"/>
                      <w:szCs w:val="21"/>
                      <w:bdr w:val="none" w:color="auto" w:sz="0" w:space="0"/>
                    </w:rPr>
                    <w:t>万</w:t>
                  </w:r>
                  <w:r>
                    <w:rPr>
                      <w:rFonts w:hint="default" w:ascii="Times New Roman" w:hAnsi="宋体" w:cs="Times New Roman"/>
                      <w:color w:val="000000"/>
                      <w:szCs w:val="21"/>
                      <w:bdr w:val="none" w:color="auto" w:sz="0" w:space="0"/>
                      <w:lang w:val="en-US"/>
                    </w:rPr>
                    <w:t>m</w:t>
                  </w:r>
                  <w:r>
                    <w:rPr>
                      <w:rFonts w:hint="default" w:ascii="Times New Roman" w:hAnsi="宋体" w:cs="Times New Roman"/>
                      <w:color w:val="000000"/>
                      <w:szCs w:val="21"/>
                      <w:bdr w:val="none" w:color="auto" w:sz="0" w:space="0"/>
                      <w:vertAlign w:val="superscript"/>
                      <w:lang w:val="en-US"/>
                    </w:rPr>
                    <w:t>2</w:t>
                  </w:r>
                </w:p>
              </w:tc>
              <w:tc>
                <w:tcPr>
                  <w:tcW w:w="1185" w:type="dxa"/>
                  <w:tcBorders>
                    <w:top w:val="single" w:color="auto" w:sz="4" w:space="0"/>
                    <w:left w:val="single" w:color="auto" w:sz="4" w:space="0"/>
                    <w:bottom w:val="single" w:color="auto" w:sz="12" w:space="0"/>
                    <w:right w:val="single" w:color="auto" w:sz="4" w:space="0"/>
                  </w:tcBorders>
                  <w:shd w:val="clear"/>
                  <w:vAlign w:val="center"/>
                </w:tcPr>
                <w:p w14:paraId="04F40631">
                  <w:pPr>
                    <w:pStyle w:val="69"/>
                    <w:widowControl/>
                    <w:spacing w:line="300" w:lineRule="exact"/>
                    <w:rPr>
                      <w:color w:val="000000"/>
                      <w:szCs w:val="21"/>
                      <w:bdr w:val="none" w:color="auto" w:sz="0" w:space="0"/>
                      <w:lang w:val="en-US"/>
                    </w:rPr>
                  </w:pPr>
                  <w:r>
                    <w:rPr>
                      <w:rFonts w:hint="default" w:ascii="Times New Roman" w:hAnsi="Times New Roman" w:cs="Times New Roman"/>
                      <w:color w:val="000000"/>
                      <w:szCs w:val="21"/>
                      <w:bdr w:val="none" w:color="auto" w:sz="0" w:space="0"/>
                      <w:lang w:val="en-US"/>
                    </w:rPr>
                    <w:t>+1.5</w:t>
                  </w:r>
                  <w:r>
                    <w:rPr>
                      <w:rFonts w:hint="eastAsia" w:ascii="Times New Roman" w:hAnsi="Calibri" w:eastAsia="宋体" w:cs="宋体"/>
                      <w:color w:val="000000"/>
                      <w:szCs w:val="21"/>
                      <w:bdr w:val="none" w:color="auto" w:sz="0" w:space="0"/>
                    </w:rPr>
                    <w:t>万</w:t>
                  </w:r>
                  <w:r>
                    <w:rPr>
                      <w:rFonts w:hint="default" w:ascii="Times New Roman" w:hAnsi="宋体" w:cs="Times New Roman"/>
                      <w:color w:val="000000"/>
                      <w:szCs w:val="21"/>
                      <w:bdr w:val="none" w:color="auto" w:sz="0" w:space="0"/>
                      <w:lang w:val="en-US"/>
                    </w:rPr>
                    <w:t>m</w:t>
                  </w:r>
                  <w:r>
                    <w:rPr>
                      <w:rFonts w:hint="default" w:ascii="Times New Roman" w:hAnsi="宋体" w:cs="Times New Roman"/>
                      <w:color w:val="000000"/>
                      <w:szCs w:val="21"/>
                      <w:bdr w:val="none" w:color="auto" w:sz="0" w:space="0"/>
                      <w:vertAlign w:val="superscript"/>
                      <w:lang w:val="en-US"/>
                    </w:rPr>
                    <w:t>2</w:t>
                  </w:r>
                </w:p>
              </w:tc>
              <w:tc>
                <w:tcPr>
                  <w:tcW w:w="1973" w:type="dxa"/>
                  <w:tcBorders>
                    <w:top w:val="single" w:color="auto" w:sz="4" w:space="0"/>
                    <w:left w:val="single" w:color="auto" w:sz="4" w:space="0"/>
                    <w:bottom w:val="single" w:color="auto" w:sz="12" w:space="0"/>
                    <w:right w:val="nil"/>
                  </w:tcBorders>
                  <w:shd w:val="clear"/>
                  <w:vAlign w:val="center"/>
                </w:tcPr>
                <w:p w14:paraId="3DA71C9A">
                  <w:pPr>
                    <w:pStyle w:val="69"/>
                    <w:widowControl/>
                    <w:spacing w:line="300" w:lineRule="exact"/>
                    <w:rPr>
                      <w:rFonts w:hint="default" w:ascii="Times New Roman" w:hAnsi="宋体" w:cs="Times New Roman"/>
                      <w:color w:val="000000"/>
                      <w:szCs w:val="21"/>
                      <w:bdr w:val="none" w:color="auto" w:sz="0" w:space="0"/>
                      <w:lang w:val="en-US"/>
                    </w:rPr>
                  </w:pPr>
                  <w:r>
                    <w:rPr>
                      <w:rFonts w:hint="eastAsia" w:ascii="Calibri" w:hAnsi="Calibri" w:eastAsia="宋体" w:cs="宋体"/>
                      <w:color w:val="000000"/>
                      <w:szCs w:val="21"/>
                      <w:bdr w:val="none" w:color="auto" w:sz="0" w:space="0"/>
                    </w:rPr>
                    <w:t>用于汽车座椅皮垫生产</w:t>
                  </w:r>
                </w:p>
              </w:tc>
            </w:tr>
          </w:tbl>
          <w:p w14:paraId="007B30C5">
            <w:pPr>
              <w:keepNext w:val="0"/>
              <w:keepLines w:val="0"/>
              <w:widowControl/>
              <w:suppressLineNumbers w:val="0"/>
              <w:spacing w:before="0" w:beforeAutospacing="0" w:after="0" w:afterAutospacing="0" w:line="440" w:lineRule="exact"/>
              <w:ind w:left="0" w:right="0"/>
              <w:jc w:val="left"/>
              <w:outlineLvl w:val="1"/>
              <w:rPr>
                <w:rFonts w:hint="default" w:ascii="Times New Roman" w:hAnsi="Times New Roman" w:cs="Times New Roman"/>
                <w:b/>
                <w:bCs/>
                <w:color w:val="000000"/>
                <w:sz w:val="24"/>
                <w:szCs w:val="24"/>
                <w:bdr w:val="none" w:color="auto" w:sz="0" w:space="0"/>
                <w:lang w:val="en-US"/>
              </w:rPr>
            </w:pPr>
            <w:r>
              <w:rPr>
                <w:rFonts w:hint="default" w:ascii="Times New Roman" w:hAnsi="Times New Roman" w:eastAsia="宋体" w:cs="Times New Roman"/>
                <w:b/>
                <w:bCs/>
                <w:color w:val="000000"/>
                <w:kern w:val="2"/>
                <w:sz w:val="24"/>
                <w:szCs w:val="24"/>
                <w:bdr w:val="none" w:color="auto" w:sz="0" w:space="0"/>
                <w:lang w:val="en-US" w:eastAsia="zh-CN" w:bidi="ar"/>
              </w:rPr>
              <w:t>2.4</w:t>
            </w:r>
            <w:r>
              <w:rPr>
                <w:rFonts w:hint="eastAsia" w:ascii="Times New Roman" w:hAnsi="Times New Roman" w:eastAsia="宋体" w:cs="宋体"/>
                <w:b/>
                <w:bCs/>
                <w:color w:val="000000"/>
                <w:kern w:val="2"/>
                <w:sz w:val="24"/>
                <w:szCs w:val="24"/>
                <w:bdr w:val="none" w:color="auto" w:sz="0" w:space="0"/>
                <w:lang w:val="en-US" w:eastAsia="zh-CN" w:bidi="ar"/>
              </w:rPr>
              <w:t>项目主要建设内容及组成情况</w:t>
            </w:r>
          </w:p>
          <w:p w14:paraId="4A487A91">
            <w:pPr>
              <w:keepNext w:val="0"/>
              <w:keepLines w:val="0"/>
              <w:widowControl/>
              <w:suppressLineNumbers w:val="0"/>
              <w:spacing w:before="0" w:beforeAutospacing="0" w:after="0" w:afterAutospacing="0" w:line="440" w:lineRule="exact"/>
              <w:ind w:left="0" w:right="0" w:firstLine="480"/>
              <w:jc w:val="both"/>
              <w:rPr>
                <w:rFonts w:hint="default" w:ascii="Times New Roman" w:hAnsi="Times New Roman" w:cs="Times New Roman"/>
                <w:bCs/>
                <w:color w:val="000000"/>
                <w:sz w:val="24"/>
                <w:szCs w:val="24"/>
                <w:bdr w:val="none" w:color="auto" w:sz="0" w:space="0"/>
                <w:lang w:val="en-US"/>
              </w:rPr>
            </w:pPr>
            <w:r>
              <w:rPr>
                <w:rFonts w:hint="eastAsia" w:ascii="Times New Roman" w:hAnsi="Times New Roman" w:eastAsia="宋体" w:cs="宋体"/>
                <w:bCs/>
                <w:color w:val="000000"/>
                <w:kern w:val="2"/>
                <w:sz w:val="24"/>
                <w:szCs w:val="24"/>
                <w:bdr w:val="none" w:color="auto" w:sz="0" w:space="0"/>
                <w:lang w:val="en-US" w:eastAsia="zh-CN" w:bidi="ar"/>
              </w:rPr>
              <w:t>扩建项目</w:t>
            </w:r>
            <w:r>
              <w:rPr>
                <w:rFonts w:hint="eastAsia" w:ascii="Times New Roman" w:hAnsi="Calibri" w:eastAsia="宋体" w:cs="宋体"/>
                <w:color w:val="000000"/>
                <w:kern w:val="2"/>
                <w:sz w:val="24"/>
                <w:szCs w:val="24"/>
                <w:bdr w:val="none" w:color="auto" w:sz="0" w:space="0"/>
                <w:lang w:val="en-US" w:eastAsia="zh-CN" w:bidi="ar"/>
              </w:rPr>
              <w:t>在不改变现有生产线工艺流程的基础上新增生产设备数量，项目</w:t>
            </w:r>
            <w:r>
              <w:rPr>
                <w:rFonts w:hint="eastAsia" w:ascii="Times New Roman" w:hAnsi="Times New Roman" w:eastAsia="宋体" w:cs="宋体"/>
                <w:bCs/>
                <w:color w:val="000000"/>
                <w:kern w:val="2"/>
                <w:sz w:val="24"/>
                <w:szCs w:val="24"/>
                <w:bdr w:val="none" w:color="auto" w:sz="0" w:space="0"/>
                <w:lang w:val="en-US" w:eastAsia="zh-CN" w:bidi="ar"/>
              </w:rPr>
              <w:t>主要由主体工程、储运工程、公辅工程和环保工程组成，组成情况见表</w:t>
            </w:r>
            <w:r>
              <w:rPr>
                <w:rFonts w:hint="default" w:ascii="Times New Roman" w:hAnsi="Times New Roman" w:eastAsia="宋体" w:cs="Times New Roman"/>
                <w:bCs/>
                <w:color w:val="000000"/>
                <w:kern w:val="2"/>
                <w:sz w:val="24"/>
                <w:szCs w:val="24"/>
                <w:bdr w:val="none" w:color="auto" w:sz="0" w:space="0"/>
                <w:lang w:val="en-US" w:eastAsia="zh-CN" w:bidi="ar"/>
              </w:rPr>
              <w:t>2.4-1</w:t>
            </w:r>
            <w:r>
              <w:rPr>
                <w:rFonts w:hint="eastAsia" w:ascii="Times New Roman" w:hAnsi="Times New Roman" w:eastAsia="宋体" w:cs="宋体"/>
                <w:bCs/>
                <w:color w:val="000000"/>
                <w:kern w:val="2"/>
                <w:sz w:val="24"/>
                <w:szCs w:val="24"/>
                <w:bdr w:val="none" w:color="auto" w:sz="0" w:space="0"/>
                <w:lang w:val="en-US" w:eastAsia="zh-CN" w:bidi="ar"/>
              </w:rPr>
              <w:t>。</w:t>
            </w:r>
          </w:p>
          <w:p w14:paraId="12E7FFA8">
            <w:pPr>
              <w:keepNext w:val="0"/>
              <w:keepLines w:val="0"/>
              <w:widowControl/>
              <w:suppressLineNumbers w:val="0"/>
              <w:spacing w:before="0" w:beforeAutospacing="0" w:after="0" w:afterAutospacing="0" w:line="440" w:lineRule="exact"/>
              <w:ind w:left="0" w:right="0" w:firstLine="480"/>
              <w:jc w:val="center"/>
              <w:rPr>
                <w:rFonts w:hint="default" w:ascii="Times New Roman" w:hAnsi="Times New Roman" w:cs="Times New Roman"/>
                <w:bCs/>
                <w:color w:val="000000"/>
                <w:sz w:val="24"/>
                <w:szCs w:val="24"/>
                <w:bdr w:val="none" w:color="auto" w:sz="0" w:space="0"/>
                <w:lang w:val="en-US"/>
              </w:rPr>
            </w:pPr>
            <w:r>
              <w:rPr>
                <w:rFonts w:hint="eastAsia" w:ascii="Times New Roman" w:hAnsi="Times New Roman" w:eastAsia="宋体" w:cs="宋体"/>
                <w:bCs/>
                <w:color w:val="000000"/>
                <w:kern w:val="2"/>
                <w:sz w:val="24"/>
                <w:szCs w:val="24"/>
                <w:bdr w:val="none" w:color="auto" w:sz="0" w:space="0"/>
                <w:lang w:val="en-US" w:eastAsia="zh-CN" w:bidi="ar"/>
              </w:rPr>
              <w:t>表</w:t>
            </w:r>
            <w:r>
              <w:rPr>
                <w:rFonts w:hint="default" w:ascii="Times New Roman" w:hAnsi="Times New Roman" w:eastAsia="宋体" w:cs="Times New Roman"/>
                <w:bCs/>
                <w:color w:val="000000"/>
                <w:kern w:val="2"/>
                <w:sz w:val="24"/>
                <w:szCs w:val="24"/>
                <w:bdr w:val="none" w:color="auto" w:sz="0" w:space="0"/>
                <w:lang w:val="en-US" w:eastAsia="zh-CN" w:bidi="ar"/>
              </w:rPr>
              <w:t xml:space="preserve">2.4-1 </w:t>
            </w:r>
            <w:r>
              <w:rPr>
                <w:rFonts w:hint="eastAsia" w:ascii="Times New Roman" w:hAnsi="Times New Roman" w:eastAsia="宋体" w:cs="宋体"/>
                <w:bCs/>
                <w:color w:val="000000"/>
                <w:kern w:val="2"/>
                <w:sz w:val="24"/>
                <w:szCs w:val="24"/>
                <w:bdr w:val="none" w:color="auto" w:sz="0" w:space="0"/>
                <w:lang w:val="en-US" w:eastAsia="zh-CN" w:bidi="ar"/>
              </w:rPr>
              <w:t>项目组成情况表</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Layout w:type="fixed"/>
              <w:tblCellMar>
                <w:top w:w="0" w:type="dxa"/>
                <w:left w:w="108" w:type="dxa"/>
                <w:bottom w:w="0" w:type="dxa"/>
                <w:right w:w="108" w:type="dxa"/>
              </w:tblCellMar>
            </w:tblPr>
            <w:tblGrid>
              <w:gridCol w:w="600"/>
              <w:gridCol w:w="709"/>
              <w:gridCol w:w="4112"/>
              <w:gridCol w:w="2126"/>
              <w:gridCol w:w="839"/>
            </w:tblGrid>
            <w:tr w14:paraId="118DAE6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CellMar>
                  <w:top w:w="0" w:type="dxa"/>
                  <w:left w:w="108" w:type="dxa"/>
                  <w:bottom w:w="0" w:type="dxa"/>
                  <w:right w:w="108" w:type="dxa"/>
                </w:tblCellMar>
              </w:tblPrEx>
              <w:trPr>
                <w:trHeight w:val="50" w:hRule="atLeast"/>
                <w:jc w:val="center"/>
              </w:trPr>
              <w:tc>
                <w:tcPr>
                  <w:tcW w:w="1309" w:type="dxa"/>
                  <w:gridSpan w:val="2"/>
                  <w:tcBorders>
                    <w:top w:val="single" w:color="auto" w:sz="12" w:space="0"/>
                    <w:left w:val="nil"/>
                    <w:bottom w:val="single" w:color="auto" w:sz="4" w:space="0"/>
                    <w:right w:val="single" w:color="auto" w:sz="4" w:space="0"/>
                  </w:tcBorders>
                  <w:shd w:val="clear"/>
                  <w:vAlign w:val="center"/>
                </w:tcPr>
                <w:p w14:paraId="06E71146">
                  <w:pPr>
                    <w:pStyle w:val="69"/>
                    <w:widowControl/>
                    <w:spacing w:line="300" w:lineRule="exact"/>
                    <w:rPr>
                      <w:rFonts w:hint="default" w:ascii="Times New Roman" w:hAnsi="Times New Roman" w:cs="Times New Roman"/>
                      <w:color w:val="000000"/>
                      <w:kern w:val="2"/>
                      <w:bdr w:val="none" w:color="auto" w:sz="0" w:space="0"/>
                      <w:lang w:val="en-US"/>
                    </w:rPr>
                  </w:pPr>
                  <w:r>
                    <w:rPr>
                      <w:rFonts w:hint="eastAsia" w:ascii="Times New Roman" w:hAnsi="Calibri" w:eastAsia="宋体" w:cs="宋体"/>
                      <w:color w:val="000000"/>
                      <w:kern w:val="2"/>
                      <w:bdr w:val="none" w:color="auto" w:sz="0" w:space="0"/>
                    </w:rPr>
                    <w:t>项目组成</w:t>
                  </w:r>
                </w:p>
              </w:tc>
              <w:tc>
                <w:tcPr>
                  <w:tcW w:w="4111" w:type="dxa"/>
                  <w:tcBorders>
                    <w:top w:val="single" w:color="auto" w:sz="12" w:space="0"/>
                    <w:left w:val="single" w:color="auto" w:sz="4" w:space="0"/>
                    <w:bottom w:val="single" w:color="auto" w:sz="4" w:space="0"/>
                    <w:right w:val="single" w:color="auto" w:sz="4" w:space="0"/>
                  </w:tcBorders>
                  <w:shd w:val="clear"/>
                  <w:vAlign w:val="center"/>
                </w:tcPr>
                <w:p w14:paraId="505BF3FB">
                  <w:pPr>
                    <w:pStyle w:val="69"/>
                    <w:widowControl/>
                    <w:spacing w:line="300" w:lineRule="exact"/>
                    <w:rPr>
                      <w:rFonts w:hint="default" w:ascii="Times New Roman" w:hAnsi="Times New Roman" w:cs="Times New Roman"/>
                      <w:color w:val="000000"/>
                      <w:kern w:val="2"/>
                      <w:bdr w:val="none" w:color="auto" w:sz="0" w:space="0"/>
                      <w:lang w:val="en-US"/>
                    </w:rPr>
                  </w:pPr>
                  <w:r>
                    <w:rPr>
                      <w:rFonts w:hint="eastAsia" w:ascii="Times New Roman" w:hAnsi="Calibri" w:eastAsia="宋体" w:cs="宋体"/>
                      <w:color w:val="000000"/>
                      <w:kern w:val="2"/>
                      <w:bdr w:val="none" w:color="auto" w:sz="0" w:space="0"/>
                    </w:rPr>
                    <w:t>现有工程内容</w:t>
                  </w:r>
                </w:p>
              </w:tc>
              <w:tc>
                <w:tcPr>
                  <w:tcW w:w="2126" w:type="dxa"/>
                  <w:tcBorders>
                    <w:top w:val="single" w:color="auto" w:sz="12" w:space="0"/>
                    <w:left w:val="single" w:color="auto" w:sz="4" w:space="0"/>
                    <w:bottom w:val="single" w:color="auto" w:sz="4" w:space="0"/>
                    <w:right w:val="single" w:color="auto" w:sz="4" w:space="0"/>
                  </w:tcBorders>
                  <w:shd w:val="clear"/>
                  <w:vAlign w:val="center"/>
                </w:tcPr>
                <w:p w14:paraId="6080F96A">
                  <w:pPr>
                    <w:pStyle w:val="69"/>
                    <w:widowControl/>
                    <w:spacing w:line="300" w:lineRule="exact"/>
                    <w:rPr>
                      <w:rFonts w:hint="default" w:ascii="Times New Roman" w:hAnsi="Times New Roman" w:cs="Times New Roman"/>
                      <w:color w:val="000000"/>
                      <w:kern w:val="2"/>
                      <w:bdr w:val="none" w:color="auto" w:sz="0" w:space="0"/>
                      <w:lang w:val="en-US"/>
                    </w:rPr>
                  </w:pPr>
                  <w:r>
                    <w:rPr>
                      <w:rFonts w:hint="eastAsia" w:ascii="Times New Roman" w:hAnsi="Calibri" w:eastAsia="宋体" w:cs="宋体"/>
                      <w:color w:val="000000"/>
                      <w:kern w:val="2"/>
                      <w:bdr w:val="none" w:color="auto" w:sz="0" w:space="0"/>
                    </w:rPr>
                    <w:t>扩建后建设内容</w:t>
                  </w:r>
                </w:p>
              </w:tc>
              <w:tc>
                <w:tcPr>
                  <w:tcW w:w="839" w:type="dxa"/>
                  <w:tcBorders>
                    <w:top w:val="single" w:color="auto" w:sz="12" w:space="0"/>
                    <w:left w:val="single" w:color="auto" w:sz="4" w:space="0"/>
                    <w:bottom w:val="single" w:color="auto" w:sz="4" w:space="0"/>
                    <w:right w:val="nil"/>
                  </w:tcBorders>
                  <w:shd w:val="clear"/>
                  <w:vAlign w:val="center"/>
                </w:tcPr>
                <w:p w14:paraId="2C1F65D4">
                  <w:pPr>
                    <w:pStyle w:val="69"/>
                    <w:widowControl/>
                    <w:spacing w:line="300" w:lineRule="exact"/>
                    <w:rPr>
                      <w:rFonts w:hint="default" w:ascii="Times New Roman" w:hAnsi="Times New Roman" w:cs="Times New Roman"/>
                      <w:color w:val="000000"/>
                      <w:kern w:val="2"/>
                      <w:bdr w:val="none" w:color="auto" w:sz="0" w:space="0"/>
                      <w:lang w:val="en-US"/>
                    </w:rPr>
                  </w:pPr>
                  <w:r>
                    <w:rPr>
                      <w:rFonts w:hint="eastAsia" w:ascii="Times New Roman" w:hAnsi="Calibri" w:eastAsia="宋体" w:cs="宋体"/>
                      <w:color w:val="000000"/>
                      <w:kern w:val="2"/>
                      <w:bdr w:val="none" w:color="auto" w:sz="0" w:space="0"/>
                    </w:rPr>
                    <w:t>备注</w:t>
                  </w:r>
                </w:p>
              </w:tc>
            </w:tr>
            <w:tr w14:paraId="4240E07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600" w:type="dxa"/>
                  <w:tcBorders>
                    <w:top w:val="single" w:color="auto" w:sz="4" w:space="0"/>
                    <w:left w:val="nil"/>
                    <w:bottom w:val="single" w:color="auto" w:sz="4" w:space="0"/>
                    <w:right w:val="single" w:color="auto" w:sz="4" w:space="0"/>
                  </w:tcBorders>
                  <w:shd w:val="clear"/>
                  <w:vAlign w:val="center"/>
                </w:tcPr>
                <w:p w14:paraId="49972A4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主体工程</w:t>
                  </w:r>
                </w:p>
              </w:tc>
              <w:tc>
                <w:tcPr>
                  <w:tcW w:w="709" w:type="dxa"/>
                  <w:tcBorders>
                    <w:top w:val="single" w:color="auto" w:sz="4" w:space="0"/>
                    <w:left w:val="single" w:color="auto" w:sz="4" w:space="0"/>
                    <w:bottom w:val="single" w:color="auto" w:sz="4" w:space="0"/>
                    <w:right w:val="single" w:color="auto" w:sz="4" w:space="0"/>
                  </w:tcBorders>
                  <w:shd w:val="clear"/>
                  <w:vAlign w:val="center"/>
                </w:tcPr>
                <w:p w14:paraId="0E5C863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生产</w:t>
                  </w:r>
                </w:p>
                <w:p w14:paraId="1CB734F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厂房</w:t>
                  </w:r>
                </w:p>
              </w:tc>
              <w:tc>
                <w:tcPr>
                  <w:tcW w:w="4111" w:type="dxa"/>
                  <w:tcBorders>
                    <w:top w:val="single" w:color="auto" w:sz="4" w:space="0"/>
                    <w:left w:val="single" w:color="auto" w:sz="4" w:space="0"/>
                    <w:bottom w:val="single" w:color="auto" w:sz="4" w:space="0"/>
                    <w:right w:val="single" w:color="auto" w:sz="4" w:space="0"/>
                  </w:tcBorders>
                  <w:shd w:val="clear"/>
                  <w:vAlign w:val="center"/>
                </w:tcPr>
                <w:p w14:paraId="3B0B6333">
                  <w:pPr>
                    <w:pStyle w:val="45"/>
                    <w:widowControl/>
                    <w:adjustRightInd w:val="0"/>
                    <w:snapToGrid w:val="0"/>
                    <w:spacing w:line="300" w:lineRule="exact"/>
                    <w:ind w:left="0" w:firstLine="0" w:firstLineChars="0"/>
                    <w:jc w:val="left"/>
                    <w:rPr>
                      <w:color w:val="000000"/>
                      <w:szCs w:val="21"/>
                      <w:bdr w:val="none" w:color="auto" w:sz="0" w:space="0"/>
                      <w:lang w:val="en-US" w:eastAsia="zh-CN"/>
                    </w:rPr>
                  </w:pPr>
                  <w:r>
                    <w:rPr>
                      <w:color w:val="000000"/>
                      <w:szCs w:val="21"/>
                      <w:bdr w:val="none" w:color="auto" w:sz="0" w:space="0"/>
                      <w:lang w:val="en-US" w:eastAsia="zh-CN"/>
                    </w:rPr>
                    <w:t>①</w:t>
                  </w:r>
                  <w:r>
                    <w:rPr>
                      <w:rFonts w:hint="eastAsia" w:ascii="Times New Roman" w:hAnsi="Times New Roman" w:eastAsia="宋体" w:cs="宋体"/>
                      <w:color w:val="000000"/>
                      <w:szCs w:val="21"/>
                      <w:bdr w:val="none" w:color="auto" w:sz="0" w:space="0"/>
                      <w:lang w:val="en-US" w:eastAsia="zh-CN"/>
                    </w:rPr>
                    <w:t>上下共两层，总建筑面积约</w:t>
                  </w:r>
                  <w:r>
                    <w:rPr>
                      <w:color w:val="000000"/>
                      <w:szCs w:val="21"/>
                      <w:bdr w:val="none" w:color="auto" w:sz="0" w:space="0"/>
                      <w:lang w:val="en-US" w:eastAsia="zh-CN"/>
                    </w:rPr>
                    <w:t>4887.02</w:t>
                  </w:r>
                  <w:r>
                    <w:rPr>
                      <w:bCs/>
                      <w:color w:val="000000"/>
                      <w:szCs w:val="21"/>
                      <w:bdr w:val="none" w:color="auto" w:sz="0" w:space="0"/>
                      <w:lang w:val="en-US" w:eastAsia="zh-CN"/>
                    </w:rPr>
                    <w:t>m</w:t>
                  </w:r>
                  <w:r>
                    <w:rPr>
                      <w:bCs/>
                      <w:color w:val="000000"/>
                      <w:szCs w:val="21"/>
                      <w:bdr w:val="none" w:color="auto" w:sz="0" w:space="0"/>
                      <w:vertAlign w:val="superscript"/>
                      <w:lang w:val="en-US" w:eastAsia="zh-CN"/>
                    </w:rPr>
                    <w:t>2</w:t>
                  </w:r>
                  <w:r>
                    <w:rPr>
                      <w:rFonts w:hint="eastAsia" w:ascii="Times New Roman" w:hAnsi="Times New Roman" w:eastAsia="宋体" w:cs="宋体"/>
                      <w:color w:val="000000"/>
                      <w:szCs w:val="21"/>
                      <w:bdr w:val="none" w:color="auto" w:sz="0" w:space="0"/>
                      <w:lang w:val="en-US" w:eastAsia="zh-CN"/>
                    </w:rPr>
                    <w:t>。</w:t>
                  </w:r>
                </w:p>
                <w:p w14:paraId="3FF79FB1">
                  <w:pPr>
                    <w:pStyle w:val="45"/>
                    <w:widowControl/>
                    <w:adjustRightInd w:val="0"/>
                    <w:snapToGrid w:val="0"/>
                    <w:spacing w:line="300" w:lineRule="exact"/>
                    <w:ind w:left="0" w:firstLine="0" w:firstLineChars="0"/>
                    <w:jc w:val="left"/>
                    <w:rPr>
                      <w:color w:val="000000"/>
                      <w:szCs w:val="21"/>
                      <w:bdr w:val="none" w:color="auto" w:sz="0" w:space="0"/>
                      <w:lang w:val="en-US" w:eastAsia="zh-CN"/>
                    </w:rPr>
                  </w:pPr>
                  <w:r>
                    <w:rPr>
                      <w:color w:val="000000"/>
                      <w:szCs w:val="21"/>
                      <w:bdr w:val="none" w:color="auto" w:sz="0" w:space="0"/>
                      <w:lang w:val="en-US" w:eastAsia="zh-CN"/>
                    </w:rPr>
                    <w:t>②1F</w:t>
                  </w:r>
                  <w:r>
                    <w:rPr>
                      <w:rFonts w:hint="eastAsia" w:ascii="Times New Roman" w:hAnsi="Times New Roman" w:eastAsia="宋体" w:cs="宋体"/>
                      <w:color w:val="000000"/>
                      <w:szCs w:val="21"/>
                      <w:bdr w:val="none" w:color="auto" w:sz="0" w:space="0"/>
                      <w:lang w:val="en-US" w:eastAsia="zh-CN"/>
                    </w:rPr>
                    <w:t>，</w:t>
                  </w:r>
                  <w:r>
                    <w:rPr>
                      <w:color w:val="000000"/>
                      <w:szCs w:val="21"/>
                      <w:bdr w:val="none" w:color="auto" w:sz="0" w:space="0"/>
                      <w:lang w:val="en-US" w:eastAsia="zh-CN"/>
                    </w:rPr>
                    <w:t>H=4.5m</w:t>
                  </w:r>
                  <w:r>
                    <w:rPr>
                      <w:rFonts w:hint="eastAsia" w:ascii="Times New Roman" w:hAnsi="Times New Roman" w:eastAsia="宋体" w:cs="宋体"/>
                      <w:color w:val="000000"/>
                      <w:szCs w:val="21"/>
                      <w:bdr w:val="none" w:color="auto" w:sz="0" w:space="0"/>
                      <w:lang w:val="en-US" w:eastAsia="zh-CN"/>
                    </w:rPr>
                    <w:t>，面积约</w:t>
                  </w:r>
                  <w:r>
                    <w:rPr>
                      <w:color w:val="000000"/>
                      <w:szCs w:val="21"/>
                      <w:bdr w:val="none" w:color="auto" w:sz="0" w:space="0"/>
                      <w:lang w:val="en-US" w:eastAsia="zh-CN"/>
                    </w:rPr>
                    <w:t>2443.51</w:t>
                  </w:r>
                  <w:r>
                    <w:rPr>
                      <w:bCs/>
                      <w:color w:val="000000"/>
                      <w:szCs w:val="21"/>
                      <w:bdr w:val="none" w:color="auto" w:sz="0" w:space="0"/>
                      <w:lang w:val="en-US" w:eastAsia="zh-CN"/>
                    </w:rPr>
                    <w:t xml:space="preserve"> m</w:t>
                  </w:r>
                  <w:r>
                    <w:rPr>
                      <w:bCs/>
                      <w:color w:val="000000"/>
                      <w:szCs w:val="21"/>
                      <w:bdr w:val="none" w:color="auto" w:sz="0" w:space="0"/>
                      <w:vertAlign w:val="superscript"/>
                      <w:lang w:val="en-US" w:eastAsia="zh-CN"/>
                    </w:rPr>
                    <w:t>2</w:t>
                  </w:r>
                  <w:r>
                    <w:rPr>
                      <w:rFonts w:hint="eastAsia" w:ascii="Times New Roman" w:hAnsi="Times New Roman" w:eastAsia="宋体" w:cs="宋体"/>
                      <w:color w:val="000000"/>
                      <w:szCs w:val="21"/>
                      <w:bdr w:val="none" w:color="auto" w:sz="0" w:space="0"/>
                      <w:lang w:val="en-US" w:eastAsia="zh-CN"/>
                    </w:rPr>
                    <w:t>，</w:t>
                  </w:r>
                  <w:r>
                    <w:rPr>
                      <w:color w:val="000000"/>
                      <w:szCs w:val="21"/>
                      <w:bdr w:val="none" w:color="auto" w:sz="0" w:space="0"/>
                      <w:lang w:val="en-US" w:eastAsia="zh-CN"/>
                    </w:rPr>
                    <w:t>1F</w:t>
                  </w:r>
                  <w:r>
                    <w:rPr>
                      <w:rFonts w:hint="eastAsia" w:ascii="Times New Roman" w:hAnsi="Times New Roman" w:eastAsia="宋体" w:cs="宋体"/>
                      <w:color w:val="000000"/>
                      <w:szCs w:val="21"/>
                      <w:bdr w:val="none" w:color="auto" w:sz="0" w:space="0"/>
                      <w:lang w:val="en-US" w:eastAsia="zh-CN"/>
                    </w:rPr>
                    <w:t>北侧为办公区，南侧为生产区。生产区布置有网格棉生产区、云母板生产区、泡棉制品生产区，配套设置激光切割机、雕刻机、涂胶分切机、立切机、压痕机、四柱压机等。</w:t>
                  </w:r>
                </w:p>
                <w:p w14:paraId="32B38047">
                  <w:pPr>
                    <w:pStyle w:val="45"/>
                    <w:widowControl/>
                    <w:adjustRightInd w:val="0"/>
                    <w:snapToGrid w:val="0"/>
                    <w:spacing w:line="300" w:lineRule="exact"/>
                    <w:ind w:left="0" w:firstLine="0" w:firstLineChars="0"/>
                    <w:jc w:val="left"/>
                    <w:rPr>
                      <w:color w:val="000000"/>
                      <w:szCs w:val="21"/>
                      <w:bdr w:val="none" w:color="auto" w:sz="0" w:space="0"/>
                      <w:lang w:val="en-US" w:eastAsia="zh-CN"/>
                    </w:rPr>
                  </w:pPr>
                  <w:r>
                    <w:rPr>
                      <w:rFonts w:hint="eastAsia" w:ascii="宋体" w:hAnsi="宋体" w:eastAsia="宋体" w:cs="宋体"/>
                      <w:color w:val="000000"/>
                      <w:szCs w:val="21"/>
                      <w:bdr w:val="none" w:color="auto" w:sz="0" w:space="0"/>
                      <w:lang w:val="en-US" w:eastAsia="zh-CN"/>
                    </w:rPr>
                    <w:t>③</w:t>
                  </w:r>
                  <w:r>
                    <w:rPr>
                      <w:color w:val="000000"/>
                      <w:szCs w:val="21"/>
                      <w:bdr w:val="none" w:color="auto" w:sz="0" w:space="0"/>
                      <w:lang w:val="en-US" w:eastAsia="zh-CN"/>
                    </w:rPr>
                    <w:t>2F</w:t>
                  </w:r>
                  <w:r>
                    <w:rPr>
                      <w:rFonts w:hint="eastAsia" w:ascii="Times New Roman" w:hAnsi="Times New Roman" w:eastAsia="宋体" w:cs="宋体"/>
                      <w:color w:val="000000"/>
                      <w:szCs w:val="21"/>
                      <w:bdr w:val="none" w:color="auto" w:sz="0" w:space="0"/>
                      <w:lang w:val="en-US" w:eastAsia="zh-CN"/>
                    </w:rPr>
                    <w:t>，</w:t>
                  </w:r>
                  <w:r>
                    <w:rPr>
                      <w:color w:val="000000"/>
                      <w:szCs w:val="21"/>
                      <w:bdr w:val="none" w:color="auto" w:sz="0" w:space="0"/>
                      <w:lang w:val="en-US" w:eastAsia="zh-CN"/>
                    </w:rPr>
                    <w:t>H=3.5m</w:t>
                  </w:r>
                  <w:r>
                    <w:rPr>
                      <w:rFonts w:hint="eastAsia" w:ascii="Times New Roman" w:hAnsi="Times New Roman" w:eastAsia="宋体" w:cs="宋体"/>
                      <w:color w:val="000000"/>
                      <w:szCs w:val="21"/>
                      <w:bdr w:val="none" w:color="auto" w:sz="0" w:space="0"/>
                      <w:lang w:val="en-US" w:eastAsia="zh-CN"/>
                    </w:rPr>
                    <w:t>面积约</w:t>
                  </w:r>
                  <w:r>
                    <w:rPr>
                      <w:color w:val="000000"/>
                      <w:szCs w:val="21"/>
                      <w:bdr w:val="none" w:color="auto" w:sz="0" w:space="0"/>
                      <w:lang w:val="en-US" w:eastAsia="zh-CN"/>
                    </w:rPr>
                    <w:t>2443.51</w:t>
                  </w:r>
                  <w:r>
                    <w:rPr>
                      <w:bCs/>
                      <w:color w:val="000000"/>
                      <w:szCs w:val="21"/>
                      <w:bdr w:val="none" w:color="auto" w:sz="0" w:space="0"/>
                      <w:lang w:val="en-US" w:eastAsia="zh-CN"/>
                    </w:rPr>
                    <w:t xml:space="preserve"> m</w:t>
                  </w:r>
                  <w:r>
                    <w:rPr>
                      <w:bCs/>
                      <w:color w:val="000000"/>
                      <w:szCs w:val="21"/>
                      <w:bdr w:val="none" w:color="auto" w:sz="0" w:space="0"/>
                      <w:vertAlign w:val="superscript"/>
                      <w:lang w:val="en-US" w:eastAsia="zh-CN"/>
                    </w:rPr>
                    <w:t>2</w:t>
                  </w:r>
                  <w:r>
                    <w:rPr>
                      <w:rFonts w:hint="eastAsia" w:ascii="Times New Roman" w:hAnsi="Times New Roman" w:eastAsia="宋体" w:cs="宋体"/>
                      <w:color w:val="000000"/>
                      <w:szCs w:val="21"/>
                      <w:bdr w:val="none" w:color="auto" w:sz="0" w:space="0"/>
                      <w:lang w:val="en-US" w:eastAsia="zh-CN"/>
                    </w:rPr>
                    <w:t>，</w:t>
                  </w:r>
                  <w:r>
                    <w:rPr>
                      <w:color w:val="000000"/>
                      <w:szCs w:val="21"/>
                      <w:bdr w:val="none" w:color="auto" w:sz="0" w:space="0"/>
                      <w:lang w:val="en-US" w:eastAsia="zh-CN"/>
                    </w:rPr>
                    <w:t>2F</w:t>
                  </w:r>
                  <w:r>
                    <w:rPr>
                      <w:rFonts w:hint="eastAsia" w:ascii="Times New Roman" w:hAnsi="Times New Roman" w:eastAsia="宋体" w:cs="宋体"/>
                      <w:color w:val="000000"/>
                      <w:szCs w:val="21"/>
                      <w:bdr w:val="none" w:color="auto" w:sz="0" w:space="0"/>
                      <w:lang w:val="en-US" w:eastAsia="zh-CN"/>
                    </w:rPr>
                    <w:t>北侧为办公区，南侧为生产区，生产区布置有皮革装饰条生产区、粘接区，配套设置有皮革装饰条生产线、分条机、圆刀机、粘接机等。</w:t>
                  </w:r>
                </w:p>
              </w:tc>
              <w:tc>
                <w:tcPr>
                  <w:tcW w:w="2126" w:type="dxa"/>
                  <w:tcBorders>
                    <w:top w:val="single" w:color="auto" w:sz="4" w:space="0"/>
                    <w:left w:val="single" w:color="auto" w:sz="4" w:space="0"/>
                    <w:bottom w:val="single" w:color="auto" w:sz="4" w:space="0"/>
                    <w:right w:val="single" w:color="auto" w:sz="4" w:space="0"/>
                  </w:tcBorders>
                  <w:shd w:val="clear"/>
                  <w:vAlign w:val="center"/>
                </w:tcPr>
                <w:p w14:paraId="70F126E8">
                  <w:pPr>
                    <w:keepNext w:val="0"/>
                    <w:keepLines w:val="0"/>
                    <w:widowControl w:val="0"/>
                    <w:suppressLineNumbers w:val="0"/>
                    <w:adjustRightInd w:val="0"/>
                    <w:snapToGrid w:val="0"/>
                    <w:spacing w:before="0" w:beforeAutospacing="0" w:after="0" w:afterAutospacing="0" w:line="300" w:lineRule="exact"/>
                    <w:ind w:left="0" w:right="0"/>
                    <w:jc w:val="left"/>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①</w:t>
                  </w:r>
                  <w:r>
                    <w:rPr>
                      <w:rFonts w:hint="default" w:ascii="Times New Roman" w:hAnsi="Times New Roman" w:eastAsia="宋体" w:cs="Times New Roman"/>
                      <w:color w:val="000000"/>
                      <w:kern w:val="2"/>
                      <w:sz w:val="21"/>
                      <w:szCs w:val="21"/>
                      <w:bdr w:val="none" w:color="auto" w:sz="0" w:space="0"/>
                      <w:lang w:val="en-US" w:eastAsia="zh-CN" w:bidi="ar"/>
                    </w:rPr>
                    <w:t>1F</w:t>
                  </w:r>
                  <w:r>
                    <w:rPr>
                      <w:rFonts w:hint="eastAsia" w:ascii="Times New Roman" w:hAnsi="Times New Roman" w:eastAsia="宋体" w:cs="宋体"/>
                      <w:color w:val="000000"/>
                      <w:kern w:val="2"/>
                      <w:sz w:val="21"/>
                      <w:szCs w:val="21"/>
                      <w:bdr w:val="none" w:color="auto" w:sz="0" w:space="0"/>
                      <w:lang w:val="en-US" w:eastAsia="zh-CN" w:bidi="ar"/>
                    </w:rPr>
                    <w:t>生产线位置基本保持不变，仅新增设备数量；</w:t>
                  </w:r>
                </w:p>
                <w:p w14:paraId="0BB2896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②</w:t>
                  </w:r>
                  <w:r>
                    <w:rPr>
                      <w:rFonts w:hint="default" w:ascii="Times New Roman" w:hAnsi="Times New Roman" w:eastAsia="宋体" w:cs="Times New Roman"/>
                      <w:color w:val="000000"/>
                      <w:kern w:val="2"/>
                      <w:sz w:val="21"/>
                      <w:szCs w:val="21"/>
                      <w:bdr w:val="none" w:color="auto" w:sz="0" w:space="0"/>
                      <w:lang w:val="en-US" w:eastAsia="zh-CN" w:bidi="ar"/>
                    </w:rPr>
                    <w:t>2F</w:t>
                  </w:r>
                  <w:r>
                    <w:rPr>
                      <w:rFonts w:hint="eastAsia" w:ascii="Times New Roman" w:hAnsi="Times New Roman" w:eastAsia="宋体" w:cs="宋体"/>
                      <w:color w:val="000000"/>
                      <w:kern w:val="2"/>
                      <w:sz w:val="21"/>
                      <w:szCs w:val="21"/>
                      <w:bdr w:val="none" w:color="auto" w:sz="0" w:space="0"/>
                      <w:lang w:val="en-US" w:eastAsia="zh-CN" w:bidi="ar"/>
                    </w:rPr>
                    <w:t>生产线平面布局发生变化且新增设备数量。皮革装饰生产区位于厂房北侧；硅胶泡棉粘接区位于厂房西侧，贴合机、圆刀机等位于厂房东侧。</w:t>
                  </w:r>
                </w:p>
              </w:tc>
              <w:tc>
                <w:tcPr>
                  <w:tcW w:w="839" w:type="dxa"/>
                  <w:tcBorders>
                    <w:top w:val="single" w:color="auto" w:sz="4" w:space="0"/>
                    <w:left w:val="single" w:color="auto" w:sz="4" w:space="0"/>
                    <w:bottom w:val="single" w:color="auto" w:sz="4" w:space="0"/>
                    <w:right w:val="nil"/>
                  </w:tcBorders>
                  <w:shd w:val="clear"/>
                  <w:vAlign w:val="center"/>
                </w:tcPr>
                <w:p w14:paraId="52EDE0A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2F</w:t>
                  </w:r>
                  <w:r>
                    <w:rPr>
                      <w:rFonts w:hint="eastAsia" w:ascii="Times New Roman" w:hAnsi="Times New Roman" w:eastAsia="宋体" w:cs="宋体"/>
                      <w:color w:val="000000"/>
                      <w:kern w:val="2"/>
                      <w:sz w:val="21"/>
                      <w:szCs w:val="21"/>
                      <w:bdr w:val="none" w:color="auto" w:sz="0" w:space="0"/>
                      <w:lang w:val="en-US" w:eastAsia="zh-CN" w:bidi="ar"/>
                    </w:rPr>
                    <w:t>平面布局发生变化</w:t>
                  </w:r>
                </w:p>
              </w:tc>
            </w:tr>
            <w:tr w14:paraId="2D43AD2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00" w:type="dxa"/>
                  <w:vMerge w:val="restart"/>
                  <w:tcBorders>
                    <w:top w:val="single" w:color="auto" w:sz="4" w:space="0"/>
                    <w:left w:val="nil"/>
                    <w:bottom w:val="single" w:color="auto" w:sz="4" w:space="0"/>
                    <w:right w:val="single" w:color="auto" w:sz="4" w:space="0"/>
                  </w:tcBorders>
                  <w:shd w:val="clear"/>
                  <w:vAlign w:val="center"/>
                </w:tcPr>
                <w:p w14:paraId="7CD58C8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储运工程</w:t>
                  </w:r>
                </w:p>
              </w:tc>
              <w:tc>
                <w:tcPr>
                  <w:tcW w:w="709" w:type="dxa"/>
                  <w:tcBorders>
                    <w:top w:val="single" w:color="auto" w:sz="4" w:space="0"/>
                    <w:left w:val="single" w:color="auto" w:sz="4" w:space="0"/>
                    <w:bottom w:val="single" w:color="auto" w:sz="4" w:space="0"/>
                    <w:right w:val="single" w:color="auto" w:sz="4" w:space="0"/>
                  </w:tcBorders>
                  <w:shd w:val="clear"/>
                  <w:vAlign w:val="center"/>
                </w:tcPr>
                <w:p w14:paraId="4E87C5E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原材料库房</w:t>
                  </w:r>
                </w:p>
              </w:tc>
              <w:tc>
                <w:tcPr>
                  <w:tcW w:w="4111" w:type="dxa"/>
                  <w:tcBorders>
                    <w:top w:val="single" w:color="auto" w:sz="4" w:space="0"/>
                    <w:left w:val="single" w:color="auto" w:sz="4" w:space="0"/>
                    <w:bottom w:val="single" w:color="auto" w:sz="4" w:space="0"/>
                    <w:right w:val="single" w:color="auto" w:sz="4" w:space="0"/>
                  </w:tcBorders>
                  <w:shd w:val="clear"/>
                  <w:vAlign w:val="center"/>
                </w:tcPr>
                <w:p w14:paraId="08FC674C">
                  <w:pPr>
                    <w:keepNext w:val="0"/>
                    <w:keepLines w:val="0"/>
                    <w:widowControl w:val="0"/>
                    <w:suppressLineNumbers w:val="0"/>
                    <w:adjustRightInd w:val="0"/>
                    <w:snapToGrid w:val="0"/>
                    <w:spacing w:before="0" w:beforeAutospacing="0" w:after="0" w:afterAutospacing="0" w:line="300" w:lineRule="exact"/>
                    <w:ind w:left="0" w:right="0"/>
                    <w:jc w:val="both"/>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1F</w:t>
                  </w:r>
                  <w:r>
                    <w:rPr>
                      <w:rFonts w:hint="eastAsia" w:ascii="Times New Roman" w:hAnsi="Times New Roman" w:eastAsia="宋体" w:cs="宋体"/>
                      <w:color w:val="000000"/>
                      <w:kern w:val="2"/>
                      <w:sz w:val="21"/>
                      <w:szCs w:val="21"/>
                      <w:bdr w:val="none" w:color="auto" w:sz="0" w:space="0"/>
                      <w:lang w:val="en-US" w:eastAsia="zh-CN" w:bidi="ar"/>
                    </w:rPr>
                    <w:t>东北侧布置原材料库房，占地面积约</w:t>
                  </w:r>
                  <w:r>
                    <w:rPr>
                      <w:rFonts w:hint="default" w:ascii="Times New Roman" w:hAnsi="Times New Roman" w:eastAsia="宋体" w:cs="Times New Roman"/>
                      <w:color w:val="000000"/>
                      <w:kern w:val="2"/>
                      <w:sz w:val="21"/>
                      <w:szCs w:val="21"/>
                      <w:bdr w:val="none" w:color="auto" w:sz="0" w:space="0"/>
                      <w:lang w:val="en-US" w:eastAsia="zh-CN" w:bidi="ar"/>
                    </w:rPr>
                    <w:t>230</w:t>
                  </w:r>
                  <w:r>
                    <w:rPr>
                      <w:rFonts w:hint="default" w:ascii="Times New Roman" w:hAnsi="Times New Roman" w:eastAsia="宋体" w:cs="Times New Roman"/>
                      <w:bCs/>
                      <w:color w:val="000000"/>
                      <w:kern w:val="2"/>
                      <w:sz w:val="21"/>
                      <w:szCs w:val="21"/>
                      <w:bdr w:val="none" w:color="auto" w:sz="0" w:space="0"/>
                      <w:lang w:val="en-US" w:eastAsia="zh-CN" w:bidi="ar"/>
                    </w:rPr>
                    <w:t>m</w:t>
                  </w:r>
                  <w:r>
                    <w:rPr>
                      <w:rFonts w:hint="default" w:ascii="Times New Roman" w:hAnsi="Times New Roman" w:eastAsia="宋体" w:cs="Times New Roman"/>
                      <w:bCs/>
                      <w:color w:val="000000"/>
                      <w:kern w:val="2"/>
                      <w:sz w:val="21"/>
                      <w:szCs w:val="21"/>
                      <w:bdr w:val="none" w:color="auto" w:sz="0" w:space="0"/>
                      <w:vertAlign w:val="superscript"/>
                      <w:lang w:val="en-US" w:eastAsia="zh-CN" w:bidi="ar"/>
                    </w:rPr>
                    <w:t>2</w:t>
                  </w:r>
                  <w:r>
                    <w:rPr>
                      <w:rFonts w:hint="eastAsia" w:ascii="Times New Roman" w:hAnsi="Times New Roman" w:eastAsia="宋体" w:cs="宋体"/>
                      <w:bCs/>
                      <w:color w:val="000000"/>
                      <w:kern w:val="2"/>
                      <w:sz w:val="21"/>
                      <w:szCs w:val="21"/>
                      <w:bdr w:val="none" w:color="auto" w:sz="0" w:space="0"/>
                      <w:lang w:val="en-US" w:eastAsia="zh-CN" w:bidi="ar"/>
                    </w:rPr>
                    <w:t>，用于存放硅胶泡棉、</w:t>
                  </w:r>
                  <w:r>
                    <w:rPr>
                      <w:rFonts w:hint="default" w:ascii="Times New Roman" w:hAnsi="Times New Roman" w:eastAsia="宋体" w:cs="Times New Roman"/>
                      <w:bCs/>
                      <w:color w:val="000000"/>
                      <w:kern w:val="2"/>
                      <w:sz w:val="21"/>
                      <w:szCs w:val="21"/>
                      <w:bdr w:val="none" w:color="auto" w:sz="0" w:space="0"/>
                      <w:lang w:val="en-US" w:eastAsia="zh-CN" w:bidi="ar"/>
                    </w:rPr>
                    <w:t>PU</w:t>
                  </w:r>
                  <w:r>
                    <w:rPr>
                      <w:rFonts w:hint="eastAsia" w:ascii="Times New Roman" w:hAnsi="Times New Roman" w:eastAsia="宋体" w:cs="宋体"/>
                      <w:bCs/>
                      <w:color w:val="000000"/>
                      <w:kern w:val="2"/>
                      <w:sz w:val="21"/>
                      <w:szCs w:val="21"/>
                      <w:bdr w:val="none" w:color="auto" w:sz="0" w:space="0"/>
                      <w:lang w:val="en-US" w:eastAsia="zh-CN" w:bidi="ar"/>
                    </w:rPr>
                    <w:t>泡棉、网格棉、云母板等原材料。</w:t>
                  </w:r>
                  <w:r>
                    <w:rPr>
                      <w:rFonts w:hint="default" w:ascii="Times New Roman" w:hAnsi="Times New Roman" w:eastAsia="宋体" w:cs="Times New Roman"/>
                      <w:bCs/>
                      <w:color w:val="000000"/>
                      <w:kern w:val="2"/>
                      <w:sz w:val="21"/>
                      <w:szCs w:val="21"/>
                      <w:bdr w:val="none" w:color="auto" w:sz="0" w:space="0"/>
                      <w:lang w:val="en-US" w:eastAsia="zh-CN" w:bidi="ar"/>
                    </w:rPr>
                    <w:t>2F</w:t>
                  </w:r>
                  <w:r>
                    <w:rPr>
                      <w:rFonts w:hint="eastAsia" w:ascii="Times New Roman" w:hAnsi="Times New Roman" w:eastAsia="宋体" w:cs="宋体"/>
                      <w:bCs/>
                      <w:color w:val="000000"/>
                      <w:kern w:val="2"/>
                      <w:sz w:val="21"/>
                      <w:szCs w:val="21"/>
                      <w:bdr w:val="none" w:color="auto" w:sz="0" w:space="0"/>
                      <w:lang w:val="en-US" w:eastAsia="zh-CN" w:bidi="ar"/>
                    </w:rPr>
                    <w:t>东侧布置有原材料库房</w:t>
                  </w:r>
                  <w:r>
                    <w:rPr>
                      <w:rFonts w:hint="eastAsia" w:ascii="Times New Roman" w:hAnsi="Times New Roman" w:eastAsia="宋体" w:cs="宋体"/>
                      <w:color w:val="000000"/>
                      <w:kern w:val="2"/>
                      <w:sz w:val="21"/>
                      <w:szCs w:val="21"/>
                      <w:bdr w:val="none" w:color="auto" w:sz="0" w:space="0"/>
                      <w:lang w:val="en-US" w:eastAsia="zh-CN" w:bidi="ar"/>
                    </w:rPr>
                    <w:t>，占地面积约</w:t>
                  </w:r>
                  <w:r>
                    <w:rPr>
                      <w:rFonts w:hint="default" w:ascii="Times New Roman" w:hAnsi="Times New Roman" w:eastAsia="宋体" w:cs="Times New Roman"/>
                      <w:color w:val="000000"/>
                      <w:kern w:val="2"/>
                      <w:sz w:val="21"/>
                      <w:szCs w:val="21"/>
                      <w:bdr w:val="none" w:color="auto" w:sz="0" w:space="0"/>
                      <w:lang w:val="en-US" w:eastAsia="zh-CN" w:bidi="ar"/>
                    </w:rPr>
                    <w:t>120</w:t>
                  </w:r>
                  <w:r>
                    <w:rPr>
                      <w:rFonts w:hint="default" w:ascii="Times New Roman" w:hAnsi="Times New Roman" w:eastAsia="宋体" w:cs="Times New Roman"/>
                      <w:bCs/>
                      <w:color w:val="000000"/>
                      <w:kern w:val="2"/>
                      <w:sz w:val="21"/>
                      <w:szCs w:val="21"/>
                      <w:bdr w:val="none" w:color="auto" w:sz="0" w:space="0"/>
                      <w:lang w:val="en-US" w:eastAsia="zh-CN" w:bidi="ar"/>
                    </w:rPr>
                    <w:t>m</w:t>
                  </w:r>
                  <w:r>
                    <w:rPr>
                      <w:rFonts w:hint="default" w:ascii="Times New Roman" w:hAnsi="Times New Roman" w:eastAsia="宋体" w:cs="Times New Roman"/>
                      <w:bCs/>
                      <w:color w:val="000000"/>
                      <w:kern w:val="2"/>
                      <w:sz w:val="21"/>
                      <w:szCs w:val="21"/>
                      <w:bdr w:val="none" w:color="auto" w:sz="0" w:space="0"/>
                      <w:vertAlign w:val="superscript"/>
                      <w:lang w:val="en-US" w:eastAsia="zh-CN" w:bidi="ar"/>
                    </w:rPr>
                    <w:t>2</w:t>
                  </w:r>
                  <w:r>
                    <w:rPr>
                      <w:rFonts w:hint="eastAsia" w:ascii="Times New Roman" w:hAnsi="Times New Roman" w:eastAsia="宋体" w:cs="宋体"/>
                      <w:bCs/>
                      <w:color w:val="000000"/>
                      <w:kern w:val="2"/>
                      <w:sz w:val="21"/>
                      <w:szCs w:val="21"/>
                      <w:bdr w:val="none" w:color="auto" w:sz="0" w:space="0"/>
                      <w:lang w:val="en-US" w:eastAsia="zh-CN" w:bidi="ar"/>
                    </w:rPr>
                    <w:t>，用于存放皮革材料、线盘、双面胶等原料。</w:t>
                  </w:r>
                </w:p>
              </w:tc>
              <w:tc>
                <w:tcPr>
                  <w:tcW w:w="2126" w:type="dxa"/>
                  <w:tcBorders>
                    <w:top w:val="single" w:color="auto" w:sz="4" w:space="0"/>
                    <w:left w:val="single" w:color="auto" w:sz="4" w:space="0"/>
                    <w:bottom w:val="single" w:color="auto" w:sz="4" w:space="0"/>
                    <w:right w:val="single" w:color="auto" w:sz="4" w:space="0"/>
                  </w:tcBorders>
                  <w:shd w:val="clear"/>
                  <w:vAlign w:val="center"/>
                </w:tcPr>
                <w:p w14:paraId="73E3073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1F</w:t>
                  </w:r>
                  <w:r>
                    <w:rPr>
                      <w:rFonts w:hint="eastAsia" w:ascii="Times New Roman" w:hAnsi="Times New Roman" w:eastAsia="宋体" w:cs="宋体"/>
                      <w:color w:val="000000"/>
                      <w:kern w:val="2"/>
                      <w:sz w:val="21"/>
                      <w:szCs w:val="21"/>
                      <w:bdr w:val="none" w:color="auto" w:sz="0" w:space="0"/>
                      <w:lang w:val="en-US" w:eastAsia="zh-CN" w:bidi="ar"/>
                    </w:rPr>
                    <w:t>原料库房位置保存不变；</w:t>
                  </w:r>
                  <w:r>
                    <w:rPr>
                      <w:rFonts w:hint="default" w:ascii="Times New Roman" w:hAnsi="Times New Roman" w:eastAsia="宋体" w:cs="Times New Roman"/>
                      <w:color w:val="000000"/>
                      <w:kern w:val="2"/>
                      <w:sz w:val="21"/>
                      <w:szCs w:val="21"/>
                      <w:bdr w:val="none" w:color="auto" w:sz="0" w:space="0"/>
                      <w:lang w:val="en-US" w:eastAsia="zh-CN" w:bidi="ar"/>
                    </w:rPr>
                    <w:t>2F</w:t>
                  </w:r>
                  <w:r>
                    <w:rPr>
                      <w:rFonts w:hint="eastAsia" w:ascii="Times New Roman" w:hAnsi="Times New Roman" w:eastAsia="宋体" w:cs="宋体"/>
                      <w:color w:val="000000"/>
                      <w:kern w:val="2"/>
                      <w:sz w:val="21"/>
                      <w:szCs w:val="21"/>
                      <w:bdr w:val="none" w:color="auto" w:sz="0" w:space="0"/>
                      <w:lang w:val="en-US" w:eastAsia="zh-CN" w:bidi="ar"/>
                    </w:rPr>
                    <w:t>原料库房位于厂房南侧。</w:t>
                  </w:r>
                </w:p>
              </w:tc>
              <w:tc>
                <w:tcPr>
                  <w:tcW w:w="839" w:type="dxa"/>
                  <w:tcBorders>
                    <w:top w:val="single" w:color="auto" w:sz="4" w:space="0"/>
                    <w:left w:val="single" w:color="auto" w:sz="4" w:space="0"/>
                    <w:bottom w:val="single" w:color="auto" w:sz="4" w:space="0"/>
                    <w:right w:val="nil"/>
                  </w:tcBorders>
                  <w:shd w:val="clear"/>
                  <w:vAlign w:val="center"/>
                </w:tcPr>
                <w:p w14:paraId="67C4CD8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2F</w:t>
                  </w:r>
                  <w:r>
                    <w:rPr>
                      <w:rFonts w:hint="eastAsia" w:ascii="Times New Roman" w:hAnsi="Times New Roman" w:eastAsia="宋体" w:cs="宋体"/>
                      <w:color w:val="000000"/>
                      <w:kern w:val="2"/>
                      <w:sz w:val="21"/>
                      <w:szCs w:val="21"/>
                      <w:bdr w:val="none" w:color="auto" w:sz="0" w:space="0"/>
                      <w:lang w:val="en-US" w:eastAsia="zh-CN" w:bidi="ar"/>
                    </w:rPr>
                    <w:t>原材料库房布局发生变化</w:t>
                  </w:r>
                </w:p>
              </w:tc>
            </w:tr>
            <w:tr w14:paraId="5599CAB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00" w:type="dxa"/>
                  <w:vMerge w:val="continue"/>
                  <w:tcBorders>
                    <w:top w:val="single" w:color="auto" w:sz="4" w:space="0"/>
                    <w:left w:val="nil"/>
                    <w:bottom w:val="single" w:color="auto" w:sz="4" w:space="0"/>
                    <w:right w:val="single" w:color="auto" w:sz="4" w:space="0"/>
                  </w:tcBorders>
                  <w:shd w:val="clear"/>
                  <w:vAlign w:val="center"/>
                </w:tcPr>
                <w:p w14:paraId="498F416F">
                  <w:pPr>
                    <w:rPr>
                      <w:rFonts w:hint="default" w:ascii="Calibri" w:hAnsi="Calibri" w:cs="Calibri"/>
                      <w:sz w:val="20"/>
                      <w:szCs w:val="20"/>
                    </w:rPr>
                  </w:pPr>
                </w:p>
              </w:tc>
              <w:tc>
                <w:tcPr>
                  <w:tcW w:w="709" w:type="dxa"/>
                  <w:tcBorders>
                    <w:top w:val="single" w:color="auto" w:sz="4" w:space="0"/>
                    <w:left w:val="single" w:color="auto" w:sz="4" w:space="0"/>
                    <w:bottom w:val="single" w:color="auto" w:sz="4" w:space="0"/>
                    <w:right w:val="single" w:color="auto" w:sz="4" w:space="0"/>
                  </w:tcBorders>
                  <w:shd w:val="clear"/>
                  <w:vAlign w:val="center"/>
                </w:tcPr>
                <w:p w14:paraId="7A82959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辅料室</w:t>
                  </w:r>
                </w:p>
              </w:tc>
              <w:tc>
                <w:tcPr>
                  <w:tcW w:w="4111" w:type="dxa"/>
                  <w:tcBorders>
                    <w:top w:val="single" w:color="auto" w:sz="4" w:space="0"/>
                    <w:left w:val="single" w:color="auto" w:sz="4" w:space="0"/>
                    <w:bottom w:val="single" w:color="auto" w:sz="4" w:space="0"/>
                    <w:right w:val="single" w:color="auto" w:sz="4" w:space="0"/>
                  </w:tcBorders>
                  <w:shd w:val="clear"/>
                  <w:vAlign w:val="center"/>
                </w:tcPr>
                <w:p w14:paraId="230D1261">
                  <w:pPr>
                    <w:keepNext w:val="0"/>
                    <w:keepLines w:val="0"/>
                    <w:widowControl w:val="0"/>
                    <w:suppressLineNumbers w:val="0"/>
                    <w:adjustRightInd w:val="0"/>
                    <w:snapToGrid w:val="0"/>
                    <w:spacing w:before="0" w:beforeAutospacing="0" w:after="0" w:afterAutospacing="0" w:line="300" w:lineRule="exact"/>
                    <w:ind w:left="0" w:right="0"/>
                    <w:jc w:val="both"/>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位于</w:t>
                  </w:r>
                  <w:r>
                    <w:rPr>
                      <w:rFonts w:hint="default" w:ascii="Times New Roman" w:hAnsi="Times New Roman" w:eastAsia="宋体" w:cs="Times New Roman"/>
                      <w:color w:val="000000"/>
                      <w:kern w:val="2"/>
                      <w:sz w:val="21"/>
                      <w:szCs w:val="21"/>
                      <w:bdr w:val="none" w:color="auto" w:sz="0" w:space="0"/>
                      <w:lang w:val="en-US" w:eastAsia="zh-CN" w:bidi="ar"/>
                    </w:rPr>
                    <w:t>1F</w:t>
                  </w:r>
                  <w:r>
                    <w:rPr>
                      <w:rFonts w:hint="eastAsia" w:ascii="Times New Roman" w:hAnsi="Times New Roman" w:eastAsia="宋体" w:cs="宋体"/>
                      <w:color w:val="000000"/>
                      <w:kern w:val="2"/>
                      <w:sz w:val="21"/>
                      <w:szCs w:val="21"/>
                      <w:bdr w:val="none" w:color="auto" w:sz="0" w:space="0"/>
                      <w:lang w:val="en-US" w:eastAsia="zh-CN" w:bidi="ar"/>
                    </w:rPr>
                    <w:t>西南侧，占地面积约</w:t>
                  </w:r>
                  <w:r>
                    <w:rPr>
                      <w:rFonts w:hint="default" w:ascii="Times New Roman" w:hAnsi="Times New Roman" w:eastAsia="宋体" w:cs="Times New Roman"/>
                      <w:color w:val="000000"/>
                      <w:kern w:val="2"/>
                      <w:sz w:val="21"/>
                      <w:szCs w:val="21"/>
                      <w:bdr w:val="none" w:color="auto" w:sz="0" w:space="0"/>
                      <w:lang w:val="en-US" w:eastAsia="zh-CN" w:bidi="ar"/>
                    </w:rPr>
                    <w:t>25</w:t>
                  </w:r>
                  <w:r>
                    <w:rPr>
                      <w:rFonts w:hint="default" w:ascii="Times New Roman" w:hAnsi="Times New Roman" w:eastAsia="宋体" w:cs="Times New Roman"/>
                      <w:bCs/>
                      <w:color w:val="000000"/>
                      <w:kern w:val="2"/>
                      <w:sz w:val="21"/>
                      <w:szCs w:val="21"/>
                      <w:bdr w:val="none" w:color="auto" w:sz="0" w:space="0"/>
                      <w:lang w:val="en-US" w:eastAsia="zh-CN" w:bidi="ar"/>
                    </w:rPr>
                    <w:t>m</w:t>
                  </w:r>
                  <w:r>
                    <w:rPr>
                      <w:rFonts w:hint="default" w:ascii="Times New Roman" w:hAnsi="Times New Roman" w:eastAsia="宋体" w:cs="Times New Roman"/>
                      <w:bCs/>
                      <w:color w:val="000000"/>
                      <w:kern w:val="2"/>
                      <w:sz w:val="21"/>
                      <w:szCs w:val="21"/>
                      <w:bdr w:val="none" w:color="auto" w:sz="0" w:space="0"/>
                      <w:vertAlign w:val="superscript"/>
                      <w:lang w:val="en-US" w:eastAsia="zh-CN" w:bidi="ar"/>
                    </w:rPr>
                    <w:t>2</w:t>
                  </w:r>
                  <w:r>
                    <w:rPr>
                      <w:rFonts w:hint="eastAsia" w:ascii="Times New Roman" w:hAnsi="Times New Roman" w:eastAsia="宋体" w:cs="宋体"/>
                      <w:bCs/>
                      <w:color w:val="000000"/>
                      <w:kern w:val="2"/>
                      <w:sz w:val="21"/>
                      <w:szCs w:val="21"/>
                      <w:bdr w:val="none" w:color="auto" w:sz="0" w:space="0"/>
                      <w:lang w:val="en-US" w:eastAsia="zh-CN" w:bidi="ar"/>
                    </w:rPr>
                    <w:t>，暂存有热熔胶、</w:t>
                  </w:r>
                  <w:r>
                    <w:rPr>
                      <w:rFonts w:hint="eastAsia" w:ascii="Times New Roman" w:hAnsi="Times New Roman" w:eastAsia="宋体" w:cs="宋体"/>
                      <w:color w:val="000000"/>
                      <w:kern w:val="2"/>
                      <w:sz w:val="21"/>
                      <w:szCs w:val="21"/>
                      <w:bdr w:val="none" w:color="auto" w:sz="0" w:space="0"/>
                      <w:lang w:val="en-US" w:eastAsia="zh-CN" w:bidi="ar"/>
                    </w:rPr>
                    <w:t>背胶处理剂、液体硅橡胶（</w:t>
                  </w:r>
                  <w:r>
                    <w:rPr>
                      <w:rFonts w:hint="default" w:ascii="Times New Roman" w:hAnsi="Times New Roman" w:eastAsia="宋体" w:cs="Times New Roman"/>
                      <w:color w:val="000000"/>
                      <w:kern w:val="2"/>
                      <w:sz w:val="21"/>
                      <w:szCs w:val="21"/>
                      <w:bdr w:val="none" w:color="auto" w:sz="0" w:space="0"/>
                      <w:lang w:val="en-US" w:eastAsia="zh-CN" w:bidi="ar"/>
                    </w:rPr>
                    <w:t>TJ-R660AB</w:t>
                  </w:r>
                  <w:r>
                    <w:rPr>
                      <w:rFonts w:hint="eastAsia" w:ascii="Times New Roman" w:hAnsi="Times New Roman" w:eastAsia="宋体" w:cs="宋体"/>
                      <w:color w:val="000000"/>
                      <w:kern w:val="2"/>
                      <w:sz w:val="21"/>
                      <w:szCs w:val="21"/>
                      <w:bdr w:val="none" w:color="auto" w:sz="0" w:space="0"/>
                      <w:lang w:val="en-US" w:eastAsia="zh-CN" w:bidi="ar"/>
                    </w:rPr>
                    <w:t>）等辅料</w:t>
                  </w:r>
                </w:p>
              </w:tc>
              <w:tc>
                <w:tcPr>
                  <w:tcW w:w="2126" w:type="dxa"/>
                  <w:tcBorders>
                    <w:top w:val="single" w:color="auto" w:sz="4" w:space="0"/>
                    <w:left w:val="single" w:color="auto" w:sz="4" w:space="0"/>
                    <w:bottom w:val="single" w:color="auto" w:sz="4" w:space="0"/>
                    <w:right w:val="single" w:color="auto" w:sz="4" w:space="0"/>
                  </w:tcBorders>
                  <w:shd w:val="clear"/>
                  <w:vAlign w:val="center"/>
                </w:tcPr>
                <w:p w14:paraId="5F40A12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保持不变，依托使用</w:t>
                  </w:r>
                </w:p>
              </w:tc>
              <w:tc>
                <w:tcPr>
                  <w:tcW w:w="839" w:type="dxa"/>
                  <w:tcBorders>
                    <w:top w:val="single" w:color="auto" w:sz="4" w:space="0"/>
                    <w:left w:val="single" w:color="auto" w:sz="4" w:space="0"/>
                    <w:bottom w:val="single" w:color="auto" w:sz="4" w:space="0"/>
                    <w:right w:val="nil"/>
                  </w:tcBorders>
                  <w:shd w:val="clear"/>
                  <w:vAlign w:val="center"/>
                </w:tcPr>
                <w:p w14:paraId="1D4774D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依托</w:t>
                  </w:r>
                </w:p>
              </w:tc>
            </w:tr>
            <w:tr w14:paraId="06930F2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316" w:hRule="atLeast"/>
                <w:jc w:val="center"/>
              </w:trPr>
              <w:tc>
                <w:tcPr>
                  <w:tcW w:w="600" w:type="dxa"/>
                  <w:vMerge w:val="continue"/>
                  <w:tcBorders>
                    <w:top w:val="single" w:color="auto" w:sz="4" w:space="0"/>
                    <w:left w:val="nil"/>
                    <w:bottom w:val="single" w:color="auto" w:sz="4" w:space="0"/>
                    <w:right w:val="single" w:color="auto" w:sz="4" w:space="0"/>
                  </w:tcBorders>
                  <w:shd w:val="clear"/>
                  <w:vAlign w:val="center"/>
                </w:tcPr>
                <w:p w14:paraId="3A2CD273">
                  <w:pPr>
                    <w:rPr>
                      <w:rFonts w:hint="default" w:ascii="Calibri" w:hAnsi="Calibri" w:cs="Calibri"/>
                      <w:sz w:val="20"/>
                      <w:szCs w:val="20"/>
                    </w:rPr>
                  </w:pPr>
                </w:p>
              </w:tc>
              <w:tc>
                <w:tcPr>
                  <w:tcW w:w="709" w:type="dxa"/>
                  <w:tcBorders>
                    <w:top w:val="single" w:color="auto" w:sz="4" w:space="0"/>
                    <w:left w:val="single" w:color="auto" w:sz="4" w:space="0"/>
                    <w:bottom w:val="single" w:color="auto" w:sz="4" w:space="0"/>
                    <w:right w:val="single" w:color="auto" w:sz="4" w:space="0"/>
                  </w:tcBorders>
                  <w:shd w:val="clear"/>
                  <w:vAlign w:val="center"/>
                </w:tcPr>
                <w:p w14:paraId="7759817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成品</w:t>
                  </w:r>
                </w:p>
                <w:p w14:paraId="7DC69A3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库房</w:t>
                  </w:r>
                </w:p>
              </w:tc>
              <w:tc>
                <w:tcPr>
                  <w:tcW w:w="4111" w:type="dxa"/>
                  <w:tcBorders>
                    <w:top w:val="single" w:color="auto" w:sz="4" w:space="0"/>
                    <w:left w:val="single" w:color="auto" w:sz="4" w:space="0"/>
                    <w:bottom w:val="single" w:color="auto" w:sz="4" w:space="0"/>
                    <w:right w:val="single" w:color="auto" w:sz="4" w:space="0"/>
                  </w:tcBorders>
                  <w:shd w:val="clear"/>
                  <w:vAlign w:val="center"/>
                </w:tcPr>
                <w:p w14:paraId="42B49D37">
                  <w:pPr>
                    <w:keepNext w:val="0"/>
                    <w:keepLines w:val="0"/>
                    <w:widowControl w:val="0"/>
                    <w:suppressLineNumbers w:val="0"/>
                    <w:adjustRightInd w:val="0"/>
                    <w:snapToGrid w:val="0"/>
                    <w:spacing w:before="0" w:beforeAutospacing="0" w:after="0" w:afterAutospacing="0" w:line="300" w:lineRule="exact"/>
                    <w:ind w:left="0" w:right="0"/>
                    <w:jc w:val="both"/>
                    <w:rPr>
                      <w:rFonts w:hint="default" w:ascii="Times New Roman" w:hAnsi="Times New Roman" w:cs="Times New Roman"/>
                      <w:bCs/>
                      <w:color w:val="000000"/>
                      <w:szCs w:val="21"/>
                      <w:highlight w:val="yellow"/>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1F</w:t>
                  </w:r>
                  <w:r>
                    <w:rPr>
                      <w:rFonts w:hint="eastAsia" w:ascii="Times New Roman" w:hAnsi="Times New Roman" w:eastAsia="宋体" w:cs="宋体"/>
                      <w:color w:val="000000"/>
                      <w:kern w:val="2"/>
                      <w:sz w:val="21"/>
                      <w:szCs w:val="21"/>
                      <w:bdr w:val="none" w:color="auto" w:sz="0" w:space="0"/>
                      <w:lang w:val="en-US" w:eastAsia="zh-CN" w:bidi="ar"/>
                    </w:rPr>
                    <w:t>北侧布置成品库房，占地面积约</w:t>
                  </w:r>
                  <w:r>
                    <w:rPr>
                      <w:rFonts w:hint="default" w:ascii="Times New Roman" w:hAnsi="Times New Roman" w:eastAsia="宋体" w:cs="Times New Roman"/>
                      <w:color w:val="000000"/>
                      <w:kern w:val="2"/>
                      <w:sz w:val="21"/>
                      <w:szCs w:val="21"/>
                      <w:bdr w:val="none" w:color="auto" w:sz="0" w:space="0"/>
                      <w:lang w:val="en-US" w:eastAsia="zh-CN" w:bidi="ar"/>
                    </w:rPr>
                    <w:t>160</w:t>
                  </w:r>
                  <w:r>
                    <w:rPr>
                      <w:rFonts w:hint="default" w:ascii="Times New Roman" w:hAnsi="Times New Roman" w:eastAsia="宋体" w:cs="Times New Roman"/>
                      <w:bCs/>
                      <w:color w:val="000000"/>
                      <w:kern w:val="2"/>
                      <w:sz w:val="21"/>
                      <w:szCs w:val="21"/>
                      <w:bdr w:val="none" w:color="auto" w:sz="0" w:space="0"/>
                      <w:lang w:val="en-US" w:eastAsia="zh-CN" w:bidi="ar"/>
                    </w:rPr>
                    <w:t>m</w:t>
                  </w:r>
                  <w:r>
                    <w:rPr>
                      <w:rFonts w:hint="default" w:ascii="Times New Roman" w:hAnsi="Times New Roman" w:eastAsia="宋体" w:cs="Times New Roman"/>
                      <w:bCs/>
                      <w:color w:val="000000"/>
                      <w:kern w:val="2"/>
                      <w:sz w:val="21"/>
                      <w:szCs w:val="21"/>
                      <w:bdr w:val="none" w:color="auto" w:sz="0" w:space="0"/>
                      <w:vertAlign w:val="superscript"/>
                      <w:lang w:val="en-US" w:eastAsia="zh-CN" w:bidi="ar"/>
                    </w:rPr>
                    <w:t>2</w:t>
                  </w:r>
                  <w:r>
                    <w:rPr>
                      <w:rFonts w:hint="eastAsia" w:ascii="Times New Roman" w:hAnsi="Times New Roman" w:eastAsia="宋体" w:cs="宋体"/>
                      <w:bCs/>
                      <w:color w:val="000000"/>
                      <w:kern w:val="2"/>
                      <w:sz w:val="21"/>
                      <w:szCs w:val="21"/>
                      <w:bdr w:val="none" w:color="auto" w:sz="0" w:space="0"/>
                      <w:lang w:val="en-US" w:eastAsia="zh-CN" w:bidi="ar"/>
                    </w:rPr>
                    <w:t>，用于存放硅胶泡棉制品、</w:t>
                  </w:r>
                  <w:r>
                    <w:rPr>
                      <w:rFonts w:hint="default" w:ascii="Times New Roman" w:hAnsi="Times New Roman" w:eastAsia="宋体" w:cs="Times New Roman"/>
                      <w:bCs/>
                      <w:color w:val="000000"/>
                      <w:kern w:val="2"/>
                      <w:sz w:val="21"/>
                      <w:szCs w:val="21"/>
                      <w:bdr w:val="none" w:color="auto" w:sz="0" w:space="0"/>
                      <w:lang w:val="en-US" w:eastAsia="zh-CN" w:bidi="ar"/>
                    </w:rPr>
                    <w:t>PU</w:t>
                  </w:r>
                  <w:r>
                    <w:rPr>
                      <w:rFonts w:hint="eastAsia" w:ascii="Times New Roman" w:hAnsi="Times New Roman" w:eastAsia="宋体" w:cs="宋体"/>
                      <w:bCs/>
                      <w:color w:val="000000"/>
                      <w:kern w:val="2"/>
                      <w:sz w:val="21"/>
                      <w:szCs w:val="21"/>
                      <w:bdr w:val="none" w:color="auto" w:sz="0" w:space="0"/>
                      <w:lang w:val="en-US" w:eastAsia="zh-CN" w:bidi="ar"/>
                    </w:rPr>
                    <w:t>泡棉制品、网格棉制品、云母板等成品。</w:t>
                  </w:r>
                  <w:r>
                    <w:rPr>
                      <w:rFonts w:hint="default" w:ascii="Times New Roman" w:hAnsi="Times New Roman" w:eastAsia="宋体" w:cs="Times New Roman"/>
                      <w:bCs/>
                      <w:color w:val="000000"/>
                      <w:kern w:val="2"/>
                      <w:sz w:val="21"/>
                      <w:szCs w:val="21"/>
                      <w:bdr w:val="none" w:color="auto" w:sz="0" w:space="0"/>
                      <w:lang w:val="en-US" w:eastAsia="zh-CN" w:bidi="ar"/>
                    </w:rPr>
                    <w:t>2F</w:t>
                  </w:r>
                  <w:r>
                    <w:rPr>
                      <w:rFonts w:hint="eastAsia" w:ascii="Times New Roman" w:hAnsi="Times New Roman" w:eastAsia="宋体" w:cs="宋体"/>
                      <w:bCs/>
                      <w:color w:val="000000"/>
                      <w:kern w:val="2"/>
                      <w:sz w:val="21"/>
                      <w:szCs w:val="21"/>
                      <w:bdr w:val="none" w:color="auto" w:sz="0" w:space="0"/>
                      <w:lang w:val="en-US" w:eastAsia="zh-CN" w:bidi="ar"/>
                    </w:rPr>
                    <w:t>东侧布置有成品库房</w:t>
                  </w:r>
                  <w:r>
                    <w:rPr>
                      <w:rFonts w:hint="eastAsia" w:ascii="Times New Roman" w:hAnsi="Times New Roman" w:eastAsia="宋体" w:cs="宋体"/>
                      <w:color w:val="000000"/>
                      <w:kern w:val="2"/>
                      <w:sz w:val="21"/>
                      <w:szCs w:val="21"/>
                      <w:bdr w:val="none" w:color="auto" w:sz="0" w:space="0"/>
                      <w:lang w:val="en-US" w:eastAsia="zh-CN" w:bidi="ar"/>
                    </w:rPr>
                    <w:t>，占地面积约</w:t>
                  </w:r>
                  <w:r>
                    <w:rPr>
                      <w:rFonts w:hint="default" w:ascii="Times New Roman" w:hAnsi="Times New Roman" w:eastAsia="宋体" w:cs="Times New Roman"/>
                      <w:color w:val="000000"/>
                      <w:kern w:val="2"/>
                      <w:sz w:val="21"/>
                      <w:szCs w:val="21"/>
                      <w:bdr w:val="none" w:color="auto" w:sz="0" w:space="0"/>
                      <w:lang w:val="en-US" w:eastAsia="zh-CN" w:bidi="ar"/>
                    </w:rPr>
                    <w:t>280</w:t>
                  </w:r>
                  <w:r>
                    <w:rPr>
                      <w:rFonts w:hint="default" w:ascii="Times New Roman" w:hAnsi="Times New Roman" w:eastAsia="宋体" w:cs="Times New Roman"/>
                      <w:bCs/>
                      <w:color w:val="000000"/>
                      <w:kern w:val="2"/>
                      <w:sz w:val="21"/>
                      <w:szCs w:val="21"/>
                      <w:bdr w:val="none" w:color="auto" w:sz="0" w:space="0"/>
                      <w:lang w:val="en-US" w:eastAsia="zh-CN" w:bidi="ar"/>
                    </w:rPr>
                    <w:t>m</w:t>
                  </w:r>
                  <w:r>
                    <w:rPr>
                      <w:rFonts w:hint="default" w:ascii="Times New Roman" w:hAnsi="Times New Roman" w:eastAsia="宋体" w:cs="Times New Roman"/>
                      <w:bCs/>
                      <w:color w:val="000000"/>
                      <w:kern w:val="2"/>
                      <w:sz w:val="21"/>
                      <w:szCs w:val="21"/>
                      <w:bdr w:val="none" w:color="auto" w:sz="0" w:space="0"/>
                      <w:vertAlign w:val="superscript"/>
                      <w:lang w:val="en-US" w:eastAsia="zh-CN" w:bidi="ar"/>
                    </w:rPr>
                    <w:t>2</w:t>
                  </w:r>
                  <w:r>
                    <w:rPr>
                      <w:rFonts w:hint="eastAsia" w:ascii="Times New Roman" w:hAnsi="Times New Roman" w:eastAsia="宋体" w:cs="宋体"/>
                      <w:bCs/>
                      <w:color w:val="000000"/>
                      <w:kern w:val="2"/>
                      <w:sz w:val="21"/>
                      <w:szCs w:val="21"/>
                      <w:bdr w:val="none" w:color="auto" w:sz="0" w:space="0"/>
                      <w:lang w:val="en-US" w:eastAsia="zh-CN" w:bidi="ar"/>
                    </w:rPr>
                    <w:t>，用于存放皮革装饰条、硅胶泡棉制品、</w:t>
                  </w:r>
                  <w:r>
                    <w:rPr>
                      <w:rFonts w:hint="default" w:ascii="Times New Roman" w:hAnsi="Times New Roman" w:eastAsia="宋体" w:cs="Times New Roman"/>
                      <w:bCs/>
                      <w:color w:val="000000"/>
                      <w:kern w:val="2"/>
                      <w:sz w:val="21"/>
                      <w:szCs w:val="21"/>
                      <w:bdr w:val="none" w:color="auto" w:sz="0" w:space="0"/>
                      <w:lang w:val="en-US" w:eastAsia="zh-CN" w:bidi="ar"/>
                    </w:rPr>
                    <w:t>PU</w:t>
                  </w:r>
                  <w:r>
                    <w:rPr>
                      <w:rFonts w:hint="eastAsia" w:ascii="Times New Roman" w:hAnsi="Times New Roman" w:eastAsia="宋体" w:cs="宋体"/>
                      <w:bCs/>
                      <w:color w:val="000000"/>
                      <w:kern w:val="2"/>
                      <w:sz w:val="21"/>
                      <w:szCs w:val="21"/>
                      <w:bdr w:val="none" w:color="auto" w:sz="0" w:space="0"/>
                      <w:lang w:val="en-US" w:eastAsia="zh-CN" w:bidi="ar"/>
                    </w:rPr>
                    <w:t>泡棉制品、网格棉制品、云母板等成品。</w:t>
                  </w:r>
                </w:p>
              </w:tc>
              <w:tc>
                <w:tcPr>
                  <w:tcW w:w="2126" w:type="dxa"/>
                  <w:tcBorders>
                    <w:top w:val="single" w:color="auto" w:sz="4" w:space="0"/>
                    <w:left w:val="single" w:color="auto" w:sz="4" w:space="0"/>
                    <w:bottom w:val="single" w:color="auto" w:sz="4" w:space="0"/>
                    <w:right w:val="single" w:color="auto" w:sz="4" w:space="0"/>
                  </w:tcBorders>
                  <w:shd w:val="clear"/>
                  <w:vAlign w:val="center"/>
                </w:tcPr>
                <w:p w14:paraId="35A9609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1F</w:t>
                  </w:r>
                  <w:r>
                    <w:rPr>
                      <w:rFonts w:hint="eastAsia" w:ascii="Times New Roman" w:hAnsi="Times New Roman" w:eastAsia="宋体" w:cs="宋体"/>
                      <w:color w:val="000000"/>
                      <w:kern w:val="2"/>
                      <w:sz w:val="21"/>
                      <w:szCs w:val="21"/>
                      <w:bdr w:val="none" w:color="auto" w:sz="0" w:space="0"/>
                      <w:lang w:val="en-US" w:eastAsia="zh-CN" w:bidi="ar"/>
                    </w:rPr>
                    <w:t>成品库房位置保存不变；</w:t>
                  </w:r>
                  <w:r>
                    <w:rPr>
                      <w:rFonts w:hint="default" w:ascii="Times New Roman" w:hAnsi="Times New Roman" w:eastAsia="宋体" w:cs="Times New Roman"/>
                      <w:color w:val="000000"/>
                      <w:kern w:val="2"/>
                      <w:sz w:val="21"/>
                      <w:szCs w:val="21"/>
                      <w:bdr w:val="none" w:color="auto" w:sz="0" w:space="0"/>
                      <w:lang w:val="en-US" w:eastAsia="zh-CN" w:bidi="ar"/>
                    </w:rPr>
                    <w:t>2F</w:t>
                  </w:r>
                  <w:r>
                    <w:rPr>
                      <w:rFonts w:hint="eastAsia" w:ascii="Times New Roman" w:hAnsi="Times New Roman" w:eastAsia="宋体" w:cs="宋体"/>
                      <w:color w:val="000000"/>
                      <w:kern w:val="2"/>
                      <w:sz w:val="21"/>
                      <w:szCs w:val="21"/>
                      <w:bdr w:val="none" w:color="auto" w:sz="0" w:space="0"/>
                      <w:lang w:val="en-US" w:eastAsia="zh-CN" w:bidi="ar"/>
                    </w:rPr>
                    <w:t>成品库房位于厂房南侧。</w:t>
                  </w:r>
                </w:p>
              </w:tc>
              <w:tc>
                <w:tcPr>
                  <w:tcW w:w="839" w:type="dxa"/>
                  <w:tcBorders>
                    <w:top w:val="single" w:color="auto" w:sz="4" w:space="0"/>
                    <w:left w:val="single" w:color="auto" w:sz="4" w:space="0"/>
                    <w:bottom w:val="single" w:color="auto" w:sz="4" w:space="0"/>
                    <w:right w:val="nil"/>
                  </w:tcBorders>
                  <w:shd w:val="clear"/>
                  <w:vAlign w:val="center"/>
                </w:tcPr>
                <w:p w14:paraId="5626B43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2F</w:t>
                  </w:r>
                  <w:r>
                    <w:rPr>
                      <w:rFonts w:hint="eastAsia" w:ascii="Times New Roman" w:hAnsi="Times New Roman" w:eastAsia="宋体" w:cs="宋体"/>
                      <w:color w:val="000000"/>
                      <w:kern w:val="2"/>
                      <w:sz w:val="21"/>
                      <w:szCs w:val="21"/>
                      <w:bdr w:val="none" w:color="auto" w:sz="0" w:space="0"/>
                      <w:lang w:val="en-US" w:eastAsia="zh-CN" w:bidi="ar"/>
                    </w:rPr>
                    <w:t>成品库房布局发生变化</w:t>
                  </w:r>
                </w:p>
              </w:tc>
            </w:tr>
            <w:tr w14:paraId="296E144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Merge w:val="restart"/>
                  <w:tcBorders>
                    <w:top w:val="single" w:color="auto" w:sz="4" w:space="0"/>
                    <w:left w:val="nil"/>
                    <w:bottom w:val="single" w:color="auto" w:sz="4" w:space="0"/>
                    <w:right w:val="single" w:color="auto" w:sz="4" w:space="0"/>
                  </w:tcBorders>
                  <w:shd w:val="clear"/>
                  <w:vAlign w:val="center"/>
                </w:tcPr>
                <w:p w14:paraId="247F84C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公辅工程</w:t>
                  </w:r>
                </w:p>
              </w:tc>
              <w:tc>
                <w:tcPr>
                  <w:tcW w:w="709" w:type="dxa"/>
                  <w:tcBorders>
                    <w:top w:val="single" w:color="auto" w:sz="4" w:space="0"/>
                    <w:left w:val="single" w:color="auto" w:sz="4" w:space="0"/>
                    <w:bottom w:val="single" w:color="auto" w:sz="4" w:space="0"/>
                    <w:right w:val="single" w:color="auto" w:sz="4" w:space="0"/>
                  </w:tcBorders>
                  <w:shd w:val="clear"/>
                  <w:vAlign w:val="center"/>
                </w:tcPr>
                <w:p w14:paraId="03A00E6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办公区</w:t>
                  </w:r>
                </w:p>
              </w:tc>
              <w:tc>
                <w:tcPr>
                  <w:tcW w:w="4111" w:type="dxa"/>
                  <w:tcBorders>
                    <w:top w:val="single" w:color="auto" w:sz="4" w:space="0"/>
                    <w:left w:val="single" w:color="auto" w:sz="4" w:space="0"/>
                    <w:bottom w:val="single" w:color="auto" w:sz="4" w:space="0"/>
                    <w:right w:val="single" w:color="auto" w:sz="4" w:space="0"/>
                  </w:tcBorders>
                  <w:shd w:val="clear"/>
                  <w:vAlign w:val="center"/>
                </w:tcPr>
                <w:p w14:paraId="1F02EABA">
                  <w:pPr>
                    <w:keepNext w:val="0"/>
                    <w:keepLines w:val="0"/>
                    <w:widowControl w:val="0"/>
                    <w:suppressLineNumbers w:val="0"/>
                    <w:adjustRightInd w:val="0"/>
                    <w:snapToGrid w:val="0"/>
                    <w:spacing w:before="0" w:beforeAutospacing="0" w:after="0" w:afterAutospacing="0" w:line="300" w:lineRule="exact"/>
                    <w:ind w:left="0" w:right="0"/>
                    <w:jc w:val="both"/>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位于</w:t>
                  </w:r>
                  <w:r>
                    <w:rPr>
                      <w:rFonts w:hint="default" w:ascii="Times New Roman" w:hAnsi="Times New Roman" w:eastAsia="宋体" w:cs="Times New Roman"/>
                      <w:color w:val="000000"/>
                      <w:kern w:val="2"/>
                      <w:sz w:val="21"/>
                      <w:szCs w:val="21"/>
                      <w:bdr w:val="none" w:color="auto" w:sz="0" w:space="0"/>
                      <w:lang w:val="en-US" w:eastAsia="zh-CN" w:bidi="ar"/>
                    </w:rPr>
                    <w:t>1F</w:t>
                  </w:r>
                  <w:r>
                    <w:rPr>
                      <w:rFonts w:hint="eastAsia" w:ascii="Times New Roman" w:hAnsi="Times New Roman" w:eastAsia="宋体" w:cs="宋体"/>
                      <w:color w:val="000000"/>
                      <w:kern w:val="2"/>
                      <w:sz w:val="21"/>
                      <w:szCs w:val="21"/>
                      <w:bdr w:val="none" w:color="auto" w:sz="0" w:space="0"/>
                      <w:lang w:val="en-US" w:eastAsia="zh-CN" w:bidi="ar"/>
                    </w:rPr>
                    <w:t>、</w:t>
                  </w:r>
                  <w:r>
                    <w:rPr>
                      <w:rFonts w:hint="default" w:ascii="Times New Roman" w:hAnsi="Times New Roman" w:eastAsia="宋体" w:cs="Times New Roman"/>
                      <w:color w:val="000000"/>
                      <w:kern w:val="2"/>
                      <w:sz w:val="21"/>
                      <w:szCs w:val="21"/>
                      <w:bdr w:val="none" w:color="auto" w:sz="0" w:space="0"/>
                      <w:lang w:val="en-US" w:eastAsia="zh-CN" w:bidi="ar"/>
                    </w:rPr>
                    <w:t>2F</w:t>
                  </w:r>
                  <w:r>
                    <w:rPr>
                      <w:rFonts w:hint="eastAsia" w:ascii="Times New Roman" w:hAnsi="Times New Roman" w:eastAsia="宋体" w:cs="宋体"/>
                      <w:color w:val="000000"/>
                      <w:kern w:val="2"/>
                      <w:sz w:val="21"/>
                      <w:szCs w:val="21"/>
                      <w:bdr w:val="none" w:color="auto" w:sz="0" w:space="0"/>
                      <w:lang w:val="en-US" w:eastAsia="zh-CN" w:bidi="ar"/>
                    </w:rPr>
                    <w:t>北侧，面积约</w:t>
                  </w:r>
                  <w:r>
                    <w:rPr>
                      <w:rFonts w:hint="default" w:ascii="Times New Roman" w:hAnsi="Times New Roman" w:eastAsia="宋体" w:cs="Times New Roman"/>
                      <w:color w:val="000000"/>
                      <w:kern w:val="2"/>
                      <w:sz w:val="21"/>
                      <w:szCs w:val="21"/>
                      <w:bdr w:val="none" w:color="auto" w:sz="0" w:space="0"/>
                      <w:lang w:val="en-US" w:eastAsia="zh-CN" w:bidi="ar"/>
                    </w:rPr>
                    <w:t>400</w:t>
                  </w:r>
                  <w:r>
                    <w:rPr>
                      <w:rFonts w:hint="default" w:ascii="Times New Roman" w:hAnsi="Times New Roman" w:eastAsia="宋体" w:cs="Times New Roman"/>
                      <w:bCs/>
                      <w:color w:val="000000"/>
                      <w:kern w:val="2"/>
                      <w:sz w:val="21"/>
                      <w:szCs w:val="21"/>
                      <w:bdr w:val="none" w:color="auto" w:sz="0" w:space="0"/>
                      <w:lang w:val="en-US" w:eastAsia="zh-CN" w:bidi="ar"/>
                    </w:rPr>
                    <w:t xml:space="preserve"> m</w:t>
                  </w:r>
                  <w:r>
                    <w:rPr>
                      <w:rFonts w:hint="default" w:ascii="Times New Roman" w:hAnsi="Times New Roman" w:eastAsia="宋体" w:cs="Times New Roman"/>
                      <w:bCs/>
                      <w:color w:val="000000"/>
                      <w:kern w:val="2"/>
                      <w:sz w:val="21"/>
                      <w:szCs w:val="21"/>
                      <w:bdr w:val="none" w:color="auto" w:sz="0" w:space="0"/>
                      <w:vertAlign w:val="superscript"/>
                      <w:lang w:val="en-US" w:eastAsia="zh-CN" w:bidi="ar"/>
                    </w:rPr>
                    <w:t>2</w:t>
                  </w:r>
                  <w:r>
                    <w:rPr>
                      <w:rFonts w:hint="eastAsia" w:ascii="Times New Roman" w:hAnsi="Times New Roman" w:eastAsia="宋体" w:cs="宋体"/>
                      <w:color w:val="000000"/>
                      <w:kern w:val="2"/>
                      <w:sz w:val="21"/>
                      <w:szCs w:val="21"/>
                      <w:bdr w:val="none" w:color="auto" w:sz="0" w:space="0"/>
                      <w:lang w:val="en-US" w:eastAsia="zh-CN" w:bidi="ar"/>
                    </w:rPr>
                    <w:t>，分别布置有综合办公室、财务部、会议室、总经理办公室等。</w:t>
                  </w:r>
                </w:p>
              </w:tc>
              <w:tc>
                <w:tcPr>
                  <w:tcW w:w="2126" w:type="dxa"/>
                  <w:tcBorders>
                    <w:top w:val="single" w:color="auto" w:sz="4" w:space="0"/>
                    <w:left w:val="single" w:color="auto" w:sz="4" w:space="0"/>
                    <w:bottom w:val="single" w:color="auto" w:sz="4" w:space="0"/>
                    <w:right w:val="single" w:color="auto" w:sz="4" w:space="0"/>
                  </w:tcBorders>
                  <w:shd w:val="clear"/>
                  <w:vAlign w:val="center"/>
                </w:tcPr>
                <w:p w14:paraId="6395C84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bookmarkStart w:id="6" w:name="OLE_LINK21"/>
                  <w:bookmarkStart w:id="7" w:name="OLE_LINK20"/>
                  <w:bookmarkStart w:id="8" w:name="OLE_LINK12"/>
                  <w:bookmarkStart w:id="9" w:name="OLE_LINK11"/>
                  <w:r>
                    <w:rPr>
                      <w:rFonts w:hint="eastAsia" w:ascii="Times New Roman" w:hAnsi="Times New Roman" w:eastAsia="宋体" w:cs="宋体"/>
                      <w:color w:val="000000"/>
                      <w:kern w:val="2"/>
                      <w:sz w:val="21"/>
                      <w:szCs w:val="21"/>
                      <w:bdr w:val="none" w:color="auto" w:sz="0" w:space="0"/>
                      <w:lang w:val="en-US" w:eastAsia="zh-CN" w:bidi="ar"/>
                    </w:rPr>
                    <w:t>保持不变，</w:t>
                  </w:r>
                  <w:bookmarkEnd w:id="6"/>
                  <w:bookmarkEnd w:id="7"/>
                  <w:r>
                    <w:rPr>
                      <w:rFonts w:hint="eastAsia" w:ascii="Times New Roman" w:hAnsi="Times New Roman" w:eastAsia="宋体" w:cs="宋体"/>
                      <w:color w:val="000000"/>
                      <w:kern w:val="2"/>
                      <w:sz w:val="21"/>
                      <w:szCs w:val="21"/>
                      <w:bdr w:val="none" w:color="auto" w:sz="0" w:space="0"/>
                      <w:lang w:val="en-US" w:eastAsia="zh-CN" w:bidi="ar"/>
                    </w:rPr>
                    <w:t>依托使用</w:t>
                  </w:r>
                  <w:bookmarkEnd w:id="8"/>
                  <w:bookmarkEnd w:id="9"/>
                </w:p>
              </w:tc>
              <w:tc>
                <w:tcPr>
                  <w:tcW w:w="839" w:type="dxa"/>
                  <w:tcBorders>
                    <w:top w:val="single" w:color="auto" w:sz="4" w:space="0"/>
                    <w:left w:val="single" w:color="auto" w:sz="4" w:space="0"/>
                    <w:bottom w:val="single" w:color="auto" w:sz="4" w:space="0"/>
                    <w:right w:val="nil"/>
                  </w:tcBorders>
                  <w:shd w:val="clear"/>
                  <w:vAlign w:val="center"/>
                </w:tcPr>
                <w:p w14:paraId="39DAB27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bookmarkStart w:id="10" w:name="OLE_LINK10"/>
                  <w:bookmarkStart w:id="11" w:name="OLE_LINK9"/>
                  <w:r>
                    <w:rPr>
                      <w:rFonts w:hint="eastAsia" w:ascii="Times New Roman" w:hAnsi="Times New Roman" w:eastAsia="宋体" w:cs="宋体"/>
                      <w:color w:val="000000"/>
                      <w:kern w:val="2"/>
                      <w:sz w:val="21"/>
                      <w:szCs w:val="21"/>
                      <w:bdr w:val="none" w:color="auto" w:sz="0" w:space="0"/>
                      <w:lang w:val="en-US" w:eastAsia="zh-CN" w:bidi="ar"/>
                    </w:rPr>
                    <w:t>依托</w:t>
                  </w:r>
                  <w:bookmarkEnd w:id="10"/>
                  <w:bookmarkEnd w:id="11"/>
                </w:p>
              </w:tc>
            </w:tr>
            <w:tr w14:paraId="080FF19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Merge w:val="continue"/>
                  <w:tcBorders>
                    <w:top w:val="single" w:color="auto" w:sz="4" w:space="0"/>
                    <w:left w:val="nil"/>
                    <w:bottom w:val="single" w:color="auto" w:sz="4" w:space="0"/>
                    <w:right w:val="single" w:color="auto" w:sz="4" w:space="0"/>
                  </w:tcBorders>
                  <w:shd w:val="clear"/>
                  <w:vAlign w:val="center"/>
                </w:tcPr>
                <w:p w14:paraId="559C7516">
                  <w:pPr>
                    <w:rPr>
                      <w:rFonts w:hint="default" w:ascii="Calibri" w:hAnsi="Calibri" w:cs="Calibri"/>
                      <w:sz w:val="20"/>
                      <w:szCs w:val="20"/>
                    </w:rPr>
                  </w:pPr>
                </w:p>
              </w:tc>
              <w:tc>
                <w:tcPr>
                  <w:tcW w:w="709" w:type="dxa"/>
                  <w:tcBorders>
                    <w:top w:val="single" w:color="auto" w:sz="4" w:space="0"/>
                    <w:left w:val="single" w:color="auto" w:sz="4" w:space="0"/>
                    <w:bottom w:val="single" w:color="auto" w:sz="4" w:space="0"/>
                    <w:right w:val="single" w:color="auto" w:sz="4" w:space="0"/>
                  </w:tcBorders>
                  <w:shd w:val="clear"/>
                  <w:vAlign w:val="center"/>
                </w:tcPr>
                <w:p w14:paraId="5E559D6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供电</w:t>
                  </w:r>
                </w:p>
              </w:tc>
              <w:tc>
                <w:tcPr>
                  <w:tcW w:w="4111" w:type="dxa"/>
                  <w:tcBorders>
                    <w:top w:val="single" w:color="auto" w:sz="4" w:space="0"/>
                    <w:left w:val="single" w:color="auto" w:sz="4" w:space="0"/>
                    <w:bottom w:val="single" w:color="auto" w:sz="4" w:space="0"/>
                    <w:right w:val="single" w:color="auto" w:sz="4" w:space="0"/>
                  </w:tcBorders>
                  <w:shd w:val="clear"/>
                  <w:vAlign w:val="center"/>
                </w:tcPr>
                <w:p w14:paraId="46B13ADB">
                  <w:pPr>
                    <w:keepNext w:val="0"/>
                    <w:keepLines w:val="0"/>
                    <w:widowControl w:val="0"/>
                    <w:suppressLineNumbers w:val="0"/>
                    <w:adjustRightInd w:val="0"/>
                    <w:snapToGrid w:val="0"/>
                    <w:spacing w:before="0" w:beforeAutospacing="0" w:after="0" w:afterAutospacing="0" w:line="300" w:lineRule="exact"/>
                    <w:ind w:left="0" w:right="0"/>
                    <w:jc w:val="both"/>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依托租赁厂房现有供电系统。</w:t>
                  </w:r>
                </w:p>
              </w:tc>
              <w:tc>
                <w:tcPr>
                  <w:tcW w:w="2126" w:type="dxa"/>
                  <w:tcBorders>
                    <w:top w:val="single" w:color="auto" w:sz="4" w:space="0"/>
                    <w:left w:val="single" w:color="auto" w:sz="4" w:space="0"/>
                    <w:bottom w:val="single" w:color="auto" w:sz="4" w:space="0"/>
                    <w:right w:val="single" w:color="auto" w:sz="4" w:space="0"/>
                  </w:tcBorders>
                  <w:shd w:val="clear"/>
                  <w:vAlign w:val="center"/>
                </w:tcPr>
                <w:p w14:paraId="119FDE3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保持不变，依托使用</w:t>
                  </w:r>
                </w:p>
              </w:tc>
              <w:tc>
                <w:tcPr>
                  <w:tcW w:w="839" w:type="dxa"/>
                  <w:tcBorders>
                    <w:top w:val="single" w:color="auto" w:sz="4" w:space="0"/>
                    <w:left w:val="single" w:color="auto" w:sz="4" w:space="0"/>
                    <w:bottom w:val="single" w:color="auto" w:sz="4" w:space="0"/>
                    <w:right w:val="nil"/>
                  </w:tcBorders>
                  <w:shd w:val="clear"/>
                  <w:vAlign w:val="center"/>
                </w:tcPr>
                <w:p w14:paraId="2B9FA76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依托</w:t>
                  </w:r>
                </w:p>
              </w:tc>
            </w:tr>
            <w:tr w14:paraId="4868F31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Merge w:val="continue"/>
                  <w:tcBorders>
                    <w:top w:val="single" w:color="auto" w:sz="4" w:space="0"/>
                    <w:left w:val="nil"/>
                    <w:bottom w:val="single" w:color="auto" w:sz="4" w:space="0"/>
                    <w:right w:val="single" w:color="auto" w:sz="4" w:space="0"/>
                  </w:tcBorders>
                  <w:shd w:val="clear"/>
                  <w:vAlign w:val="center"/>
                </w:tcPr>
                <w:p w14:paraId="200BE2F8">
                  <w:pPr>
                    <w:rPr>
                      <w:rFonts w:hint="default" w:ascii="Calibri" w:hAnsi="Calibri" w:cs="Calibri"/>
                      <w:sz w:val="20"/>
                      <w:szCs w:val="20"/>
                    </w:rPr>
                  </w:pPr>
                </w:p>
              </w:tc>
              <w:tc>
                <w:tcPr>
                  <w:tcW w:w="709" w:type="dxa"/>
                  <w:tcBorders>
                    <w:top w:val="single" w:color="auto" w:sz="4" w:space="0"/>
                    <w:left w:val="single" w:color="auto" w:sz="4" w:space="0"/>
                    <w:bottom w:val="single" w:color="auto" w:sz="4" w:space="0"/>
                    <w:right w:val="single" w:color="auto" w:sz="4" w:space="0"/>
                  </w:tcBorders>
                  <w:shd w:val="clear"/>
                  <w:vAlign w:val="center"/>
                </w:tcPr>
                <w:p w14:paraId="4207F23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供水</w:t>
                  </w:r>
                </w:p>
              </w:tc>
              <w:tc>
                <w:tcPr>
                  <w:tcW w:w="4111" w:type="dxa"/>
                  <w:tcBorders>
                    <w:top w:val="single" w:color="auto" w:sz="4" w:space="0"/>
                    <w:left w:val="single" w:color="auto" w:sz="4" w:space="0"/>
                    <w:bottom w:val="single" w:color="auto" w:sz="4" w:space="0"/>
                    <w:right w:val="single" w:color="auto" w:sz="4" w:space="0"/>
                  </w:tcBorders>
                  <w:shd w:val="clear"/>
                  <w:vAlign w:val="center"/>
                </w:tcPr>
                <w:p w14:paraId="3E31AF15">
                  <w:pPr>
                    <w:keepNext w:val="0"/>
                    <w:keepLines w:val="0"/>
                    <w:widowControl w:val="0"/>
                    <w:suppressLineNumbers w:val="0"/>
                    <w:adjustRightInd w:val="0"/>
                    <w:snapToGrid w:val="0"/>
                    <w:spacing w:before="0" w:beforeAutospacing="0" w:after="0" w:afterAutospacing="0" w:line="300" w:lineRule="exact"/>
                    <w:ind w:left="0" w:right="0"/>
                    <w:jc w:val="both"/>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spacing w:val="6"/>
                      <w:kern w:val="2"/>
                      <w:sz w:val="21"/>
                      <w:szCs w:val="21"/>
                      <w:bdr w:val="none" w:color="auto" w:sz="0" w:space="0"/>
                      <w:lang w:val="en-US" w:eastAsia="zh-CN" w:bidi="ar"/>
                    </w:rPr>
                    <w:t>依托租赁厂房现有给水系统。</w:t>
                  </w:r>
                </w:p>
              </w:tc>
              <w:tc>
                <w:tcPr>
                  <w:tcW w:w="2126" w:type="dxa"/>
                  <w:tcBorders>
                    <w:top w:val="single" w:color="auto" w:sz="4" w:space="0"/>
                    <w:left w:val="single" w:color="auto" w:sz="4" w:space="0"/>
                    <w:bottom w:val="single" w:color="auto" w:sz="4" w:space="0"/>
                    <w:right w:val="single" w:color="auto" w:sz="4" w:space="0"/>
                  </w:tcBorders>
                  <w:shd w:val="clear"/>
                  <w:vAlign w:val="center"/>
                </w:tcPr>
                <w:p w14:paraId="32308FA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保持不变，依托使用</w:t>
                  </w:r>
                </w:p>
              </w:tc>
              <w:tc>
                <w:tcPr>
                  <w:tcW w:w="839" w:type="dxa"/>
                  <w:tcBorders>
                    <w:top w:val="single" w:color="auto" w:sz="4" w:space="0"/>
                    <w:left w:val="single" w:color="auto" w:sz="4" w:space="0"/>
                    <w:bottom w:val="single" w:color="auto" w:sz="4" w:space="0"/>
                    <w:right w:val="nil"/>
                  </w:tcBorders>
                  <w:shd w:val="clear"/>
                  <w:vAlign w:val="center"/>
                </w:tcPr>
                <w:p w14:paraId="0ABC163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依托</w:t>
                  </w:r>
                </w:p>
              </w:tc>
            </w:tr>
            <w:tr w14:paraId="276E02F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Merge w:val="continue"/>
                  <w:tcBorders>
                    <w:top w:val="single" w:color="auto" w:sz="4" w:space="0"/>
                    <w:left w:val="nil"/>
                    <w:bottom w:val="single" w:color="auto" w:sz="4" w:space="0"/>
                    <w:right w:val="single" w:color="auto" w:sz="4" w:space="0"/>
                  </w:tcBorders>
                  <w:shd w:val="clear"/>
                  <w:vAlign w:val="center"/>
                </w:tcPr>
                <w:p w14:paraId="337B4DAA">
                  <w:pPr>
                    <w:rPr>
                      <w:rFonts w:hint="default" w:ascii="Calibri" w:hAnsi="Calibri" w:cs="Calibri"/>
                      <w:sz w:val="20"/>
                      <w:szCs w:val="20"/>
                    </w:rPr>
                  </w:pPr>
                </w:p>
              </w:tc>
              <w:tc>
                <w:tcPr>
                  <w:tcW w:w="709" w:type="dxa"/>
                  <w:tcBorders>
                    <w:top w:val="single" w:color="auto" w:sz="4" w:space="0"/>
                    <w:left w:val="single" w:color="auto" w:sz="4" w:space="0"/>
                    <w:bottom w:val="single" w:color="auto" w:sz="4" w:space="0"/>
                    <w:right w:val="single" w:color="auto" w:sz="4" w:space="0"/>
                  </w:tcBorders>
                  <w:shd w:val="clear"/>
                  <w:vAlign w:val="center"/>
                </w:tcPr>
                <w:p w14:paraId="236E3B0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highlight w:val="yellow"/>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排水</w:t>
                  </w:r>
                </w:p>
              </w:tc>
              <w:tc>
                <w:tcPr>
                  <w:tcW w:w="4111" w:type="dxa"/>
                  <w:tcBorders>
                    <w:top w:val="single" w:color="auto" w:sz="4" w:space="0"/>
                    <w:left w:val="single" w:color="auto" w:sz="4" w:space="0"/>
                    <w:bottom w:val="single" w:color="auto" w:sz="4" w:space="0"/>
                    <w:right w:val="single" w:color="auto" w:sz="4" w:space="0"/>
                  </w:tcBorders>
                  <w:shd w:val="clear"/>
                  <w:vAlign w:val="center"/>
                </w:tcPr>
                <w:p w14:paraId="0352C2E2">
                  <w:pPr>
                    <w:keepNext w:val="0"/>
                    <w:keepLines w:val="0"/>
                    <w:widowControl w:val="0"/>
                    <w:suppressLineNumbers w:val="0"/>
                    <w:adjustRightInd w:val="0"/>
                    <w:snapToGrid w:val="0"/>
                    <w:spacing w:before="0" w:beforeAutospacing="0" w:after="0" w:afterAutospacing="0" w:line="300" w:lineRule="exact"/>
                    <w:ind w:left="0" w:right="0"/>
                    <w:jc w:val="both"/>
                    <w:rPr>
                      <w:rFonts w:hint="default" w:ascii="Times New Roman" w:hAnsi="Times New Roman" w:cs="Times New Roman"/>
                      <w:color w:val="000000"/>
                      <w:szCs w:val="21"/>
                      <w:highlight w:val="yellow"/>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依托租赁厂房现有排水管网，采用雨污分流。</w:t>
                  </w:r>
                </w:p>
              </w:tc>
              <w:tc>
                <w:tcPr>
                  <w:tcW w:w="2126" w:type="dxa"/>
                  <w:tcBorders>
                    <w:top w:val="single" w:color="auto" w:sz="4" w:space="0"/>
                    <w:left w:val="single" w:color="auto" w:sz="4" w:space="0"/>
                    <w:bottom w:val="single" w:color="auto" w:sz="4" w:space="0"/>
                    <w:right w:val="single" w:color="auto" w:sz="4" w:space="0"/>
                  </w:tcBorders>
                  <w:shd w:val="clear"/>
                  <w:vAlign w:val="center"/>
                </w:tcPr>
                <w:p w14:paraId="7F2FED9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保持不变，依托使用</w:t>
                  </w:r>
                </w:p>
              </w:tc>
              <w:tc>
                <w:tcPr>
                  <w:tcW w:w="839" w:type="dxa"/>
                  <w:tcBorders>
                    <w:top w:val="single" w:color="auto" w:sz="4" w:space="0"/>
                    <w:left w:val="single" w:color="auto" w:sz="4" w:space="0"/>
                    <w:bottom w:val="single" w:color="auto" w:sz="4" w:space="0"/>
                    <w:right w:val="nil"/>
                  </w:tcBorders>
                  <w:shd w:val="clear"/>
                  <w:vAlign w:val="center"/>
                </w:tcPr>
                <w:p w14:paraId="280364D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bookmarkStart w:id="12" w:name="OLE_LINK17"/>
                  <w:bookmarkStart w:id="13" w:name="OLE_LINK16"/>
                  <w:r>
                    <w:rPr>
                      <w:rFonts w:hint="eastAsia" w:ascii="Times New Roman" w:hAnsi="Times New Roman" w:eastAsia="宋体" w:cs="宋体"/>
                      <w:color w:val="000000"/>
                      <w:kern w:val="2"/>
                      <w:sz w:val="21"/>
                      <w:szCs w:val="21"/>
                      <w:bdr w:val="none" w:color="auto" w:sz="0" w:space="0"/>
                      <w:lang w:val="en-US" w:eastAsia="zh-CN" w:bidi="ar"/>
                    </w:rPr>
                    <w:t>依托</w:t>
                  </w:r>
                  <w:bookmarkEnd w:id="12"/>
                  <w:bookmarkEnd w:id="13"/>
                </w:p>
              </w:tc>
            </w:tr>
            <w:tr w14:paraId="1B26B2E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600" w:type="dxa"/>
                  <w:vMerge w:val="restart"/>
                  <w:tcBorders>
                    <w:top w:val="single" w:color="auto" w:sz="4" w:space="0"/>
                    <w:left w:val="nil"/>
                    <w:bottom w:val="single" w:color="auto" w:sz="12" w:space="0"/>
                    <w:right w:val="single" w:color="auto" w:sz="4" w:space="0"/>
                  </w:tcBorders>
                  <w:shd w:val="clear"/>
                  <w:vAlign w:val="center"/>
                </w:tcPr>
                <w:p w14:paraId="6C4C11E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环保工程</w:t>
                  </w:r>
                </w:p>
              </w:tc>
              <w:tc>
                <w:tcPr>
                  <w:tcW w:w="709" w:type="dxa"/>
                  <w:tcBorders>
                    <w:top w:val="single" w:color="auto" w:sz="4" w:space="0"/>
                    <w:left w:val="single" w:color="auto" w:sz="4" w:space="0"/>
                    <w:bottom w:val="single" w:color="auto" w:sz="4" w:space="0"/>
                    <w:right w:val="single" w:color="auto" w:sz="4" w:space="0"/>
                  </w:tcBorders>
                  <w:shd w:val="clear"/>
                  <w:vAlign w:val="center"/>
                </w:tcPr>
                <w:p w14:paraId="4BA185C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废气</w:t>
                  </w:r>
                </w:p>
              </w:tc>
              <w:tc>
                <w:tcPr>
                  <w:tcW w:w="4111" w:type="dxa"/>
                  <w:tcBorders>
                    <w:top w:val="single" w:color="auto" w:sz="4" w:space="0"/>
                    <w:left w:val="single" w:color="auto" w:sz="4" w:space="0"/>
                    <w:bottom w:val="single" w:color="auto" w:sz="4" w:space="0"/>
                    <w:right w:val="single" w:color="auto" w:sz="4" w:space="0"/>
                  </w:tcBorders>
                  <w:shd w:val="clear"/>
                  <w:vAlign w:val="center"/>
                </w:tcPr>
                <w:p w14:paraId="29147C3E">
                  <w:pPr>
                    <w:pStyle w:val="9"/>
                    <w:widowControl/>
                    <w:spacing w:line="300" w:lineRule="exact"/>
                    <w:rPr>
                      <w:rFonts w:hint="default" w:ascii="Times New Roman" w:hAnsi="Times New Roman" w:cs="Times New Roman"/>
                      <w:color w:val="000000"/>
                      <w:szCs w:val="21"/>
                      <w:bdr w:val="none" w:color="auto" w:sz="0" w:space="0"/>
                      <w:lang w:val="en-US"/>
                    </w:rPr>
                  </w:pPr>
                  <w:r>
                    <w:rPr>
                      <w:rFonts w:ascii="Times New Roman" w:hAnsi="宋体"/>
                      <w:color w:val="000000"/>
                      <w:szCs w:val="21"/>
                      <w:bdr w:val="none" w:color="auto" w:sz="0" w:space="0"/>
                    </w:rPr>
                    <w:t>①涂胶及激光切割废气经收集后经</w:t>
                  </w:r>
                  <w:r>
                    <w:rPr>
                      <w:rFonts w:hint="default" w:ascii="Times New Roman" w:hAnsi="Times New Roman" w:cs="Times New Roman"/>
                      <w:color w:val="000000"/>
                      <w:szCs w:val="21"/>
                      <w:bdr w:val="none" w:color="auto" w:sz="0" w:space="0"/>
                      <w:lang w:val="en-US"/>
                    </w:rPr>
                    <w:t>1</w:t>
                  </w:r>
                  <w:r>
                    <w:rPr>
                      <w:rFonts w:ascii="Times New Roman" w:hAnsi="宋体"/>
                      <w:color w:val="000000"/>
                      <w:szCs w:val="21"/>
                      <w:bdr w:val="none" w:color="auto" w:sz="0" w:space="0"/>
                    </w:rPr>
                    <w:t>套</w:t>
                  </w:r>
                  <w:r>
                    <w:rPr>
                      <w:rFonts w:hAnsi="宋体"/>
                      <w:color w:val="000000"/>
                      <w:szCs w:val="21"/>
                      <w:bdr w:val="none" w:color="auto" w:sz="0" w:space="0"/>
                    </w:rPr>
                    <w:t>“布袋</w:t>
                  </w:r>
                  <w:r>
                    <w:rPr>
                      <w:rFonts w:hAnsi="宋体"/>
                      <w:color w:val="000000"/>
                      <w:szCs w:val="21"/>
                      <w:bdr w:val="none" w:color="auto" w:sz="0" w:space="0"/>
                      <w:lang w:val="en-US"/>
                    </w:rPr>
                    <w:t>+</w:t>
                  </w:r>
                  <w:r>
                    <w:rPr>
                      <w:rFonts w:hint="default" w:ascii="Times New Roman" w:hAnsi="Times New Roman" w:cs="Times New Roman"/>
                      <w:color w:val="000000"/>
                      <w:szCs w:val="21"/>
                      <w:bdr w:val="none" w:color="auto" w:sz="0" w:space="0"/>
                      <w:lang w:val="en-US"/>
                    </w:rPr>
                    <w:t>UV</w:t>
                  </w:r>
                  <w:r>
                    <w:rPr>
                      <w:rFonts w:hAnsi="宋体"/>
                      <w:color w:val="000000"/>
                      <w:szCs w:val="21"/>
                      <w:bdr w:val="none" w:color="auto" w:sz="0" w:space="0"/>
                    </w:rPr>
                    <w:t>光解</w:t>
                  </w:r>
                  <w:r>
                    <w:rPr>
                      <w:rFonts w:hAnsi="宋体"/>
                      <w:color w:val="000000"/>
                      <w:szCs w:val="21"/>
                      <w:bdr w:val="none" w:color="auto" w:sz="0" w:space="0"/>
                      <w:lang w:val="en-US"/>
                    </w:rPr>
                    <w:t>+</w:t>
                  </w:r>
                  <w:r>
                    <w:rPr>
                      <w:rFonts w:hAnsi="宋体"/>
                      <w:color w:val="000000"/>
                      <w:szCs w:val="21"/>
                      <w:bdr w:val="none" w:color="auto" w:sz="0" w:space="0"/>
                    </w:rPr>
                    <w:t>二级活性炭”吸</w:t>
                  </w:r>
                  <w:r>
                    <w:rPr>
                      <w:rFonts w:ascii="Times New Roman" w:hAnsi="宋体"/>
                      <w:color w:val="000000"/>
                      <w:szCs w:val="21"/>
                      <w:bdr w:val="none" w:color="auto" w:sz="0" w:space="0"/>
                    </w:rPr>
                    <w:t>附装置处理，通过</w:t>
                  </w:r>
                  <w:r>
                    <w:rPr>
                      <w:rFonts w:hint="default" w:ascii="Times New Roman" w:hAnsi="Times New Roman" w:cs="Times New Roman"/>
                      <w:color w:val="000000"/>
                      <w:szCs w:val="21"/>
                      <w:bdr w:val="none" w:color="auto" w:sz="0" w:space="0"/>
                      <w:lang w:val="en-US"/>
                    </w:rPr>
                    <w:t>1</w:t>
                  </w:r>
                  <w:r>
                    <w:rPr>
                      <w:rFonts w:ascii="Times New Roman" w:hAnsi="宋体"/>
                      <w:color w:val="000000"/>
                      <w:szCs w:val="21"/>
                      <w:bdr w:val="none" w:color="auto" w:sz="0" w:space="0"/>
                    </w:rPr>
                    <w:t>根</w:t>
                  </w:r>
                  <w:r>
                    <w:rPr>
                      <w:rFonts w:hint="default" w:ascii="Times New Roman" w:hAnsi="Times New Roman" w:cs="Times New Roman"/>
                      <w:color w:val="000000"/>
                      <w:szCs w:val="21"/>
                      <w:bdr w:val="none" w:color="auto" w:sz="0" w:space="0"/>
                      <w:lang w:val="en-US"/>
                    </w:rPr>
                    <w:t>20m</w:t>
                  </w:r>
                  <w:r>
                    <w:rPr>
                      <w:rFonts w:ascii="Times New Roman" w:hAnsi="宋体"/>
                      <w:color w:val="000000"/>
                      <w:szCs w:val="21"/>
                      <w:bdr w:val="none" w:color="auto" w:sz="0" w:space="0"/>
                    </w:rPr>
                    <w:t>高排气筒（</w:t>
                  </w:r>
                  <w:r>
                    <w:rPr>
                      <w:rFonts w:hint="default" w:ascii="Times New Roman" w:hAnsi="Times New Roman" w:cs="Times New Roman"/>
                      <w:color w:val="000000"/>
                      <w:szCs w:val="21"/>
                      <w:bdr w:val="none" w:color="auto" w:sz="0" w:space="0"/>
                      <w:lang w:val="en-US"/>
                    </w:rPr>
                    <w:t>DA001</w:t>
                  </w:r>
                  <w:r>
                    <w:rPr>
                      <w:rFonts w:ascii="Times New Roman" w:hAnsi="宋体"/>
                      <w:color w:val="000000"/>
                      <w:szCs w:val="21"/>
                      <w:bdr w:val="none" w:color="auto" w:sz="0" w:space="0"/>
                    </w:rPr>
                    <w:t>）排放；</w:t>
                  </w:r>
                </w:p>
                <w:p w14:paraId="59DE844E">
                  <w:pPr>
                    <w:pStyle w:val="9"/>
                    <w:widowControl/>
                    <w:spacing w:line="300" w:lineRule="exact"/>
                    <w:rPr>
                      <w:rFonts w:hint="default" w:ascii="Times New Roman" w:hAnsi="Times New Roman" w:cs="Times New Roman"/>
                      <w:color w:val="000000"/>
                      <w:szCs w:val="21"/>
                      <w:bdr w:val="none" w:color="auto" w:sz="0" w:space="0"/>
                      <w:lang w:val="en-US"/>
                    </w:rPr>
                  </w:pPr>
                  <w:r>
                    <w:rPr>
                      <w:rFonts w:ascii="Times New Roman" w:hAnsi="宋体"/>
                      <w:color w:val="000000"/>
                      <w:szCs w:val="21"/>
                      <w:bdr w:val="none" w:color="auto" w:sz="0" w:space="0"/>
                    </w:rPr>
                    <w:t>②云母板雕刻、打磨粉尘经收集后经</w:t>
                  </w:r>
                  <w:r>
                    <w:rPr>
                      <w:rFonts w:hint="default" w:ascii="Times New Roman" w:hAnsi="Times New Roman" w:cs="Times New Roman"/>
                      <w:color w:val="000000"/>
                      <w:szCs w:val="21"/>
                      <w:bdr w:val="none" w:color="auto" w:sz="0" w:space="0"/>
                      <w:lang w:val="en-US"/>
                    </w:rPr>
                    <w:t>1</w:t>
                  </w:r>
                  <w:r>
                    <w:rPr>
                      <w:rFonts w:ascii="Times New Roman" w:hAnsi="宋体"/>
                      <w:color w:val="000000"/>
                      <w:szCs w:val="21"/>
                      <w:bdr w:val="none" w:color="auto" w:sz="0" w:space="0"/>
                    </w:rPr>
                    <w:t>套</w:t>
                  </w:r>
                  <w:r>
                    <w:rPr>
                      <w:rFonts w:hAnsi="宋体"/>
                      <w:color w:val="000000"/>
                      <w:szCs w:val="21"/>
                      <w:bdr w:val="none" w:color="auto" w:sz="0" w:space="0"/>
                    </w:rPr>
                    <w:t>“</w:t>
                  </w:r>
                  <w:r>
                    <w:rPr>
                      <w:rFonts w:ascii="Times New Roman" w:hAnsi="宋体"/>
                      <w:color w:val="000000"/>
                      <w:szCs w:val="21"/>
                      <w:bdr w:val="none" w:color="auto" w:sz="0" w:space="0"/>
                    </w:rPr>
                    <w:t>旋风除尘</w:t>
                  </w:r>
                  <w:r>
                    <w:rPr>
                      <w:rFonts w:hint="default" w:ascii="Times New Roman" w:hAnsi="Times New Roman" w:cs="Times New Roman"/>
                      <w:color w:val="000000"/>
                      <w:szCs w:val="21"/>
                      <w:bdr w:val="none" w:color="auto" w:sz="0" w:space="0"/>
                      <w:lang w:val="en-US"/>
                    </w:rPr>
                    <w:t>+</w:t>
                  </w:r>
                  <w:r>
                    <w:rPr>
                      <w:rFonts w:ascii="Times New Roman" w:hAnsi="宋体"/>
                      <w:color w:val="000000"/>
                      <w:szCs w:val="21"/>
                      <w:bdr w:val="none" w:color="auto" w:sz="0" w:space="0"/>
                    </w:rPr>
                    <w:t>布袋除尘</w:t>
                  </w:r>
                  <w:r>
                    <w:rPr>
                      <w:rFonts w:hAnsi="宋体"/>
                      <w:color w:val="000000"/>
                      <w:szCs w:val="21"/>
                      <w:bdr w:val="none" w:color="auto" w:sz="0" w:space="0"/>
                    </w:rPr>
                    <w:t>”</w:t>
                  </w:r>
                  <w:r>
                    <w:rPr>
                      <w:rFonts w:ascii="Times New Roman" w:hAnsi="宋体"/>
                      <w:color w:val="000000"/>
                      <w:szCs w:val="21"/>
                      <w:bdr w:val="none" w:color="auto" w:sz="0" w:space="0"/>
                    </w:rPr>
                    <w:t>装置处理后通过</w:t>
                  </w:r>
                  <w:r>
                    <w:rPr>
                      <w:rFonts w:hint="default" w:ascii="Times New Roman" w:hAnsi="Times New Roman" w:cs="Times New Roman"/>
                      <w:color w:val="000000"/>
                      <w:szCs w:val="21"/>
                      <w:bdr w:val="none" w:color="auto" w:sz="0" w:space="0"/>
                      <w:lang w:val="en-US"/>
                    </w:rPr>
                    <w:t>1</w:t>
                  </w:r>
                  <w:r>
                    <w:rPr>
                      <w:rFonts w:ascii="Times New Roman" w:hAnsi="宋体"/>
                      <w:color w:val="000000"/>
                      <w:szCs w:val="21"/>
                      <w:bdr w:val="none" w:color="auto" w:sz="0" w:space="0"/>
                    </w:rPr>
                    <w:t>根</w:t>
                  </w:r>
                  <w:r>
                    <w:rPr>
                      <w:rFonts w:hint="default" w:ascii="Times New Roman" w:hAnsi="Times New Roman" w:cs="Times New Roman"/>
                      <w:color w:val="000000"/>
                      <w:szCs w:val="21"/>
                      <w:bdr w:val="none" w:color="auto" w:sz="0" w:space="0"/>
                      <w:lang w:val="en-US"/>
                    </w:rPr>
                    <w:t>20m</w:t>
                  </w:r>
                  <w:r>
                    <w:rPr>
                      <w:rFonts w:ascii="Times New Roman" w:hAnsi="宋体"/>
                      <w:color w:val="000000"/>
                      <w:szCs w:val="21"/>
                      <w:bdr w:val="none" w:color="auto" w:sz="0" w:space="0"/>
                    </w:rPr>
                    <w:t>高排气筒（</w:t>
                  </w:r>
                  <w:r>
                    <w:rPr>
                      <w:rFonts w:hint="default" w:ascii="Times New Roman" w:hAnsi="Times New Roman" w:cs="Times New Roman"/>
                      <w:color w:val="000000"/>
                      <w:szCs w:val="21"/>
                      <w:bdr w:val="none" w:color="auto" w:sz="0" w:space="0"/>
                      <w:lang w:val="en-US"/>
                    </w:rPr>
                    <w:t>DA002</w:t>
                  </w:r>
                  <w:r>
                    <w:rPr>
                      <w:rFonts w:ascii="Times New Roman" w:hAnsi="宋体"/>
                      <w:color w:val="000000"/>
                      <w:szCs w:val="21"/>
                      <w:bdr w:val="none" w:color="auto" w:sz="0" w:space="0"/>
                    </w:rPr>
                    <w:t>）排放。</w:t>
                  </w:r>
                </w:p>
              </w:tc>
              <w:tc>
                <w:tcPr>
                  <w:tcW w:w="2126" w:type="dxa"/>
                  <w:tcBorders>
                    <w:top w:val="single" w:color="auto" w:sz="4" w:space="0"/>
                    <w:left w:val="single" w:color="auto" w:sz="4" w:space="0"/>
                    <w:bottom w:val="single" w:color="auto" w:sz="4" w:space="0"/>
                    <w:right w:val="single" w:color="auto" w:sz="4" w:space="0"/>
                  </w:tcBorders>
                  <w:shd w:val="clear"/>
                  <w:vAlign w:val="center"/>
                </w:tcPr>
                <w:p w14:paraId="396D5CCC">
                  <w:pPr>
                    <w:keepNext w:val="0"/>
                    <w:keepLines w:val="0"/>
                    <w:widowControl w:val="0"/>
                    <w:suppressLineNumbers w:val="0"/>
                    <w:adjustRightInd w:val="0"/>
                    <w:snapToGrid w:val="0"/>
                    <w:spacing w:before="0" w:beforeAutospacing="0" w:after="0" w:afterAutospacing="0" w:line="300" w:lineRule="exact"/>
                    <w:ind w:left="0" w:right="0"/>
                    <w:jc w:val="both"/>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不改变现有生产工艺流程，且产污设备未新增，仅增加相应生产时间，废气治理设施保持不变，依托使用</w:t>
                  </w:r>
                </w:p>
              </w:tc>
              <w:tc>
                <w:tcPr>
                  <w:tcW w:w="839" w:type="dxa"/>
                  <w:tcBorders>
                    <w:top w:val="single" w:color="auto" w:sz="4" w:space="0"/>
                    <w:left w:val="single" w:color="auto" w:sz="4" w:space="0"/>
                    <w:bottom w:val="single" w:color="auto" w:sz="4" w:space="0"/>
                    <w:right w:val="nil"/>
                  </w:tcBorders>
                  <w:shd w:val="clear"/>
                  <w:vAlign w:val="center"/>
                </w:tcPr>
                <w:p w14:paraId="1A1FA86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依托</w:t>
                  </w:r>
                </w:p>
              </w:tc>
            </w:tr>
            <w:tr w14:paraId="7A6E153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600" w:type="dxa"/>
                  <w:vMerge w:val="continue"/>
                  <w:tcBorders>
                    <w:top w:val="single" w:color="auto" w:sz="4" w:space="0"/>
                    <w:left w:val="nil"/>
                    <w:bottom w:val="single" w:color="auto" w:sz="12" w:space="0"/>
                    <w:right w:val="single" w:color="auto" w:sz="4" w:space="0"/>
                  </w:tcBorders>
                  <w:shd w:val="clear"/>
                  <w:vAlign w:val="center"/>
                </w:tcPr>
                <w:p w14:paraId="74E2AF3F">
                  <w:pPr>
                    <w:rPr>
                      <w:rFonts w:hint="default" w:ascii="Calibri" w:hAnsi="Calibri" w:cs="Calibri"/>
                      <w:sz w:val="20"/>
                      <w:szCs w:val="20"/>
                    </w:rPr>
                  </w:pPr>
                </w:p>
              </w:tc>
              <w:tc>
                <w:tcPr>
                  <w:tcW w:w="709" w:type="dxa"/>
                  <w:tcBorders>
                    <w:top w:val="single" w:color="auto" w:sz="4" w:space="0"/>
                    <w:left w:val="single" w:color="auto" w:sz="4" w:space="0"/>
                    <w:bottom w:val="single" w:color="auto" w:sz="4" w:space="0"/>
                    <w:right w:val="single" w:color="auto" w:sz="4" w:space="0"/>
                  </w:tcBorders>
                  <w:shd w:val="clear"/>
                  <w:vAlign w:val="center"/>
                </w:tcPr>
                <w:p w14:paraId="7F096DB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highlight w:val="yellow"/>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废水</w:t>
                  </w:r>
                </w:p>
              </w:tc>
              <w:tc>
                <w:tcPr>
                  <w:tcW w:w="4111" w:type="dxa"/>
                  <w:tcBorders>
                    <w:top w:val="single" w:color="auto" w:sz="4" w:space="0"/>
                    <w:left w:val="single" w:color="auto" w:sz="4" w:space="0"/>
                    <w:bottom w:val="single" w:color="auto" w:sz="4" w:space="0"/>
                    <w:right w:val="single" w:color="auto" w:sz="4" w:space="0"/>
                  </w:tcBorders>
                  <w:shd w:val="clear"/>
                  <w:vAlign w:val="center"/>
                </w:tcPr>
                <w:p w14:paraId="5555D9E0">
                  <w:pPr>
                    <w:keepNext w:val="0"/>
                    <w:keepLines w:val="0"/>
                    <w:widowControl w:val="0"/>
                    <w:suppressLineNumbers w:val="0"/>
                    <w:adjustRightInd w:val="0"/>
                    <w:snapToGrid w:val="0"/>
                    <w:spacing w:before="0" w:beforeAutospacing="0" w:after="0" w:afterAutospacing="0" w:line="300" w:lineRule="exact"/>
                    <w:ind w:left="0" w:right="0"/>
                    <w:jc w:val="both"/>
                    <w:rPr>
                      <w:rFonts w:hint="default" w:ascii="Times New Roman" w:hAnsi="Times New Roman" w:cs="Times New Roman"/>
                      <w:color w:val="000000"/>
                      <w:szCs w:val="21"/>
                      <w:highlight w:val="yellow"/>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员工生活污水依托盈田</w:t>
                  </w:r>
                  <w:r>
                    <w:rPr>
                      <w:rFonts w:hint="default" w:ascii="Times New Roman" w:hAnsi="Times New Roman" w:eastAsia="宋体" w:cs="Times New Roman"/>
                      <w:color w:val="000000"/>
                      <w:kern w:val="2"/>
                      <w:sz w:val="21"/>
                      <w:szCs w:val="21"/>
                      <w:bdr w:val="none" w:color="auto" w:sz="0" w:space="0"/>
                      <w:lang w:val="en-US" w:eastAsia="zh-CN" w:bidi="ar"/>
                    </w:rPr>
                    <w:t>·</w:t>
                  </w:r>
                  <w:r>
                    <w:rPr>
                      <w:rFonts w:hint="eastAsia" w:ascii="Times New Roman" w:hAnsi="Times New Roman" w:eastAsia="宋体" w:cs="宋体"/>
                      <w:color w:val="000000"/>
                      <w:kern w:val="2"/>
                      <w:sz w:val="21"/>
                      <w:szCs w:val="21"/>
                      <w:bdr w:val="none" w:color="auto" w:sz="0" w:space="0"/>
                      <w:lang w:val="en-US" w:eastAsia="zh-CN" w:bidi="ar"/>
                    </w:rPr>
                    <w:t>合川工谷已建污水处理设施处理达《污水综合排放标准》（</w:t>
                  </w:r>
                  <w:r>
                    <w:rPr>
                      <w:rFonts w:hint="default" w:ascii="Times New Roman" w:hAnsi="Times New Roman" w:eastAsia="宋体" w:cs="Times New Roman"/>
                      <w:color w:val="000000"/>
                      <w:kern w:val="2"/>
                      <w:sz w:val="21"/>
                      <w:szCs w:val="21"/>
                      <w:bdr w:val="none" w:color="auto" w:sz="0" w:space="0"/>
                      <w:lang w:val="en-US" w:eastAsia="zh-CN" w:bidi="ar"/>
                    </w:rPr>
                    <w:t>GB8978-1996</w:t>
                  </w:r>
                  <w:r>
                    <w:rPr>
                      <w:rFonts w:hint="eastAsia" w:ascii="Times New Roman" w:hAnsi="Times New Roman" w:eastAsia="宋体" w:cs="宋体"/>
                      <w:color w:val="000000"/>
                      <w:kern w:val="2"/>
                      <w:sz w:val="21"/>
                      <w:szCs w:val="21"/>
                      <w:bdr w:val="none" w:color="auto" w:sz="0" w:space="0"/>
                      <w:lang w:val="en-US" w:eastAsia="zh-CN" w:bidi="ar"/>
                    </w:rPr>
                    <w:t>）三级标准后排入</w:t>
                  </w:r>
                  <w:r>
                    <w:rPr>
                      <w:rFonts w:hint="eastAsia" w:ascii="Times New Roman" w:hAnsi="Times New Roman" w:eastAsia="宋体" w:cs="宋体"/>
                      <w:bCs/>
                      <w:color w:val="000000"/>
                      <w:kern w:val="2"/>
                      <w:sz w:val="21"/>
                      <w:szCs w:val="21"/>
                      <w:bdr w:val="none" w:color="auto" w:sz="0" w:space="0"/>
                      <w:lang w:val="en-US" w:eastAsia="zh-CN" w:bidi="ar"/>
                    </w:rPr>
                    <w:t>农创园污水处理厂进一步处理达《城镇污水处理厂污染物排放标准》（</w:t>
                  </w:r>
                  <w:r>
                    <w:rPr>
                      <w:rFonts w:hint="default" w:ascii="Times New Roman" w:hAnsi="Times New Roman" w:eastAsia="宋体" w:cs="Times New Roman"/>
                      <w:bCs/>
                      <w:color w:val="000000"/>
                      <w:kern w:val="2"/>
                      <w:sz w:val="21"/>
                      <w:szCs w:val="21"/>
                      <w:bdr w:val="none" w:color="auto" w:sz="0" w:space="0"/>
                      <w:lang w:val="en-US" w:eastAsia="zh-CN" w:bidi="ar"/>
                    </w:rPr>
                    <w:t>GB18918-2002</w:t>
                  </w:r>
                  <w:r>
                    <w:rPr>
                      <w:rFonts w:hint="eastAsia" w:ascii="Times New Roman" w:hAnsi="Times New Roman" w:eastAsia="宋体" w:cs="宋体"/>
                      <w:bCs/>
                      <w:color w:val="000000"/>
                      <w:kern w:val="2"/>
                      <w:sz w:val="21"/>
                      <w:szCs w:val="21"/>
                      <w:bdr w:val="none" w:color="auto" w:sz="0" w:space="0"/>
                      <w:lang w:val="en-US" w:eastAsia="zh-CN" w:bidi="ar"/>
                    </w:rPr>
                    <w:t>）一级</w:t>
                  </w:r>
                  <w:r>
                    <w:rPr>
                      <w:rFonts w:hint="default" w:ascii="Times New Roman" w:hAnsi="Times New Roman" w:eastAsia="宋体" w:cs="Times New Roman"/>
                      <w:bCs/>
                      <w:color w:val="000000"/>
                      <w:kern w:val="2"/>
                      <w:sz w:val="21"/>
                      <w:szCs w:val="21"/>
                      <w:bdr w:val="none" w:color="auto" w:sz="0" w:space="0"/>
                      <w:lang w:val="en-US" w:eastAsia="zh-CN" w:bidi="ar"/>
                    </w:rPr>
                    <w:t>B</w:t>
                  </w:r>
                  <w:r>
                    <w:rPr>
                      <w:rFonts w:hint="eastAsia" w:ascii="Times New Roman" w:hAnsi="Times New Roman" w:eastAsia="宋体" w:cs="宋体"/>
                      <w:bCs/>
                      <w:color w:val="000000"/>
                      <w:kern w:val="2"/>
                      <w:sz w:val="21"/>
                      <w:szCs w:val="21"/>
                      <w:bdr w:val="none" w:color="auto" w:sz="0" w:space="0"/>
                      <w:lang w:val="en-US" w:eastAsia="zh-CN" w:bidi="ar"/>
                    </w:rPr>
                    <w:t>标准后排入嘉陵江。</w:t>
                  </w:r>
                </w:p>
              </w:tc>
              <w:tc>
                <w:tcPr>
                  <w:tcW w:w="2126" w:type="dxa"/>
                  <w:tcBorders>
                    <w:top w:val="single" w:color="auto" w:sz="4" w:space="0"/>
                    <w:left w:val="single" w:color="auto" w:sz="4" w:space="0"/>
                    <w:bottom w:val="single" w:color="auto" w:sz="4" w:space="0"/>
                    <w:right w:val="single" w:color="auto" w:sz="4" w:space="0"/>
                  </w:tcBorders>
                  <w:shd w:val="clear"/>
                  <w:vAlign w:val="center"/>
                </w:tcPr>
                <w:p w14:paraId="71C0C9F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bookmarkStart w:id="14" w:name="OLE_LINK23"/>
                  <w:bookmarkStart w:id="15" w:name="OLE_LINK22"/>
                  <w:r>
                    <w:rPr>
                      <w:rFonts w:hint="eastAsia" w:ascii="Times New Roman" w:hAnsi="Times New Roman" w:eastAsia="宋体" w:cs="宋体"/>
                      <w:color w:val="000000"/>
                      <w:kern w:val="2"/>
                      <w:sz w:val="21"/>
                      <w:szCs w:val="21"/>
                      <w:bdr w:val="none" w:color="auto" w:sz="0" w:space="0"/>
                      <w:lang w:val="en-US" w:eastAsia="zh-CN" w:bidi="ar"/>
                    </w:rPr>
                    <w:t>保持不变，</w:t>
                  </w:r>
                  <w:bookmarkEnd w:id="14"/>
                  <w:bookmarkEnd w:id="15"/>
                  <w:r>
                    <w:rPr>
                      <w:rFonts w:hint="eastAsia" w:ascii="Times New Roman" w:hAnsi="Times New Roman" w:eastAsia="宋体" w:cs="宋体"/>
                      <w:color w:val="000000"/>
                      <w:kern w:val="2"/>
                      <w:sz w:val="21"/>
                      <w:szCs w:val="21"/>
                      <w:bdr w:val="none" w:color="auto" w:sz="0" w:space="0"/>
                      <w:lang w:val="en-US" w:eastAsia="zh-CN" w:bidi="ar"/>
                    </w:rPr>
                    <w:t>依托使用</w:t>
                  </w:r>
                </w:p>
              </w:tc>
              <w:tc>
                <w:tcPr>
                  <w:tcW w:w="839" w:type="dxa"/>
                  <w:tcBorders>
                    <w:top w:val="single" w:color="auto" w:sz="4" w:space="0"/>
                    <w:left w:val="single" w:color="auto" w:sz="4" w:space="0"/>
                    <w:bottom w:val="single" w:color="auto" w:sz="4" w:space="0"/>
                    <w:right w:val="nil"/>
                  </w:tcBorders>
                  <w:shd w:val="clear"/>
                  <w:vAlign w:val="center"/>
                </w:tcPr>
                <w:p w14:paraId="590D012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依托</w:t>
                  </w:r>
                </w:p>
              </w:tc>
            </w:tr>
            <w:tr w14:paraId="7157E6A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600" w:type="dxa"/>
                  <w:vMerge w:val="continue"/>
                  <w:tcBorders>
                    <w:top w:val="single" w:color="auto" w:sz="4" w:space="0"/>
                    <w:left w:val="nil"/>
                    <w:bottom w:val="single" w:color="auto" w:sz="12" w:space="0"/>
                    <w:right w:val="single" w:color="auto" w:sz="4" w:space="0"/>
                  </w:tcBorders>
                  <w:shd w:val="clear"/>
                  <w:vAlign w:val="center"/>
                </w:tcPr>
                <w:p w14:paraId="716EE07A">
                  <w:pPr>
                    <w:rPr>
                      <w:rFonts w:hint="default" w:ascii="Calibri" w:hAnsi="Calibri" w:cs="Calibri"/>
                      <w:sz w:val="20"/>
                      <w:szCs w:val="20"/>
                    </w:rPr>
                  </w:pPr>
                </w:p>
              </w:tc>
              <w:tc>
                <w:tcPr>
                  <w:tcW w:w="709" w:type="dxa"/>
                  <w:tcBorders>
                    <w:top w:val="single" w:color="auto" w:sz="4" w:space="0"/>
                    <w:left w:val="single" w:color="auto" w:sz="4" w:space="0"/>
                    <w:bottom w:val="single" w:color="auto" w:sz="4" w:space="0"/>
                    <w:right w:val="single" w:color="auto" w:sz="4" w:space="0"/>
                  </w:tcBorders>
                  <w:shd w:val="clear"/>
                  <w:vAlign w:val="center"/>
                </w:tcPr>
                <w:p w14:paraId="3B315D1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噪声</w:t>
                  </w:r>
                </w:p>
              </w:tc>
              <w:tc>
                <w:tcPr>
                  <w:tcW w:w="4111" w:type="dxa"/>
                  <w:tcBorders>
                    <w:top w:val="single" w:color="auto" w:sz="4" w:space="0"/>
                    <w:left w:val="single" w:color="auto" w:sz="4" w:space="0"/>
                    <w:bottom w:val="single" w:color="auto" w:sz="4" w:space="0"/>
                    <w:right w:val="single" w:color="auto" w:sz="4" w:space="0"/>
                  </w:tcBorders>
                  <w:shd w:val="clear"/>
                  <w:vAlign w:val="center"/>
                </w:tcPr>
                <w:p w14:paraId="343BE4EE">
                  <w:pPr>
                    <w:pStyle w:val="37"/>
                    <w:widowControl/>
                    <w:spacing w:line="300" w:lineRule="exact"/>
                    <w:jc w:val="left"/>
                    <w:rPr>
                      <w:color w:val="000000"/>
                      <w:bdr w:val="none" w:color="auto" w:sz="0" w:space="0"/>
                      <w:lang w:val="en-US"/>
                    </w:rPr>
                  </w:pPr>
                  <w:bookmarkStart w:id="16" w:name="OLE_LINK27"/>
                  <w:bookmarkStart w:id="17" w:name="OLE_LINK26"/>
                  <w:r>
                    <w:rPr>
                      <w:rFonts w:hint="eastAsia" w:ascii="Times New Roman" w:hAnsi="Times New Roman" w:eastAsia="宋体" w:cs="宋体"/>
                      <w:color w:val="000000"/>
                      <w:bdr w:val="none" w:color="auto" w:sz="0" w:space="0"/>
                    </w:rPr>
                    <w:t>设备基础隔振减震</w:t>
                  </w:r>
                  <w:bookmarkEnd w:id="16"/>
                  <w:bookmarkEnd w:id="17"/>
                  <w:r>
                    <w:rPr>
                      <w:rFonts w:hint="eastAsia" w:ascii="Times New Roman" w:hAnsi="Times New Roman" w:eastAsia="宋体" w:cs="宋体"/>
                      <w:color w:val="000000"/>
                      <w:bdr w:val="none" w:color="auto" w:sz="0" w:space="0"/>
                    </w:rPr>
                    <w:t>。</w:t>
                  </w:r>
                </w:p>
              </w:tc>
              <w:tc>
                <w:tcPr>
                  <w:tcW w:w="2126" w:type="dxa"/>
                  <w:tcBorders>
                    <w:top w:val="single" w:color="auto" w:sz="4" w:space="0"/>
                    <w:left w:val="single" w:color="auto" w:sz="4" w:space="0"/>
                    <w:bottom w:val="single" w:color="auto" w:sz="4" w:space="0"/>
                    <w:right w:val="single" w:color="auto" w:sz="4" w:space="0"/>
                  </w:tcBorders>
                  <w:shd w:val="clear"/>
                  <w:vAlign w:val="center"/>
                </w:tcPr>
                <w:p w14:paraId="2F078501">
                  <w:pPr>
                    <w:pStyle w:val="37"/>
                    <w:widowControl/>
                    <w:spacing w:line="300" w:lineRule="exact"/>
                    <w:jc w:val="left"/>
                    <w:rPr>
                      <w:color w:val="000000"/>
                      <w:bdr w:val="none" w:color="auto" w:sz="0" w:space="0"/>
                      <w:lang w:val="en-US"/>
                    </w:rPr>
                  </w:pPr>
                  <w:r>
                    <w:rPr>
                      <w:rFonts w:hint="eastAsia" w:ascii="Times New Roman" w:hAnsi="Times New Roman" w:eastAsia="宋体" w:cs="宋体"/>
                      <w:color w:val="000000"/>
                      <w:bdr w:val="none" w:color="auto" w:sz="0" w:space="0"/>
                    </w:rPr>
                    <w:t>新增设备基础隔振减震，厂房建筑隔声等。</w:t>
                  </w:r>
                </w:p>
              </w:tc>
              <w:tc>
                <w:tcPr>
                  <w:tcW w:w="839" w:type="dxa"/>
                  <w:tcBorders>
                    <w:top w:val="single" w:color="auto" w:sz="4" w:space="0"/>
                    <w:left w:val="single" w:color="auto" w:sz="4" w:space="0"/>
                    <w:bottom w:val="single" w:color="auto" w:sz="4" w:space="0"/>
                    <w:right w:val="nil"/>
                  </w:tcBorders>
                  <w:shd w:val="clear"/>
                  <w:vAlign w:val="center"/>
                </w:tcPr>
                <w:p w14:paraId="0B6A7C5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新建</w:t>
                  </w:r>
                </w:p>
              </w:tc>
            </w:tr>
            <w:tr w14:paraId="6117A0E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600" w:type="dxa"/>
                  <w:vMerge w:val="continue"/>
                  <w:tcBorders>
                    <w:top w:val="single" w:color="auto" w:sz="4" w:space="0"/>
                    <w:left w:val="nil"/>
                    <w:bottom w:val="single" w:color="auto" w:sz="12" w:space="0"/>
                    <w:right w:val="single" w:color="auto" w:sz="4" w:space="0"/>
                  </w:tcBorders>
                  <w:shd w:val="clear"/>
                  <w:vAlign w:val="center"/>
                </w:tcPr>
                <w:p w14:paraId="0F467B53">
                  <w:pPr>
                    <w:rPr>
                      <w:rFonts w:hint="default" w:ascii="Calibri" w:hAnsi="Calibri" w:cs="Calibri"/>
                      <w:sz w:val="20"/>
                      <w:szCs w:val="20"/>
                    </w:rPr>
                  </w:pPr>
                </w:p>
              </w:tc>
              <w:tc>
                <w:tcPr>
                  <w:tcW w:w="709" w:type="dxa"/>
                  <w:vMerge w:val="restart"/>
                  <w:tcBorders>
                    <w:top w:val="single" w:color="auto" w:sz="4" w:space="0"/>
                    <w:left w:val="single" w:color="auto" w:sz="4" w:space="0"/>
                    <w:bottom w:val="single" w:color="auto" w:sz="4" w:space="0"/>
                    <w:right w:val="single" w:color="auto" w:sz="4" w:space="0"/>
                  </w:tcBorders>
                  <w:shd w:val="clear"/>
                  <w:vAlign w:val="center"/>
                </w:tcPr>
                <w:p w14:paraId="306E1BB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固废</w:t>
                  </w:r>
                </w:p>
              </w:tc>
              <w:tc>
                <w:tcPr>
                  <w:tcW w:w="4111" w:type="dxa"/>
                  <w:tcBorders>
                    <w:top w:val="single" w:color="auto" w:sz="4" w:space="0"/>
                    <w:left w:val="single" w:color="auto" w:sz="4" w:space="0"/>
                    <w:bottom w:val="single" w:color="auto" w:sz="4" w:space="0"/>
                    <w:right w:val="single" w:color="auto" w:sz="4" w:space="0"/>
                  </w:tcBorders>
                  <w:shd w:val="clear"/>
                  <w:vAlign w:val="center"/>
                </w:tcPr>
                <w:p w14:paraId="3856176A">
                  <w:pPr>
                    <w:keepNext w:val="0"/>
                    <w:keepLines w:val="0"/>
                    <w:widowControl w:val="0"/>
                    <w:suppressLineNumbers w:val="0"/>
                    <w:adjustRightInd w:val="0"/>
                    <w:snapToGrid w:val="0"/>
                    <w:spacing w:before="0" w:beforeAutospacing="0" w:after="0" w:afterAutospacing="0" w:line="300" w:lineRule="exact"/>
                    <w:ind w:left="0" w:right="0"/>
                    <w:jc w:val="both"/>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bCs/>
                      <w:color w:val="000000"/>
                      <w:kern w:val="2"/>
                      <w:sz w:val="21"/>
                      <w:szCs w:val="21"/>
                      <w:bdr w:val="none" w:color="auto" w:sz="0" w:space="0"/>
                      <w:lang w:val="en-US" w:eastAsia="zh-CN" w:bidi="ar"/>
                    </w:rPr>
                    <w:t>一般固废暂存间设置于</w:t>
                  </w:r>
                  <w:r>
                    <w:rPr>
                      <w:rFonts w:hint="default" w:ascii="Times New Roman" w:hAnsi="Times New Roman" w:eastAsia="宋体" w:cs="Times New Roman"/>
                      <w:color w:val="000000"/>
                      <w:kern w:val="2"/>
                      <w:sz w:val="21"/>
                      <w:szCs w:val="21"/>
                      <w:bdr w:val="none" w:color="auto" w:sz="0" w:space="0"/>
                      <w:lang w:val="en-US" w:eastAsia="zh-CN" w:bidi="ar"/>
                    </w:rPr>
                    <w:t>1F</w:t>
                  </w:r>
                  <w:r>
                    <w:rPr>
                      <w:rFonts w:hint="eastAsia" w:ascii="Times New Roman" w:hAnsi="Times New Roman" w:eastAsia="宋体" w:cs="宋体"/>
                      <w:color w:val="000000"/>
                      <w:kern w:val="2"/>
                      <w:sz w:val="21"/>
                      <w:szCs w:val="21"/>
                      <w:bdr w:val="none" w:color="auto" w:sz="0" w:space="0"/>
                      <w:lang w:val="en-US" w:eastAsia="zh-CN" w:bidi="ar"/>
                    </w:rPr>
                    <w:t>西侧</w:t>
                  </w:r>
                  <w:r>
                    <w:rPr>
                      <w:rFonts w:hint="eastAsia" w:ascii="Times New Roman" w:hAnsi="Times New Roman" w:eastAsia="宋体" w:cs="宋体"/>
                      <w:bCs/>
                      <w:color w:val="000000"/>
                      <w:kern w:val="2"/>
                      <w:sz w:val="21"/>
                      <w:szCs w:val="21"/>
                      <w:bdr w:val="none" w:color="auto" w:sz="0" w:space="0"/>
                      <w:lang w:val="en-US" w:eastAsia="zh-CN" w:bidi="ar"/>
                    </w:rPr>
                    <w:t>，占地面积约为</w:t>
                  </w:r>
                  <w:r>
                    <w:rPr>
                      <w:rFonts w:hint="default" w:ascii="Times New Roman" w:hAnsi="Times New Roman" w:eastAsia="宋体" w:cs="Times New Roman"/>
                      <w:bCs/>
                      <w:color w:val="000000"/>
                      <w:kern w:val="2"/>
                      <w:sz w:val="21"/>
                      <w:szCs w:val="21"/>
                      <w:bdr w:val="none" w:color="auto" w:sz="0" w:space="0"/>
                      <w:lang w:val="en-US" w:eastAsia="zh-CN" w:bidi="ar"/>
                    </w:rPr>
                    <w:t>20m</w:t>
                  </w:r>
                  <w:r>
                    <w:rPr>
                      <w:rFonts w:hint="default" w:ascii="Times New Roman" w:hAnsi="Times New Roman" w:eastAsia="宋体" w:cs="Times New Roman"/>
                      <w:bCs/>
                      <w:color w:val="000000"/>
                      <w:kern w:val="2"/>
                      <w:sz w:val="21"/>
                      <w:szCs w:val="21"/>
                      <w:bdr w:val="none" w:color="auto" w:sz="0" w:space="0"/>
                      <w:vertAlign w:val="superscript"/>
                      <w:lang w:val="en-US" w:eastAsia="zh-CN" w:bidi="ar"/>
                    </w:rPr>
                    <w:t>2</w:t>
                  </w:r>
                  <w:r>
                    <w:rPr>
                      <w:rFonts w:hint="eastAsia" w:ascii="Times New Roman" w:hAnsi="Times New Roman" w:eastAsia="宋体" w:cs="宋体"/>
                      <w:bCs/>
                      <w:color w:val="000000"/>
                      <w:kern w:val="2"/>
                      <w:sz w:val="21"/>
                      <w:szCs w:val="21"/>
                      <w:bdr w:val="none" w:color="auto" w:sz="0" w:space="0"/>
                      <w:lang w:val="en-US" w:eastAsia="zh-CN" w:bidi="ar"/>
                    </w:rPr>
                    <w:t>。</w:t>
                  </w:r>
                </w:p>
              </w:tc>
              <w:tc>
                <w:tcPr>
                  <w:tcW w:w="2126" w:type="dxa"/>
                  <w:tcBorders>
                    <w:top w:val="single" w:color="auto" w:sz="4" w:space="0"/>
                    <w:left w:val="single" w:color="auto" w:sz="4" w:space="0"/>
                    <w:bottom w:val="single" w:color="auto" w:sz="4" w:space="0"/>
                    <w:right w:val="single" w:color="auto" w:sz="4" w:space="0"/>
                  </w:tcBorders>
                  <w:shd w:val="clear"/>
                  <w:vAlign w:val="center"/>
                </w:tcPr>
                <w:p w14:paraId="345B002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bookmarkStart w:id="18" w:name="OLE_LINK35"/>
                  <w:bookmarkStart w:id="19" w:name="OLE_LINK34"/>
                  <w:r>
                    <w:rPr>
                      <w:rFonts w:hint="eastAsia" w:ascii="Times New Roman" w:hAnsi="Times New Roman" w:eastAsia="宋体" w:cs="宋体"/>
                      <w:color w:val="000000"/>
                      <w:kern w:val="2"/>
                      <w:sz w:val="21"/>
                      <w:szCs w:val="21"/>
                      <w:bdr w:val="none" w:color="auto" w:sz="0" w:space="0"/>
                      <w:lang w:val="en-US" w:eastAsia="zh-CN" w:bidi="ar"/>
                    </w:rPr>
                    <w:t>保持不变，依托使用</w:t>
                  </w:r>
                  <w:bookmarkEnd w:id="18"/>
                  <w:bookmarkEnd w:id="19"/>
                </w:p>
              </w:tc>
              <w:tc>
                <w:tcPr>
                  <w:tcW w:w="839" w:type="dxa"/>
                  <w:tcBorders>
                    <w:top w:val="single" w:color="auto" w:sz="4" w:space="0"/>
                    <w:left w:val="single" w:color="auto" w:sz="4" w:space="0"/>
                    <w:bottom w:val="single" w:color="auto" w:sz="4" w:space="0"/>
                    <w:right w:val="nil"/>
                  </w:tcBorders>
                  <w:shd w:val="clear"/>
                  <w:vAlign w:val="center"/>
                </w:tcPr>
                <w:p w14:paraId="4614ACE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依托</w:t>
                  </w:r>
                </w:p>
              </w:tc>
            </w:tr>
            <w:tr w14:paraId="7AADDEF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00" w:type="dxa"/>
                  <w:vMerge w:val="continue"/>
                  <w:tcBorders>
                    <w:top w:val="single" w:color="auto" w:sz="4" w:space="0"/>
                    <w:left w:val="nil"/>
                    <w:bottom w:val="single" w:color="auto" w:sz="12" w:space="0"/>
                    <w:right w:val="single" w:color="auto" w:sz="4" w:space="0"/>
                  </w:tcBorders>
                  <w:shd w:val="clear"/>
                  <w:vAlign w:val="center"/>
                </w:tcPr>
                <w:p w14:paraId="5BF1D3A1">
                  <w:pPr>
                    <w:rPr>
                      <w:rFonts w:hint="default" w:ascii="Calibri" w:hAnsi="Calibri" w:cs="Calibri"/>
                      <w:sz w:val="20"/>
                      <w:szCs w:val="20"/>
                    </w:rPr>
                  </w:pPr>
                </w:p>
              </w:tc>
              <w:tc>
                <w:tcPr>
                  <w:tcW w:w="709" w:type="dxa"/>
                  <w:vMerge w:val="continue"/>
                  <w:tcBorders>
                    <w:top w:val="single" w:color="auto" w:sz="4" w:space="0"/>
                    <w:left w:val="single" w:color="auto" w:sz="4" w:space="0"/>
                    <w:bottom w:val="single" w:color="auto" w:sz="4" w:space="0"/>
                    <w:right w:val="single" w:color="auto" w:sz="4" w:space="0"/>
                  </w:tcBorders>
                  <w:shd w:val="clear"/>
                  <w:vAlign w:val="center"/>
                </w:tcPr>
                <w:p w14:paraId="212755EF">
                  <w:pPr>
                    <w:rPr>
                      <w:rFonts w:hint="default" w:ascii="Calibri" w:hAnsi="Calibri" w:cs="Calibri"/>
                      <w:sz w:val="20"/>
                      <w:szCs w:val="20"/>
                    </w:rPr>
                  </w:pPr>
                </w:p>
              </w:tc>
              <w:tc>
                <w:tcPr>
                  <w:tcW w:w="4111" w:type="dxa"/>
                  <w:tcBorders>
                    <w:top w:val="single" w:color="auto" w:sz="4" w:space="0"/>
                    <w:left w:val="single" w:color="auto" w:sz="4" w:space="0"/>
                    <w:bottom w:val="single" w:color="auto" w:sz="4" w:space="0"/>
                    <w:right w:val="single" w:color="auto" w:sz="4" w:space="0"/>
                  </w:tcBorders>
                  <w:shd w:val="clear"/>
                  <w:vAlign w:val="center"/>
                </w:tcPr>
                <w:p w14:paraId="086DF7F9">
                  <w:pPr>
                    <w:keepNext w:val="0"/>
                    <w:keepLines w:val="0"/>
                    <w:widowControl w:val="0"/>
                    <w:suppressLineNumbers w:val="0"/>
                    <w:adjustRightInd w:val="0"/>
                    <w:snapToGrid w:val="0"/>
                    <w:spacing w:before="0" w:beforeAutospacing="0" w:after="0" w:afterAutospacing="0" w:line="300" w:lineRule="exact"/>
                    <w:ind w:left="0" w:right="0"/>
                    <w:jc w:val="both"/>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危险废物暂存间位于一楼厂房西南侧，占地面积约为</w:t>
                  </w:r>
                  <w:r>
                    <w:rPr>
                      <w:rFonts w:hint="default" w:ascii="Times New Roman" w:hAnsi="Times New Roman" w:eastAsia="宋体" w:cs="Times New Roman"/>
                      <w:color w:val="000000"/>
                      <w:kern w:val="2"/>
                      <w:sz w:val="21"/>
                      <w:szCs w:val="21"/>
                      <w:bdr w:val="none" w:color="auto" w:sz="0" w:space="0"/>
                      <w:lang w:val="en-US" w:eastAsia="zh-CN" w:bidi="ar"/>
                    </w:rPr>
                    <w:t>12m</w:t>
                  </w:r>
                  <w:r>
                    <w:rPr>
                      <w:rFonts w:hint="default" w:ascii="Times New Roman" w:hAnsi="Times New Roman" w:eastAsia="宋体" w:cs="Times New Roman"/>
                      <w:color w:val="000000"/>
                      <w:kern w:val="2"/>
                      <w:sz w:val="21"/>
                      <w:szCs w:val="21"/>
                      <w:bdr w:val="none" w:color="auto" w:sz="0" w:space="0"/>
                      <w:vertAlign w:val="superscript"/>
                      <w:lang w:val="en-US" w:eastAsia="zh-CN" w:bidi="ar"/>
                    </w:rPr>
                    <w:t>2</w:t>
                  </w:r>
                  <w:r>
                    <w:rPr>
                      <w:rFonts w:hint="eastAsia" w:ascii="Times New Roman" w:hAnsi="Times New Roman" w:eastAsia="宋体" w:cs="宋体"/>
                      <w:color w:val="000000"/>
                      <w:kern w:val="2"/>
                      <w:sz w:val="21"/>
                      <w:szCs w:val="21"/>
                      <w:bdr w:val="none" w:color="auto" w:sz="0" w:space="0"/>
                      <w:lang w:val="en-US" w:eastAsia="zh-CN" w:bidi="ar"/>
                    </w:rPr>
                    <w:t>，并采取防风、防雨、防漏等措施。</w:t>
                  </w:r>
                </w:p>
              </w:tc>
              <w:tc>
                <w:tcPr>
                  <w:tcW w:w="2126" w:type="dxa"/>
                  <w:tcBorders>
                    <w:top w:val="single" w:color="auto" w:sz="4" w:space="0"/>
                    <w:left w:val="single" w:color="auto" w:sz="4" w:space="0"/>
                    <w:bottom w:val="single" w:color="auto" w:sz="4" w:space="0"/>
                    <w:right w:val="single" w:color="auto" w:sz="4" w:space="0"/>
                  </w:tcBorders>
                  <w:shd w:val="clear"/>
                  <w:vAlign w:val="center"/>
                </w:tcPr>
                <w:p w14:paraId="1D78894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保持不变，依托使用</w:t>
                  </w:r>
                </w:p>
              </w:tc>
              <w:tc>
                <w:tcPr>
                  <w:tcW w:w="839" w:type="dxa"/>
                  <w:tcBorders>
                    <w:top w:val="single" w:color="auto" w:sz="4" w:space="0"/>
                    <w:left w:val="single" w:color="auto" w:sz="4" w:space="0"/>
                    <w:bottom w:val="single" w:color="auto" w:sz="4" w:space="0"/>
                    <w:right w:val="nil"/>
                  </w:tcBorders>
                  <w:shd w:val="clear"/>
                  <w:vAlign w:val="center"/>
                </w:tcPr>
                <w:p w14:paraId="074A18F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依托</w:t>
                  </w:r>
                </w:p>
              </w:tc>
            </w:tr>
            <w:tr w14:paraId="0BF00E3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Merge w:val="continue"/>
                  <w:tcBorders>
                    <w:top w:val="single" w:color="auto" w:sz="4" w:space="0"/>
                    <w:left w:val="nil"/>
                    <w:bottom w:val="single" w:color="auto" w:sz="12" w:space="0"/>
                    <w:right w:val="single" w:color="auto" w:sz="4" w:space="0"/>
                  </w:tcBorders>
                  <w:shd w:val="clear"/>
                  <w:vAlign w:val="center"/>
                </w:tcPr>
                <w:p w14:paraId="4A87B708">
                  <w:pPr>
                    <w:rPr>
                      <w:rFonts w:hint="default" w:ascii="Calibri" w:hAnsi="Calibri" w:cs="Calibri"/>
                      <w:sz w:val="20"/>
                      <w:szCs w:val="20"/>
                    </w:rPr>
                  </w:pPr>
                </w:p>
              </w:tc>
              <w:tc>
                <w:tcPr>
                  <w:tcW w:w="709" w:type="dxa"/>
                  <w:tcBorders>
                    <w:top w:val="single" w:color="auto" w:sz="4" w:space="0"/>
                    <w:left w:val="single" w:color="auto" w:sz="4" w:space="0"/>
                    <w:bottom w:val="single" w:color="auto" w:sz="12" w:space="0"/>
                    <w:right w:val="single" w:color="auto" w:sz="4" w:space="0"/>
                  </w:tcBorders>
                  <w:shd w:val="clear"/>
                  <w:vAlign w:val="center"/>
                </w:tcPr>
                <w:p w14:paraId="5D711D1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bookmarkStart w:id="20" w:name="_Hlk187328443"/>
                  <w:r>
                    <w:rPr>
                      <w:rFonts w:hint="eastAsia" w:ascii="Times New Roman" w:hAnsi="Times New Roman" w:eastAsia="宋体" w:cs="宋体"/>
                      <w:color w:val="000000"/>
                      <w:kern w:val="2"/>
                      <w:sz w:val="21"/>
                      <w:szCs w:val="21"/>
                      <w:bdr w:val="none" w:color="auto" w:sz="0" w:space="0"/>
                      <w:lang w:val="en-US" w:eastAsia="zh-CN" w:bidi="ar"/>
                    </w:rPr>
                    <w:t>环境风险</w:t>
                  </w:r>
                </w:p>
              </w:tc>
              <w:tc>
                <w:tcPr>
                  <w:tcW w:w="4111" w:type="dxa"/>
                  <w:tcBorders>
                    <w:top w:val="single" w:color="auto" w:sz="4" w:space="0"/>
                    <w:left w:val="single" w:color="auto" w:sz="4" w:space="0"/>
                    <w:bottom w:val="single" w:color="auto" w:sz="12" w:space="0"/>
                    <w:right w:val="single" w:color="auto" w:sz="4" w:space="0"/>
                  </w:tcBorders>
                  <w:shd w:val="clear"/>
                  <w:vAlign w:val="center"/>
                </w:tcPr>
                <w:p w14:paraId="6E7AA672">
                  <w:pPr>
                    <w:keepNext w:val="0"/>
                    <w:keepLines w:val="0"/>
                    <w:widowControl w:val="0"/>
                    <w:suppressLineNumbers w:val="0"/>
                    <w:autoSpaceDE w:val="0"/>
                    <w:autoSpaceDN w:val="0"/>
                    <w:spacing w:before="0" w:beforeAutospacing="0" w:after="0" w:afterAutospacing="0" w:line="300" w:lineRule="exact"/>
                    <w:ind w:left="0" w:right="0"/>
                    <w:jc w:val="both"/>
                    <w:rPr>
                      <w:rFonts w:hint="default" w:ascii="Times New Roman" w:hAnsi="Times New Roman" w:cs="Times New Roman"/>
                      <w:color w:val="000000"/>
                      <w:szCs w:val="21"/>
                      <w:bdr w:val="none" w:color="auto" w:sz="0" w:space="0"/>
                      <w:lang w:val="en-US"/>
                    </w:rPr>
                  </w:pPr>
                  <w:bookmarkStart w:id="21" w:name="OLE_LINK31"/>
                  <w:bookmarkStart w:id="22" w:name="OLE_LINK30"/>
                  <w:r>
                    <w:rPr>
                      <w:rFonts w:hint="default" w:ascii="Times New Roman" w:hAnsi="Times New Roman" w:eastAsia="宋体" w:cs="Times New Roman"/>
                      <w:color w:val="000000"/>
                      <w:kern w:val="2"/>
                      <w:sz w:val="21"/>
                      <w:szCs w:val="21"/>
                      <w:bdr w:val="none" w:color="auto" w:sz="0" w:space="0"/>
                      <w:lang w:val="en-US" w:eastAsia="zh-CN" w:bidi="ar"/>
                    </w:rPr>
                    <w:t>1</w:t>
                  </w:r>
                  <w:r>
                    <w:rPr>
                      <w:rFonts w:hint="eastAsia" w:ascii="Times New Roman" w:hAnsi="Times New Roman" w:eastAsia="宋体" w:cs="宋体"/>
                      <w:color w:val="000000"/>
                      <w:kern w:val="2"/>
                      <w:sz w:val="21"/>
                      <w:szCs w:val="21"/>
                      <w:bdr w:val="none" w:color="auto" w:sz="0" w:space="0"/>
                      <w:lang w:val="en-US" w:eastAsia="zh-CN" w:bidi="ar"/>
                    </w:rPr>
                    <w:t>、辅料室：辅料室中存放有背胶处理剂，底部设置防渗托盘，便于对泄露液体物料的收集和转移。同时辅料室内储备足量消防沙、收集桶等应急物资，当出现背胶处理剂泄漏事故时及时用消防沙处理。</w:t>
                  </w:r>
                </w:p>
                <w:p w14:paraId="148D1C3B">
                  <w:pPr>
                    <w:keepNext w:val="0"/>
                    <w:keepLines w:val="0"/>
                    <w:widowControl w:val="0"/>
                    <w:suppressLineNumbers w:val="0"/>
                    <w:autoSpaceDE w:val="0"/>
                    <w:autoSpaceDN w:val="0"/>
                    <w:spacing w:before="0" w:beforeAutospacing="0" w:after="0" w:afterAutospacing="0" w:line="300" w:lineRule="exact"/>
                    <w:ind w:left="0" w:right="0"/>
                    <w:jc w:val="both"/>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2</w:t>
                  </w:r>
                  <w:r>
                    <w:rPr>
                      <w:rFonts w:hint="eastAsia" w:ascii="Times New Roman" w:hAnsi="Times New Roman" w:eastAsia="宋体" w:cs="宋体"/>
                      <w:color w:val="000000"/>
                      <w:kern w:val="2"/>
                      <w:sz w:val="21"/>
                      <w:szCs w:val="21"/>
                      <w:bdr w:val="none" w:color="auto" w:sz="0" w:space="0"/>
                      <w:lang w:val="en-US" w:eastAsia="zh-CN" w:bidi="ar"/>
                    </w:rPr>
                    <w:t>、危废贮存库：危废贮存库地面防渗，容器底部设置防渗托盘；危险废物分类收集，避免不相容的危险品混放，防止泄漏、流失。</w:t>
                  </w:r>
                  <w:r>
                    <w:rPr>
                      <w:rFonts w:hint="default" w:ascii="Times New Roman" w:hAnsi="Times New Roman" w:eastAsia="宋体" w:cs="Times New Roman"/>
                      <w:color w:val="000000"/>
                      <w:kern w:val="2"/>
                      <w:sz w:val="21"/>
                      <w:szCs w:val="21"/>
                      <w:bdr w:val="none" w:color="auto" w:sz="0" w:space="0"/>
                      <w:lang w:val="en-US" w:eastAsia="zh-CN" w:bidi="ar"/>
                    </w:rPr>
                    <w:t xml:space="preserve"> </w:t>
                  </w:r>
                </w:p>
                <w:p w14:paraId="5C67FFD3">
                  <w:pPr>
                    <w:keepNext w:val="0"/>
                    <w:keepLines w:val="0"/>
                    <w:widowControl w:val="0"/>
                    <w:suppressLineNumbers w:val="0"/>
                    <w:autoSpaceDE w:val="0"/>
                    <w:autoSpaceDN w:val="0"/>
                    <w:spacing w:before="0" w:beforeAutospacing="0" w:after="0" w:afterAutospacing="0" w:line="300" w:lineRule="exact"/>
                    <w:ind w:left="0" w:right="0"/>
                    <w:jc w:val="both"/>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3</w:t>
                  </w:r>
                  <w:r>
                    <w:rPr>
                      <w:rFonts w:hint="eastAsia" w:ascii="Times New Roman" w:hAnsi="Times New Roman" w:eastAsia="宋体" w:cs="宋体"/>
                      <w:color w:val="000000"/>
                      <w:kern w:val="2"/>
                      <w:sz w:val="21"/>
                      <w:szCs w:val="21"/>
                      <w:bdr w:val="none" w:color="auto" w:sz="0" w:space="0"/>
                      <w:lang w:val="en-US" w:eastAsia="zh-CN" w:bidi="ar"/>
                    </w:rPr>
                    <w:t>、</w:t>
                  </w:r>
                  <w:r>
                    <w:rPr>
                      <w:rFonts w:hint="default" w:ascii="Times New Roman" w:hAnsi="Times New Roman" w:eastAsia="宋体" w:cs="Times New Roman"/>
                      <w:color w:val="000000"/>
                      <w:kern w:val="2"/>
                      <w:sz w:val="21"/>
                      <w:szCs w:val="21"/>
                      <w:bdr w:val="none" w:color="auto" w:sz="0" w:space="0"/>
                      <w:lang w:val="en-US" w:eastAsia="zh-CN" w:bidi="ar"/>
                    </w:rPr>
                    <w:t>UV</w:t>
                  </w:r>
                  <w:r>
                    <w:rPr>
                      <w:rFonts w:hint="eastAsia" w:ascii="Times New Roman" w:hAnsi="Times New Roman" w:eastAsia="宋体" w:cs="宋体"/>
                      <w:color w:val="000000"/>
                      <w:kern w:val="2"/>
                      <w:sz w:val="21"/>
                      <w:szCs w:val="21"/>
                      <w:bdr w:val="none" w:color="auto" w:sz="0" w:space="0"/>
                      <w:lang w:val="en-US" w:eastAsia="zh-CN" w:bidi="ar"/>
                    </w:rPr>
                    <w:t>光解装置管理措施为：每天关机冷却后，应对</w:t>
                  </w:r>
                  <w:r>
                    <w:rPr>
                      <w:rFonts w:hint="default" w:ascii="Times New Roman" w:hAnsi="Times New Roman" w:eastAsia="宋体" w:cs="Times New Roman"/>
                      <w:color w:val="000000"/>
                      <w:kern w:val="2"/>
                      <w:sz w:val="21"/>
                      <w:szCs w:val="21"/>
                      <w:bdr w:val="none" w:color="auto" w:sz="0" w:space="0"/>
                      <w:lang w:val="en-US" w:eastAsia="zh-CN" w:bidi="ar"/>
                    </w:rPr>
                    <w:t>UV</w:t>
                  </w:r>
                  <w:r>
                    <w:rPr>
                      <w:rFonts w:hint="eastAsia" w:ascii="Times New Roman" w:hAnsi="Times New Roman" w:eastAsia="宋体" w:cs="宋体"/>
                      <w:color w:val="000000"/>
                      <w:kern w:val="2"/>
                      <w:sz w:val="21"/>
                      <w:szCs w:val="21"/>
                      <w:bdr w:val="none" w:color="auto" w:sz="0" w:space="0"/>
                      <w:lang w:val="en-US" w:eastAsia="zh-CN" w:bidi="ar"/>
                    </w:rPr>
                    <w:t>灯管表面进行吹扫和擦拭，防止积灰导致受热不均而发生爆炸和火灾。</w:t>
                  </w:r>
                  <w:bookmarkEnd w:id="21"/>
                  <w:bookmarkEnd w:id="22"/>
                </w:p>
              </w:tc>
              <w:tc>
                <w:tcPr>
                  <w:tcW w:w="2126" w:type="dxa"/>
                  <w:tcBorders>
                    <w:top w:val="single" w:color="auto" w:sz="4" w:space="0"/>
                    <w:left w:val="single" w:color="auto" w:sz="4" w:space="0"/>
                    <w:bottom w:val="single" w:color="auto" w:sz="12" w:space="0"/>
                    <w:right w:val="single" w:color="auto" w:sz="4" w:space="0"/>
                  </w:tcBorders>
                  <w:shd w:val="clear"/>
                  <w:vAlign w:val="center"/>
                </w:tcPr>
                <w:p w14:paraId="58C16A9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保持不变，依托使用。</w:t>
                  </w:r>
                </w:p>
              </w:tc>
              <w:tc>
                <w:tcPr>
                  <w:tcW w:w="839" w:type="dxa"/>
                  <w:tcBorders>
                    <w:top w:val="single" w:color="auto" w:sz="4" w:space="0"/>
                    <w:left w:val="single" w:color="auto" w:sz="4" w:space="0"/>
                    <w:bottom w:val="single" w:color="auto" w:sz="12" w:space="0"/>
                    <w:right w:val="nil"/>
                  </w:tcBorders>
                  <w:shd w:val="clear"/>
                  <w:vAlign w:val="center"/>
                </w:tcPr>
                <w:p w14:paraId="5D8154B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依托</w:t>
                  </w:r>
                </w:p>
              </w:tc>
            </w:tr>
            <w:bookmarkEnd w:id="20"/>
          </w:tbl>
          <w:p w14:paraId="0AEBE659">
            <w:pPr>
              <w:keepNext w:val="0"/>
              <w:keepLines w:val="0"/>
              <w:widowControl/>
              <w:suppressLineNumbers w:val="0"/>
              <w:spacing w:before="0" w:beforeAutospacing="0" w:after="0" w:afterAutospacing="0" w:line="440" w:lineRule="exact"/>
              <w:ind w:left="0" w:right="0" w:firstLine="480"/>
              <w:jc w:val="both"/>
              <w:rPr>
                <w:rFonts w:hint="default" w:ascii="Times New Roman" w:hAnsi="Times New Roman" w:cs="Times New Roman"/>
                <w:bCs/>
                <w:color w:val="000000"/>
                <w:sz w:val="24"/>
                <w:szCs w:val="24"/>
                <w:bdr w:val="none" w:color="auto" w:sz="0" w:space="0"/>
                <w:lang w:val="en-US"/>
              </w:rPr>
            </w:pPr>
            <w:r>
              <w:rPr>
                <w:rFonts w:hint="eastAsia" w:ascii="Times New Roman" w:hAnsi="Times New Roman" w:eastAsia="宋体" w:cs="宋体"/>
                <w:bCs/>
                <w:color w:val="000000"/>
                <w:kern w:val="2"/>
                <w:sz w:val="24"/>
                <w:szCs w:val="24"/>
                <w:bdr w:val="none" w:color="auto" w:sz="0" w:space="0"/>
                <w:lang w:val="en-US" w:eastAsia="zh-CN" w:bidi="ar"/>
              </w:rPr>
              <w:t>扩建项目主要依托情况见表</w:t>
            </w:r>
            <w:r>
              <w:rPr>
                <w:rFonts w:hint="default" w:ascii="Times New Roman" w:hAnsi="Times New Roman" w:eastAsia="宋体" w:cs="Times New Roman"/>
                <w:bCs/>
                <w:color w:val="000000"/>
                <w:kern w:val="2"/>
                <w:sz w:val="24"/>
                <w:szCs w:val="24"/>
                <w:bdr w:val="none" w:color="auto" w:sz="0" w:space="0"/>
                <w:lang w:val="en-US" w:eastAsia="zh-CN" w:bidi="ar"/>
              </w:rPr>
              <w:t>2.4-2</w:t>
            </w:r>
            <w:r>
              <w:rPr>
                <w:rFonts w:hint="eastAsia" w:ascii="Times New Roman" w:hAnsi="Times New Roman" w:eastAsia="宋体" w:cs="宋体"/>
                <w:bCs/>
                <w:color w:val="000000"/>
                <w:kern w:val="2"/>
                <w:sz w:val="24"/>
                <w:szCs w:val="24"/>
                <w:bdr w:val="none" w:color="auto" w:sz="0" w:space="0"/>
                <w:lang w:val="en-US" w:eastAsia="zh-CN" w:bidi="ar"/>
              </w:rPr>
              <w:t>。</w:t>
            </w:r>
          </w:p>
          <w:p w14:paraId="0C8815AD">
            <w:pPr>
              <w:keepNext w:val="0"/>
              <w:keepLines w:val="0"/>
              <w:widowControl/>
              <w:suppressLineNumbers w:val="0"/>
              <w:spacing w:before="0" w:beforeAutospacing="0" w:after="0" w:afterAutospacing="0" w:line="440" w:lineRule="exact"/>
              <w:ind w:left="0" w:right="0" w:firstLine="480"/>
              <w:jc w:val="center"/>
              <w:rPr>
                <w:rFonts w:hint="default" w:ascii="Times New Roman" w:hAnsi="Times New Roman" w:cs="Times New Roman"/>
                <w:bCs/>
                <w:color w:val="000000"/>
                <w:sz w:val="24"/>
                <w:szCs w:val="24"/>
                <w:bdr w:val="none" w:color="auto" w:sz="0" w:space="0"/>
                <w:lang w:val="en-US"/>
              </w:rPr>
            </w:pPr>
            <w:r>
              <w:rPr>
                <w:rFonts w:hint="eastAsia" w:ascii="Times New Roman" w:hAnsi="Times New Roman" w:eastAsia="宋体" w:cs="宋体"/>
                <w:bCs/>
                <w:color w:val="000000"/>
                <w:kern w:val="2"/>
                <w:sz w:val="24"/>
                <w:szCs w:val="24"/>
                <w:bdr w:val="none" w:color="auto" w:sz="0" w:space="0"/>
                <w:lang w:val="en-US" w:eastAsia="zh-CN" w:bidi="ar"/>
              </w:rPr>
              <w:t>表</w:t>
            </w:r>
            <w:r>
              <w:rPr>
                <w:rFonts w:hint="default" w:ascii="Times New Roman" w:hAnsi="Times New Roman" w:eastAsia="宋体" w:cs="Times New Roman"/>
                <w:bCs/>
                <w:color w:val="000000"/>
                <w:kern w:val="2"/>
                <w:sz w:val="24"/>
                <w:szCs w:val="24"/>
                <w:bdr w:val="none" w:color="auto" w:sz="0" w:space="0"/>
                <w:lang w:val="en-US" w:eastAsia="zh-CN" w:bidi="ar"/>
              </w:rPr>
              <w:t xml:space="preserve">2.4-2 </w:t>
            </w:r>
            <w:r>
              <w:rPr>
                <w:rFonts w:hint="eastAsia" w:ascii="Times New Roman" w:hAnsi="Times New Roman" w:eastAsia="宋体" w:cs="宋体"/>
                <w:bCs/>
                <w:color w:val="000000"/>
                <w:kern w:val="2"/>
                <w:sz w:val="24"/>
                <w:szCs w:val="24"/>
                <w:bdr w:val="none" w:color="auto" w:sz="0" w:space="0"/>
                <w:lang w:val="en-US" w:eastAsia="zh-CN" w:bidi="ar"/>
              </w:rPr>
              <w:t>主要依托情况</w:t>
            </w:r>
          </w:p>
          <w:tbl>
            <w:tblPr>
              <w:tblStyle w:val="18"/>
              <w:tblW w:w="8385" w:type="dxa"/>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Layout w:type="fixed"/>
              <w:tblCellMar>
                <w:top w:w="0" w:type="dxa"/>
                <w:left w:w="108" w:type="dxa"/>
                <w:bottom w:w="0" w:type="dxa"/>
                <w:right w:w="108" w:type="dxa"/>
              </w:tblCellMar>
            </w:tblPr>
            <w:tblGrid>
              <w:gridCol w:w="1309"/>
              <w:gridCol w:w="5671"/>
              <w:gridCol w:w="1403"/>
            </w:tblGrid>
            <w:tr w14:paraId="4110517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CellMar>
                  <w:top w:w="0" w:type="dxa"/>
                  <w:left w:w="108" w:type="dxa"/>
                  <w:bottom w:w="0" w:type="dxa"/>
                  <w:right w:w="108" w:type="dxa"/>
                </w:tblCellMar>
              </w:tblPrEx>
              <w:trPr>
                <w:trHeight w:val="20" w:hRule="atLeast"/>
                <w:jc w:val="center"/>
              </w:trPr>
              <w:tc>
                <w:tcPr>
                  <w:tcW w:w="781" w:type="pct"/>
                  <w:tcBorders>
                    <w:top w:val="single" w:color="auto" w:sz="12" w:space="0"/>
                    <w:left w:val="nil"/>
                    <w:bottom w:val="single" w:color="auto" w:sz="4" w:space="0"/>
                    <w:right w:val="single" w:color="auto" w:sz="4" w:space="0"/>
                  </w:tcBorders>
                  <w:shd w:val="clear"/>
                  <w:vAlign w:val="center"/>
                </w:tcPr>
                <w:p w14:paraId="53AAF1B0">
                  <w:pPr>
                    <w:keepNext w:val="0"/>
                    <w:keepLines w:val="0"/>
                    <w:widowControl/>
                    <w:suppressLineNumbers w:val="0"/>
                    <w:tabs>
                      <w:tab w:val="left" w:pos="750"/>
                    </w:tabs>
                    <w:spacing w:before="0" w:beforeAutospacing="0" w:after="0" w:afterAutospacing="0"/>
                    <w:ind w:left="0" w:right="0"/>
                    <w:jc w:val="center"/>
                    <w:rPr>
                      <w:color w:val="000000"/>
                      <w:kern w:val="0"/>
                      <w:szCs w:val="21"/>
                      <w:bdr w:val="none" w:color="auto" w:sz="0" w:space="0"/>
                      <w:lang w:val="en-US"/>
                    </w:rPr>
                  </w:pPr>
                  <w:r>
                    <w:rPr>
                      <w:rFonts w:hint="eastAsia" w:ascii="Calibri" w:hAnsi="宋体" w:eastAsia="宋体" w:cs="宋体"/>
                      <w:color w:val="000000"/>
                      <w:kern w:val="0"/>
                      <w:sz w:val="21"/>
                      <w:szCs w:val="21"/>
                      <w:bdr w:val="none" w:color="auto" w:sz="0" w:space="0"/>
                      <w:lang w:val="en-US" w:eastAsia="zh-CN" w:bidi="ar"/>
                    </w:rPr>
                    <w:t>依托项目</w:t>
                  </w:r>
                </w:p>
              </w:tc>
              <w:tc>
                <w:tcPr>
                  <w:tcW w:w="3382" w:type="pct"/>
                  <w:tcBorders>
                    <w:top w:val="single" w:color="auto" w:sz="12" w:space="0"/>
                    <w:left w:val="single" w:color="auto" w:sz="4" w:space="0"/>
                    <w:bottom w:val="single" w:color="auto" w:sz="4" w:space="0"/>
                    <w:right w:val="single" w:color="auto" w:sz="4" w:space="0"/>
                  </w:tcBorders>
                  <w:shd w:val="clear"/>
                  <w:vAlign w:val="center"/>
                </w:tcPr>
                <w:p w14:paraId="34184F95">
                  <w:pPr>
                    <w:keepNext w:val="0"/>
                    <w:keepLines w:val="0"/>
                    <w:widowControl/>
                    <w:suppressLineNumbers w:val="0"/>
                    <w:tabs>
                      <w:tab w:val="left" w:pos="750"/>
                    </w:tabs>
                    <w:spacing w:before="0" w:beforeAutospacing="0" w:after="0" w:afterAutospacing="0"/>
                    <w:ind w:left="0" w:right="0"/>
                    <w:jc w:val="center"/>
                    <w:rPr>
                      <w:color w:val="000000"/>
                      <w:kern w:val="0"/>
                      <w:szCs w:val="21"/>
                      <w:bdr w:val="none" w:color="auto" w:sz="0" w:space="0"/>
                      <w:lang w:val="en-US"/>
                    </w:rPr>
                  </w:pPr>
                  <w:r>
                    <w:rPr>
                      <w:rFonts w:hint="eastAsia" w:ascii="Calibri" w:hAnsi="宋体" w:eastAsia="宋体" w:cs="宋体"/>
                      <w:color w:val="000000"/>
                      <w:kern w:val="0"/>
                      <w:sz w:val="21"/>
                      <w:szCs w:val="21"/>
                      <w:bdr w:val="none" w:color="auto" w:sz="0" w:space="0"/>
                      <w:lang w:val="en-US" w:eastAsia="zh-CN" w:bidi="ar"/>
                    </w:rPr>
                    <w:t>依托关系</w:t>
                  </w:r>
                </w:p>
              </w:tc>
              <w:tc>
                <w:tcPr>
                  <w:tcW w:w="837" w:type="pct"/>
                  <w:tcBorders>
                    <w:top w:val="single" w:color="auto" w:sz="12" w:space="0"/>
                    <w:left w:val="single" w:color="auto" w:sz="4" w:space="0"/>
                    <w:bottom w:val="single" w:color="auto" w:sz="4" w:space="0"/>
                    <w:right w:val="nil"/>
                  </w:tcBorders>
                  <w:shd w:val="clear"/>
                  <w:vAlign w:val="center"/>
                </w:tcPr>
                <w:p w14:paraId="51B1388F">
                  <w:pPr>
                    <w:keepNext w:val="0"/>
                    <w:keepLines w:val="0"/>
                    <w:widowControl/>
                    <w:suppressLineNumbers w:val="0"/>
                    <w:tabs>
                      <w:tab w:val="left" w:pos="750"/>
                    </w:tabs>
                    <w:spacing w:before="0" w:beforeAutospacing="0" w:after="0" w:afterAutospacing="0"/>
                    <w:ind w:left="0" w:right="0"/>
                    <w:jc w:val="center"/>
                    <w:rPr>
                      <w:color w:val="000000"/>
                      <w:kern w:val="0"/>
                      <w:szCs w:val="21"/>
                      <w:bdr w:val="none" w:color="auto" w:sz="0" w:space="0"/>
                      <w:lang w:val="en-US"/>
                    </w:rPr>
                  </w:pPr>
                  <w:r>
                    <w:rPr>
                      <w:rFonts w:hint="eastAsia" w:ascii="Calibri" w:hAnsi="宋体" w:eastAsia="宋体" w:cs="宋体"/>
                      <w:color w:val="000000"/>
                      <w:kern w:val="0"/>
                      <w:sz w:val="21"/>
                      <w:szCs w:val="21"/>
                      <w:bdr w:val="none" w:color="auto" w:sz="0" w:space="0"/>
                      <w:lang w:val="en-US" w:eastAsia="zh-CN" w:bidi="ar"/>
                    </w:rPr>
                    <w:t>依托可行性</w:t>
                  </w:r>
                </w:p>
              </w:tc>
            </w:tr>
            <w:tr w14:paraId="53A47A6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1" w:type="pct"/>
                  <w:tcBorders>
                    <w:top w:val="single" w:color="auto" w:sz="4" w:space="0"/>
                    <w:left w:val="nil"/>
                    <w:bottom w:val="single" w:color="auto" w:sz="4" w:space="0"/>
                    <w:right w:val="single" w:color="auto" w:sz="4" w:space="0"/>
                  </w:tcBorders>
                  <w:shd w:val="clear"/>
                  <w:vAlign w:val="center"/>
                </w:tcPr>
                <w:p w14:paraId="78C5E37E">
                  <w:pPr>
                    <w:keepNext w:val="0"/>
                    <w:keepLines w:val="0"/>
                    <w:widowControl w:val="0"/>
                    <w:suppressLineNumbers w:val="0"/>
                    <w:spacing w:before="0" w:beforeAutospacing="0" w:after="0" w:afterAutospacing="0" w:line="300" w:lineRule="exact"/>
                    <w:ind w:left="0" w:right="0"/>
                    <w:jc w:val="center"/>
                    <w:rPr>
                      <w:rFonts w:hAnsi="宋体"/>
                      <w:color w:val="000000"/>
                      <w:szCs w:val="21"/>
                      <w:bdr w:val="none" w:color="auto" w:sz="0" w:space="0"/>
                      <w:lang w:val="en-US"/>
                    </w:rPr>
                  </w:pPr>
                  <w:r>
                    <w:rPr>
                      <w:rFonts w:hint="eastAsia" w:ascii="Calibri" w:hAnsi="宋体" w:eastAsia="宋体" w:cs="宋体"/>
                      <w:color w:val="000000"/>
                      <w:kern w:val="2"/>
                      <w:sz w:val="21"/>
                      <w:szCs w:val="21"/>
                      <w:bdr w:val="none" w:color="auto" w:sz="0" w:space="0"/>
                      <w:lang w:val="en-US" w:eastAsia="zh-CN" w:bidi="ar"/>
                    </w:rPr>
                    <w:t>主体工程和</w:t>
                  </w:r>
                  <w:r>
                    <w:rPr>
                      <w:rFonts w:hint="eastAsia" w:ascii="Times New Roman" w:hAnsi="Times New Roman" w:eastAsia="宋体" w:cs="宋体"/>
                      <w:color w:val="000000"/>
                      <w:kern w:val="2"/>
                      <w:sz w:val="21"/>
                      <w:szCs w:val="21"/>
                      <w:bdr w:val="none" w:color="auto" w:sz="0" w:space="0"/>
                      <w:lang w:val="en-US" w:eastAsia="zh-CN" w:bidi="ar"/>
                    </w:rPr>
                    <w:t>储运工程</w:t>
                  </w:r>
                </w:p>
              </w:tc>
              <w:tc>
                <w:tcPr>
                  <w:tcW w:w="3382" w:type="pct"/>
                  <w:tcBorders>
                    <w:top w:val="single" w:color="auto" w:sz="4" w:space="0"/>
                    <w:left w:val="single" w:color="auto" w:sz="4" w:space="0"/>
                    <w:bottom w:val="single" w:color="auto" w:sz="4" w:space="0"/>
                    <w:right w:val="single" w:color="auto" w:sz="4" w:space="0"/>
                  </w:tcBorders>
                  <w:shd w:val="clear"/>
                  <w:vAlign w:val="center"/>
                </w:tcPr>
                <w:p w14:paraId="65128163">
                  <w:pPr>
                    <w:keepNext w:val="0"/>
                    <w:keepLines w:val="0"/>
                    <w:widowControl w:val="0"/>
                    <w:suppressLineNumbers w:val="0"/>
                    <w:spacing w:before="0" w:beforeAutospacing="0" w:after="0" w:afterAutospacing="0"/>
                    <w:ind w:left="0" w:right="0"/>
                    <w:jc w:val="both"/>
                    <w:rPr>
                      <w:rFonts w:hAnsi="宋体"/>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扩建项目增加生产设备和生产时间，扩大产能。永祺公司现有厂房预留有生产区及原料、产品库房面积，能够满足扩建项目建设需要。</w:t>
                  </w:r>
                </w:p>
              </w:tc>
              <w:tc>
                <w:tcPr>
                  <w:tcW w:w="837" w:type="pct"/>
                  <w:tcBorders>
                    <w:top w:val="single" w:color="auto" w:sz="4" w:space="0"/>
                    <w:left w:val="single" w:color="auto" w:sz="4" w:space="0"/>
                    <w:bottom w:val="single" w:color="auto" w:sz="4" w:space="0"/>
                    <w:right w:val="nil"/>
                  </w:tcBorders>
                  <w:shd w:val="clear"/>
                  <w:vAlign w:val="center"/>
                </w:tcPr>
                <w:p w14:paraId="5E48D2DD">
                  <w:pPr>
                    <w:keepNext w:val="0"/>
                    <w:keepLines w:val="0"/>
                    <w:widowControl/>
                    <w:suppressLineNumbers w:val="0"/>
                    <w:tabs>
                      <w:tab w:val="left" w:pos="750"/>
                    </w:tabs>
                    <w:spacing w:before="0" w:beforeAutospacing="0" w:after="0" w:afterAutospacing="0"/>
                    <w:ind w:left="0" w:right="0"/>
                    <w:jc w:val="center"/>
                    <w:rPr>
                      <w:rFonts w:hAnsi="宋体"/>
                      <w:color w:val="000000"/>
                      <w:kern w:val="0"/>
                      <w:szCs w:val="21"/>
                      <w:bdr w:val="none" w:color="auto" w:sz="0" w:space="0"/>
                      <w:lang w:val="en-US"/>
                    </w:rPr>
                  </w:pPr>
                  <w:r>
                    <w:rPr>
                      <w:rFonts w:hint="eastAsia" w:ascii="Calibri" w:hAnsi="宋体" w:eastAsia="宋体" w:cs="宋体"/>
                      <w:color w:val="000000"/>
                      <w:kern w:val="0"/>
                      <w:sz w:val="21"/>
                      <w:szCs w:val="21"/>
                      <w:bdr w:val="none" w:color="auto" w:sz="0" w:space="0"/>
                      <w:lang w:val="en-US" w:eastAsia="zh-CN" w:bidi="ar"/>
                    </w:rPr>
                    <w:t>可行</w:t>
                  </w:r>
                </w:p>
              </w:tc>
            </w:tr>
            <w:tr w14:paraId="1D6CC09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1" w:type="pct"/>
                  <w:tcBorders>
                    <w:top w:val="single" w:color="auto" w:sz="4" w:space="0"/>
                    <w:left w:val="nil"/>
                    <w:bottom w:val="single" w:color="auto" w:sz="4" w:space="0"/>
                    <w:right w:val="single" w:color="auto" w:sz="4" w:space="0"/>
                  </w:tcBorders>
                  <w:shd w:val="clear"/>
                  <w:vAlign w:val="center"/>
                </w:tcPr>
                <w:p w14:paraId="66EF13E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废气</w:t>
                  </w:r>
                </w:p>
              </w:tc>
              <w:tc>
                <w:tcPr>
                  <w:tcW w:w="3382" w:type="pct"/>
                  <w:tcBorders>
                    <w:top w:val="single" w:color="auto" w:sz="4" w:space="0"/>
                    <w:left w:val="single" w:color="auto" w:sz="4" w:space="0"/>
                    <w:bottom w:val="single" w:color="auto" w:sz="4" w:space="0"/>
                    <w:right w:val="single" w:color="auto" w:sz="4" w:space="0"/>
                  </w:tcBorders>
                  <w:shd w:val="clear"/>
                  <w:vAlign w:val="center"/>
                </w:tcPr>
                <w:p w14:paraId="737F3F96">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厂区现有</w:t>
                  </w:r>
                  <w:r>
                    <w:rPr>
                      <w:rFonts w:hint="default" w:ascii="Times New Roman" w:hAnsi="Times New Roman" w:eastAsia="宋体" w:cs="Times New Roman"/>
                      <w:color w:val="000000"/>
                      <w:kern w:val="2"/>
                      <w:sz w:val="21"/>
                      <w:szCs w:val="21"/>
                      <w:bdr w:val="none" w:color="auto" w:sz="0" w:space="0"/>
                      <w:lang w:val="en-US" w:eastAsia="zh-CN" w:bidi="ar"/>
                    </w:rPr>
                    <w:t>2</w:t>
                  </w:r>
                  <w:r>
                    <w:rPr>
                      <w:rFonts w:hint="eastAsia" w:ascii="Times New Roman" w:hAnsi="Times New Roman" w:eastAsia="宋体" w:cs="宋体"/>
                      <w:color w:val="000000"/>
                      <w:kern w:val="2"/>
                      <w:sz w:val="21"/>
                      <w:szCs w:val="21"/>
                      <w:bdr w:val="none" w:color="auto" w:sz="0" w:space="0"/>
                      <w:lang w:val="en-US" w:eastAsia="zh-CN" w:bidi="ar"/>
                    </w:rPr>
                    <w:t>套废气治理设施和</w:t>
                  </w:r>
                  <w:r>
                    <w:rPr>
                      <w:rFonts w:hint="default" w:ascii="Times New Roman" w:hAnsi="Times New Roman" w:eastAsia="宋体" w:cs="Times New Roman"/>
                      <w:color w:val="000000"/>
                      <w:kern w:val="2"/>
                      <w:sz w:val="21"/>
                      <w:szCs w:val="21"/>
                      <w:bdr w:val="none" w:color="auto" w:sz="0" w:space="0"/>
                      <w:lang w:val="en-US" w:eastAsia="zh-CN" w:bidi="ar"/>
                    </w:rPr>
                    <w:t>2</w:t>
                  </w:r>
                  <w:r>
                    <w:rPr>
                      <w:rFonts w:hint="eastAsia" w:ascii="Times New Roman" w:hAnsi="Times New Roman" w:eastAsia="宋体" w:cs="宋体"/>
                      <w:color w:val="000000"/>
                      <w:kern w:val="2"/>
                      <w:sz w:val="21"/>
                      <w:szCs w:val="21"/>
                      <w:bdr w:val="none" w:color="auto" w:sz="0" w:space="0"/>
                      <w:lang w:val="en-US" w:eastAsia="zh-CN" w:bidi="ar"/>
                    </w:rPr>
                    <w:t>根排气筒，分别用于处理涂胶切割废气和雕刻打磨粉尘。</w:t>
                  </w:r>
                  <w:bookmarkStart w:id="23" w:name="OLE_LINK54"/>
                  <w:r>
                    <w:rPr>
                      <w:rFonts w:hint="eastAsia" w:ascii="Times New Roman" w:hAnsi="Times New Roman" w:eastAsia="宋体" w:cs="宋体"/>
                      <w:color w:val="000000"/>
                      <w:kern w:val="2"/>
                      <w:sz w:val="21"/>
                      <w:szCs w:val="21"/>
                      <w:bdr w:val="none" w:color="auto" w:sz="0" w:space="0"/>
                      <w:lang w:val="en-US" w:eastAsia="zh-CN" w:bidi="ar"/>
                    </w:rPr>
                    <w:t>扩建项目不改变现有生产工艺流程，涂胶切割、雕刻打磨相关产污设备数量未增加，且布局未发生变动，仅原辅料用量和生产时间增加。因此，该工序产生的污染物种类不会发生改变，且现有废气收集系统也未发生变动。根据工程分析预测结果可知，扩建后废气污染物排放量有所增加，伴随排放时间的增加，依托现有废气治理设施处理后排放速率及排放浓度能够满足达标排放要求。因扩建后活性炭吸附废气量增加，本次环评要求废气治理设施的活性炭更换频次由半年一次变为三个月一次。</w:t>
                  </w:r>
                  <w:bookmarkEnd w:id="23"/>
                  <w:r>
                    <w:rPr>
                      <w:rFonts w:hint="eastAsia" w:ascii="Times New Roman" w:hAnsi="Times New Roman" w:eastAsia="宋体" w:cs="宋体"/>
                      <w:color w:val="000000"/>
                      <w:kern w:val="2"/>
                      <w:sz w:val="21"/>
                      <w:szCs w:val="21"/>
                      <w:bdr w:val="none" w:color="auto" w:sz="0" w:space="0"/>
                      <w:lang w:val="en-US" w:eastAsia="zh-CN" w:bidi="ar"/>
                    </w:rPr>
                    <w:t>增加活性炭更换频率后，依托现有废气治理设施处理后能够满足相应的排放标准限值要求，依托可行。</w:t>
                  </w:r>
                </w:p>
              </w:tc>
              <w:tc>
                <w:tcPr>
                  <w:tcW w:w="837" w:type="pct"/>
                  <w:tcBorders>
                    <w:top w:val="single" w:color="auto" w:sz="4" w:space="0"/>
                    <w:left w:val="single" w:color="auto" w:sz="4" w:space="0"/>
                    <w:bottom w:val="single" w:color="auto" w:sz="4" w:space="0"/>
                    <w:right w:val="nil"/>
                  </w:tcBorders>
                  <w:shd w:val="clear"/>
                  <w:vAlign w:val="center"/>
                </w:tcPr>
                <w:p w14:paraId="2CDCC58A">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color w:val="000000"/>
                      <w:bdr w:val="none" w:color="auto" w:sz="0" w:space="0"/>
                      <w:lang w:val="en-US"/>
                    </w:rPr>
                  </w:pPr>
                  <w:r>
                    <w:rPr>
                      <w:rFonts w:hint="eastAsia" w:ascii="Times New Roman" w:hAnsi="Calibri" w:eastAsia="宋体" w:cs="宋体"/>
                      <w:color w:val="000000"/>
                      <w:kern w:val="2"/>
                      <w:sz w:val="21"/>
                      <w:szCs w:val="24"/>
                      <w:bdr w:val="none" w:color="auto" w:sz="0" w:space="0"/>
                      <w:lang w:val="en-US" w:eastAsia="zh-CN" w:bidi="ar"/>
                    </w:rPr>
                    <w:t>可行</w:t>
                  </w:r>
                </w:p>
              </w:tc>
            </w:tr>
            <w:tr w14:paraId="59E6EE9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1" w:type="pct"/>
                  <w:tcBorders>
                    <w:top w:val="single" w:color="auto" w:sz="4" w:space="0"/>
                    <w:left w:val="nil"/>
                    <w:bottom w:val="single" w:color="auto" w:sz="4" w:space="0"/>
                    <w:right w:val="single" w:color="auto" w:sz="4" w:space="0"/>
                  </w:tcBorders>
                  <w:shd w:val="clear"/>
                  <w:vAlign w:val="center"/>
                </w:tcPr>
                <w:p w14:paraId="08B46B9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废水</w:t>
                  </w:r>
                </w:p>
              </w:tc>
              <w:tc>
                <w:tcPr>
                  <w:tcW w:w="3382" w:type="pct"/>
                  <w:tcBorders>
                    <w:top w:val="single" w:color="auto" w:sz="4" w:space="0"/>
                    <w:left w:val="single" w:color="auto" w:sz="4" w:space="0"/>
                    <w:bottom w:val="single" w:color="auto" w:sz="4" w:space="0"/>
                    <w:right w:val="single" w:color="auto" w:sz="4" w:space="0"/>
                  </w:tcBorders>
                  <w:shd w:val="clear"/>
                  <w:vAlign w:val="center"/>
                </w:tcPr>
                <w:p w14:paraId="2E886D9F">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租赁厂区</w:t>
                  </w:r>
                  <w:r>
                    <w:rPr>
                      <w:rFonts w:hint="eastAsia" w:ascii="Calibri" w:hAnsi="Calibri" w:eastAsia="宋体" w:cs="宋体"/>
                      <w:bCs/>
                      <w:color w:val="000000"/>
                      <w:kern w:val="2"/>
                      <w:sz w:val="21"/>
                      <w:szCs w:val="24"/>
                      <w:bdr w:val="none" w:color="auto" w:sz="0" w:space="0"/>
                      <w:lang w:val="en-US" w:eastAsia="zh-CN" w:bidi="ar"/>
                    </w:rPr>
                    <w:t>盈田•合川工谷</w:t>
                  </w:r>
                  <w:r>
                    <w:rPr>
                      <w:rFonts w:hint="eastAsia" w:ascii="Times New Roman" w:hAnsi="Times New Roman" w:eastAsia="宋体" w:cs="宋体"/>
                      <w:color w:val="000000"/>
                      <w:kern w:val="2"/>
                      <w:sz w:val="21"/>
                      <w:szCs w:val="21"/>
                      <w:bdr w:val="none" w:color="auto" w:sz="0" w:space="0"/>
                      <w:lang w:val="en-US" w:eastAsia="zh-CN" w:bidi="ar"/>
                    </w:rPr>
                    <w:t>已建污水处理设施（处理规模为</w:t>
                  </w:r>
                  <w:r>
                    <w:rPr>
                      <w:rFonts w:hint="default" w:ascii="Times New Roman" w:hAnsi="Times New Roman" w:eastAsia="宋体" w:cs="Times New Roman"/>
                      <w:color w:val="000000"/>
                      <w:kern w:val="2"/>
                      <w:sz w:val="21"/>
                      <w:szCs w:val="21"/>
                      <w:bdr w:val="none" w:color="auto" w:sz="0" w:space="0"/>
                      <w:lang w:val="en-US" w:eastAsia="zh-CN" w:bidi="ar"/>
                    </w:rPr>
                    <w:t>400m</w:t>
                  </w:r>
                  <w:r>
                    <w:rPr>
                      <w:rFonts w:hint="default" w:ascii="Times New Roman" w:hAnsi="Times New Roman" w:eastAsia="宋体" w:cs="Times New Roman"/>
                      <w:color w:val="000000"/>
                      <w:kern w:val="2"/>
                      <w:sz w:val="21"/>
                      <w:szCs w:val="21"/>
                      <w:bdr w:val="none" w:color="auto" w:sz="0" w:space="0"/>
                      <w:vertAlign w:val="superscript"/>
                      <w:lang w:val="en-US" w:eastAsia="zh-CN" w:bidi="ar"/>
                    </w:rPr>
                    <w:t>3</w:t>
                  </w:r>
                  <w:r>
                    <w:rPr>
                      <w:rFonts w:hint="default" w:ascii="Times New Roman" w:hAnsi="Times New Roman" w:eastAsia="宋体" w:cs="Times New Roman"/>
                      <w:color w:val="000000"/>
                      <w:kern w:val="2"/>
                      <w:sz w:val="21"/>
                      <w:szCs w:val="21"/>
                      <w:bdr w:val="none" w:color="auto" w:sz="0" w:space="0"/>
                      <w:lang w:val="en-US" w:eastAsia="zh-CN" w:bidi="ar"/>
                    </w:rPr>
                    <w:t>/d</w:t>
                  </w:r>
                  <w:r>
                    <w:rPr>
                      <w:rFonts w:hint="eastAsia" w:ascii="Times New Roman" w:hAnsi="Times New Roman" w:eastAsia="宋体" w:cs="宋体"/>
                      <w:color w:val="000000"/>
                      <w:kern w:val="2"/>
                      <w:sz w:val="21"/>
                      <w:szCs w:val="21"/>
                      <w:bdr w:val="none" w:color="auto" w:sz="0" w:space="0"/>
                      <w:lang w:val="en-US" w:eastAsia="zh-CN" w:bidi="ar"/>
                    </w:rPr>
                    <w:t>）目前剩余处理规模约</w:t>
                  </w:r>
                  <w:r>
                    <w:rPr>
                      <w:rFonts w:hint="default" w:ascii="Times New Roman" w:hAnsi="Times New Roman" w:eastAsia="宋体" w:cs="Times New Roman"/>
                      <w:color w:val="000000"/>
                      <w:kern w:val="2"/>
                      <w:sz w:val="21"/>
                      <w:szCs w:val="21"/>
                      <w:bdr w:val="none" w:color="auto" w:sz="0" w:space="0"/>
                      <w:lang w:val="en-US" w:eastAsia="zh-CN" w:bidi="ar"/>
                    </w:rPr>
                    <w:t>180m</w:t>
                  </w:r>
                  <w:r>
                    <w:rPr>
                      <w:rFonts w:hint="default" w:ascii="Times New Roman" w:hAnsi="Times New Roman" w:eastAsia="宋体" w:cs="Times New Roman"/>
                      <w:color w:val="000000"/>
                      <w:kern w:val="2"/>
                      <w:sz w:val="21"/>
                      <w:szCs w:val="21"/>
                      <w:bdr w:val="none" w:color="auto" w:sz="0" w:space="0"/>
                      <w:vertAlign w:val="superscript"/>
                      <w:lang w:val="en-US" w:eastAsia="zh-CN" w:bidi="ar"/>
                    </w:rPr>
                    <w:t>3</w:t>
                  </w:r>
                  <w:r>
                    <w:rPr>
                      <w:rFonts w:hint="default" w:ascii="Times New Roman" w:hAnsi="Times New Roman" w:eastAsia="宋体" w:cs="Times New Roman"/>
                      <w:color w:val="000000"/>
                      <w:kern w:val="2"/>
                      <w:sz w:val="21"/>
                      <w:szCs w:val="21"/>
                      <w:bdr w:val="none" w:color="auto" w:sz="0" w:space="0"/>
                      <w:lang w:val="en-US" w:eastAsia="zh-CN" w:bidi="ar"/>
                    </w:rPr>
                    <w:t>/d</w:t>
                  </w:r>
                  <w:r>
                    <w:rPr>
                      <w:rFonts w:hint="eastAsia" w:ascii="Times New Roman" w:hAnsi="Times New Roman" w:eastAsia="宋体" w:cs="宋体"/>
                      <w:color w:val="000000"/>
                      <w:kern w:val="2"/>
                      <w:sz w:val="21"/>
                      <w:szCs w:val="21"/>
                      <w:bdr w:val="none" w:color="auto" w:sz="0" w:space="0"/>
                      <w:lang w:val="en-US" w:eastAsia="zh-CN" w:bidi="ar"/>
                    </w:rPr>
                    <w:t>，本次新增生活污水量约</w:t>
                  </w:r>
                  <w:r>
                    <w:rPr>
                      <w:rFonts w:hint="default" w:ascii="Times New Roman" w:hAnsi="Times New Roman" w:eastAsia="宋体" w:cs="Times New Roman"/>
                      <w:color w:val="000000"/>
                      <w:kern w:val="2"/>
                      <w:sz w:val="21"/>
                      <w:szCs w:val="21"/>
                      <w:bdr w:val="none" w:color="auto" w:sz="0" w:space="0"/>
                      <w:lang w:val="en-US" w:eastAsia="zh-CN" w:bidi="ar"/>
                    </w:rPr>
                    <w:t>0.675m</w:t>
                  </w:r>
                  <w:r>
                    <w:rPr>
                      <w:rFonts w:hint="default" w:ascii="Times New Roman" w:hAnsi="Times New Roman" w:eastAsia="宋体" w:cs="Times New Roman"/>
                      <w:color w:val="000000"/>
                      <w:kern w:val="2"/>
                      <w:sz w:val="21"/>
                      <w:szCs w:val="21"/>
                      <w:bdr w:val="none" w:color="auto" w:sz="0" w:space="0"/>
                      <w:vertAlign w:val="superscript"/>
                      <w:lang w:val="en-US" w:eastAsia="zh-CN" w:bidi="ar"/>
                    </w:rPr>
                    <w:t>3</w:t>
                  </w:r>
                  <w:r>
                    <w:rPr>
                      <w:rFonts w:hint="default" w:ascii="Times New Roman" w:hAnsi="Times New Roman" w:eastAsia="宋体" w:cs="Times New Roman"/>
                      <w:color w:val="000000"/>
                      <w:kern w:val="2"/>
                      <w:sz w:val="21"/>
                      <w:szCs w:val="21"/>
                      <w:bdr w:val="none" w:color="auto" w:sz="0" w:space="0"/>
                      <w:lang w:val="en-US" w:eastAsia="zh-CN" w:bidi="ar"/>
                    </w:rPr>
                    <w:t>/d</w:t>
                  </w:r>
                  <w:r>
                    <w:rPr>
                      <w:rFonts w:hint="eastAsia" w:ascii="Times New Roman" w:hAnsi="Times New Roman" w:eastAsia="宋体" w:cs="宋体"/>
                      <w:color w:val="000000"/>
                      <w:kern w:val="2"/>
                      <w:sz w:val="21"/>
                      <w:szCs w:val="21"/>
                      <w:bdr w:val="none" w:color="auto" w:sz="0" w:space="0"/>
                      <w:lang w:val="en-US" w:eastAsia="zh-CN" w:bidi="ar"/>
                    </w:rPr>
                    <w:t>，故扩建项目生活污水依托该污水处理设施是可行的。</w:t>
                  </w:r>
                </w:p>
              </w:tc>
              <w:tc>
                <w:tcPr>
                  <w:tcW w:w="837" w:type="pct"/>
                  <w:tcBorders>
                    <w:top w:val="single" w:color="auto" w:sz="4" w:space="0"/>
                    <w:left w:val="single" w:color="auto" w:sz="4" w:space="0"/>
                    <w:bottom w:val="single" w:color="auto" w:sz="4" w:space="0"/>
                    <w:right w:val="nil"/>
                  </w:tcBorders>
                  <w:shd w:val="clear"/>
                  <w:vAlign w:val="center"/>
                </w:tcPr>
                <w:p w14:paraId="2E36CC5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highlight w:val="yellow"/>
                      <w:bdr w:val="none" w:color="auto" w:sz="0" w:space="0"/>
                      <w:lang w:val="en-US"/>
                    </w:rPr>
                  </w:pPr>
                  <w:r>
                    <w:rPr>
                      <w:rFonts w:hint="eastAsia" w:ascii="Times New Roman" w:hAnsi="Calibri" w:eastAsia="宋体" w:cs="宋体"/>
                      <w:color w:val="000000"/>
                      <w:kern w:val="2"/>
                      <w:sz w:val="21"/>
                      <w:szCs w:val="24"/>
                      <w:bdr w:val="none" w:color="auto" w:sz="0" w:space="0"/>
                      <w:lang w:val="en-US" w:eastAsia="zh-CN" w:bidi="ar"/>
                    </w:rPr>
                    <w:t>可行</w:t>
                  </w:r>
                </w:p>
              </w:tc>
            </w:tr>
            <w:tr w14:paraId="1BA4BA0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1" w:type="pct"/>
                  <w:tcBorders>
                    <w:top w:val="single" w:color="auto" w:sz="4" w:space="0"/>
                    <w:left w:val="nil"/>
                    <w:bottom w:val="single" w:color="auto" w:sz="4" w:space="0"/>
                    <w:right w:val="single" w:color="auto" w:sz="4" w:space="0"/>
                  </w:tcBorders>
                  <w:shd w:val="clear"/>
                  <w:vAlign w:val="center"/>
                </w:tcPr>
                <w:p w14:paraId="431CD21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一般工业固废暂存间</w:t>
                  </w:r>
                </w:p>
              </w:tc>
              <w:tc>
                <w:tcPr>
                  <w:tcW w:w="3382" w:type="pct"/>
                  <w:tcBorders>
                    <w:top w:val="single" w:color="auto" w:sz="4" w:space="0"/>
                    <w:left w:val="single" w:color="auto" w:sz="4" w:space="0"/>
                    <w:bottom w:val="single" w:color="auto" w:sz="4" w:space="0"/>
                    <w:right w:val="single" w:color="auto" w:sz="4" w:space="0"/>
                  </w:tcBorders>
                  <w:shd w:val="clear"/>
                  <w:vAlign w:val="center"/>
                </w:tcPr>
                <w:p w14:paraId="606041CA">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szCs w:val="21"/>
                      <w:highlight w:val="yellow"/>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一般固废暂存间面积约</w:t>
                  </w:r>
                  <w:r>
                    <w:rPr>
                      <w:rFonts w:hint="default" w:ascii="Times New Roman" w:hAnsi="Times New Roman" w:eastAsia="宋体" w:cs="Times New Roman"/>
                      <w:color w:val="000000"/>
                      <w:kern w:val="2"/>
                      <w:sz w:val="21"/>
                      <w:szCs w:val="21"/>
                      <w:bdr w:val="none" w:color="auto" w:sz="0" w:space="0"/>
                      <w:lang w:val="en-US" w:eastAsia="zh-CN" w:bidi="ar"/>
                    </w:rPr>
                    <w:t>20m</w:t>
                  </w:r>
                  <w:r>
                    <w:rPr>
                      <w:rFonts w:hint="default" w:ascii="Times New Roman" w:hAnsi="Times New Roman" w:eastAsia="宋体" w:cs="Times New Roman"/>
                      <w:color w:val="000000"/>
                      <w:kern w:val="2"/>
                      <w:sz w:val="21"/>
                      <w:szCs w:val="21"/>
                      <w:bdr w:val="none" w:color="auto" w:sz="0" w:space="0"/>
                      <w:vertAlign w:val="superscript"/>
                      <w:lang w:val="en-US" w:eastAsia="zh-CN" w:bidi="ar"/>
                    </w:rPr>
                    <w:t>2</w:t>
                  </w:r>
                  <w:r>
                    <w:rPr>
                      <w:rFonts w:hint="eastAsia" w:ascii="Times New Roman" w:hAnsi="Times New Roman" w:eastAsia="宋体" w:cs="宋体"/>
                      <w:color w:val="000000"/>
                      <w:kern w:val="2"/>
                      <w:sz w:val="21"/>
                      <w:szCs w:val="21"/>
                      <w:bdr w:val="none" w:color="auto" w:sz="0" w:space="0"/>
                      <w:lang w:val="en-US" w:eastAsia="zh-CN" w:bidi="ar"/>
                    </w:rPr>
                    <w:t>，尚有富余暂存区域。本次新增暂存一般固废暂存量较小，依托该一般固废间是可行的。</w:t>
                  </w:r>
                </w:p>
              </w:tc>
              <w:tc>
                <w:tcPr>
                  <w:tcW w:w="837" w:type="pct"/>
                  <w:tcBorders>
                    <w:top w:val="single" w:color="auto" w:sz="4" w:space="0"/>
                    <w:left w:val="single" w:color="auto" w:sz="4" w:space="0"/>
                    <w:bottom w:val="single" w:color="auto" w:sz="4" w:space="0"/>
                    <w:right w:val="nil"/>
                  </w:tcBorders>
                  <w:shd w:val="clear"/>
                  <w:vAlign w:val="center"/>
                </w:tcPr>
                <w:p w14:paraId="7E427E2F">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color w:val="000000"/>
                      <w:bdr w:val="none" w:color="auto" w:sz="0" w:space="0"/>
                      <w:lang w:val="en-US"/>
                    </w:rPr>
                  </w:pPr>
                  <w:r>
                    <w:rPr>
                      <w:rFonts w:hint="eastAsia" w:ascii="Times New Roman" w:hAnsi="Calibri" w:eastAsia="宋体" w:cs="宋体"/>
                      <w:color w:val="000000"/>
                      <w:kern w:val="2"/>
                      <w:sz w:val="21"/>
                      <w:szCs w:val="24"/>
                      <w:bdr w:val="none" w:color="auto" w:sz="0" w:space="0"/>
                      <w:lang w:val="en-US" w:eastAsia="zh-CN" w:bidi="ar"/>
                    </w:rPr>
                    <w:t>可行</w:t>
                  </w:r>
                </w:p>
              </w:tc>
            </w:tr>
            <w:tr w14:paraId="53D2754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1" w:type="pct"/>
                  <w:tcBorders>
                    <w:top w:val="single" w:color="auto" w:sz="4" w:space="0"/>
                    <w:left w:val="nil"/>
                    <w:bottom w:val="single" w:color="auto" w:sz="12" w:space="0"/>
                    <w:right w:val="single" w:color="auto" w:sz="4" w:space="0"/>
                  </w:tcBorders>
                  <w:shd w:val="clear"/>
                  <w:vAlign w:val="center"/>
                </w:tcPr>
                <w:p w14:paraId="66D348D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危废贮存库</w:t>
                  </w:r>
                </w:p>
              </w:tc>
              <w:tc>
                <w:tcPr>
                  <w:tcW w:w="3382" w:type="pct"/>
                  <w:tcBorders>
                    <w:top w:val="single" w:color="auto" w:sz="4" w:space="0"/>
                    <w:left w:val="single" w:color="auto" w:sz="4" w:space="0"/>
                    <w:bottom w:val="single" w:color="auto" w:sz="12" w:space="0"/>
                    <w:right w:val="single" w:color="auto" w:sz="4" w:space="0"/>
                  </w:tcBorders>
                  <w:shd w:val="clear"/>
                  <w:vAlign w:val="center"/>
                </w:tcPr>
                <w:p w14:paraId="3DDFA78F">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szCs w:val="21"/>
                      <w:highlight w:val="yellow"/>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危废贮存库面积约</w:t>
                  </w:r>
                  <w:r>
                    <w:rPr>
                      <w:rFonts w:hint="default" w:ascii="Times New Roman" w:hAnsi="Times New Roman" w:eastAsia="宋体" w:cs="Times New Roman"/>
                      <w:color w:val="000000"/>
                      <w:kern w:val="2"/>
                      <w:sz w:val="21"/>
                      <w:szCs w:val="21"/>
                      <w:bdr w:val="none" w:color="auto" w:sz="0" w:space="0"/>
                      <w:lang w:val="en-US" w:eastAsia="zh-CN" w:bidi="ar"/>
                    </w:rPr>
                    <w:t>12m</w:t>
                  </w:r>
                  <w:r>
                    <w:rPr>
                      <w:rFonts w:hint="default" w:ascii="Times New Roman" w:hAnsi="Times New Roman" w:eastAsia="宋体" w:cs="Times New Roman"/>
                      <w:color w:val="000000"/>
                      <w:kern w:val="2"/>
                      <w:sz w:val="21"/>
                      <w:szCs w:val="21"/>
                      <w:bdr w:val="none" w:color="auto" w:sz="0" w:space="0"/>
                      <w:vertAlign w:val="superscript"/>
                      <w:lang w:val="en-US" w:eastAsia="zh-CN" w:bidi="ar"/>
                    </w:rPr>
                    <w:t>2</w:t>
                  </w:r>
                  <w:r>
                    <w:rPr>
                      <w:rFonts w:hint="eastAsia" w:ascii="Times New Roman" w:hAnsi="Times New Roman" w:eastAsia="宋体" w:cs="宋体"/>
                      <w:color w:val="000000"/>
                      <w:kern w:val="2"/>
                      <w:sz w:val="21"/>
                      <w:szCs w:val="21"/>
                      <w:bdr w:val="none" w:color="auto" w:sz="0" w:space="0"/>
                      <w:lang w:val="en-US" w:eastAsia="zh-CN" w:bidi="ar"/>
                    </w:rPr>
                    <w:t>，尚有富余暂存区域，地面已进行了防渗，容器底部设有防渗托盘；本次新增暂存的危险废物暂存量较小，依托该危废贮存库是可行的。</w:t>
                  </w:r>
                </w:p>
              </w:tc>
              <w:tc>
                <w:tcPr>
                  <w:tcW w:w="837" w:type="pct"/>
                  <w:tcBorders>
                    <w:top w:val="single" w:color="auto" w:sz="4" w:space="0"/>
                    <w:left w:val="single" w:color="auto" w:sz="4" w:space="0"/>
                    <w:bottom w:val="single" w:color="auto" w:sz="12" w:space="0"/>
                    <w:right w:val="nil"/>
                  </w:tcBorders>
                  <w:shd w:val="clear"/>
                  <w:vAlign w:val="center"/>
                </w:tcPr>
                <w:p w14:paraId="55F80648">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color w:val="000000"/>
                      <w:bdr w:val="none" w:color="auto" w:sz="0" w:space="0"/>
                      <w:lang w:val="en-US"/>
                    </w:rPr>
                  </w:pPr>
                  <w:r>
                    <w:rPr>
                      <w:rFonts w:hint="eastAsia" w:ascii="Times New Roman" w:hAnsi="Calibri" w:eastAsia="宋体" w:cs="宋体"/>
                      <w:color w:val="000000"/>
                      <w:kern w:val="2"/>
                      <w:sz w:val="21"/>
                      <w:szCs w:val="24"/>
                      <w:bdr w:val="none" w:color="auto" w:sz="0" w:space="0"/>
                      <w:lang w:val="en-US" w:eastAsia="zh-CN" w:bidi="ar"/>
                    </w:rPr>
                    <w:t>可行</w:t>
                  </w:r>
                </w:p>
              </w:tc>
            </w:tr>
          </w:tbl>
          <w:p w14:paraId="792A895E">
            <w:pPr>
              <w:keepNext w:val="0"/>
              <w:keepLines w:val="0"/>
              <w:widowControl/>
              <w:suppressLineNumbers w:val="0"/>
              <w:spacing w:before="0" w:beforeAutospacing="0" w:after="0" w:afterAutospacing="0" w:line="440" w:lineRule="exact"/>
              <w:ind w:left="0" w:right="0"/>
              <w:jc w:val="left"/>
              <w:outlineLvl w:val="1"/>
              <w:rPr>
                <w:rFonts w:hint="default" w:ascii="Times New Roman" w:hAnsi="Times New Roman" w:cs="Times New Roman"/>
                <w:b/>
                <w:bCs/>
                <w:color w:val="000000"/>
                <w:sz w:val="24"/>
                <w:szCs w:val="24"/>
                <w:bdr w:val="none" w:color="auto" w:sz="0" w:space="0"/>
                <w:lang w:val="en-US"/>
              </w:rPr>
            </w:pPr>
            <w:r>
              <w:rPr>
                <w:rFonts w:hint="default" w:ascii="Times New Roman" w:hAnsi="Times New Roman" w:eastAsia="宋体" w:cs="Times New Roman"/>
                <w:b/>
                <w:bCs/>
                <w:color w:val="000000"/>
                <w:kern w:val="2"/>
                <w:sz w:val="24"/>
                <w:szCs w:val="24"/>
                <w:bdr w:val="none" w:color="auto" w:sz="0" w:space="0"/>
                <w:lang w:val="en-US" w:eastAsia="zh-CN" w:bidi="ar"/>
              </w:rPr>
              <w:t>2.5</w:t>
            </w:r>
            <w:r>
              <w:rPr>
                <w:rFonts w:hint="eastAsia" w:ascii="Times New Roman" w:hAnsi="Times New Roman" w:eastAsia="宋体" w:cs="宋体"/>
                <w:b/>
                <w:bCs/>
                <w:color w:val="000000"/>
                <w:kern w:val="2"/>
                <w:sz w:val="24"/>
                <w:szCs w:val="24"/>
                <w:bdr w:val="none" w:color="auto" w:sz="0" w:space="0"/>
                <w:lang w:val="en-US" w:eastAsia="zh-CN" w:bidi="ar"/>
              </w:rPr>
              <w:t>主要生产设施</w:t>
            </w:r>
          </w:p>
          <w:p w14:paraId="59F42246">
            <w:pPr>
              <w:keepNext w:val="0"/>
              <w:keepLines w:val="0"/>
              <w:widowControl/>
              <w:suppressLineNumbers w:val="0"/>
              <w:spacing w:before="0" w:beforeAutospacing="0" w:after="0" w:afterAutospacing="0" w:line="440" w:lineRule="exact"/>
              <w:ind w:left="0" w:right="0" w:firstLine="480"/>
              <w:jc w:val="both"/>
              <w:rPr>
                <w:rFonts w:hint="default" w:ascii="Times New Roman" w:hAnsi="Times New Roman" w:cs="Times New Roman"/>
                <w:bCs/>
                <w:color w:val="000000"/>
                <w:sz w:val="24"/>
                <w:szCs w:val="24"/>
                <w:bdr w:val="none" w:color="auto" w:sz="0" w:space="0"/>
                <w:lang w:val="en-US"/>
              </w:rPr>
            </w:pPr>
            <w:r>
              <w:rPr>
                <w:rFonts w:hint="eastAsia" w:ascii="Times New Roman" w:hAnsi="Times New Roman" w:eastAsia="宋体" w:cs="宋体"/>
                <w:bCs/>
                <w:color w:val="000000"/>
                <w:kern w:val="2"/>
                <w:sz w:val="24"/>
                <w:szCs w:val="24"/>
                <w:bdr w:val="none" w:color="auto" w:sz="0" w:space="0"/>
                <w:lang w:val="en-US" w:eastAsia="zh-CN" w:bidi="ar"/>
              </w:rPr>
              <w:t>扩建项目主要设备见表</w:t>
            </w:r>
            <w:r>
              <w:rPr>
                <w:rFonts w:hint="default" w:ascii="Times New Roman" w:hAnsi="Times New Roman" w:eastAsia="宋体" w:cs="Times New Roman"/>
                <w:bCs/>
                <w:color w:val="000000"/>
                <w:kern w:val="2"/>
                <w:sz w:val="24"/>
                <w:szCs w:val="24"/>
                <w:bdr w:val="none" w:color="auto" w:sz="0" w:space="0"/>
                <w:lang w:val="en-US" w:eastAsia="zh-CN" w:bidi="ar"/>
              </w:rPr>
              <w:t>2.5-1</w:t>
            </w:r>
            <w:r>
              <w:rPr>
                <w:rFonts w:hint="eastAsia" w:ascii="Times New Roman" w:hAnsi="Times New Roman" w:eastAsia="宋体" w:cs="宋体"/>
                <w:bCs/>
                <w:color w:val="000000"/>
                <w:kern w:val="2"/>
                <w:sz w:val="24"/>
                <w:szCs w:val="24"/>
                <w:bdr w:val="none" w:color="auto" w:sz="0" w:space="0"/>
                <w:lang w:val="en-US" w:eastAsia="zh-CN" w:bidi="ar"/>
              </w:rPr>
              <w:t>。</w:t>
            </w:r>
          </w:p>
          <w:p w14:paraId="04D08CC5">
            <w:pPr>
              <w:keepNext w:val="0"/>
              <w:keepLines w:val="0"/>
              <w:widowControl/>
              <w:suppressLineNumbers w:val="0"/>
              <w:spacing w:before="0" w:beforeAutospacing="0" w:after="0" w:afterAutospacing="0" w:line="440" w:lineRule="exact"/>
              <w:ind w:left="0" w:right="0" w:firstLine="480"/>
              <w:jc w:val="center"/>
              <w:rPr>
                <w:rFonts w:hint="default" w:ascii="Times New Roman" w:hAnsi="Times New Roman" w:cs="Times New Roman"/>
                <w:bCs/>
                <w:color w:val="000000"/>
                <w:sz w:val="24"/>
                <w:szCs w:val="24"/>
                <w:bdr w:val="none" w:color="auto" w:sz="0" w:space="0"/>
                <w:lang w:val="en-US"/>
              </w:rPr>
            </w:pPr>
          </w:p>
          <w:p w14:paraId="6D4A05C5">
            <w:pPr>
              <w:keepNext w:val="0"/>
              <w:keepLines w:val="0"/>
              <w:widowControl/>
              <w:suppressLineNumbers w:val="0"/>
              <w:spacing w:before="0" w:beforeAutospacing="0" w:after="0" w:afterAutospacing="0" w:line="440" w:lineRule="exact"/>
              <w:ind w:left="0" w:right="0" w:firstLine="480"/>
              <w:jc w:val="center"/>
              <w:rPr>
                <w:rFonts w:hint="default" w:ascii="Times New Roman" w:hAnsi="Times New Roman" w:cs="Times New Roman"/>
                <w:bCs/>
                <w:color w:val="000000"/>
                <w:sz w:val="24"/>
                <w:szCs w:val="24"/>
                <w:bdr w:val="none" w:color="auto" w:sz="0" w:space="0"/>
                <w:lang w:val="en-US"/>
              </w:rPr>
            </w:pPr>
          </w:p>
          <w:p w14:paraId="3FD06815">
            <w:pPr>
              <w:keepNext w:val="0"/>
              <w:keepLines w:val="0"/>
              <w:widowControl/>
              <w:suppressLineNumbers w:val="0"/>
              <w:spacing w:before="0" w:beforeAutospacing="0" w:after="0" w:afterAutospacing="0" w:line="440" w:lineRule="exact"/>
              <w:ind w:left="0" w:right="0" w:firstLine="480"/>
              <w:jc w:val="center"/>
              <w:rPr>
                <w:rFonts w:hint="default" w:ascii="Times New Roman" w:hAnsi="Times New Roman" w:cs="Times New Roman"/>
                <w:bCs/>
                <w:color w:val="000000"/>
                <w:sz w:val="24"/>
                <w:szCs w:val="24"/>
                <w:bdr w:val="none" w:color="auto" w:sz="0" w:space="0"/>
                <w:lang w:val="en-US"/>
              </w:rPr>
            </w:pPr>
            <w:r>
              <w:rPr>
                <w:rFonts w:hint="eastAsia" w:ascii="Times New Roman" w:hAnsi="Times New Roman" w:eastAsia="宋体" w:cs="宋体"/>
                <w:bCs/>
                <w:color w:val="000000"/>
                <w:kern w:val="2"/>
                <w:sz w:val="24"/>
                <w:szCs w:val="24"/>
                <w:bdr w:val="none" w:color="auto" w:sz="0" w:space="0"/>
                <w:lang w:val="en-US" w:eastAsia="zh-CN" w:bidi="ar"/>
              </w:rPr>
              <w:t>表</w:t>
            </w:r>
            <w:r>
              <w:rPr>
                <w:rFonts w:hint="default" w:ascii="Times New Roman" w:hAnsi="Times New Roman" w:eastAsia="宋体" w:cs="Times New Roman"/>
                <w:bCs/>
                <w:color w:val="000000"/>
                <w:kern w:val="2"/>
                <w:sz w:val="24"/>
                <w:szCs w:val="24"/>
                <w:bdr w:val="none" w:color="auto" w:sz="0" w:space="0"/>
                <w:lang w:val="en-US" w:eastAsia="zh-CN" w:bidi="ar"/>
              </w:rPr>
              <w:t xml:space="preserve">2.5-1 </w:t>
            </w:r>
            <w:r>
              <w:rPr>
                <w:rFonts w:hint="eastAsia" w:ascii="Times New Roman" w:hAnsi="Times New Roman" w:eastAsia="宋体" w:cs="宋体"/>
                <w:bCs/>
                <w:color w:val="000000"/>
                <w:kern w:val="2"/>
                <w:sz w:val="24"/>
                <w:szCs w:val="24"/>
                <w:bdr w:val="none" w:color="auto" w:sz="0" w:space="0"/>
                <w:lang w:val="en-US" w:eastAsia="zh-CN" w:bidi="ar"/>
              </w:rPr>
              <w:t>扩建项目主要设备表</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tblLayout w:type="fixed"/>
              <w:tblCellMar>
                <w:top w:w="0" w:type="dxa"/>
                <w:left w:w="108" w:type="dxa"/>
                <w:bottom w:w="0" w:type="dxa"/>
                <w:right w:w="108" w:type="dxa"/>
              </w:tblCellMar>
            </w:tblPr>
            <w:tblGrid>
              <w:gridCol w:w="639"/>
              <w:gridCol w:w="1805"/>
              <w:gridCol w:w="1123"/>
              <w:gridCol w:w="720"/>
              <w:gridCol w:w="1276"/>
              <w:gridCol w:w="850"/>
              <w:gridCol w:w="1973"/>
            </w:tblGrid>
            <w:tr w14:paraId="5A4F06F9">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tblCellMar>
                  <w:top w:w="0" w:type="dxa"/>
                  <w:left w:w="108" w:type="dxa"/>
                  <w:bottom w:w="0" w:type="dxa"/>
                  <w:right w:w="108" w:type="dxa"/>
                </w:tblCellMar>
              </w:tblPrEx>
              <w:trPr>
                <w:trHeight w:val="323" w:hRule="atLeast"/>
                <w:jc w:val="center"/>
              </w:trPr>
              <w:tc>
                <w:tcPr>
                  <w:tcW w:w="639" w:type="dxa"/>
                  <w:vMerge w:val="restart"/>
                  <w:tcBorders>
                    <w:top w:val="single" w:color="auto" w:sz="12" w:space="0"/>
                    <w:left w:val="nil"/>
                    <w:bottom w:val="single" w:color="auto" w:sz="8" w:space="0"/>
                    <w:right w:val="single" w:color="auto" w:sz="8" w:space="0"/>
                  </w:tcBorders>
                  <w:shd w:val="clear"/>
                  <w:vAlign w:val="center"/>
                </w:tcPr>
                <w:p w14:paraId="016AD24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Times New Roman" w:eastAsia="宋体" w:cs="宋体"/>
                      <w:bCs/>
                      <w:color w:val="000000"/>
                      <w:kern w:val="2"/>
                      <w:sz w:val="21"/>
                      <w:szCs w:val="21"/>
                      <w:bdr w:val="none" w:color="auto" w:sz="0" w:space="0"/>
                      <w:lang w:val="en-US" w:eastAsia="zh-CN" w:bidi="ar"/>
                    </w:rPr>
                    <w:t>序号</w:t>
                  </w:r>
                </w:p>
              </w:tc>
              <w:tc>
                <w:tcPr>
                  <w:tcW w:w="1804" w:type="dxa"/>
                  <w:vMerge w:val="restart"/>
                  <w:tcBorders>
                    <w:top w:val="single" w:color="auto" w:sz="12" w:space="0"/>
                    <w:left w:val="single" w:color="auto" w:sz="8" w:space="0"/>
                    <w:bottom w:val="single" w:color="auto" w:sz="8" w:space="0"/>
                    <w:right w:val="single" w:color="auto" w:sz="8" w:space="0"/>
                  </w:tcBorders>
                  <w:shd w:val="clear"/>
                  <w:vAlign w:val="center"/>
                </w:tcPr>
                <w:p w14:paraId="619C282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Times New Roman" w:eastAsia="宋体" w:cs="宋体"/>
                      <w:bCs/>
                      <w:color w:val="000000"/>
                      <w:kern w:val="2"/>
                      <w:sz w:val="21"/>
                      <w:szCs w:val="21"/>
                      <w:bdr w:val="none" w:color="auto" w:sz="0" w:space="0"/>
                      <w:lang w:val="en-US" w:eastAsia="zh-CN" w:bidi="ar"/>
                    </w:rPr>
                    <w:t>设备名称</w:t>
                  </w:r>
                </w:p>
              </w:tc>
              <w:tc>
                <w:tcPr>
                  <w:tcW w:w="1123" w:type="dxa"/>
                  <w:vMerge w:val="restart"/>
                  <w:tcBorders>
                    <w:top w:val="single" w:color="auto" w:sz="12" w:space="0"/>
                    <w:left w:val="single" w:color="auto" w:sz="8" w:space="0"/>
                    <w:bottom w:val="single" w:color="auto" w:sz="8" w:space="0"/>
                    <w:right w:val="single" w:color="auto" w:sz="8" w:space="0"/>
                  </w:tcBorders>
                  <w:shd w:val="clear"/>
                  <w:vAlign w:val="center"/>
                </w:tcPr>
                <w:p w14:paraId="1BD0586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Times New Roman" w:eastAsia="宋体" w:cs="宋体"/>
                      <w:bCs/>
                      <w:color w:val="000000"/>
                      <w:kern w:val="2"/>
                      <w:sz w:val="21"/>
                      <w:szCs w:val="21"/>
                      <w:bdr w:val="none" w:color="auto" w:sz="0" w:space="0"/>
                      <w:lang w:val="en-US" w:eastAsia="zh-CN" w:bidi="ar"/>
                    </w:rPr>
                    <w:t>型号</w:t>
                  </w:r>
                </w:p>
              </w:tc>
              <w:tc>
                <w:tcPr>
                  <w:tcW w:w="2846" w:type="dxa"/>
                  <w:gridSpan w:val="3"/>
                  <w:tcBorders>
                    <w:top w:val="single" w:color="auto" w:sz="12" w:space="0"/>
                    <w:left w:val="single" w:color="auto" w:sz="8" w:space="0"/>
                    <w:bottom w:val="single" w:color="auto" w:sz="8" w:space="0"/>
                    <w:right w:val="single" w:color="auto" w:sz="8" w:space="0"/>
                  </w:tcBorders>
                  <w:shd w:val="clear"/>
                  <w:vAlign w:val="center"/>
                </w:tcPr>
                <w:p w14:paraId="7BDF0FD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Times New Roman" w:eastAsia="宋体" w:cs="宋体"/>
                      <w:bCs/>
                      <w:color w:val="000000"/>
                      <w:kern w:val="2"/>
                      <w:sz w:val="21"/>
                      <w:szCs w:val="21"/>
                      <w:bdr w:val="none" w:color="auto" w:sz="0" w:space="0"/>
                      <w:lang w:val="en-US" w:eastAsia="zh-CN" w:bidi="ar"/>
                    </w:rPr>
                    <w:t>数量（台</w:t>
                  </w:r>
                  <w:r>
                    <w:rPr>
                      <w:rFonts w:hint="default" w:ascii="Times New Roman" w:hAnsi="Times New Roman" w:eastAsia="宋体" w:cs="Times New Roman"/>
                      <w:bCs/>
                      <w:color w:val="000000"/>
                      <w:kern w:val="2"/>
                      <w:sz w:val="21"/>
                      <w:szCs w:val="21"/>
                      <w:bdr w:val="none" w:color="auto" w:sz="0" w:space="0"/>
                      <w:lang w:val="en-US" w:eastAsia="zh-CN" w:bidi="ar"/>
                    </w:rPr>
                    <w:t>/</w:t>
                  </w:r>
                  <w:r>
                    <w:rPr>
                      <w:rFonts w:hint="eastAsia" w:ascii="Times New Roman" w:hAnsi="Times New Roman" w:eastAsia="宋体" w:cs="宋体"/>
                      <w:bCs/>
                      <w:color w:val="000000"/>
                      <w:kern w:val="2"/>
                      <w:sz w:val="21"/>
                      <w:szCs w:val="21"/>
                      <w:bdr w:val="none" w:color="auto" w:sz="0" w:space="0"/>
                      <w:lang w:val="en-US" w:eastAsia="zh-CN" w:bidi="ar"/>
                    </w:rPr>
                    <w:t>套）</w:t>
                  </w:r>
                </w:p>
              </w:tc>
              <w:tc>
                <w:tcPr>
                  <w:tcW w:w="1973" w:type="dxa"/>
                  <w:vMerge w:val="restart"/>
                  <w:tcBorders>
                    <w:top w:val="single" w:color="auto" w:sz="12" w:space="0"/>
                    <w:left w:val="single" w:color="auto" w:sz="8" w:space="0"/>
                    <w:bottom w:val="single" w:color="auto" w:sz="8" w:space="0"/>
                    <w:right w:val="nil"/>
                  </w:tcBorders>
                  <w:shd w:val="clear"/>
                  <w:vAlign w:val="center"/>
                </w:tcPr>
                <w:p w14:paraId="68F4B39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Times New Roman" w:eastAsia="宋体" w:cs="宋体"/>
                      <w:bCs/>
                      <w:color w:val="000000"/>
                      <w:kern w:val="2"/>
                      <w:sz w:val="21"/>
                      <w:szCs w:val="21"/>
                      <w:bdr w:val="none" w:color="auto" w:sz="0" w:space="0"/>
                      <w:lang w:val="en-US" w:eastAsia="zh-CN" w:bidi="ar"/>
                    </w:rPr>
                    <w:t>备注</w:t>
                  </w:r>
                </w:p>
              </w:tc>
            </w:tr>
            <w:tr w14:paraId="1163FFB9">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323" w:hRule="atLeast"/>
                <w:jc w:val="center"/>
              </w:trPr>
              <w:tc>
                <w:tcPr>
                  <w:tcW w:w="639" w:type="dxa"/>
                  <w:vMerge w:val="continue"/>
                  <w:tcBorders>
                    <w:top w:val="single" w:color="auto" w:sz="12" w:space="0"/>
                    <w:left w:val="nil"/>
                    <w:bottom w:val="single" w:color="auto" w:sz="8" w:space="0"/>
                    <w:right w:val="single" w:color="auto" w:sz="8" w:space="0"/>
                  </w:tcBorders>
                  <w:shd w:val="clear"/>
                  <w:vAlign w:val="center"/>
                </w:tcPr>
                <w:p w14:paraId="47772F64">
                  <w:pPr>
                    <w:rPr>
                      <w:rFonts w:hint="default" w:ascii="Calibri" w:hAnsi="Calibri" w:cs="Calibri"/>
                      <w:sz w:val="20"/>
                      <w:szCs w:val="20"/>
                    </w:rPr>
                  </w:pPr>
                </w:p>
              </w:tc>
              <w:tc>
                <w:tcPr>
                  <w:tcW w:w="1804" w:type="dxa"/>
                  <w:vMerge w:val="continue"/>
                  <w:tcBorders>
                    <w:top w:val="single" w:color="auto" w:sz="12" w:space="0"/>
                    <w:left w:val="single" w:color="auto" w:sz="8" w:space="0"/>
                    <w:bottom w:val="single" w:color="auto" w:sz="8" w:space="0"/>
                    <w:right w:val="single" w:color="auto" w:sz="8" w:space="0"/>
                  </w:tcBorders>
                  <w:shd w:val="clear"/>
                  <w:vAlign w:val="center"/>
                </w:tcPr>
                <w:p w14:paraId="71E346C6">
                  <w:pPr>
                    <w:rPr>
                      <w:rFonts w:hint="default" w:ascii="Calibri" w:hAnsi="Calibri" w:cs="Calibri"/>
                      <w:sz w:val="20"/>
                      <w:szCs w:val="20"/>
                    </w:rPr>
                  </w:pPr>
                </w:p>
              </w:tc>
              <w:tc>
                <w:tcPr>
                  <w:tcW w:w="1123" w:type="dxa"/>
                  <w:vMerge w:val="continue"/>
                  <w:tcBorders>
                    <w:top w:val="single" w:color="auto" w:sz="12" w:space="0"/>
                    <w:left w:val="single" w:color="auto" w:sz="8" w:space="0"/>
                    <w:bottom w:val="single" w:color="auto" w:sz="8" w:space="0"/>
                    <w:right w:val="single" w:color="auto" w:sz="8" w:space="0"/>
                  </w:tcBorders>
                  <w:shd w:val="clear"/>
                  <w:vAlign w:val="center"/>
                </w:tcPr>
                <w:p w14:paraId="0478E6CE">
                  <w:pPr>
                    <w:rPr>
                      <w:rFonts w:hint="default" w:ascii="Calibri" w:hAnsi="Calibri" w:cs="Calibri"/>
                      <w:sz w:val="20"/>
                      <w:szCs w:val="20"/>
                    </w:rPr>
                  </w:pPr>
                </w:p>
              </w:tc>
              <w:tc>
                <w:tcPr>
                  <w:tcW w:w="720" w:type="dxa"/>
                  <w:tcBorders>
                    <w:top w:val="single" w:color="auto" w:sz="8" w:space="0"/>
                    <w:left w:val="single" w:color="auto" w:sz="8" w:space="0"/>
                    <w:bottom w:val="single" w:color="auto" w:sz="8" w:space="0"/>
                    <w:right w:val="single" w:color="auto" w:sz="8" w:space="0"/>
                  </w:tcBorders>
                  <w:shd w:val="clear"/>
                  <w:vAlign w:val="center"/>
                </w:tcPr>
                <w:p w14:paraId="57AC5DB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Times New Roman" w:eastAsia="宋体" w:cs="宋体"/>
                      <w:bCs/>
                      <w:color w:val="000000"/>
                      <w:kern w:val="2"/>
                      <w:sz w:val="21"/>
                      <w:szCs w:val="21"/>
                      <w:bdr w:val="none" w:color="auto" w:sz="0" w:space="0"/>
                      <w:lang w:val="en-US" w:eastAsia="zh-CN" w:bidi="ar"/>
                    </w:rPr>
                    <w:t>现有</w:t>
                  </w:r>
                </w:p>
              </w:tc>
              <w:tc>
                <w:tcPr>
                  <w:tcW w:w="1276" w:type="dxa"/>
                  <w:tcBorders>
                    <w:top w:val="single" w:color="auto" w:sz="8" w:space="0"/>
                    <w:left w:val="single" w:color="auto" w:sz="8" w:space="0"/>
                    <w:bottom w:val="single" w:color="auto" w:sz="8" w:space="0"/>
                    <w:right w:val="single" w:color="auto" w:sz="8" w:space="0"/>
                  </w:tcBorders>
                  <w:shd w:val="clear"/>
                  <w:vAlign w:val="center"/>
                </w:tcPr>
                <w:p w14:paraId="105C9695">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Times New Roman" w:eastAsia="宋体" w:cs="宋体"/>
                      <w:bCs/>
                      <w:color w:val="000000"/>
                      <w:kern w:val="2"/>
                      <w:sz w:val="21"/>
                      <w:szCs w:val="21"/>
                      <w:bdr w:val="none" w:color="auto" w:sz="0" w:space="0"/>
                      <w:lang w:val="en-US" w:eastAsia="zh-CN" w:bidi="ar"/>
                    </w:rPr>
                    <w:t>扩建后</w:t>
                  </w:r>
                </w:p>
              </w:tc>
              <w:tc>
                <w:tcPr>
                  <w:tcW w:w="850" w:type="dxa"/>
                  <w:tcBorders>
                    <w:top w:val="single" w:color="auto" w:sz="8" w:space="0"/>
                    <w:left w:val="single" w:color="auto" w:sz="8" w:space="0"/>
                    <w:bottom w:val="single" w:color="auto" w:sz="8" w:space="0"/>
                    <w:right w:val="single" w:color="auto" w:sz="8" w:space="0"/>
                  </w:tcBorders>
                  <w:shd w:val="clear"/>
                  <w:vAlign w:val="center"/>
                </w:tcPr>
                <w:p w14:paraId="2BD7BD03">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Times New Roman" w:eastAsia="宋体" w:cs="宋体"/>
                      <w:bCs/>
                      <w:color w:val="000000"/>
                      <w:kern w:val="2"/>
                      <w:sz w:val="21"/>
                      <w:szCs w:val="21"/>
                      <w:bdr w:val="none" w:color="auto" w:sz="0" w:space="0"/>
                      <w:lang w:val="en-US" w:eastAsia="zh-CN" w:bidi="ar"/>
                    </w:rPr>
                    <w:t>变化量</w:t>
                  </w:r>
                </w:p>
              </w:tc>
              <w:tc>
                <w:tcPr>
                  <w:tcW w:w="1973" w:type="dxa"/>
                  <w:vMerge w:val="continue"/>
                  <w:tcBorders>
                    <w:top w:val="single" w:color="auto" w:sz="12" w:space="0"/>
                    <w:left w:val="single" w:color="auto" w:sz="8" w:space="0"/>
                    <w:bottom w:val="single" w:color="auto" w:sz="8" w:space="0"/>
                    <w:right w:val="nil"/>
                  </w:tcBorders>
                  <w:shd w:val="clear"/>
                  <w:vAlign w:val="center"/>
                </w:tcPr>
                <w:p w14:paraId="7CE8F025">
                  <w:pPr>
                    <w:rPr>
                      <w:rFonts w:hint="default" w:ascii="Calibri" w:hAnsi="Calibri" w:cs="Calibri"/>
                      <w:sz w:val="20"/>
                      <w:szCs w:val="20"/>
                    </w:rPr>
                  </w:pPr>
                </w:p>
              </w:tc>
            </w:tr>
            <w:tr w14:paraId="6CA736EA">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325" w:hRule="atLeast"/>
                <w:jc w:val="center"/>
              </w:trPr>
              <w:tc>
                <w:tcPr>
                  <w:tcW w:w="639" w:type="dxa"/>
                  <w:tcBorders>
                    <w:top w:val="single" w:color="auto" w:sz="8" w:space="0"/>
                    <w:left w:val="nil"/>
                    <w:bottom w:val="single" w:color="auto" w:sz="8" w:space="0"/>
                    <w:right w:val="single" w:color="auto" w:sz="8" w:space="0"/>
                  </w:tcBorders>
                  <w:shd w:val="clear"/>
                  <w:vAlign w:val="center"/>
                </w:tcPr>
                <w:p w14:paraId="0EB58C33">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1</w:t>
                  </w:r>
                </w:p>
              </w:tc>
              <w:tc>
                <w:tcPr>
                  <w:tcW w:w="1804" w:type="dxa"/>
                  <w:tcBorders>
                    <w:top w:val="single" w:color="auto" w:sz="8" w:space="0"/>
                    <w:left w:val="single" w:color="auto" w:sz="8" w:space="0"/>
                    <w:bottom w:val="single" w:color="auto" w:sz="8" w:space="0"/>
                    <w:right w:val="single" w:color="auto" w:sz="8" w:space="0"/>
                  </w:tcBorders>
                  <w:shd w:val="clear"/>
                  <w:vAlign w:val="center"/>
                </w:tcPr>
                <w:p w14:paraId="4C11EEF4">
                  <w:pPr>
                    <w:pStyle w:val="70"/>
                    <w:widowControl/>
                    <w:spacing w:line="240" w:lineRule="auto"/>
                    <w:rPr>
                      <w:b w:val="0"/>
                      <w:bCs w:val="0"/>
                      <w:color w:val="000000"/>
                      <w:sz w:val="21"/>
                      <w:szCs w:val="21"/>
                      <w:bdr w:val="none" w:color="auto" w:sz="0" w:space="0"/>
                      <w:lang w:val="en-US"/>
                    </w:rPr>
                  </w:pPr>
                  <w:r>
                    <w:rPr>
                      <w:rFonts w:hint="eastAsia" w:ascii="Times New Roman" w:hAnsi="Times New Roman" w:eastAsia="宋体" w:cs="宋体"/>
                      <w:b w:val="0"/>
                      <w:bCs w:val="0"/>
                      <w:color w:val="000000"/>
                      <w:sz w:val="21"/>
                      <w:szCs w:val="21"/>
                      <w:bdr w:val="none" w:color="auto" w:sz="0" w:space="0"/>
                    </w:rPr>
                    <w:t>皮革分切机</w:t>
                  </w:r>
                </w:p>
              </w:tc>
              <w:tc>
                <w:tcPr>
                  <w:tcW w:w="1123" w:type="dxa"/>
                  <w:tcBorders>
                    <w:top w:val="single" w:color="auto" w:sz="8" w:space="0"/>
                    <w:left w:val="single" w:color="auto" w:sz="8" w:space="0"/>
                    <w:bottom w:val="single" w:color="auto" w:sz="8" w:space="0"/>
                    <w:right w:val="single" w:color="auto" w:sz="8" w:space="0"/>
                  </w:tcBorders>
                  <w:shd w:val="clear"/>
                  <w:vAlign w:val="center"/>
                </w:tcPr>
                <w:p w14:paraId="4E73E729">
                  <w:pPr>
                    <w:pStyle w:val="70"/>
                    <w:widowControl/>
                    <w:spacing w:line="240" w:lineRule="auto"/>
                    <w:rPr>
                      <w:b w:val="0"/>
                      <w:bCs w:val="0"/>
                      <w:color w:val="000000"/>
                      <w:sz w:val="21"/>
                      <w:szCs w:val="21"/>
                      <w:bdr w:val="none" w:color="auto" w:sz="0" w:space="0"/>
                      <w:lang w:val="en-US"/>
                    </w:rPr>
                  </w:pPr>
                  <w:r>
                    <w:rPr>
                      <w:rFonts w:hint="eastAsia" w:ascii="Times New Roman" w:hAnsi="Times New Roman" w:eastAsia="宋体" w:cs="宋体"/>
                      <w:b w:val="0"/>
                      <w:bCs w:val="0"/>
                      <w:color w:val="000000"/>
                      <w:sz w:val="21"/>
                      <w:szCs w:val="21"/>
                      <w:bdr w:val="none" w:color="auto" w:sz="0" w:space="0"/>
                    </w:rPr>
                    <w:t>非标设备</w:t>
                  </w:r>
                </w:p>
              </w:tc>
              <w:tc>
                <w:tcPr>
                  <w:tcW w:w="720" w:type="dxa"/>
                  <w:tcBorders>
                    <w:top w:val="single" w:color="auto" w:sz="8" w:space="0"/>
                    <w:left w:val="single" w:color="auto" w:sz="8" w:space="0"/>
                    <w:bottom w:val="single" w:color="auto" w:sz="8" w:space="0"/>
                    <w:right w:val="single" w:color="auto" w:sz="8" w:space="0"/>
                  </w:tcBorders>
                  <w:shd w:val="clear"/>
                  <w:vAlign w:val="center"/>
                </w:tcPr>
                <w:p w14:paraId="7B47FF2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1</w:t>
                  </w:r>
                </w:p>
              </w:tc>
              <w:tc>
                <w:tcPr>
                  <w:tcW w:w="1276" w:type="dxa"/>
                  <w:tcBorders>
                    <w:top w:val="single" w:color="auto" w:sz="8" w:space="0"/>
                    <w:left w:val="single" w:color="auto" w:sz="8" w:space="0"/>
                    <w:bottom w:val="single" w:color="auto" w:sz="8" w:space="0"/>
                    <w:right w:val="single" w:color="auto" w:sz="8" w:space="0"/>
                  </w:tcBorders>
                  <w:shd w:val="clear"/>
                  <w:vAlign w:val="center"/>
                </w:tcPr>
                <w:p w14:paraId="6169749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1</w:t>
                  </w:r>
                </w:p>
              </w:tc>
              <w:tc>
                <w:tcPr>
                  <w:tcW w:w="850" w:type="dxa"/>
                  <w:tcBorders>
                    <w:top w:val="single" w:color="auto" w:sz="8" w:space="0"/>
                    <w:left w:val="single" w:color="auto" w:sz="8" w:space="0"/>
                    <w:bottom w:val="single" w:color="auto" w:sz="8" w:space="0"/>
                    <w:right w:val="single" w:color="auto" w:sz="8" w:space="0"/>
                  </w:tcBorders>
                  <w:shd w:val="clear"/>
                  <w:vAlign w:val="center"/>
                </w:tcPr>
                <w:p w14:paraId="5C1AF3E5">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0</w:t>
                  </w:r>
                </w:p>
              </w:tc>
              <w:tc>
                <w:tcPr>
                  <w:tcW w:w="1973" w:type="dxa"/>
                  <w:tcBorders>
                    <w:top w:val="single" w:color="auto" w:sz="8" w:space="0"/>
                    <w:left w:val="single" w:color="auto" w:sz="8" w:space="0"/>
                    <w:bottom w:val="single" w:color="auto" w:sz="8" w:space="0"/>
                    <w:right w:val="nil"/>
                  </w:tcBorders>
                  <w:shd w:val="clear"/>
                  <w:vAlign w:val="center"/>
                </w:tcPr>
                <w:p w14:paraId="731F0B43">
                  <w:pPr>
                    <w:pStyle w:val="70"/>
                    <w:widowControl/>
                    <w:spacing w:line="240" w:lineRule="auto"/>
                    <w:rPr>
                      <w:b w:val="0"/>
                      <w:bCs w:val="0"/>
                      <w:color w:val="000000"/>
                      <w:sz w:val="21"/>
                      <w:szCs w:val="21"/>
                      <w:bdr w:val="none" w:color="auto" w:sz="0" w:space="0"/>
                      <w:lang w:val="en-US"/>
                    </w:rPr>
                  </w:pPr>
                  <w:r>
                    <w:rPr>
                      <w:rFonts w:hint="eastAsia" w:ascii="Times New Roman" w:hAnsi="Times New Roman" w:eastAsia="宋体" w:cs="宋体"/>
                      <w:b w:val="0"/>
                      <w:bCs w:val="0"/>
                      <w:color w:val="000000"/>
                      <w:sz w:val="21"/>
                      <w:szCs w:val="21"/>
                      <w:bdr w:val="none" w:color="auto" w:sz="0" w:space="0"/>
                    </w:rPr>
                    <w:t>皮革分切</w:t>
                  </w:r>
                </w:p>
              </w:tc>
            </w:tr>
            <w:tr w14:paraId="43C3B654">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vAlign w:val="center"/>
                </w:tcPr>
                <w:p w14:paraId="3F284B0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2</w:t>
                  </w:r>
                </w:p>
              </w:tc>
              <w:tc>
                <w:tcPr>
                  <w:tcW w:w="1804" w:type="dxa"/>
                  <w:tcBorders>
                    <w:top w:val="single" w:color="auto" w:sz="8" w:space="0"/>
                    <w:left w:val="single" w:color="auto" w:sz="8" w:space="0"/>
                    <w:bottom w:val="single" w:color="auto" w:sz="8" w:space="0"/>
                    <w:right w:val="single" w:color="auto" w:sz="8" w:space="0"/>
                  </w:tcBorders>
                  <w:shd w:val="clear"/>
                  <w:vAlign w:val="center"/>
                </w:tcPr>
                <w:p w14:paraId="04A79BB6">
                  <w:pPr>
                    <w:keepNext w:val="0"/>
                    <w:keepLines w:val="0"/>
                    <w:widowControl/>
                    <w:suppressLineNumbers w:val="0"/>
                    <w:spacing w:before="0" w:beforeAutospacing="0" w:after="0" w:afterAutospacing="0"/>
                    <w:ind w:left="0" w:right="0"/>
                    <w:jc w:val="center"/>
                    <w:textAlignment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皮革复合生产线</w:t>
                  </w:r>
                </w:p>
              </w:tc>
              <w:tc>
                <w:tcPr>
                  <w:tcW w:w="1123" w:type="dxa"/>
                  <w:tcBorders>
                    <w:top w:val="single" w:color="auto" w:sz="8" w:space="0"/>
                    <w:left w:val="single" w:color="auto" w:sz="8" w:space="0"/>
                    <w:bottom w:val="single" w:color="auto" w:sz="8" w:space="0"/>
                    <w:right w:val="single" w:color="auto" w:sz="8" w:space="0"/>
                  </w:tcBorders>
                  <w:shd w:val="clear"/>
                  <w:vAlign w:val="center"/>
                </w:tcPr>
                <w:p w14:paraId="5A114C15">
                  <w:pPr>
                    <w:pStyle w:val="70"/>
                    <w:widowControl/>
                    <w:spacing w:line="240" w:lineRule="auto"/>
                    <w:rPr>
                      <w:b w:val="0"/>
                      <w:bCs w:val="0"/>
                      <w:color w:val="000000"/>
                      <w:sz w:val="21"/>
                      <w:szCs w:val="21"/>
                      <w:bdr w:val="none" w:color="auto" w:sz="0" w:space="0"/>
                      <w:lang w:val="en-US"/>
                    </w:rPr>
                  </w:pPr>
                  <w:r>
                    <w:rPr>
                      <w:rFonts w:hint="eastAsia" w:ascii="Times New Roman" w:hAnsi="Times New Roman" w:eastAsia="宋体" w:cs="宋体"/>
                      <w:b w:val="0"/>
                      <w:bCs w:val="0"/>
                      <w:color w:val="000000"/>
                      <w:sz w:val="21"/>
                      <w:szCs w:val="21"/>
                      <w:bdr w:val="none" w:color="auto" w:sz="0" w:space="0"/>
                    </w:rPr>
                    <w:t>非标设备</w:t>
                  </w:r>
                </w:p>
              </w:tc>
              <w:tc>
                <w:tcPr>
                  <w:tcW w:w="720" w:type="dxa"/>
                  <w:tcBorders>
                    <w:top w:val="single" w:color="auto" w:sz="8" w:space="0"/>
                    <w:left w:val="single" w:color="auto" w:sz="8" w:space="0"/>
                    <w:bottom w:val="single" w:color="auto" w:sz="8" w:space="0"/>
                    <w:right w:val="single" w:color="auto" w:sz="8" w:space="0"/>
                  </w:tcBorders>
                  <w:shd w:val="clear"/>
                  <w:vAlign w:val="center"/>
                </w:tcPr>
                <w:p w14:paraId="2762C7F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5</w:t>
                  </w:r>
                </w:p>
              </w:tc>
              <w:tc>
                <w:tcPr>
                  <w:tcW w:w="1276" w:type="dxa"/>
                  <w:tcBorders>
                    <w:top w:val="single" w:color="auto" w:sz="8" w:space="0"/>
                    <w:left w:val="single" w:color="auto" w:sz="8" w:space="0"/>
                    <w:bottom w:val="single" w:color="auto" w:sz="8" w:space="0"/>
                    <w:right w:val="single" w:color="auto" w:sz="8" w:space="0"/>
                  </w:tcBorders>
                  <w:shd w:val="clear"/>
                  <w:vAlign w:val="center"/>
                </w:tcPr>
                <w:p w14:paraId="717E171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5</w:t>
                  </w:r>
                </w:p>
              </w:tc>
              <w:tc>
                <w:tcPr>
                  <w:tcW w:w="850" w:type="dxa"/>
                  <w:tcBorders>
                    <w:top w:val="single" w:color="auto" w:sz="8" w:space="0"/>
                    <w:left w:val="single" w:color="auto" w:sz="8" w:space="0"/>
                    <w:bottom w:val="single" w:color="auto" w:sz="8" w:space="0"/>
                    <w:right w:val="single" w:color="auto" w:sz="8" w:space="0"/>
                  </w:tcBorders>
                  <w:shd w:val="clear"/>
                  <w:vAlign w:val="center"/>
                </w:tcPr>
                <w:p w14:paraId="4B7C2A8A">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0</w:t>
                  </w:r>
                </w:p>
              </w:tc>
              <w:tc>
                <w:tcPr>
                  <w:tcW w:w="1973" w:type="dxa"/>
                  <w:tcBorders>
                    <w:top w:val="single" w:color="auto" w:sz="8" w:space="0"/>
                    <w:left w:val="single" w:color="auto" w:sz="8" w:space="0"/>
                    <w:bottom w:val="single" w:color="auto" w:sz="8" w:space="0"/>
                    <w:right w:val="nil"/>
                  </w:tcBorders>
                  <w:shd w:val="clear"/>
                  <w:vAlign w:val="center"/>
                </w:tcPr>
                <w:p w14:paraId="7DFE1E62">
                  <w:pPr>
                    <w:pStyle w:val="70"/>
                    <w:widowControl/>
                    <w:spacing w:line="240" w:lineRule="auto"/>
                    <w:rPr>
                      <w:b w:val="0"/>
                      <w:bCs w:val="0"/>
                      <w:color w:val="000000"/>
                      <w:sz w:val="21"/>
                      <w:szCs w:val="21"/>
                      <w:bdr w:val="none" w:color="auto" w:sz="0" w:space="0"/>
                      <w:lang w:val="en-US"/>
                    </w:rPr>
                  </w:pPr>
                  <w:r>
                    <w:rPr>
                      <w:rFonts w:hint="eastAsia" w:ascii="Times New Roman" w:hAnsi="Times New Roman" w:eastAsia="宋体" w:cs="宋体"/>
                      <w:b w:val="0"/>
                      <w:bCs w:val="0"/>
                      <w:color w:val="000000"/>
                      <w:sz w:val="21"/>
                      <w:szCs w:val="21"/>
                      <w:bdr w:val="none" w:color="auto" w:sz="0" w:space="0"/>
                    </w:rPr>
                    <w:t>皮革复合生产（含滚边、封边）</w:t>
                  </w:r>
                </w:p>
              </w:tc>
            </w:tr>
            <w:tr w14:paraId="199D6BD5">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vAlign w:val="center"/>
                </w:tcPr>
                <w:p w14:paraId="77966F9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3</w:t>
                  </w:r>
                </w:p>
              </w:tc>
              <w:tc>
                <w:tcPr>
                  <w:tcW w:w="1804" w:type="dxa"/>
                  <w:tcBorders>
                    <w:top w:val="single" w:color="auto" w:sz="8" w:space="0"/>
                    <w:left w:val="single" w:color="auto" w:sz="8" w:space="0"/>
                    <w:bottom w:val="single" w:color="auto" w:sz="8" w:space="0"/>
                    <w:right w:val="single" w:color="auto" w:sz="8" w:space="0"/>
                  </w:tcBorders>
                  <w:shd w:val="clear"/>
                  <w:vAlign w:val="center"/>
                </w:tcPr>
                <w:p w14:paraId="60C2E0CE">
                  <w:pPr>
                    <w:keepNext w:val="0"/>
                    <w:keepLines w:val="0"/>
                    <w:widowControl/>
                    <w:suppressLineNumbers w:val="0"/>
                    <w:spacing w:before="0" w:beforeAutospacing="0" w:after="0" w:afterAutospacing="0"/>
                    <w:ind w:left="0" w:right="0"/>
                    <w:jc w:val="center"/>
                    <w:textAlignment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收卷机</w:t>
                  </w:r>
                </w:p>
              </w:tc>
              <w:tc>
                <w:tcPr>
                  <w:tcW w:w="1123" w:type="dxa"/>
                  <w:tcBorders>
                    <w:top w:val="single" w:color="auto" w:sz="8" w:space="0"/>
                    <w:left w:val="single" w:color="auto" w:sz="8" w:space="0"/>
                    <w:bottom w:val="single" w:color="auto" w:sz="8" w:space="0"/>
                    <w:right w:val="single" w:color="auto" w:sz="8" w:space="0"/>
                  </w:tcBorders>
                  <w:shd w:val="clear"/>
                  <w:vAlign w:val="center"/>
                </w:tcPr>
                <w:p w14:paraId="259AC3A2">
                  <w:pPr>
                    <w:pStyle w:val="70"/>
                    <w:widowControl/>
                    <w:spacing w:line="240" w:lineRule="auto"/>
                    <w:rPr>
                      <w:b w:val="0"/>
                      <w:bCs w:val="0"/>
                      <w:color w:val="000000"/>
                      <w:sz w:val="21"/>
                      <w:szCs w:val="21"/>
                      <w:bdr w:val="none" w:color="auto" w:sz="0" w:space="0"/>
                      <w:lang w:val="en-US"/>
                    </w:rPr>
                  </w:pPr>
                  <w:r>
                    <w:rPr>
                      <w:rFonts w:hint="eastAsia" w:ascii="Times New Roman" w:hAnsi="Times New Roman" w:eastAsia="宋体" w:cs="宋体"/>
                      <w:b w:val="0"/>
                      <w:bCs w:val="0"/>
                      <w:color w:val="000000"/>
                      <w:sz w:val="21"/>
                      <w:szCs w:val="21"/>
                      <w:bdr w:val="none" w:color="auto" w:sz="0" w:space="0"/>
                    </w:rPr>
                    <w:t>非标设备</w:t>
                  </w:r>
                </w:p>
              </w:tc>
              <w:tc>
                <w:tcPr>
                  <w:tcW w:w="720" w:type="dxa"/>
                  <w:tcBorders>
                    <w:top w:val="single" w:color="auto" w:sz="8" w:space="0"/>
                    <w:left w:val="single" w:color="auto" w:sz="8" w:space="0"/>
                    <w:bottom w:val="single" w:color="auto" w:sz="8" w:space="0"/>
                    <w:right w:val="single" w:color="auto" w:sz="8" w:space="0"/>
                  </w:tcBorders>
                  <w:shd w:val="clear"/>
                  <w:vAlign w:val="center"/>
                </w:tcPr>
                <w:p w14:paraId="0E3F1CF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1</w:t>
                  </w:r>
                </w:p>
              </w:tc>
              <w:tc>
                <w:tcPr>
                  <w:tcW w:w="1276" w:type="dxa"/>
                  <w:tcBorders>
                    <w:top w:val="single" w:color="auto" w:sz="8" w:space="0"/>
                    <w:left w:val="single" w:color="auto" w:sz="8" w:space="0"/>
                    <w:bottom w:val="single" w:color="auto" w:sz="8" w:space="0"/>
                    <w:right w:val="single" w:color="auto" w:sz="8" w:space="0"/>
                  </w:tcBorders>
                  <w:shd w:val="clear"/>
                  <w:vAlign w:val="center"/>
                </w:tcPr>
                <w:p w14:paraId="6D1CC3ED">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1</w:t>
                  </w:r>
                </w:p>
              </w:tc>
              <w:tc>
                <w:tcPr>
                  <w:tcW w:w="850" w:type="dxa"/>
                  <w:tcBorders>
                    <w:top w:val="single" w:color="auto" w:sz="8" w:space="0"/>
                    <w:left w:val="single" w:color="auto" w:sz="8" w:space="0"/>
                    <w:bottom w:val="single" w:color="auto" w:sz="8" w:space="0"/>
                    <w:right w:val="single" w:color="auto" w:sz="8" w:space="0"/>
                  </w:tcBorders>
                  <w:shd w:val="clear"/>
                  <w:vAlign w:val="center"/>
                </w:tcPr>
                <w:p w14:paraId="475185BC">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0</w:t>
                  </w:r>
                </w:p>
              </w:tc>
              <w:tc>
                <w:tcPr>
                  <w:tcW w:w="1973" w:type="dxa"/>
                  <w:tcBorders>
                    <w:top w:val="single" w:color="auto" w:sz="8" w:space="0"/>
                    <w:left w:val="single" w:color="auto" w:sz="8" w:space="0"/>
                    <w:bottom w:val="single" w:color="auto" w:sz="8" w:space="0"/>
                    <w:right w:val="nil"/>
                  </w:tcBorders>
                  <w:shd w:val="clear"/>
                  <w:vAlign w:val="center"/>
                </w:tcPr>
                <w:p w14:paraId="2E7F680A">
                  <w:pPr>
                    <w:pStyle w:val="70"/>
                    <w:widowControl/>
                    <w:spacing w:line="240" w:lineRule="auto"/>
                    <w:rPr>
                      <w:b w:val="0"/>
                      <w:bCs w:val="0"/>
                      <w:color w:val="000000"/>
                      <w:sz w:val="21"/>
                      <w:szCs w:val="21"/>
                      <w:bdr w:val="none" w:color="auto" w:sz="0" w:space="0"/>
                      <w:lang w:val="en-US"/>
                    </w:rPr>
                  </w:pPr>
                  <w:r>
                    <w:rPr>
                      <w:rFonts w:hint="eastAsia" w:ascii="Times New Roman" w:hAnsi="Times New Roman" w:eastAsia="宋体" w:cs="宋体"/>
                      <w:b w:val="0"/>
                      <w:bCs w:val="0"/>
                      <w:color w:val="000000"/>
                      <w:sz w:val="21"/>
                      <w:szCs w:val="21"/>
                      <w:bdr w:val="none" w:color="auto" w:sz="0" w:space="0"/>
                    </w:rPr>
                    <w:t>收卷</w:t>
                  </w:r>
                </w:p>
              </w:tc>
            </w:tr>
            <w:tr w14:paraId="42A81D52">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vAlign w:val="center"/>
                </w:tcPr>
                <w:p w14:paraId="3EAE99C3">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4</w:t>
                  </w:r>
                </w:p>
              </w:tc>
              <w:tc>
                <w:tcPr>
                  <w:tcW w:w="1804" w:type="dxa"/>
                  <w:tcBorders>
                    <w:top w:val="single" w:color="auto" w:sz="8" w:space="0"/>
                    <w:left w:val="single" w:color="auto" w:sz="8" w:space="0"/>
                    <w:bottom w:val="single" w:color="auto" w:sz="8" w:space="0"/>
                    <w:right w:val="single" w:color="auto" w:sz="8" w:space="0"/>
                  </w:tcBorders>
                  <w:shd w:val="clear"/>
                  <w:vAlign w:val="center"/>
                </w:tcPr>
                <w:p w14:paraId="42FD2699">
                  <w:pPr>
                    <w:pStyle w:val="70"/>
                    <w:widowControl/>
                    <w:spacing w:line="240" w:lineRule="auto"/>
                    <w:rPr>
                      <w:b w:val="0"/>
                      <w:bCs w:val="0"/>
                      <w:color w:val="000000"/>
                      <w:sz w:val="21"/>
                      <w:szCs w:val="21"/>
                      <w:bdr w:val="none" w:color="auto" w:sz="0" w:space="0"/>
                      <w:lang w:val="en-US"/>
                    </w:rPr>
                  </w:pPr>
                  <w:r>
                    <w:rPr>
                      <w:rFonts w:hint="eastAsia" w:ascii="Times New Roman" w:hAnsi="Times New Roman" w:eastAsia="宋体" w:cs="宋体"/>
                      <w:b w:val="0"/>
                      <w:bCs w:val="0"/>
                      <w:color w:val="000000"/>
                      <w:sz w:val="21"/>
                      <w:szCs w:val="21"/>
                      <w:bdr w:val="none" w:color="auto" w:sz="0" w:space="0"/>
                    </w:rPr>
                    <w:t>涂胶分切机</w:t>
                  </w:r>
                </w:p>
              </w:tc>
              <w:tc>
                <w:tcPr>
                  <w:tcW w:w="1123" w:type="dxa"/>
                  <w:tcBorders>
                    <w:top w:val="single" w:color="auto" w:sz="8" w:space="0"/>
                    <w:left w:val="single" w:color="auto" w:sz="8" w:space="0"/>
                    <w:bottom w:val="single" w:color="auto" w:sz="8" w:space="0"/>
                    <w:right w:val="single" w:color="auto" w:sz="8" w:space="0"/>
                  </w:tcBorders>
                  <w:shd w:val="clear"/>
                  <w:vAlign w:val="center"/>
                </w:tcPr>
                <w:p w14:paraId="2E0ACA3A">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600</w:t>
                  </w:r>
                  <w:r>
                    <w:rPr>
                      <w:rFonts w:hint="eastAsia" w:ascii="Times New Roman" w:hAnsi="Times New Roman" w:eastAsia="宋体" w:cs="宋体"/>
                      <w:b w:val="0"/>
                      <w:bCs w:val="0"/>
                      <w:color w:val="000000"/>
                      <w:sz w:val="21"/>
                      <w:szCs w:val="21"/>
                      <w:bdr w:val="none" w:color="auto" w:sz="0" w:space="0"/>
                    </w:rPr>
                    <w:t>型</w:t>
                  </w:r>
                </w:p>
              </w:tc>
              <w:tc>
                <w:tcPr>
                  <w:tcW w:w="720" w:type="dxa"/>
                  <w:tcBorders>
                    <w:top w:val="single" w:color="auto" w:sz="8" w:space="0"/>
                    <w:left w:val="single" w:color="auto" w:sz="8" w:space="0"/>
                    <w:bottom w:val="single" w:color="auto" w:sz="8" w:space="0"/>
                    <w:right w:val="single" w:color="auto" w:sz="8" w:space="0"/>
                  </w:tcBorders>
                  <w:shd w:val="clear"/>
                  <w:vAlign w:val="center"/>
                </w:tcPr>
                <w:p w14:paraId="547C27C8">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2</w:t>
                  </w:r>
                </w:p>
              </w:tc>
              <w:tc>
                <w:tcPr>
                  <w:tcW w:w="1276" w:type="dxa"/>
                  <w:tcBorders>
                    <w:top w:val="single" w:color="auto" w:sz="8" w:space="0"/>
                    <w:left w:val="single" w:color="auto" w:sz="8" w:space="0"/>
                    <w:bottom w:val="single" w:color="auto" w:sz="8" w:space="0"/>
                    <w:right w:val="single" w:color="auto" w:sz="8" w:space="0"/>
                  </w:tcBorders>
                  <w:shd w:val="clear"/>
                  <w:vAlign w:val="center"/>
                </w:tcPr>
                <w:p w14:paraId="376E02F2">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2</w:t>
                  </w:r>
                </w:p>
              </w:tc>
              <w:tc>
                <w:tcPr>
                  <w:tcW w:w="850" w:type="dxa"/>
                  <w:tcBorders>
                    <w:top w:val="single" w:color="auto" w:sz="8" w:space="0"/>
                    <w:left w:val="single" w:color="auto" w:sz="8" w:space="0"/>
                    <w:bottom w:val="single" w:color="auto" w:sz="8" w:space="0"/>
                    <w:right w:val="single" w:color="auto" w:sz="8" w:space="0"/>
                  </w:tcBorders>
                  <w:shd w:val="clear"/>
                  <w:vAlign w:val="center"/>
                </w:tcPr>
                <w:p w14:paraId="4FE48C4D">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0</w:t>
                  </w:r>
                </w:p>
              </w:tc>
              <w:tc>
                <w:tcPr>
                  <w:tcW w:w="1973" w:type="dxa"/>
                  <w:tcBorders>
                    <w:top w:val="single" w:color="auto" w:sz="8" w:space="0"/>
                    <w:left w:val="single" w:color="auto" w:sz="8" w:space="0"/>
                    <w:bottom w:val="single" w:color="auto" w:sz="8" w:space="0"/>
                    <w:right w:val="nil"/>
                  </w:tcBorders>
                  <w:shd w:val="clear"/>
                  <w:vAlign w:val="center"/>
                </w:tcPr>
                <w:p w14:paraId="07E3A47F">
                  <w:pPr>
                    <w:pStyle w:val="70"/>
                    <w:widowControl/>
                    <w:spacing w:line="240" w:lineRule="auto"/>
                    <w:rPr>
                      <w:b w:val="0"/>
                      <w:bCs w:val="0"/>
                      <w:color w:val="000000"/>
                      <w:sz w:val="21"/>
                      <w:szCs w:val="21"/>
                      <w:bdr w:val="none" w:color="auto" w:sz="0" w:space="0"/>
                      <w:lang w:val="en-US"/>
                    </w:rPr>
                  </w:pPr>
                  <w:r>
                    <w:rPr>
                      <w:rFonts w:hint="eastAsia" w:ascii="Times New Roman" w:hAnsi="Times New Roman" w:eastAsia="宋体" w:cs="宋体"/>
                      <w:b w:val="0"/>
                      <w:bCs w:val="0"/>
                      <w:color w:val="000000"/>
                      <w:sz w:val="21"/>
                      <w:szCs w:val="21"/>
                      <w:bdr w:val="none" w:color="auto" w:sz="0" w:space="0"/>
                    </w:rPr>
                    <w:t>硅胶泡棉涂胶</w:t>
                  </w:r>
                </w:p>
              </w:tc>
            </w:tr>
            <w:tr w14:paraId="700A829A">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vAlign w:val="center"/>
                </w:tcPr>
                <w:p w14:paraId="26E6D03E">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5</w:t>
                  </w:r>
                </w:p>
              </w:tc>
              <w:tc>
                <w:tcPr>
                  <w:tcW w:w="1804" w:type="dxa"/>
                  <w:tcBorders>
                    <w:top w:val="single" w:color="auto" w:sz="8" w:space="0"/>
                    <w:left w:val="single" w:color="auto" w:sz="8" w:space="0"/>
                    <w:bottom w:val="single" w:color="auto" w:sz="8" w:space="0"/>
                    <w:right w:val="single" w:color="auto" w:sz="8" w:space="0"/>
                  </w:tcBorders>
                  <w:shd w:val="clear"/>
                  <w:vAlign w:val="center"/>
                </w:tcPr>
                <w:p w14:paraId="03B1635C">
                  <w:pPr>
                    <w:pStyle w:val="70"/>
                    <w:widowControl/>
                    <w:spacing w:line="240" w:lineRule="auto"/>
                    <w:rPr>
                      <w:b w:val="0"/>
                      <w:bCs w:val="0"/>
                      <w:color w:val="000000"/>
                      <w:sz w:val="21"/>
                      <w:szCs w:val="21"/>
                      <w:bdr w:val="none" w:color="auto" w:sz="0" w:space="0"/>
                      <w:lang w:val="en-US"/>
                    </w:rPr>
                  </w:pPr>
                  <w:r>
                    <w:rPr>
                      <w:rFonts w:hint="eastAsia" w:ascii="Times New Roman" w:hAnsi="Times New Roman" w:eastAsia="宋体" w:cs="宋体"/>
                      <w:b w:val="0"/>
                      <w:bCs w:val="0"/>
                      <w:color w:val="000000"/>
                      <w:sz w:val="21"/>
                      <w:szCs w:val="21"/>
                      <w:bdr w:val="none" w:color="auto" w:sz="0" w:space="0"/>
                    </w:rPr>
                    <w:t>硅胶贴合机</w:t>
                  </w:r>
                </w:p>
              </w:tc>
              <w:tc>
                <w:tcPr>
                  <w:tcW w:w="1123" w:type="dxa"/>
                  <w:tcBorders>
                    <w:top w:val="single" w:color="auto" w:sz="8" w:space="0"/>
                    <w:left w:val="single" w:color="auto" w:sz="8" w:space="0"/>
                    <w:bottom w:val="single" w:color="auto" w:sz="8" w:space="0"/>
                    <w:right w:val="single" w:color="auto" w:sz="8" w:space="0"/>
                  </w:tcBorders>
                  <w:shd w:val="clear"/>
                  <w:vAlign w:val="center"/>
                </w:tcPr>
                <w:p w14:paraId="58E610B8">
                  <w:pPr>
                    <w:pStyle w:val="70"/>
                    <w:widowControl/>
                    <w:spacing w:line="240" w:lineRule="auto"/>
                    <w:rPr>
                      <w:b w:val="0"/>
                      <w:bCs w:val="0"/>
                      <w:color w:val="000000"/>
                      <w:sz w:val="21"/>
                      <w:szCs w:val="21"/>
                      <w:bdr w:val="none" w:color="auto" w:sz="0" w:space="0"/>
                      <w:lang w:val="en-US"/>
                    </w:rPr>
                  </w:pPr>
                  <w:r>
                    <w:rPr>
                      <w:rFonts w:hint="eastAsia" w:ascii="Times New Roman" w:hAnsi="Times New Roman" w:eastAsia="宋体" w:cs="宋体"/>
                      <w:b w:val="0"/>
                      <w:bCs w:val="0"/>
                      <w:color w:val="000000"/>
                      <w:sz w:val="21"/>
                      <w:szCs w:val="21"/>
                      <w:bdr w:val="none" w:color="auto" w:sz="0" w:space="0"/>
                    </w:rPr>
                    <w:t>非标设备</w:t>
                  </w:r>
                </w:p>
              </w:tc>
              <w:tc>
                <w:tcPr>
                  <w:tcW w:w="720" w:type="dxa"/>
                  <w:tcBorders>
                    <w:top w:val="single" w:color="auto" w:sz="8" w:space="0"/>
                    <w:left w:val="single" w:color="auto" w:sz="8" w:space="0"/>
                    <w:bottom w:val="single" w:color="auto" w:sz="8" w:space="0"/>
                    <w:right w:val="single" w:color="auto" w:sz="8" w:space="0"/>
                  </w:tcBorders>
                  <w:shd w:val="clear"/>
                  <w:vAlign w:val="center"/>
                </w:tcPr>
                <w:p w14:paraId="5CDFE9E0">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1</w:t>
                  </w:r>
                </w:p>
              </w:tc>
              <w:tc>
                <w:tcPr>
                  <w:tcW w:w="1276" w:type="dxa"/>
                  <w:tcBorders>
                    <w:top w:val="single" w:color="auto" w:sz="8" w:space="0"/>
                    <w:left w:val="single" w:color="auto" w:sz="8" w:space="0"/>
                    <w:bottom w:val="single" w:color="auto" w:sz="8" w:space="0"/>
                    <w:right w:val="single" w:color="auto" w:sz="8" w:space="0"/>
                  </w:tcBorders>
                  <w:shd w:val="clear"/>
                  <w:vAlign w:val="center"/>
                </w:tcPr>
                <w:p w14:paraId="55F3778A">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1</w:t>
                  </w:r>
                </w:p>
              </w:tc>
              <w:tc>
                <w:tcPr>
                  <w:tcW w:w="850" w:type="dxa"/>
                  <w:tcBorders>
                    <w:top w:val="single" w:color="auto" w:sz="8" w:space="0"/>
                    <w:left w:val="single" w:color="auto" w:sz="8" w:space="0"/>
                    <w:bottom w:val="single" w:color="auto" w:sz="8" w:space="0"/>
                    <w:right w:val="single" w:color="auto" w:sz="8" w:space="0"/>
                  </w:tcBorders>
                  <w:shd w:val="clear"/>
                  <w:vAlign w:val="center"/>
                </w:tcPr>
                <w:p w14:paraId="4C41441D">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0</w:t>
                  </w:r>
                </w:p>
              </w:tc>
              <w:tc>
                <w:tcPr>
                  <w:tcW w:w="1973" w:type="dxa"/>
                  <w:tcBorders>
                    <w:top w:val="single" w:color="auto" w:sz="8" w:space="0"/>
                    <w:left w:val="single" w:color="auto" w:sz="8" w:space="0"/>
                    <w:bottom w:val="single" w:color="auto" w:sz="8" w:space="0"/>
                    <w:right w:val="nil"/>
                  </w:tcBorders>
                  <w:shd w:val="clear"/>
                  <w:vAlign w:val="center"/>
                </w:tcPr>
                <w:p w14:paraId="68D85674">
                  <w:pPr>
                    <w:pStyle w:val="70"/>
                    <w:widowControl/>
                    <w:spacing w:line="240" w:lineRule="auto"/>
                    <w:rPr>
                      <w:b w:val="0"/>
                      <w:bCs w:val="0"/>
                      <w:color w:val="000000"/>
                      <w:sz w:val="21"/>
                      <w:szCs w:val="21"/>
                      <w:bdr w:val="none" w:color="auto" w:sz="0" w:space="0"/>
                      <w:lang w:val="en-US"/>
                    </w:rPr>
                  </w:pPr>
                  <w:r>
                    <w:rPr>
                      <w:rFonts w:hint="eastAsia" w:ascii="Times New Roman" w:hAnsi="Times New Roman" w:eastAsia="宋体" w:cs="宋体"/>
                      <w:b w:val="0"/>
                      <w:bCs w:val="0"/>
                      <w:color w:val="000000"/>
                      <w:sz w:val="21"/>
                      <w:szCs w:val="21"/>
                      <w:bdr w:val="none" w:color="auto" w:sz="0" w:space="0"/>
                    </w:rPr>
                    <w:t>硅胶泡棉贴合</w:t>
                  </w:r>
                </w:p>
              </w:tc>
            </w:tr>
            <w:tr w14:paraId="5BFF38E1">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vAlign w:val="center"/>
                </w:tcPr>
                <w:p w14:paraId="57711ABA">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6</w:t>
                  </w:r>
                </w:p>
              </w:tc>
              <w:tc>
                <w:tcPr>
                  <w:tcW w:w="1804" w:type="dxa"/>
                  <w:tcBorders>
                    <w:top w:val="single" w:color="auto" w:sz="8" w:space="0"/>
                    <w:left w:val="single" w:color="auto" w:sz="8" w:space="0"/>
                    <w:bottom w:val="single" w:color="auto" w:sz="8" w:space="0"/>
                    <w:right w:val="single" w:color="auto" w:sz="8" w:space="0"/>
                  </w:tcBorders>
                  <w:shd w:val="clear"/>
                  <w:vAlign w:val="center"/>
                </w:tcPr>
                <w:p w14:paraId="13337D35">
                  <w:pPr>
                    <w:pStyle w:val="70"/>
                    <w:widowControl/>
                    <w:spacing w:line="240" w:lineRule="auto"/>
                    <w:rPr>
                      <w:b w:val="0"/>
                      <w:bCs w:val="0"/>
                      <w:color w:val="000000"/>
                      <w:sz w:val="21"/>
                      <w:szCs w:val="21"/>
                      <w:bdr w:val="none" w:color="auto" w:sz="0" w:space="0"/>
                      <w:lang w:val="en-US"/>
                    </w:rPr>
                  </w:pPr>
                  <w:r>
                    <w:rPr>
                      <w:rFonts w:hint="eastAsia" w:ascii="Times New Roman" w:hAnsi="Times New Roman" w:eastAsia="宋体" w:cs="宋体"/>
                      <w:b w:val="0"/>
                      <w:bCs w:val="0"/>
                      <w:color w:val="000000"/>
                      <w:sz w:val="21"/>
                      <w:szCs w:val="21"/>
                      <w:bdr w:val="none" w:color="auto" w:sz="0" w:space="0"/>
                    </w:rPr>
                    <w:t>高速模切机</w:t>
                  </w:r>
                </w:p>
              </w:tc>
              <w:tc>
                <w:tcPr>
                  <w:tcW w:w="1123" w:type="dxa"/>
                  <w:tcBorders>
                    <w:top w:val="single" w:color="auto" w:sz="8" w:space="0"/>
                    <w:left w:val="single" w:color="auto" w:sz="8" w:space="0"/>
                    <w:bottom w:val="single" w:color="auto" w:sz="8" w:space="0"/>
                    <w:right w:val="single" w:color="auto" w:sz="8" w:space="0"/>
                  </w:tcBorders>
                  <w:shd w:val="clear"/>
                  <w:vAlign w:val="center"/>
                </w:tcPr>
                <w:p w14:paraId="048B2DC8">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450</w:t>
                  </w:r>
                  <w:r>
                    <w:rPr>
                      <w:rFonts w:hint="eastAsia" w:ascii="Times New Roman" w:hAnsi="Times New Roman" w:eastAsia="宋体" w:cs="宋体"/>
                      <w:b w:val="0"/>
                      <w:bCs w:val="0"/>
                      <w:color w:val="000000"/>
                      <w:sz w:val="21"/>
                      <w:szCs w:val="21"/>
                      <w:bdr w:val="none" w:color="auto" w:sz="0" w:space="0"/>
                    </w:rPr>
                    <w:t>型</w:t>
                  </w:r>
                </w:p>
              </w:tc>
              <w:tc>
                <w:tcPr>
                  <w:tcW w:w="720" w:type="dxa"/>
                  <w:tcBorders>
                    <w:top w:val="single" w:color="auto" w:sz="8" w:space="0"/>
                    <w:left w:val="single" w:color="auto" w:sz="8" w:space="0"/>
                    <w:bottom w:val="single" w:color="auto" w:sz="8" w:space="0"/>
                    <w:right w:val="single" w:color="auto" w:sz="8" w:space="0"/>
                  </w:tcBorders>
                  <w:shd w:val="clear"/>
                  <w:vAlign w:val="center"/>
                </w:tcPr>
                <w:p w14:paraId="0A604AFF">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2</w:t>
                  </w:r>
                </w:p>
              </w:tc>
              <w:tc>
                <w:tcPr>
                  <w:tcW w:w="1276" w:type="dxa"/>
                  <w:tcBorders>
                    <w:top w:val="single" w:color="auto" w:sz="8" w:space="0"/>
                    <w:left w:val="single" w:color="auto" w:sz="8" w:space="0"/>
                    <w:bottom w:val="single" w:color="auto" w:sz="8" w:space="0"/>
                    <w:right w:val="single" w:color="auto" w:sz="8" w:space="0"/>
                  </w:tcBorders>
                  <w:shd w:val="clear"/>
                  <w:vAlign w:val="center"/>
                </w:tcPr>
                <w:p w14:paraId="4E7EBD1E">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2</w:t>
                  </w:r>
                </w:p>
              </w:tc>
              <w:tc>
                <w:tcPr>
                  <w:tcW w:w="850" w:type="dxa"/>
                  <w:tcBorders>
                    <w:top w:val="single" w:color="auto" w:sz="8" w:space="0"/>
                    <w:left w:val="single" w:color="auto" w:sz="8" w:space="0"/>
                    <w:bottom w:val="single" w:color="auto" w:sz="8" w:space="0"/>
                    <w:right w:val="single" w:color="auto" w:sz="8" w:space="0"/>
                  </w:tcBorders>
                  <w:shd w:val="clear"/>
                  <w:vAlign w:val="center"/>
                </w:tcPr>
                <w:p w14:paraId="7273CE95">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0</w:t>
                  </w:r>
                </w:p>
              </w:tc>
              <w:tc>
                <w:tcPr>
                  <w:tcW w:w="1973" w:type="dxa"/>
                  <w:tcBorders>
                    <w:top w:val="single" w:color="auto" w:sz="8" w:space="0"/>
                    <w:left w:val="single" w:color="auto" w:sz="8" w:space="0"/>
                    <w:bottom w:val="single" w:color="auto" w:sz="8" w:space="0"/>
                    <w:right w:val="nil"/>
                  </w:tcBorders>
                  <w:shd w:val="clear"/>
                  <w:vAlign w:val="center"/>
                </w:tcPr>
                <w:p w14:paraId="5062EDE8">
                  <w:pPr>
                    <w:pStyle w:val="70"/>
                    <w:widowControl/>
                    <w:spacing w:line="240" w:lineRule="auto"/>
                    <w:rPr>
                      <w:b w:val="0"/>
                      <w:bCs w:val="0"/>
                      <w:color w:val="000000"/>
                      <w:sz w:val="21"/>
                      <w:szCs w:val="21"/>
                      <w:bdr w:val="none" w:color="auto" w:sz="0" w:space="0"/>
                      <w:lang w:val="en-US"/>
                    </w:rPr>
                  </w:pPr>
                  <w:r>
                    <w:rPr>
                      <w:rFonts w:hint="eastAsia" w:ascii="Times New Roman" w:hAnsi="Times New Roman" w:eastAsia="宋体" w:cs="宋体"/>
                      <w:b w:val="0"/>
                      <w:bCs w:val="0"/>
                      <w:color w:val="000000"/>
                      <w:sz w:val="21"/>
                      <w:szCs w:val="21"/>
                      <w:bdr w:val="none" w:color="auto" w:sz="0" w:space="0"/>
                    </w:rPr>
                    <w:t>模切</w:t>
                  </w:r>
                </w:p>
              </w:tc>
            </w:tr>
            <w:tr w14:paraId="37B13350">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vAlign w:val="center"/>
                </w:tcPr>
                <w:p w14:paraId="3F5BD39F">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7</w:t>
                  </w:r>
                </w:p>
              </w:tc>
              <w:tc>
                <w:tcPr>
                  <w:tcW w:w="1804" w:type="dxa"/>
                  <w:tcBorders>
                    <w:top w:val="single" w:color="auto" w:sz="8" w:space="0"/>
                    <w:left w:val="single" w:color="auto" w:sz="8" w:space="0"/>
                    <w:bottom w:val="single" w:color="auto" w:sz="8" w:space="0"/>
                    <w:right w:val="single" w:color="auto" w:sz="8" w:space="0"/>
                  </w:tcBorders>
                  <w:shd w:val="clear"/>
                  <w:vAlign w:val="center"/>
                </w:tcPr>
                <w:p w14:paraId="617CF43E">
                  <w:pPr>
                    <w:pStyle w:val="70"/>
                    <w:widowControl/>
                    <w:spacing w:line="240" w:lineRule="auto"/>
                    <w:rPr>
                      <w:b w:val="0"/>
                      <w:bCs w:val="0"/>
                      <w:color w:val="000000"/>
                      <w:sz w:val="21"/>
                      <w:szCs w:val="21"/>
                      <w:bdr w:val="none" w:color="auto" w:sz="0" w:space="0"/>
                      <w:lang w:val="en-US"/>
                    </w:rPr>
                  </w:pPr>
                  <w:r>
                    <w:rPr>
                      <w:rFonts w:hint="eastAsia" w:ascii="Times New Roman" w:hAnsi="Times New Roman" w:eastAsia="宋体" w:cs="宋体"/>
                      <w:b w:val="0"/>
                      <w:bCs w:val="0"/>
                      <w:color w:val="000000"/>
                      <w:sz w:val="21"/>
                      <w:szCs w:val="21"/>
                      <w:bdr w:val="none" w:color="auto" w:sz="0" w:space="0"/>
                    </w:rPr>
                    <w:t>泡棉贴合机</w:t>
                  </w:r>
                </w:p>
              </w:tc>
              <w:tc>
                <w:tcPr>
                  <w:tcW w:w="1123" w:type="dxa"/>
                  <w:tcBorders>
                    <w:top w:val="single" w:color="auto" w:sz="8" w:space="0"/>
                    <w:left w:val="single" w:color="auto" w:sz="8" w:space="0"/>
                    <w:bottom w:val="single" w:color="auto" w:sz="8" w:space="0"/>
                    <w:right w:val="single" w:color="auto" w:sz="8" w:space="0"/>
                  </w:tcBorders>
                  <w:shd w:val="clear"/>
                  <w:vAlign w:val="center"/>
                </w:tcPr>
                <w:p w14:paraId="493689F5">
                  <w:pPr>
                    <w:pStyle w:val="70"/>
                    <w:widowControl/>
                    <w:spacing w:line="240" w:lineRule="auto"/>
                    <w:rPr>
                      <w:b w:val="0"/>
                      <w:bCs w:val="0"/>
                      <w:color w:val="000000"/>
                      <w:sz w:val="21"/>
                      <w:szCs w:val="21"/>
                      <w:bdr w:val="none" w:color="auto" w:sz="0" w:space="0"/>
                      <w:lang w:val="en-US"/>
                    </w:rPr>
                  </w:pPr>
                  <w:r>
                    <w:rPr>
                      <w:rFonts w:hint="eastAsia" w:ascii="Times New Roman" w:hAnsi="Times New Roman" w:eastAsia="宋体" w:cs="宋体"/>
                      <w:b w:val="0"/>
                      <w:bCs w:val="0"/>
                      <w:color w:val="000000"/>
                      <w:sz w:val="21"/>
                      <w:szCs w:val="21"/>
                      <w:bdr w:val="none" w:color="auto" w:sz="0" w:space="0"/>
                    </w:rPr>
                    <w:t>非标设备</w:t>
                  </w:r>
                </w:p>
              </w:tc>
              <w:tc>
                <w:tcPr>
                  <w:tcW w:w="720" w:type="dxa"/>
                  <w:tcBorders>
                    <w:top w:val="single" w:color="auto" w:sz="8" w:space="0"/>
                    <w:left w:val="single" w:color="auto" w:sz="8" w:space="0"/>
                    <w:bottom w:val="single" w:color="auto" w:sz="8" w:space="0"/>
                    <w:right w:val="single" w:color="auto" w:sz="8" w:space="0"/>
                  </w:tcBorders>
                  <w:shd w:val="clear"/>
                  <w:vAlign w:val="center"/>
                </w:tcPr>
                <w:p w14:paraId="6FFE7681">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1</w:t>
                  </w:r>
                </w:p>
              </w:tc>
              <w:tc>
                <w:tcPr>
                  <w:tcW w:w="1276" w:type="dxa"/>
                  <w:tcBorders>
                    <w:top w:val="single" w:color="auto" w:sz="8" w:space="0"/>
                    <w:left w:val="single" w:color="auto" w:sz="8" w:space="0"/>
                    <w:bottom w:val="single" w:color="auto" w:sz="8" w:space="0"/>
                    <w:right w:val="single" w:color="auto" w:sz="8" w:space="0"/>
                  </w:tcBorders>
                  <w:shd w:val="clear"/>
                  <w:vAlign w:val="center"/>
                </w:tcPr>
                <w:p w14:paraId="44E13461">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3</w:t>
                  </w:r>
                </w:p>
              </w:tc>
              <w:tc>
                <w:tcPr>
                  <w:tcW w:w="850" w:type="dxa"/>
                  <w:tcBorders>
                    <w:top w:val="single" w:color="auto" w:sz="8" w:space="0"/>
                    <w:left w:val="single" w:color="auto" w:sz="8" w:space="0"/>
                    <w:bottom w:val="single" w:color="auto" w:sz="8" w:space="0"/>
                    <w:right w:val="single" w:color="auto" w:sz="8" w:space="0"/>
                  </w:tcBorders>
                  <w:shd w:val="clear"/>
                  <w:vAlign w:val="center"/>
                </w:tcPr>
                <w:p w14:paraId="3D3E740C">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+2</w:t>
                  </w:r>
                </w:p>
              </w:tc>
              <w:tc>
                <w:tcPr>
                  <w:tcW w:w="1973" w:type="dxa"/>
                  <w:tcBorders>
                    <w:top w:val="single" w:color="auto" w:sz="8" w:space="0"/>
                    <w:left w:val="single" w:color="auto" w:sz="8" w:space="0"/>
                    <w:bottom w:val="single" w:color="auto" w:sz="8" w:space="0"/>
                    <w:right w:val="nil"/>
                  </w:tcBorders>
                  <w:shd w:val="clear"/>
                  <w:vAlign w:val="center"/>
                </w:tcPr>
                <w:p w14:paraId="2F7D5C18">
                  <w:pPr>
                    <w:pStyle w:val="70"/>
                    <w:widowControl/>
                    <w:spacing w:line="240" w:lineRule="auto"/>
                    <w:rPr>
                      <w:b w:val="0"/>
                      <w:bCs w:val="0"/>
                      <w:color w:val="000000"/>
                      <w:sz w:val="21"/>
                      <w:szCs w:val="21"/>
                      <w:bdr w:val="none" w:color="auto" w:sz="0" w:space="0"/>
                      <w:lang w:val="en-US"/>
                    </w:rPr>
                  </w:pPr>
                  <w:r>
                    <w:rPr>
                      <w:rFonts w:hint="eastAsia" w:ascii="Times New Roman" w:hAnsi="Times New Roman" w:eastAsia="宋体" w:cs="宋体"/>
                      <w:b w:val="0"/>
                      <w:bCs w:val="0"/>
                      <w:color w:val="000000"/>
                      <w:sz w:val="21"/>
                      <w:szCs w:val="21"/>
                      <w:bdr w:val="none" w:color="auto" w:sz="0" w:space="0"/>
                    </w:rPr>
                    <w:t>泡棉贴合</w:t>
                  </w:r>
                </w:p>
              </w:tc>
            </w:tr>
            <w:tr w14:paraId="2517A3CD">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vAlign w:val="center"/>
                </w:tcPr>
                <w:p w14:paraId="63FF24F5">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8</w:t>
                  </w:r>
                </w:p>
              </w:tc>
              <w:tc>
                <w:tcPr>
                  <w:tcW w:w="1804" w:type="dxa"/>
                  <w:tcBorders>
                    <w:top w:val="single" w:color="auto" w:sz="8" w:space="0"/>
                    <w:left w:val="single" w:color="auto" w:sz="8" w:space="0"/>
                    <w:bottom w:val="single" w:color="auto" w:sz="8" w:space="0"/>
                    <w:right w:val="single" w:color="auto" w:sz="8" w:space="0"/>
                  </w:tcBorders>
                  <w:shd w:val="clear"/>
                  <w:vAlign w:val="center"/>
                </w:tcPr>
                <w:p w14:paraId="01305311">
                  <w:pPr>
                    <w:pStyle w:val="70"/>
                    <w:widowControl/>
                    <w:spacing w:line="240" w:lineRule="auto"/>
                    <w:rPr>
                      <w:b w:val="0"/>
                      <w:bCs w:val="0"/>
                      <w:color w:val="000000"/>
                      <w:sz w:val="21"/>
                      <w:szCs w:val="21"/>
                      <w:bdr w:val="none" w:color="auto" w:sz="0" w:space="0"/>
                      <w:lang w:val="en-US"/>
                    </w:rPr>
                  </w:pPr>
                  <w:r>
                    <w:rPr>
                      <w:rFonts w:hint="eastAsia" w:ascii="Times New Roman" w:hAnsi="Times New Roman" w:eastAsia="宋体" w:cs="宋体"/>
                      <w:b w:val="0"/>
                      <w:bCs w:val="0"/>
                      <w:color w:val="000000"/>
                      <w:sz w:val="21"/>
                      <w:szCs w:val="21"/>
                      <w:bdr w:val="none" w:color="auto" w:sz="0" w:space="0"/>
                    </w:rPr>
                    <w:t>分切机</w:t>
                  </w:r>
                </w:p>
              </w:tc>
              <w:tc>
                <w:tcPr>
                  <w:tcW w:w="1123" w:type="dxa"/>
                  <w:tcBorders>
                    <w:top w:val="single" w:color="auto" w:sz="8" w:space="0"/>
                    <w:left w:val="single" w:color="auto" w:sz="8" w:space="0"/>
                    <w:bottom w:val="single" w:color="auto" w:sz="8" w:space="0"/>
                    <w:right w:val="single" w:color="auto" w:sz="8" w:space="0"/>
                  </w:tcBorders>
                  <w:shd w:val="clear"/>
                  <w:vAlign w:val="center"/>
                </w:tcPr>
                <w:p w14:paraId="0585C745">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2000</w:t>
                  </w:r>
                  <w:r>
                    <w:rPr>
                      <w:rFonts w:hint="eastAsia" w:ascii="Times New Roman" w:hAnsi="Times New Roman" w:eastAsia="宋体" w:cs="宋体"/>
                      <w:b w:val="0"/>
                      <w:bCs w:val="0"/>
                      <w:color w:val="000000"/>
                      <w:sz w:val="21"/>
                      <w:szCs w:val="21"/>
                      <w:bdr w:val="none" w:color="auto" w:sz="0" w:space="0"/>
                    </w:rPr>
                    <w:t>型</w:t>
                  </w:r>
                  <w:r>
                    <w:rPr>
                      <w:b w:val="0"/>
                      <w:bCs w:val="0"/>
                      <w:color w:val="000000"/>
                      <w:sz w:val="21"/>
                      <w:szCs w:val="21"/>
                      <w:bdr w:val="none" w:color="auto" w:sz="0" w:space="0"/>
                      <w:lang w:val="en-US"/>
                    </w:rPr>
                    <w:t>/1200</w:t>
                  </w:r>
                  <w:r>
                    <w:rPr>
                      <w:rFonts w:hint="eastAsia" w:ascii="Times New Roman" w:hAnsi="Times New Roman" w:eastAsia="宋体" w:cs="宋体"/>
                      <w:b w:val="0"/>
                      <w:bCs w:val="0"/>
                      <w:color w:val="000000"/>
                      <w:sz w:val="21"/>
                      <w:szCs w:val="21"/>
                      <w:bdr w:val="none" w:color="auto" w:sz="0" w:space="0"/>
                    </w:rPr>
                    <w:t>型</w:t>
                  </w:r>
                </w:p>
              </w:tc>
              <w:tc>
                <w:tcPr>
                  <w:tcW w:w="720" w:type="dxa"/>
                  <w:tcBorders>
                    <w:top w:val="single" w:color="auto" w:sz="8" w:space="0"/>
                    <w:left w:val="single" w:color="auto" w:sz="8" w:space="0"/>
                    <w:bottom w:val="single" w:color="auto" w:sz="8" w:space="0"/>
                    <w:right w:val="single" w:color="auto" w:sz="8" w:space="0"/>
                  </w:tcBorders>
                  <w:shd w:val="clear"/>
                  <w:vAlign w:val="center"/>
                </w:tcPr>
                <w:p w14:paraId="3BCB5AA3">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2</w:t>
                  </w:r>
                </w:p>
              </w:tc>
              <w:tc>
                <w:tcPr>
                  <w:tcW w:w="1276" w:type="dxa"/>
                  <w:tcBorders>
                    <w:top w:val="single" w:color="auto" w:sz="8" w:space="0"/>
                    <w:left w:val="single" w:color="auto" w:sz="8" w:space="0"/>
                    <w:bottom w:val="single" w:color="auto" w:sz="8" w:space="0"/>
                    <w:right w:val="single" w:color="auto" w:sz="8" w:space="0"/>
                  </w:tcBorders>
                  <w:shd w:val="clear"/>
                  <w:vAlign w:val="center"/>
                </w:tcPr>
                <w:p w14:paraId="3788B8BB">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2</w:t>
                  </w:r>
                </w:p>
              </w:tc>
              <w:tc>
                <w:tcPr>
                  <w:tcW w:w="850" w:type="dxa"/>
                  <w:tcBorders>
                    <w:top w:val="single" w:color="auto" w:sz="8" w:space="0"/>
                    <w:left w:val="single" w:color="auto" w:sz="8" w:space="0"/>
                    <w:bottom w:val="single" w:color="auto" w:sz="8" w:space="0"/>
                    <w:right w:val="single" w:color="auto" w:sz="8" w:space="0"/>
                  </w:tcBorders>
                  <w:shd w:val="clear"/>
                  <w:vAlign w:val="center"/>
                </w:tcPr>
                <w:p w14:paraId="1916DB70">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0</w:t>
                  </w:r>
                </w:p>
              </w:tc>
              <w:tc>
                <w:tcPr>
                  <w:tcW w:w="1973" w:type="dxa"/>
                  <w:tcBorders>
                    <w:top w:val="single" w:color="auto" w:sz="8" w:space="0"/>
                    <w:left w:val="single" w:color="auto" w:sz="8" w:space="0"/>
                    <w:bottom w:val="single" w:color="auto" w:sz="8" w:space="0"/>
                    <w:right w:val="nil"/>
                  </w:tcBorders>
                  <w:shd w:val="clear"/>
                  <w:vAlign w:val="center"/>
                </w:tcPr>
                <w:p w14:paraId="4A61C9FE">
                  <w:pPr>
                    <w:pStyle w:val="70"/>
                    <w:widowControl/>
                    <w:spacing w:line="240" w:lineRule="auto"/>
                    <w:rPr>
                      <w:b w:val="0"/>
                      <w:bCs w:val="0"/>
                      <w:color w:val="000000"/>
                      <w:sz w:val="21"/>
                      <w:szCs w:val="21"/>
                      <w:bdr w:val="none" w:color="auto" w:sz="0" w:space="0"/>
                      <w:lang w:val="en-US"/>
                    </w:rPr>
                  </w:pPr>
                  <w:r>
                    <w:rPr>
                      <w:rFonts w:hint="eastAsia" w:ascii="Times New Roman" w:hAnsi="Times New Roman" w:eastAsia="宋体" w:cs="宋体"/>
                      <w:b w:val="0"/>
                      <w:bCs w:val="0"/>
                      <w:color w:val="000000"/>
                      <w:sz w:val="21"/>
                      <w:szCs w:val="21"/>
                      <w:bdr w:val="none" w:color="auto" w:sz="0" w:space="0"/>
                    </w:rPr>
                    <w:t>材料分切</w:t>
                  </w:r>
                </w:p>
              </w:tc>
            </w:tr>
            <w:tr w14:paraId="740618E5">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vAlign w:val="center"/>
                </w:tcPr>
                <w:p w14:paraId="119D2BD3">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9</w:t>
                  </w:r>
                </w:p>
              </w:tc>
              <w:tc>
                <w:tcPr>
                  <w:tcW w:w="1804" w:type="dxa"/>
                  <w:tcBorders>
                    <w:top w:val="single" w:color="auto" w:sz="8" w:space="0"/>
                    <w:left w:val="single" w:color="auto" w:sz="8" w:space="0"/>
                    <w:bottom w:val="single" w:color="auto" w:sz="8" w:space="0"/>
                    <w:right w:val="single" w:color="auto" w:sz="8" w:space="0"/>
                  </w:tcBorders>
                  <w:shd w:val="clear"/>
                  <w:vAlign w:val="center"/>
                </w:tcPr>
                <w:p w14:paraId="6D978EAB">
                  <w:pPr>
                    <w:pStyle w:val="70"/>
                    <w:widowControl/>
                    <w:spacing w:line="240" w:lineRule="auto"/>
                    <w:rPr>
                      <w:b w:val="0"/>
                      <w:bCs w:val="0"/>
                      <w:color w:val="000000"/>
                      <w:sz w:val="21"/>
                      <w:szCs w:val="21"/>
                      <w:bdr w:val="none" w:color="auto" w:sz="0" w:space="0"/>
                      <w:lang w:val="en-US"/>
                    </w:rPr>
                  </w:pPr>
                  <w:r>
                    <w:rPr>
                      <w:rFonts w:hint="eastAsia" w:ascii="Times New Roman" w:hAnsi="Times New Roman" w:eastAsia="宋体" w:cs="宋体"/>
                      <w:b w:val="0"/>
                      <w:bCs w:val="0"/>
                      <w:color w:val="000000"/>
                      <w:sz w:val="21"/>
                      <w:szCs w:val="21"/>
                      <w:bdr w:val="none" w:color="auto" w:sz="0" w:space="0"/>
                    </w:rPr>
                    <w:t>压痕机</w:t>
                  </w:r>
                </w:p>
              </w:tc>
              <w:tc>
                <w:tcPr>
                  <w:tcW w:w="1123" w:type="dxa"/>
                  <w:tcBorders>
                    <w:top w:val="single" w:color="auto" w:sz="8" w:space="0"/>
                    <w:left w:val="single" w:color="auto" w:sz="8" w:space="0"/>
                    <w:bottom w:val="single" w:color="auto" w:sz="8" w:space="0"/>
                    <w:right w:val="single" w:color="auto" w:sz="8" w:space="0"/>
                  </w:tcBorders>
                  <w:shd w:val="clear"/>
                  <w:vAlign w:val="center"/>
                </w:tcPr>
                <w:p w14:paraId="76158AF3">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750</w:t>
                  </w:r>
                  <w:r>
                    <w:rPr>
                      <w:rFonts w:hint="eastAsia" w:ascii="Times New Roman" w:hAnsi="Times New Roman" w:eastAsia="宋体" w:cs="宋体"/>
                      <w:b w:val="0"/>
                      <w:bCs w:val="0"/>
                      <w:color w:val="000000"/>
                      <w:sz w:val="21"/>
                      <w:szCs w:val="21"/>
                      <w:bdr w:val="none" w:color="auto" w:sz="0" w:space="0"/>
                    </w:rPr>
                    <w:t>型</w:t>
                  </w:r>
                </w:p>
              </w:tc>
              <w:tc>
                <w:tcPr>
                  <w:tcW w:w="720" w:type="dxa"/>
                  <w:tcBorders>
                    <w:top w:val="single" w:color="auto" w:sz="8" w:space="0"/>
                    <w:left w:val="single" w:color="auto" w:sz="8" w:space="0"/>
                    <w:bottom w:val="single" w:color="auto" w:sz="8" w:space="0"/>
                    <w:right w:val="single" w:color="auto" w:sz="8" w:space="0"/>
                  </w:tcBorders>
                  <w:shd w:val="clear"/>
                  <w:vAlign w:val="center"/>
                </w:tcPr>
                <w:p w14:paraId="737A39AA">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1</w:t>
                  </w:r>
                </w:p>
              </w:tc>
              <w:tc>
                <w:tcPr>
                  <w:tcW w:w="1276" w:type="dxa"/>
                  <w:tcBorders>
                    <w:top w:val="single" w:color="auto" w:sz="8" w:space="0"/>
                    <w:left w:val="single" w:color="auto" w:sz="8" w:space="0"/>
                    <w:bottom w:val="single" w:color="auto" w:sz="8" w:space="0"/>
                    <w:right w:val="single" w:color="auto" w:sz="8" w:space="0"/>
                  </w:tcBorders>
                  <w:shd w:val="clear"/>
                  <w:vAlign w:val="center"/>
                </w:tcPr>
                <w:p w14:paraId="0BF441BC">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1</w:t>
                  </w:r>
                </w:p>
              </w:tc>
              <w:tc>
                <w:tcPr>
                  <w:tcW w:w="850" w:type="dxa"/>
                  <w:tcBorders>
                    <w:top w:val="single" w:color="auto" w:sz="8" w:space="0"/>
                    <w:left w:val="single" w:color="auto" w:sz="8" w:space="0"/>
                    <w:bottom w:val="single" w:color="auto" w:sz="8" w:space="0"/>
                    <w:right w:val="single" w:color="auto" w:sz="8" w:space="0"/>
                  </w:tcBorders>
                  <w:shd w:val="clear"/>
                  <w:vAlign w:val="center"/>
                </w:tcPr>
                <w:p w14:paraId="2718D286">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0</w:t>
                  </w:r>
                </w:p>
              </w:tc>
              <w:tc>
                <w:tcPr>
                  <w:tcW w:w="1973" w:type="dxa"/>
                  <w:tcBorders>
                    <w:top w:val="single" w:color="auto" w:sz="8" w:space="0"/>
                    <w:left w:val="single" w:color="auto" w:sz="8" w:space="0"/>
                    <w:bottom w:val="single" w:color="auto" w:sz="8" w:space="0"/>
                    <w:right w:val="nil"/>
                  </w:tcBorders>
                  <w:shd w:val="clear"/>
                  <w:vAlign w:val="center"/>
                </w:tcPr>
                <w:p w14:paraId="4D14776A">
                  <w:pPr>
                    <w:pStyle w:val="70"/>
                    <w:widowControl/>
                    <w:spacing w:line="240" w:lineRule="auto"/>
                    <w:rPr>
                      <w:b w:val="0"/>
                      <w:bCs w:val="0"/>
                      <w:color w:val="000000"/>
                      <w:sz w:val="21"/>
                      <w:szCs w:val="21"/>
                      <w:bdr w:val="none" w:color="auto" w:sz="0" w:space="0"/>
                      <w:lang w:val="en-US"/>
                    </w:rPr>
                  </w:pPr>
                  <w:r>
                    <w:rPr>
                      <w:rFonts w:hint="eastAsia" w:ascii="Times New Roman" w:hAnsi="Times New Roman" w:eastAsia="宋体" w:cs="宋体"/>
                      <w:b w:val="0"/>
                      <w:bCs w:val="0"/>
                      <w:color w:val="000000"/>
                      <w:sz w:val="21"/>
                      <w:szCs w:val="21"/>
                      <w:bdr w:val="none" w:color="auto" w:sz="0" w:space="0"/>
                    </w:rPr>
                    <w:t>模切</w:t>
                  </w:r>
                </w:p>
              </w:tc>
            </w:tr>
            <w:tr w14:paraId="5CE73DEC">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vAlign w:val="center"/>
                </w:tcPr>
                <w:p w14:paraId="59DD2DA2">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10</w:t>
                  </w:r>
                </w:p>
              </w:tc>
              <w:tc>
                <w:tcPr>
                  <w:tcW w:w="1804" w:type="dxa"/>
                  <w:tcBorders>
                    <w:top w:val="single" w:color="auto" w:sz="8" w:space="0"/>
                    <w:left w:val="single" w:color="auto" w:sz="8" w:space="0"/>
                    <w:bottom w:val="single" w:color="auto" w:sz="8" w:space="0"/>
                    <w:right w:val="single" w:color="auto" w:sz="8" w:space="0"/>
                  </w:tcBorders>
                  <w:shd w:val="clear"/>
                  <w:vAlign w:val="center"/>
                </w:tcPr>
                <w:p w14:paraId="0BBF0E82">
                  <w:pPr>
                    <w:pStyle w:val="70"/>
                    <w:widowControl/>
                    <w:spacing w:line="240" w:lineRule="auto"/>
                    <w:rPr>
                      <w:b w:val="0"/>
                      <w:bCs w:val="0"/>
                      <w:color w:val="000000"/>
                      <w:sz w:val="21"/>
                      <w:szCs w:val="21"/>
                      <w:bdr w:val="none" w:color="auto" w:sz="0" w:space="0"/>
                      <w:lang w:val="en-US"/>
                    </w:rPr>
                  </w:pPr>
                  <w:r>
                    <w:rPr>
                      <w:rFonts w:hint="eastAsia" w:ascii="Times New Roman" w:hAnsi="Times New Roman" w:eastAsia="宋体" w:cs="宋体"/>
                      <w:b w:val="0"/>
                      <w:bCs w:val="0"/>
                      <w:color w:val="000000"/>
                      <w:sz w:val="21"/>
                      <w:szCs w:val="21"/>
                      <w:bdr w:val="none" w:color="auto" w:sz="0" w:space="0"/>
                    </w:rPr>
                    <w:t>压痕机</w:t>
                  </w:r>
                </w:p>
              </w:tc>
              <w:tc>
                <w:tcPr>
                  <w:tcW w:w="1123" w:type="dxa"/>
                  <w:tcBorders>
                    <w:top w:val="single" w:color="auto" w:sz="8" w:space="0"/>
                    <w:left w:val="single" w:color="auto" w:sz="8" w:space="0"/>
                    <w:bottom w:val="single" w:color="auto" w:sz="8" w:space="0"/>
                    <w:right w:val="single" w:color="auto" w:sz="8" w:space="0"/>
                  </w:tcBorders>
                  <w:shd w:val="clear"/>
                  <w:vAlign w:val="center"/>
                </w:tcPr>
                <w:p w14:paraId="64AD5209">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1100</w:t>
                  </w:r>
                  <w:r>
                    <w:rPr>
                      <w:rFonts w:hint="eastAsia" w:ascii="Times New Roman" w:hAnsi="Times New Roman" w:eastAsia="宋体" w:cs="宋体"/>
                      <w:b w:val="0"/>
                      <w:bCs w:val="0"/>
                      <w:color w:val="000000"/>
                      <w:sz w:val="21"/>
                      <w:szCs w:val="21"/>
                      <w:bdr w:val="none" w:color="auto" w:sz="0" w:space="0"/>
                    </w:rPr>
                    <w:t>型</w:t>
                  </w:r>
                </w:p>
              </w:tc>
              <w:tc>
                <w:tcPr>
                  <w:tcW w:w="720" w:type="dxa"/>
                  <w:tcBorders>
                    <w:top w:val="single" w:color="auto" w:sz="8" w:space="0"/>
                    <w:left w:val="single" w:color="auto" w:sz="8" w:space="0"/>
                    <w:bottom w:val="single" w:color="auto" w:sz="8" w:space="0"/>
                    <w:right w:val="single" w:color="auto" w:sz="8" w:space="0"/>
                  </w:tcBorders>
                  <w:shd w:val="clear"/>
                  <w:vAlign w:val="center"/>
                </w:tcPr>
                <w:p w14:paraId="5122D04B">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1</w:t>
                  </w:r>
                </w:p>
              </w:tc>
              <w:tc>
                <w:tcPr>
                  <w:tcW w:w="1276" w:type="dxa"/>
                  <w:tcBorders>
                    <w:top w:val="single" w:color="auto" w:sz="8" w:space="0"/>
                    <w:left w:val="single" w:color="auto" w:sz="8" w:space="0"/>
                    <w:bottom w:val="single" w:color="auto" w:sz="8" w:space="0"/>
                    <w:right w:val="single" w:color="auto" w:sz="8" w:space="0"/>
                  </w:tcBorders>
                  <w:shd w:val="clear"/>
                  <w:vAlign w:val="center"/>
                </w:tcPr>
                <w:p w14:paraId="2FBB8018">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1</w:t>
                  </w:r>
                </w:p>
              </w:tc>
              <w:tc>
                <w:tcPr>
                  <w:tcW w:w="850" w:type="dxa"/>
                  <w:tcBorders>
                    <w:top w:val="single" w:color="auto" w:sz="8" w:space="0"/>
                    <w:left w:val="single" w:color="auto" w:sz="8" w:space="0"/>
                    <w:bottom w:val="single" w:color="auto" w:sz="8" w:space="0"/>
                    <w:right w:val="single" w:color="auto" w:sz="8" w:space="0"/>
                  </w:tcBorders>
                  <w:shd w:val="clear"/>
                  <w:vAlign w:val="center"/>
                </w:tcPr>
                <w:p w14:paraId="19A2C431">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0</w:t>
                  </w:r>
                </w:p>
              </w:tc>
              <w:tc>
                <w:tcPr>
                  <w:tcW w:w="1973" w:type="dxa"/>
                  <w:tcBorders>
                    <w:top w:val="single" w:color="auto" w:sz="8" w:space="0"/>
                    <w:left w:val="single" w:color="auto" w:sz="8" w:space="0"/>
                    <w:bottom w:val="single" w:color="auto" w:sz="8" w:space="0"/>
                    <w:right w:val="nil"/>
                  </w:tcBorders>
                  <w:shd w:val="clear"/>
                  <w:vAlign w:val="center"/>
                </w:tcPr>
                <w:p w14:paraId="41686B2F">
                  <w:pPr>
                    <w:pStyle w:val="70"/>
                    <w:widowControl/>
                    <w:spacing w:line="240" w:lineRule="auto"/>
                    <w:rPr>
                      <w:b w:val="0"/>
                      <w:bCs w:val="0"/>
                      <w:color w:val="000000"/>
                      <w:sz w:val="21"/>
                      <w:szCs w:val="21"/>
                      <w:bdr w:val="none" w:color="auto" w:sz="0" w:space="0"/>
                      <w:lang w:val="en-US"/>
                    </w:rPr>
                  </w:pPr>
                  <w:r>
                    <w:rPr>
                      <w:rFonts w:hint="eastAsia" w:ascii="Times New Roman" w:hAnsi="Times New Roman" w:eastAsia="宋体" w:cs="宋体"/>
                      <w:b w:val="0"/>
                      <w:bCs w:val="0"/>
                      <w:color w:val="000000"/>
                      <w:sz w:val="21"/>
                      <w:szCs w:val="21"/>
                      <w:bdr w:val="none" w:color="auto" w:sz="0" w:space="0"/>
                    </w:rPr>
                    <w:t>模切</w:t>
                  </w:r>
                </w:p>
              </w:tc>
            </w:tr>
            <w:tr w14:paraId="6CBF7BDC">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vAlign w:val="center"/>
                </w:tcPr>
                <w:p w14:paraId="42F4319E">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11</w:t>
                  </w:r>
                </w:p>
              </w:tc>
              <w:tc>
                <w:tcPr>
                  <w:tcW w:w="1804" w:type="dxa"/>
                  <w:tcBorders>
                    <w:top w:val="single" w:color="auto" w:sz="8" w:space="0"/>
                    <w:left w:val="single" w:color="auto" w:sz="8" w:space="0"/>
                    <w:bottom w:val="single" w:color="auto" w:sz="8" w:space="0"/>
                    <w:right w:val="single" w:color="auto" w:sz="8" w:space="0"/>
                  </w:tcBorders>
                  <w:shd w:val="clear"/>
                  <w:vAlign w:val="center"/>
                </w:tcPr>
                <w:p w14:paraId="0D3C706C">
                  <w:pPr>
                    <w:pStyle w:val="70"/>
                    <w:widowControl/>
                    <w:spacing w:line="240" w:lineRule="auto"/>
                    <w:rPr>
                      <w:b w:val="0"/>
                      <w:bCs w:val="0"/>
                      <w:color w:val="000000"/>
                      <w:sz w:val="21"/>
                      <w:szCs w:val="21"/>
                      <w:bdr w:val="none" w:color="auto" w:sz="0" w:space="0"/>
                      <w:lang w:val="en-US"/>
                    </w:rPr>
                  </w:pPr>
                  <w:r>
                    <w:rPr>
                      <w:rFonts w:hint="eastAsia" w:ascii="Times New Roman" w:hAnsi="Times New Roman" w:eastAsia="宋体" w:cs="宋体"/>
                      <w:b w:val="0"/>
                      <w:bCs w:val="0"/>
                      <w:color w:val="000000"/>
                      <w:sz w:val="21"/>
                      <w:szCs w:val="21"/>
                      <w:bdr w:val="none" w:color="auto" w:sz="0" w:space="0"/>
                    </w:rPr>
                    <w:t>四柱全断机</w:t>
                  </w:r>
                </w:p>
              </w:tc>
              <w:tc>
                <w:tcPr>
                  <w:tcW w:w="1123" w:type="dxa"/>
                  <w:tcBorders>
                    <w:top w:val="single" w:color="auto" w:sz="8" w:space="0"/>
                    <w:left w:val="single" w:color="auto" w:sz="8" w:space="0"/>
                    <w:bottom w:val="single" w:color="auto" w:sz="8" w:space="0"/>
                    <w:right w:val="single" w:color="auto" w:sz="8" w:space="0"/>
                  </w:tcBorders>
                  <w:shd w:val="clear"/>
                  <w:vAlign w:val="center"/>
                </w:tcPr>
                <w:p w14:paraId="142C57D1">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1200</w:t>
                  </w:r>
                  <w:r>
                    <w:rPr>
                      <w:rFonts w:hint="eastAsia" w:ascii="Times New Roman" w:hAnsi="Times New Roman" w:eastAsia="宋体" w:cs="宋体"/>
                      <w:b w:val="0"/>
                      <w:bCs w:val="0"/>
                      <w:color w:val="000000"/>
                      <w:sz w:val="21"/>
                      <w:szCs w:val="21"/>
                      <w:bdr w:val="none" w:color="auto" w:sz="0" w:space="0"/>
                    </w:rPr>
                    <w:t>型</w:t>
                  </w:r>
                </w:p>
              </w:tc>
              <w:tc>
                <w:tcPr>
                  <w:tcW w:w="720" w:type="dxa"/>
                  <w:tcBorders>
                    <w:top w:val="single" w:color="auto" w:sz="8" w:space="0"/>
                    <w:left w:val="single" w:color="auto" w:sz="8" w:space="0"/>
                    <w:bottom w:val="single" w:color="auto" w:sz="8" w:space="0"/>
                    <w:right w:val="single" w:color="auto" w:sz="8" w:space="0"/>
                  </w:tcBorders>
                  <w:shd w:val="clear"/>
                  <w:vAlign w:val="center"/>
                </w:tcPr>
                <w:p w14:paraId="1833CA34">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3</w:t>
                  </w:r>
                </w:p>
              </w:tc>
              <w:tc>
                <w:tcPr>
                  <w:tcW w:w="1276" w:type="dxa"/>
                  <w:tcBorders>
                    <w:top w:val="single" w:color="auto" w:sz="8" w:space="0"/>
                    <w:left w:val="single" w:color="auto" w:sz="8" w:space="0"/>
                    <w:bottom w:val="single" w:color="auto" w:sz="8" w:space="0"/>
                    <w:right w:val="single" w:color="auto" w:sz="8" w:space="0"/>
                  </w:tcBorders>
                  <w:shd w:val="clear"/>
                  <w:vAlign w:val="center"/>
                </w:tcPr>
                <w:p w14:paraId="036705C4">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3</w:t>
                  </w:r>
                </w:p>
              </w:tc>
              <w:tc>
                <w:tcPr>
                  <w:tcW w:w="850" w:type="dxa"/>
                  <w:tcBorders>
                    <w:top w:val="single" w:color="auto" w:sz="8" w:space="0"/>
                    <w:left w:val="single" w:color="auto" w:sz="8" w:space="0"/>
                    <w:bottom w:val="single" w:color="auto" w:sz="8" w:space="0"/>
                    <w:right w:val="single" w:color="auto" w:sz="8" w:space="0"/>
                  </w:tcBorders>
                  <w:shd w:val="clear"/>
                  <w:vAlign w:val="center"/>
                </w:tcPr>
                <w:p w14:paraId="78586BD6">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0</w:t>
                  </w:r>
                </w:p>
              </w:tc>
              <w:tc>
                <w:tcPr>
                  <w:tcW w:w="1973" w:type="dxa"/>
                  <w:tcBorders>
                    <w:top w:val="single" w:color="auto" w:sz="8" w:space="0"/>
                    <w:left w:val="single" w:color="auto" w:sz="8" w:space="0"/>
                    <w:bottom w:val="single" w:color="auto" w:sz="8" w:space="0"/>
                    <w:right w:val="nil"/>
                  </w:tcBorders>
                  <w:shd w:val="clear"/>
                  <w:vAlign w:val="center"/>
                </w:tcPr>
                <w:p w14:paraId="36C70EEA">
                  <w:pPr>
                    <w:pStyle w:val="70"/>
                    <w:widowControl/>
                    <w:spacing w:line="240" w:lineRule="auto"/>
                    <w:rPr>
                      <w:b w:val="0"/>
                      <w:bCs w:val="0"/>
                      <w:color w:val="000000"/>
                      <w:sz w:val="21"/>
                      <w:szCs w:val="21"/>
                      <w:bdr w:val="none" w:color="auto" w:sz="0" w:space="0"/>
                      <w:lang w:val="en-US"/>
                    </w:rPr>
                  </w:pPr>
                  <w:r>
                    <w:rPr>
                      <w:rFonts w:hint="eastAsia" w:ascii="Times New Roman" w:hAnsi="Times New Roman" w:eastAsia="宋体" w:cs="宋体"/>
                      <w:b w:val="0"/>
                      <w:bCs w:val="0"/>
                      <w:color w:val="000000"/>
                      <w:sz w:val="21"/>
                      <w:szCs w:val="21"/>
                      <w:bdr w:val="none" w:color="auto" w:sz="0" w:space="0"/>
                    </w:rPr>
                    <w:t>泡棉</w:t>
                  </w:r>
                  <w:r>
                    <w:rPr>
                      <w:b w:val="0"/>
                      <w:bCs w:val="0"/>
                      <w:color w:val="000000"/>
                      <w:sz w:val="21"/>
                      <w:szCs w:val="21"/>
                      <w:bdr w:val="none" w:color="auto" w:sz="0" w:space="0"/>
                      <w:lang w:val="en-US"/>
                    </w:rPr>
                    <w:t>/</w:t>
                  </w:r>
                  <w:r>
                    <w:rPr>
                      <w:rFonts w:hint="eastAsia" w:ascii="Times New Roman" w:hAnsi="Times New Roman" w:eastAsia="宋体" w:cs="宋体"/>
                      <w:b w:val="0"/>
                      <w:bCs w:val="0"/>
                      <w:color w:val="000000"/>
                      <w:sz w:val="21"/>
                      <w:szCs w:val="21"/>
                      <w:bdr w:val="none" w:color="auto" w:sz="0" w:space="0"/>
                    </w:rPr>
                    <w:t>云母板分切、模压</w:t>
                  </w:r>
                </w:p>
              </w:tc>
            </w:tr>
            <w:tr w14:paraId="6016EBA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vAlign w:val="center"/>
                </w:tcPr>
                <w:p w14:paraId="43472BDB">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12</w:t>
                  </w:r>
                </w:p>
              </w:tc>
              <w:tc>
                <w:tcPr>
                  <w:tcW w:w="1804" w:type="dxa"/>
                  <w:tcBorders>
                    <w:top w:val="single" w:color="auto" w:sz="8" w:space="0"/>
                    <w:left w:val="single" w:color="auto" w:sz="8" w:space="0"/>
                    <w:bottom w:val="single" w:color="auto" w:sz="8" w:space="0"/>
                    <w:right w:val="single" w:color="auto" w:sz="8" w:space="0"/>
                  </w:tcBorders>
                  <w:shd w:val="clear"/>
                  <w:vAlign w:val="center"/>
                </w:tcPr>
                <w:p w14:paraId="70CC9A61">
                  <w:pPr>
                    <w:pStyle w:val="70"/>
                    <w:widowControl/>
                    <w:spacing w:line="240" w:lineRule="auto"/>
                    <w:rPr>
                      <w:b w:val="0"/>
                      <w:bCs w:val="0"/>
                      <w:color w:val="000000"/>
                      <w:sz w:val="21"/>
                      <w:szCs w:val="21"/>
                      <w:bdr w:val="none" w:color="auto" w:sz="0" w:space="0"/>
                      <w:lang w:val="en-US"/>
                    </w:rPr>
                  </w:pPr>
                  <w:r>
                    <w:rPr>
                      <w:rFonts w:hint="eastAsia" w:ascii="Times New Roman" w:hAnsi="Times New Roman" w:eastAsia="宋体" w:cs="宋体"/>
                      <w:b w:val="0"/>
                      <w:bCs w:val="0"/>
                      <w:color w:val="000000"/>
                      <w:sz w:val="21"/>
                      <w:szCs w:val="21"/>
                      <w:bdr w:val="none" w:color="auto" w:sz="0" w:space="0"/>
                    </w:rPr>
                    <w:t>自动四柱全断机</w:t>
                  </w:r>
                </w:p>
              </w:tc>
              <w:tc>
                <w:tcPr>
                  <w:tcW w:w="1123" w:type="dxa"/>
                  <w:tcBorders>
                    <w:top w:val="single" w:color="auto" w:sz="8" w:space="0"/>
                    <w:left w:val="single" w:color="auto" w:sz="8" w:space="0"/>
                    <w:bottom w:val="single" w:color="auto" w:sz="8" w:space="0"/>
                    <w:right w:val="single" w:color="auto" w:sz="8" w:space="0"/>
                  </w:tcBorders>
                  <w:shd w:val="clear"/>
                  <w:vAlign w:val="center"/>
                </w:tcPr>
                <w:p w14:paraId="74DF8773">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400</w:t>
                  </w:r>
                  <w:r>
                    <w:rPr>
                      <w:rFonts w:hint="eastAsia" w:ascii="Times New Roman" w:hAnsi="Times New Roman" w:eastAsia="宋体" w:cs="宋体"/>
                      <w:b w:val="0"/>
                      <w:bCs w:val="0"/>
                      <w:color w:val="000000"/>
                      <w:sz w:val="21"/>
                      <w:szCs w:val="21"/>
                      <w:bdr w:val="none" w:color="auto" w:sz="0" w:space="0"/>
                    </w:rPr>
                    <w:t>型</w:t>
                  </w:r>
                </w:p>
              </w:tc>
              <w:tc>
                <w:tcPr>
                  <w:tcW w:w="720" w:type="dxa"/>
                  <w:tcBorders>
                    <w:top w:val="single" w:color="auto" w:sz="8" w:space="0"/>
                    <w:left w:val="single" w:color="auto" w:sz="8" w:space="0"/>
                    <w:bottom w:val="single" w:color="auto" w:sz="8" w:space="0"/>
                    <w:right w:val="single" w:color="auto" w:sz="8" w:space="0"/>
                  </w:tcBorders>
                  <w:shd w:val="clear"/>
                  <w:vAlign w:val="center"/>
                </w:tcPr>
                <w:p w14:paraId="7A629E14">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1</w:t>
                  </w:r>
                </w:p>
              </w:tc>
              <w:tc>
                <w:tcPr>
                  <w:tcW w:w="1276" w:type="dxa"/>
                  <w:tcBorders>
                    <w:top w:val="single" w:color="auto" w:sz="8" w:space="0"/>
                    <w:left w:val="single" w:color="auto" w:sz="8" w:space="0"/>
                    <w:bottom w:val="single" w:color="auto" w:sz="8" w:space="0"/>
                    <w:right w:val="single" w:color="auto" w:sz="8" w:space="0"/>
                  </w:tcBorders>
                  <w:shd w:val="clear"/>
                  <w:vAlign w:val="center"/>
                </w:tcPr>
                <w:p w14:paraId="2299C4E4">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3</w:t>
                  </w:r>
                </w:p>
              </w:tc>
              <w:tc>
                <w:tcPr>
                  <w:tcW w:w="850" w:type="dxa"/>
                  <w:tcBorders>
                    <w:top w:val="single" w:color="auto" w:sz="8" w:space="0"/>
                    <w:left w:val="single" w:color="auto" w:sz="8" w:space="0"/>
                    <w:bottom w:val="single" w:color="auto" w:sz="8" w:space="0"/>
                    <w:right w:val="single" w:color="auto" w:sz="8" w:space="0"/>
                  </w:tcBorders>
                  <w:shd w:val="clear"/>
                  <w:vAlign w:val="center"/>
                </w:tcPr>
                <w:p w14:paraId="51FA4874">
                  <w:pPr>
                    <w:pStyle w:val="70"/>
                    <w:widowControl/>
                    <w:spacing w:line="240" w:lineRule="auto"/>
                    <w:rPr>
                      <w:b w:val="0"/>
                      <w:bCs w:val="0"/>
                      <w:color w:val="000000"/>
                      <w:sz w:val="21"/>
                      <w:szCs w:val="21"/>
                      <w:bdr w:val="none" w:color="auto" w:sz="0" w:space="0"/>
                      <w:lang w:val="en-US"/>
                    </w:rPr>
                  </w:pPr>
                  <w:r>
                    <w:rPr>
                      <w:b w:val="0"/>
                      <w:bCs w:val="0"/>
                      <w:color w:val="000000"/>
                      <w:sz w:val="21"/>
                      <w:szCs w:val="21"/>
                      <w:bdr w:val="none" w:color="auto" w:sz="0" w:space="0"/>
                      <w:lang w:val="en-US"/>
                    </w:rPr>
                    <w:t>+2</w:t>
                  </w:r>
                </w:p>
              </w:tc>
              <w:tc>
                <w:tcPr>
                  <w:tcW w:w="1973" w:type="dxa"/>
                  <w:tcBorders>
                    <w:top w:val="single" w:color="auto" w:sz="8" w:space="0"/>
                    <w:left w:val="single" w:color="auto" w:sz="8" w:space="0"/>
                    <w:bottom w:val="single" w:color="auto" w:sz="8" w:space="0"/>
                    <w:right w:val="nil"/>
                  </w:tcBorders>
                  <w:shd w:val="clear"/>
                  <w:vAlign w:val="center"/>
                </w:tcPr>
                <w:p w14:paraId="7EA9872F">
                  <w:pPr>
                    <w:pStyle w:val="70"/>
                    <w:widowControl/>
                    <w:spacing w:line="240" w:lineRule="auto"/>
                    <w:rPr>
                      <w:b w:val="0"/>
                      <w:bCs w:val="0"/>
                      <w:color w:val="000000"/>
                      <w:sz w:val="21"/>
                      <w:szCs w:val="21"/>
                      <w:bdr w:val="none" w:color="auto" w:sz="0" w:space="0"/>
                      <w:lang w:val="en-US"/>
                    </w:rPr>
                  </w:pPr>
                  <w:r>
                    <w:rPr>
                      <w:rFonts w:hint="eastAsia" w:ascii="Times New Roman" w:hAnsi="Times New Roman" w:eastAsia="宋体" w:cs="宋体"/>
                      <w:b w:val="0"/>
                      <w:bCs w:val="0"/>
                      <w:color w:val="000000"/>
                      <w:sz w:val="21"/>
                      <w:szCs w:val="21"/>
                      <w:bdr w:val="none" w:color="auto" w:sz="0" w:space="0"/>
                    </w:rPr>
                    <w:t>泡棉</w:t>
                  </w:r>
                  <w:r>
                    <w:rPr>
                      <w:b w:val="0"/>
                      <w:bCs w:val="0"/>
                      <w:color w:val="000000"/>
                      <w:sz w:val="21"/>
                      <w:szCs w:val="21"/>
                      <w:bdr w:val="none" w:color="auto" w:sz="0" w:space="0"/>
                      <w:lang w:val="en-US"/>
                    </w:rPr>
                    <w:t>/</w:t>
                  </w:r>
                  <w:r>
                    <w:rPr>
                      <w:rFonts w:hint="eastAsia" w:ascii="Times New Roman" w:hAnsi="Times New Roman" w:eastAsia="宋体" w:cs="宋体"/>
                      <w:b w:val="0"/>
                      <w:bCs w:val="0"/>
                      <w:color w:val="000000"/>
                      <w:sz w:val="21"/>
                      <w:szCs w:val="21"/>
                      <w:bdr w:val="none" w:color="auto" w:sz="0" w:space="0"/>
                    </w:rPr>
                    <w:t>云母板分切、模压</w:t>
                  </w:r>
                </w:p>
              </w:tc>
            </w:tr>
            <w:tr w14:paraId="182D172B">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vAlign w:val="center"/>
                </w:tcPr>
                <w:p w14:paraId="1C8F99B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13</w:t>
                  </w:r>
                </w:p>
              </w:tc>
              <w:tc>
                <w:tcPr>
                  <w:tcW w:w="1804" w:type="dxa"/>
                  <w:tcBorders>
                    <w:top w:val="single" w:color="auto" w:sz="8" w:space="0"/>
                    <w:left w:val="single" w:color="auto" w:sz="8" w:space="0"/>
                    <w:bottom w:val="single" w:color="auto" w:sz="8" w:space="0"/>
                    <w:right w:val="single" w:color="auto" w:sz="8" w:space="0"/>
                  </w:tcBorders>
                  <w:shd w:val="clear"/>
                  <w:vAlign w:val="center"/>
                </w:tcPr>
                <w:p w14:paraId="5BEAA703">
                  <w:pPr>
                    <w:keepNext w:val="0"/>
                    <w:keepLines w:val="0"/>
                    <w:widowControl/>
                    <w:suppressLineNumbers w:val="0"/>
                    <w:spacing w:before="0" w:beforeAutospacing="0" w:after="0" w:afterAutospacing="0"/>
                    <w:ind w:left="0" w:right="0"/>
                    <w:jc w:val="center"/>
                    <w:textAlignment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无油螺杆式变频空压机</w:t>
                  </w:r>
                </w:p>
              </w:tc>
              <w:tc>
                <w:tcPr>
                  <w:tcW w:w="1123" w:type="dxa"/>
                  <w:tcBorders>
                    <w:top w:val="single" w:color="auto" w:sz="8" w:space="0"/>
                    <w:left w:val="single" w:color="auto" w:sz="8" w:space="0"/>
                    <w:bottom w:val="single" w:color="auto" w:sz="8" w:space="0"/>
                    <w:right w:val="single" w:color="auto" w:sz="8" w:space="0"/>
                  </w:tcBorders>
                  <w:shd w:val="clear"/>
                  <w:vAlign w:val="center"/>
                </w:tcPr>
                <w:p w14:paraId="0B66C66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0.6m</w:t>
                  </w:r>
                  <w:r>
                    <w:rPr>
                      <w:rFonts w:hint="default" w:ascii="Times New Roman" w:hAnsi="Times New Roman" w:eastAsia="宋体" w:cs="Times New Roman"/>
                      <w:bCs/>
                      <w:color w:val="000000"/>
                      <w:kern w:val="2"/>
                      <w:sz w:val="21"/>
                      <w:szCs w:val="21"/>
                      <w:bdr w:val="none" w:color="auto" w:sz="0" w:space="0"/>
                      <w:vertAlign w:val="superscript"/>
                      <w:lang w:val="en-US" w:eastAsia="zh-CN" w:bidi="ar"/>
                    </w:rPr>
                    <w:t>3</w:t>
                  </w:r>
                  <w:r>
                    <w:rPr>
                      <w:rFonts w:hint="default" w:ascii="Times New Roman" w:hAnsi="Times New Roman" w:eastAsia="宋体" w:cs="Times New Roman"/>
                      <w:bCs/>
                      <w:color w:val="000000"/>
                      <w:kern w:val="2"/>
                      <w:sz w:val="21"/>
                      <w:szCs w:val="21"/>
                      <w:bdr w:val="none" w:color="auto" w:sz="0" w:space="0"/>
                      <w:lang w:val="en-US" w:eastAsia="zh-CN" w:bidi="ar"/>
                    </w:rPr>
                    <w:t>/min</w:t>
                  </w:r>
                </w:p>
              </w:tc>
              <w:tc>
                <w:tcPr>
                  <w:tcW w:w="720" w:type="dxa"/>
                  <w:tcBorders>
                    <w:top w:val="single" w:color="auto" w:sz="8" w:space="0"/>
                    <w:left w:val="single" w:color="auto" w:sz="8" w:space="0"/>
                    <w:bottom w:val="single" w:color="auto" w:sz="8" w:space="0"/>
                    <w:right w:val="single" w:color="auto" w:sz="8" w:space="0"/>
                  </w:tcBorders>
                  <w:shd w:val="clear"/>
                  <w:vAlign w:val="center"/>
                </w:tcPr>
                <w:p w14:paraId="6160D56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1</w:t>
                  </w:r>
                </w:p>
              </w:tc>
              <w:tc>
                <w:tcPr>
                  <w:tcW w:w="1276" w:type="dxa"/>
                  <w:tcBorders>
                    <w:top w:val="single" w:color="auto" w:sz="8" w:space="0"/>
                    <w:left w:val="single" w:color="auto" w:sz="8" w:space="0"/>
                    <w:bottom w:val="single" w:color="auto" w:sz="8" w:space="0"/>
                    <w:right w:val="single" w:color="auto" w:sz="8" w:space="0"/>
                  </w:tcBorders>
                  <w:shd w:val="clear"/>
                  <w:vAlign w:val="center"/>
                </w:tcPr>
                <w:p w14:paraId="5470E4C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1</w:t>
                  </w:r>
                </w:p>
              </w:tc>
              <w:tc>
                <w:tcPr>
                  <w:tcW w:w="850" w:type="dxa"/>
                  <w:tcBorders>
                    <w:top w:val="single" w:color="auto" w:sz="8" w:space="0"/>
                    <w:left w:val="single" w:color="auto" w:sz="8" w:space="0"/>
                    <w:bottom w:val="single" w:color="auto" w:sz="8" w:space="0"/>
                    <w:right w:val="single" w:color="auto" w:sz="8" w:space="0"/>
                  </w:tcBorders>
                  <w:shd w:val="clear"/>
                  <w:vAlign w:val="center"/>
                </w:tcPr>
                <w:p w14:paraId="46FAEE9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0</w:t>
                  </w:r>
                </w:p>
              </w:tc>
              <w:tc>
                <w:tcPr>
                  <w:tcW w:w="1973" w:type="dxa"/>
                  <w:tcBorders>
                    <w:top w:val="single" w:color="auto" w:sz="8" w:space="0"/>
                    <w:left w:val="single" w:color="auto" w:sz="8" w:space="0"/>
                    <w:bottom w:val="single" w:color="auto" w:sz="8" w:space="0"/>
                    <w:right w:val="nil"/>
                  </w:tcBorders>
                  <w:shd w:val="clear"/>
                  <w:vAlign w:val="center"/>
                </w:tcPr>
                <w:p w14:paraId="3733D57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w:t>
                  </w:r>
                </w:p>
              </w:tc>
            </w:tr>
            <w:tr w14:paraId="251C689F">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vAlign w:val="center"/>
                </w:tcPr>
                <w:p w14:paraId="20863EDD">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14</w:t>
                  </w:r>
                </w:p>
              </w:tc>
              <w:tc>
                <w:tcPr>
                  <w:tcW w:w="1804" w:type="dxa"/>
                  <w:tcBorders>
                    <w:top w:val="single" w:color="auto" w:sz="8" w:space="0"/>
                    <w:left w:val="single" w:color="auto" w:sz="8" w:space="0"/>
                    <w:bottom w:val="single" w:color="auto" w:sz="8" w:space="0"/>
                    <w:right w:val="single" w:color="auto" w:sz="8" w:space="0"/>
                  </w:tcBorders>
                  <w:shd w:val="clear"/>
                  <w:vAlign w:val="center"/>
                </w:tcPr>
                <w:p w14:paraId="398DBCF2">
                  <w:pPr>
                    <w:keepNext w:val="0"/>
                    <w:keepLines w:val="0"/>
                    <w:widowControl/>
                    <w:suppressLineNumbers w:val="0"/>
                    <w:spacing w:before="0" w:beforeAutospacing="0" w:after="0" w:afterAutospacing="0"/>
                    <w:ind w:left="0" w:right="0"/>
                    <w:jc w:val="center"/>
                    <w:textAlignment w:val="center"/>
                    <w:rPr>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CO</w:t>
                  </w:r>
                  <w:r>
                    <w:rPr>
                      <w:rFonts w:hint="default" w:ascii="Times New Roman" w:hAnsi="Times New Roman" w:eastAsia="宋体" w:cs="Times New Roman"/>
                      <w:color w:val="000000"/>
                      <w:kern w:val="2"/>
                      <w:sz w:val="21"/>
                      <w:szCs w:val="21"/>
                      <w:bdr w:val="none" w:color="auto" w:sz="0" w:space="0"/>
                      <w:vertAlign w:val="subscript"/>
                      <w:lang w:val="en-US" w:eastAsia="zh-CN" w:bidi="ar"/>
                    </w:rPr>
                    <w:t>2</w:t>
                  </w:r>
                  <w:r>
                    <w:rPr>
                      <w:rFonts w:hint="eastAsia" w:ascii="Calibri" w:hAnsi="Calibri" w:eastAsia="宋体" w:cs="宋体"/>
                      <w:color w:val="000000"/>
                      <w:kern w:val="2"/>
                      <w:sz w:val="21"/>
                      <w:szCs w:val="21"/>
                      <w:bdr w:val="none" w:color="auto" w:sz="0" w:space="0"/>
                      <w:lang w:val="en-US" w:eastAsia="zh-CN" w:bidi="ar"/>
                    </w:rPr>
                    <w:t>激光切割机</w:t>
                  </w:r>
                </w:p>
              </w:tc>
              <w:tc>
                <w:tcPr>
                  <w:tcW w:w="1123" w:type="dxa"/>
                  <w:tcBorders>
                    <w:top w:val="single" w:color="auto" w:sz="8" w:space="0"/>
                    <w:left w:val="single" w:color="auto" w:sz="8" w:space="0"/>
                    <w:bottom w:val="single" w:color="auto" w:sz="8" w:space="0"/>
                    <w:right w:val="single" w:color="auto" w:sz="8" w:space="0"/>
                  </w:tcBorders>
                  <w:shd w:val="clear"/>
                  <w:vAlign w:val="center"/>
                </w:tcPr>
                <w:p w14:paraId="35FD8C4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TL5269</w:t>
                  </w:r>
                </w:p>
              </w:tc>
              <w:tc>
                <w:tcPr>
                  <w:tcW w:w="720" w:type="dxa"/>
                  <w:tcBorders>
                    <w:top w:val="single" w:color="auto" w:sz="8" w:space="0"/>
                    <w:left w:val="single" w:color="auto" w:sz="8" w:space="0"/>
                    <w:bottom w:val="single" w:color="auto" w:sz="8" w:space="0"/>
                    <w:right w:val="single" w:color="auto" w:sz="8" w:space="0"/>
                  </w:tcBorders>
                  <w:shd w:val="clear"/>
                  <w:vAlign w:val="center"/>
                </w:tcPr>
                <w:p w14:paraId="03C2F1F5">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2</w:t>
                  </w:r>
                </w:p>
              </w:tc>
              <w:tc>
                <w:tcPr>
                  <w:tcW w:w="1276" w:type="dxa"/>
                  <w:tcBorders>
                    <w:top w:val="single" w:color="auto" w:sz="8" w:space="0"/>
                    <w:left w:val="single" w:color="auto" w:sz="8" w:space="0"/>
                    <w:bottom w:val="single" w:color="auto" w:sz="8" w:space="0"/>
                    <w:right w:val="single" w:color="auto" w:sz="8" w:space="0"/>
                  </w:tcBorders>
                  <w:shd w:val="clear"/>
                  <w:vAlign w:val="center"/>
                </w:tcPr>
                <w:p w14:paraId="13D23D4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2</w:t>
                  </w:r>
                </w:p>
              </w:tc>
              <w:tc>
                <w:tcPr>
                  <w:tcW w:w="850" w:type="dxa"/>
                  <w:tcBorders>
                    <w:top w:val="single" w:color="auto" w:sz="8" w:space="0"/>
                    <w:left w:val="single" w:color="auto" w:sz="8" w:space="0"/>
                    <w:bottom w:val="single" w:color="auto" w:sz="8" w:space="0"/>
                    <w:right w:val="single" w:color="auto" w:sz="8" w:space="0"/>
                  </w:tcBorders>
                  <w:shd w:val="clear"/>
                  <w:vAlign w:val="center"/>
                </w:tcPr>
                <w:p w14:paraId="293BB323">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0</w:t>
                  </w:r>
                </w:p>
              </w:tc>
              <w:tc>
                <w:tcPr>
                  <w:tcW w:w="1973" w:type="dxa"/>
                  <w:tcBorders>
                    <w:top w:val="single" w:color="auto" w:sz="8" w:space="0"/>
                    <w:left w:val="single" w:color="auto" w:sz="8" w:space="0"/>
                    <w:bottom w:val="single" w:color="auto" w:sz="8" w:space="0"/>
                    <w:right w:val="nil"/>
                  </w:tcBorders>
                  <w:shd w:val="clear"/>
                  <w:vAlign w:val="center"/>
                </w:tcPr>
                <w:p w14:paraId="72D7CE5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Times New Roman" w:eastAsia="宋体" w:cs="宋体"/>
                      <w:bCs/>
                      <w:color w:val="000000"/>
                      <w:kern w:val="2"/>
                      <w:sz w:val="21"/>
                      <w:szCs w:val="21"/>
                      <w:bdr w:val="none" w:color="auto" w:sz="0" w:space="0"/>
                      <w:lang w:val="en-US" w:eastAsia="zh-CN" w:bidi="ar"/>
                    </w:rPr>
                    <w:t>激光切割网格棉</w:t>
                  </w:r>
                </w:p>
              </w:tc>
            </w:tr>
            <w:tr w14:paraId="4F62ED7A">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vAlign w:val="center"/>
                </w:tcPr>
                <w:p w14:paraId="40283D2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15</w:t>
                  </w:r>
                </w:p>
              </w:tc>
              <w:tc>
                <w:tcPr>
                  <w:tcW w:w="1804" w:type="dxa"/>
                  <w:tcBorders>
                    <w:top w:val="single" w:color="auto" w:sz="8" w:space="0"/>
                    <w:left w:val="single" w:color="auto" w:sz="8" w:space="0"/>
                    <w:bottom w:val="single" w:color="auto" w:sz="8" w:space="0"/>
                    <w:right w:val="single" w:color="auto" w:sz="8" w:space="0"/>
                  </w:tcBorders>
                  <w:shd w:val="clear"/>
                  <w:vAlign w:val="center"/>
                </w:tcPr>
                <w:p w14:paraId="1EF0108B">
                  <w:pPr>
                    <w:keepNext w:val="0"/>
                    <w:keepLines w:val="0"/>
                    <w:widowControl/>
                    <w:suppressLineNumbers w:val="0"/>
                    <w:spacing w:before="0" w:beforeAutospacing="0" w:after="0" w:afterAutospacing="0"/>
                    <w:ind w:left="0" w:right="0"/>
                    <w:jc w:val="center"/>
                    <w:textAlignment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雕刻机</w:t>
                  </w:r>
                </w:p>
              </w:tc>
              <w:tc>
                <w:tcPr>
                  <w:tcW w:w="1123" w:type="dxa"/>
                  <w:tcBorders>
                    <w:top w:val="single" w:color="auto" w:sz="8" w:space="0"/>
                    <w:left w:val="single" w:color="auto" w:sz="8" w:space="0"/>
                    <w:bottom w:val="single" w:color="auto" w:sz="8" w:space="0"/>
                    <w:right w:val="single" w:color="auto" w:sz="8" w:space="0"/>
                  </w:tcBorders>
                  <w:shd w:val="clear"/>
                  <w:vAlign w:val="center"/>
                </w:tcPr>
                <w:p w14:paraId="6369AD5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2.3*1.6</w:t>
                  </w:r>
                </w:p>
              </w:tc>
              <w:tc>
                <w:tcPr>
                  <w:tcW w:w="720" w:type="dxa"/>
                  <w:tcBorders>
                    <w:top w:val="single" w:color="auto" w:sz="8" w:space="0"/>
                    <w:left w:val="single" w:color="auto" w:sz="8" w:space="0"/>
                    <w:bottom w:val="single" w:color="auto" w:sz="8" w:space="0"/>
                    <w:right w:val="single" w:color="auto" w:sz="8" w:space="0"/>
                  </w:tcBorders>
                  <w:shd w:val="clear"/>
                  <w:vAlign w:val="center"/>
                </w:tcPr>
                <w:p w14:paraId="562350E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1</w:t>
                  </w:r>
                </w:p>
              </w:tc>
              <w:tc>
                <w:tcPr>
                  <w:tcW w:w="1276" w:type="dxa"/>
                  <w:tcBorders>
                    <w:top w:val="single" w:color="auto" w:sz="8" w:space="0"/>
                    <w:left w:val="single" w:color="auto" w:sz="8" w:space="0"/>
                    <w:bottom w:val="single" w:color="auto" w:sz="8" w:space="0"/>
                    <w:right w:val="single" w:color="auto" w:sz="8" w:space="0"/>
                  </w:tcBorders>
                  <w:shd w:val="clear"/>
                  <w:vAlign w:val="center"/>
                </w:tcPr>
                <w:p w14:paraId="0BA34B6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1</w:t>
                  </w:r>
                </w:p>
              </w:tc>
              <w:tc>
                <w:tcPr>
                  <w:tcW w:w="850" w:type="dxa"/>
                  <w:tcBorders>
                    <w:top w:val="single" w:color="auto" w:sz="8" w:space="0"/>
                    <w:left w:val="single" w:color="auto" w:sz="8" w:space="0"/>
                    <w:bottom w:val="single" w:color="auto" w:sz="8" w:space="0"/>
                    <w:right w:val="single" w:color="auto" w:sz="8" w:space="0"/>
                  </w:tcBorders>
                  <w:shd w:val="clear"/>
                  <w:vAlign w:val="center"/>
                </w:tcPr>
                <w:p w14:paraId="591FF6C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0</w:t>
                  </w:r>
                </w:p>
              </w:tc>
              <w:tc>
                <w:tcPr>
                  <w:tcW w:w="1973" w:type="dxa"/>
                  <w:tcBorders>
                    <w:top w:val="single" w:color="auto" w:sz="8" w:space="0"/>
                    <w:left w:val="single" w:color="auto" w:sz="8" w:space="0"/>
                    <w:bottom w:val="single" w:color="auto" w:sz="8" w:space="0"/>
                    <w:right w:val="nil"/>
                  </w:tcBorders>
                  <w:shd w:val="clear"/>
                  <w:vAlign w:val="center"/>
                </w:tcPr>
                <w:p w14:paraId="39C8C18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Times New Roman" w:eastAsia="宋体" w:cs="宋体"/>
                      <w:bCs/>
                      <w:color w:val="000000"/>
                      <w:kern w:val="2"/>
                      <w:sz w:val="21"/>
                      <w:szCs w:val="21"/>
                      <w:bdr w:val="none" w:color="auto" w:sz="0" w:space="0"/>
                      <w:lang w:val="en-US" w:eastAsia="zh-CN" w:bidi="ar"/>
                    </w:rPr>
                    <w:t>云母板雕刻</w:t>
                  </w:r>
                </w:p>
              </w:tc>
            </w:tr>
            <w:tr w14:paraId="76A73148">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vAlign w:val="center"/>
                </w:tcPr>
                <w:p w14:paraId="142AB39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16</w:t>
                  </w:r>
                </w:p>
              </w:tc>
              <w:tc>
                <w:tcPr>
                  <w:tcW w:w="1804" w:type="dxa"/>
                  <w:tcBorders>
                    <w:top w:val="single" w:color="auto" w:sz="8" w:space="0"/>
                    <w:left w:val="single" w:color="auto" w:sz="8" w:space="0"/>
                    <w:bottom w:val="single" w:color="auto" w:sz="8" w:space="0"/>
                    <w:right w:val="single" w:color="auto" w:sz="8" w:space="0"/>
                  </w:tcBorders>
                  <w:shd w:val="clear"/>
                  <w:vAlign w:val="center"/>
                </w:tcPr>
                <w:p w14:paraId="505D8120">
                  <w:pPr>
                    <w:keepNext w:val="0"/>
                    <w:keepLines w:val="0"/>
                    <w:widowControl/>
                    <w:suppressLineNumbers w:val="0"/>
                    <w:spacing w:before="0" w:beforeAutospacing="0" w:after="0" w:afterAutospacing="0"/>
                    <w:ind w:left="0" w:right="0"/>
                    <w:jc w:val="center"/>
                    <w:textAlignment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打磨机</w:t>
                  </w:r>
                </w:p>
              </w:tc>
              <w:tc>
                <w:tcPr>
                  <w:tcW w:w="1123" w:type="dxa"/>
                  <w:tcBorders>
                    <w:top w:val="single" w:color="auto" w:sz="8" w:space="0"/>
                    <w:left w:val="single" w:color="auto" w:sz="8" w:space="0"/>
                    <w:bottom w:val="single" w:color="auto" w:sz="8" w:space="0"/>
                    <w:right w:val="single" w:color="auto" w:sz="8" w:space="0"/>
                  </w:tcBorders>
                  <w:shd w:val="clear"/>
                  <w:vAlign w:val="center"/>
                </w:tcPr>
                <w:p w14:paraId="4E1C7C2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Times New Roman" w:eastAsia="宋体" w:cs="宋体"/>
                      <w:bCs/>
                      <w:color w:val="000000"/>
                      <w:kern w:val="2"/>
                      <w:sz w:val="21"/>
                      <w:szCs w:val="21"/>
                      <w:bdr w:val="none" w:color="auto" w:sz="0" w:space="0"/>
                      <w:lang w:val="en-US" w:eastAsia="zh-CN" w:bidi="ar"/>
                    </w:rPr>
                    <w:t>非标设备</w:t>
                  </w:r>
                </w:p>
              </w:tc>
              <w:tc>
                <w:tcPr>
                  <w:tcW w:w="720" w:type="dxa"/>
                  <w:tcBorders>
                    <w:top w:val="single" w:color="auto" w:sz="8" w:space="0"/>
                    <w:left w:val="single" w:color="auto" w:sz="8" w:space="0"/>
                    <w:bottom w:val="single" w:color="auto" w:sz="8" w:space="0"/>
                    <w:right w:val="single" w:color="auto" w:sz="8" w:space="0"/>
                  </w:tcBorders>
                  <w:shd w:val="clear"/>
                  <w:vAlign w:val="center"/>
                </w:tcPr>
                <w:p w14:paraId="534BCDB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1</w:t>
                  </w:r>
                </w:p>
              </w:tc>
              <w:tc>
                <w:tcPr>
                  <w:tcW w:w="1276" w:type="dxa"/>
                  <w:tcBorders>
                    <w:top w:val="single" w:color="auto" w:sz="8" w:space="0"/>
                    <w:left w:val="single" w:color="auto" w:sz="8" w:space="0"/>
                    <w:bottom w:val="single" w:color="auto" w:sz="8" w:space="0"/>
                    <w:right w:val="single" w:color="auto" w:sz="8" w:space="0"/>
                  </w:tcBorders>
                  <w:shd w:val="clear"/>
                  <w:vAlign w:val="center"/>
                </w:tcPr>
                <w:p w14:paraId="3ABCA57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1</w:t>
                  </w:r>
                </w:p>
              </w:tc>
              <w:tc>
                <w:tcPr>
                  <w:tcW w:w="850" w:type="dxa"/>
                  <w:tcBorders>
                    <w:top w:val="single" w:color="auto" w:sz="8" w:space="0"/>
                    <w:left w:val="single" w:color="auto" w:sz="8" w:space="0"/>
                    <w:bottom w:val="single" w:color="auto" w:sz="8" w:space="0"/>
                    <w:right w:val="single" w:color="auto" w:sz="8" w:space="0"/>
                  </w:tcBorders>
                  <w:shd w:val="clear"/>
                  <w:vAlign w:val="center"/>
                </w:tcPr>
                <w:p w14:paraId="0D83A795">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0</w:t>
                  </w:r>
                </w:p>
              </w:tc>
              <w:tc>
                <w:tcPr>
                  <w:tcW w:w="1973" w:type="dxa"/>
                  <w:tcBorders>
                    <w:top w:val="single" w:color="auto" w:sz="8" w:space="0"/>
                    <w:left w:val="single" w:color="auto" w:sz="8" w:space="0"/>
                    <w:bottom w:val="single" w:color="auto" w:sz="8" w:space="0"/>
                    <w:right w:val="nil"/>
                  </w:tcBorders>
                  <w:shd w:val="clear"/>
                  <w:vAlign w:val="center"/>
                </w:tcPr>
                <w:p w14:paraId="5A5F376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Times New Roman" w:eastAsia="宋体" w:cs="宋体"/>
                      <w:bCs/>
                      <w:color w:val="000000"/>
                      <w:kern w:val="2"/>
                      <w:sz w:val="21"/>
                      <w:szCs w:val="21"/>
                      <w:bdr w:val="none" w:color="auto" w:sz="0" w:space="0"/>
                      <w:lang w:val="en-US" w:eastAsia="zh-CN" w:bidi="ar"/>
                    </w:rPr>
                    <w:t>云母板打磨</w:t>
                  </w:r>
                </w:p>
              </w:tc>
            </w:tr>
            <w:tr w14:paraId="6F960342">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vAlign w:val="center"/>
                </w:tcPr>
                <w:p w14:paraId="55EA4E5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17</w:t>
                  </w:r>
                </w:p>
              </w:tc>
              <w:tc>
                <w:tcPr>
                  <w:tcW w:w="1804" w:type="dxa"/>
                  <w:tcBorders>
                    <w:top w:val="single" w:color="auto" w:sz="8" w:space="0"/>
                    <w:left w:val="single" w:color="auto" w:sz="8" w:space="0"/>
                    <w:bottom w:val="single" w:color="auto" w:sz="8" w:space="0"/>
                    <w:right w:val="single" w:color="auto" w:sz="8" w:space="0"/>
                  </w:tcBorders>
                  <w:shd w:val="clear"/>
                  <w:vAlign w:val="center"/>
                </w:tcPr>
                <w:p w14:paraId="0B4CF903">
                  <w:pPr>
                    <w:pStyle w:val="70"/>
                    <w:widowControl/>
                    <w:spacing w:line="240" w:lineRule="auto"/>
                    <w:rPr>
                      <w:b w:val="0"/>
                      <w:bCs w:val="0"/>
                      <w:color w:val="000000"/>
                      <w:sz w:val="21"/>
                      <w:szCs w:val="21"/>
                      <w:bdr w:val="none" w:color="auto" w:sz="0" w:space="0"/>
                      <w:lang w:val="en-US"/>
                    </w:rPr>
                  </w:pPr>
                  <w:r>
                    <w:rPr>
                      <w:rFonts w:hint="eastAsia" w:ascii="Times New Roman" w:hAnsi="Times New Roman" w:eastAsia="宋体" w:cs="宋体"/>
                      <w:b w:val="0"/>
                      <w:bCs w:val="0"/>
                      <w:color w:val="000000"/>
                      <w:sz w:val="21"/>
                      <w:szCs w:val="21"/>
                      <w:bdr w:val="none" w:color="auto" w:sz="0" w:space="0"/>
                    </w:rPr>
                    <w:t>圆刀机</w:t>
                  </w:r>
                </w:p>
              </w:tc>
              <w:tc>
                <w:tcPr>
                  <w:tcW w:w="1123" w:type="dxa"/>
                  <w:tcBorders>
                    <w:top w:val="single" w:color="auto" w:sz="8" w:space="0"/>
                    <w:left w:val="single" w:color="auto" w:sz="8" w:space="0"/>
                    <w:bottom w:val="single" w:color="auto" w:sz="8" w:space="0"/>
                    <w:right w:val="single" w:color="auto" w:sz="8" w:space="0"/>
                  </w:tcBorders>
                  <w:shd w:val="clear"/>
                  <w:vAlign w:val="center"/>
                </w:tcPr>
                <w:p w14:paraId="7AF106E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Times New Roman" w:eastAsia="宋体" w:cs="宋体"/>
                      <w:bCs/>
                      <w:color w:val="000000"/>
                      <w:kern w:val="2"/>
                      <w:sz w:val="21"/>
                      <w:szCs w:val="21"/>
                      <w:bdr w:val="none" w:color="auto" w:sz="0" w:space="0"/>
                      <w:lang w:val="en-US" w:eastAsia="zh-CN" w:bidi="ar"/>
                    </w:rPr>
                    <w:t>非标设备</w:t>
                  </w:r>
                </w:p>
              </w:tc>
              <w:tc>
                <w:tcPr>
                  <w:tcW w:w="720" w:type="dxa"/>
                  <w:tcBorders>
                    <w:top w:val="single" w:color="auto" w:sz="8" w:space="0"/>
                    <w:left w:val="single" w:color="auto" w:sz="8" w:space="0"/>
                    <w:bottom w:val="single" w:color="auto" w:sz="8" w:space="0"/>
                    <w:right w:val="single" w:color="auto" w:sz="8" w:space="0"/>
                  </w:tcBorders>
                  <w:shd w:val="clear"/>
                  <w:vAlign w:val="center"/>
                </w:tcPr>
                <w:p w14:paraId="1990111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1</w:t>
                  </w:r>
                </w:p>
              </w:tc>
              <w:tc>
                <w:tcPr>
                  <w:tcW w:w="1276" w:type="dxa"/>
                  <w:tcBorders>
                    <w:top w:val="single" w:color="auto" w:sz="8" w:space="0"/>
                    <w:left w:val="single" w:color="auto" w:sz="8" w:space="0"/>
                    <w:bottom w:val="single" w:color="auto" w:sz="8" w:space="0"/>
                    <w:right w:val="single" w:color="auto" w:sz="8" w:space="0"/>
                  </w:tcBorders>
                  <w:shd w:val="clear"/>
                  <w:vAlign w:val="center"/>
                </w:tcPr>
                <w:p w14:paraId="505AB47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1</w:t>
                  </w:r>
                </w:p>
              </w:tc>
              <w:tc>
                <w:tcPr>
                  <w:tcW w:w="850" w:type="dxa"/>
                  <w:tcBorders>
                    <w:top w:val="single" w:color="auto" w:sz="8" w:space="0"/>
                    <w:left w:val="single" w:color="auto" w:sz="8" w:space="0"/>
                    <w:bottom w:val="single" w:color="auto" w:sz="8" w:space="0"/>
                    <w:right w:val="single" w:color="auto" w:sz="8" w:space="0"/>
                  </w:tcBorders>
                  <w:shd w:val="clear"/>
                  <w:vAlign w:val="center"/>
                </w:tcPr>
                <w:p w14:paraId="4C65B57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0</w:t>
                  </w:r>
                </w:p>
              </w:tc>
              <w:tc>
                <w:tcPr>
                  <w:tcW w:w="1973" w:type="dxa"/>
                  <w:tcBorders>
                    <w:top w:val="single" w:color="auto" w:sz="8" w:space="0"/>
                    <w:left w:val="single" w:color="auto" w:sz="8" w:space="0"/>
                    <w:bottom w:val="single" w:color="auto" w:sz="8" w:space="0"/>
                    <w:right w:val="nil"/>
                  </w:tcBorders>
                  <w:shd w:val="clear"/>
                  <w:vAlign w:val="center"/>
                </w:tcPr>
                <w:p w14:paraId="481AE1D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Times New Roman" w:eastAsia="宋体" w:cs="宋体"/>
                      <w:bCs/>
                      <w:color w:val="000000"/>
                      <w:kern w:val="2"/>
                      <w:sz w:val="21"/>
                      <w:szCs w:val="21"/>
                      <w:bdr w:val="none" w:color="auto" w:sz="0" w:space="0"/>
                      <w:lang w:val="en-US" w:eastAsia="zh-CN" w:bidi="ar"/>
                    </w:rPr>
                    <w:t>胶带、泡棉等材料分切</w:t>
                  </w:r>
                </w:p>
              </w:tc>
            </w:tr>
            <w:tr w14:paraId="188E8240">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vAlign w:val="center"/>
                </w:tcPr>
                <w:p w14:paraId="0D39916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18</w:t>
                  </w:r>
                </w:p>
              </w:tc>
              <w:tc>
                <w:tcPr>
                  <w:tcW w:w="1804" w:type="dxa"/>
                  <w:tcBorders>
                    <w:top w:val="single" w:color="auto" w:sz="8" w:space="0"/>
                    <w:left w:val="single" w:color="auto" w:sz="8" w:space="0"/>
                    <w:bottom w:val="single" w:color="auto" w:sz="8" w:space="0"/>
                    <w:right w:val="single" w:color="auto" w:sz="8" w:space="0"/>
                  </w:tcBorders>
                  <w:shd w:val="clear"/>
                  <w:vAlign w:val="center"/>
                </w:tcPr>
                <w:p w14:paraId="3A4C01A5">
                  <w:pPr>
                    <w:pStyle w:val="70"/>
                    <w:widowControl/>
                    <w:spacing w:line="240" w:lineRule="auto"/>
                    <w:rPr>
                      <w:b w:val="0"/>
                      <w:bCs w:val="0"/>
                      <w:color w:val="000000"/>
                      <w:sz w:val="21"/>
                      <w:szCs w:val="21"/>
                      <w:bdr w:val="none" w:color="auto" w:sz="0" w:space="0"/>
                      <w:lang w:val="en-US"/>
                    </w:rPr>
                  </w:pPr>
                  <w:r>
                    <w:rPr>
                      <w:rFonts w:hint="eastAsia" w:ascii="Times New Roman" w:hAnsi="Times New Roman" w:eastAsia="宋体" w:cs="宋体"/>
                      <w:b w:val="0"/>
                      <w:bCs w:val="0"/>
                      <w:color w:val="000000"/>
                      <w:sz w:val="21"/>
                      <w:szCs w:val="21"/>
                      <w:bdr w:val="none" w:color="auto" w:sz="0" w:space="0"/>
                    </w:rPr>
                    <w:t>分条机</w:t>
                  </w:r>
                </w:p>
              </w:tc>
              <w:tc>
                <w:tcPr>
                  <w:tcW w:w="1123" w:type="dxa"/>
                  <w:tcBorders>
                    <w:top w:val="single" w:color="auto" w:sz="8" w:space="0"/>
                    <w:left w:val="single" w:color="auto" w:sz="8" w:space="0"/>
                    <w:bottom w:val="single" w:color="auto" w:sz="8" w:space="0"/>
                    <w:right w:val="single" w:color="auto" w:sz="8" w:space="0"/>
                  </w:tcBorders>
                  <w:shd w:val="clear"/>
                  <w:vAlign w:val="center"/>
                </w:tcPr>
                <w:p w14:paraId="7D738CF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800</w:t>
                  </w:r>
                  <w:r>
                    <w:rPr>
                      <w:rFonts w:hint="eastAsia" w:ascii="Times New Roman" w:hAnsi="Times New Roman" w:eastAsia="宋体" w:cs="宋体"/>
                      <w:bCs/>
                      <w:color w:val="000000"/>
                      <w:kern w:val="2"/>
                      <w:sz w:val="21"/>
                      <w:szCs w:val="21"/>
                      <w:bdr w:val="none" w:color="auto" w:sz="0" w:space="0"/>
                      <w:lang w:val="en-US" w:eastAsia="zh-CN" w:bidi="ar"/>
                    </w:rPr>
                    <w:t>型</w:t>
                  </w:r>
                  <w:r>
                    <w:rPr>
                      <w:rFonts w:hint="default" w:ascii="Times New Roman" w:hAnsi="Times New Roman" w:eastAsia="宋体" w:cs="Times New Roman"/>
                      <w:bCs/>
                      <w:color w:val="000000"/>
                      <w:kern w:val="2"/>
                      <w:sz w:val="21"/>
                      <w:szCs w:val="21"/>
                      <w:bdr w:val="none" w:color="auto" w:sz="0" w:space="0"/>
                      <w:lang w:val="en-US" w:eastAsia="zh-CN" w:bidi="ar"/>
                    </w:rPr>
                    <w:t>/600</w:t>
                  </w:r>
                  <w:r>
                    <w:rPr>
                      <w:rFonts w:hint="eastAsia" w:ascii="Times New Roman" w:hAnsi="Times New Roman" w:eastAsia="宋体" w:cs="宋体"/>
                      <w:bCs/>
                      <w:color w:val="000000"/>
                      <w:kern w:val="2"/>
                      <w:sz w:val="21"/>
                      <w:szCs w:val="21"/>
                      <w:bdr w:val="none" w:color="auto" w:sz="0" w:space="0"/>
                      <w:lang w:val="en-US" w:eastAsia="zh-CN" w:bidi="ar"/>
                    </w:rPr>
                    <w:t>型</w:t>
                  </w:r>
                </w:p>
              </w:tc>
              <w:tc>
                <w:tcPr>
                  <w:tcW w:w="720" w:type="dxa"/>
                  <w:tcBorders>
                    <w:top w:val="single" w:color="auto" w:sz="8" w:space="0"/>
                    <w:left w:val="single" w:color="auto" w:sz="8" w:space="0"/>
                    <w:bottom w:val="single" w:color="auto" w:sz="8" w:space="0"/>
                    <w:right w:val="single" w:color="auto" w:sz="8" w:space="0"/>
                  </w:tcBorders>
                  <w:shd w:val="clear"/>
                  <w:vAlign w:val="center"/>
                </w:tcPr>
                <w:p w14:paraId="2EB465B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2</w:t>
                  </w:r>
                </w:p>
              </w:tc>
              <w:tc>
                <w:tcPr>
                  <w:tcW w:w="1276" w:type="dxa"/>
                  <w:tcBorders>
                    <w:top w:val="single" w:color="auto" w:sz="8" w:space="0"/>
                    <w:left w:val="single" w:color="auto" w:sz="8" w:space="0"/>
                    <w:bottom w:val="single" w:color="auto" w:sz="8" w:space="0"/>
                    <w:right w:val="single" w:color="auto" w:sz="8" w:space="0"/>
                  </w:tcBorders>
                  <w:shd w:val="clear"/>
                  <w:vAlign w:val="center"/>
                </w:tcPr>
                <w:p w14:paraId="332943E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2</w:t>
                  </w:r>
                </w:p>
              </w:tc>
              <w:tc>
                <w:tcPr>
                  <w:tcW w:w="850" w:type="dxa"/>
                  <w:tcBorders>
                    <w:top w:val="single" w:color="auto" w:sz="8" w:space="0"/>
                    <w:left w:val="single" w:color="auto" w:sz="8" w:space="0"/>
                    <w:bottom w:val="single" w:color="auto" w:sz="8" w:space="0"/>
                    <w:right w:val="single" w:color="auto" w:sz="8" w:space="0"/>
                  </w:tcBorders>
                  <w:shd w:val="clear"/>
                  <w:vAlign w:val="center"/>
                </w:tcPr>
                <w:p w14:paraId="5FFF98A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0</w:t>
                  </w:r>
                </w:p>
              </w:tc>
              <w:tc>
                <w:tcPr>
                  <w:tcW w:w="1973" w:type="dxa"/>
                  <w:tcBorders>
                    <w:top w:val="single" w:color="auto" w:sz="8" w:space="0"/>
                    <w:left w:val="single" w:color="auto" w:sz="8" w:space="0"/>
                    <w:bottom w:val="single" w:color="auto" w:sz="8" w:space="0"/>
                    <w:right w:val="nil"/>
                  </w:tcBorders>
                  <w:shd w:val="clear"/>
                  <w:vAlign w:val="center"/>
                </w:tcPr>
                <w:p w14:paraId="09531943">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Times New Roman" w:eastAsia="宋体" w:cs="宋体"/>
                      <w:bCs/>
                      <w:color w:val="000000"/>
                      <w:kern w:val="2"/>
                      <w:sz w:val="21"/>
                      <w:szCs w:val="21"/>
                      <w:bdr w:val="none" w:color="auto" w:sz="0" w:space="0"/>
                      <w:lang w:val="en-US" w:eastAsia="zh-CN" w:bidi="ar"/>
                    </w:rPr>
                    <w:t>胶带、泡棉等材料分条</w:t>
                  </w:r>
                </w:p>
              </w:tc>
            </w:tr>
            <w:tr w14:paraId="18C07A6F">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vAlign w:val="center"/>
                </w:tcPr>
                <w:p w14:paraId="37C1C61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19</w:t>
                  </w:r>
                </w:p>
              </w:tc>
              <w:tc>
                <w:tcPr>
                  <w:tcW w:w="1804" w:type="dxa"/>
                  <w:tcBorders>
                    <w:top w:val="single" w:color="auto" w:sz="8" w:space="0"/>
                    <w:left w:val="single" w:color="auto" w:sz="8" w:space="0"/>
                    <w:bottom w:val="single" w:color="auto" w:sz="8" w:space="0"/>
                    <w:right w:val="single" w:color="auto" w:sz="8" w:space="0"/>
                  </w:tcBorders>
                  <w:shd w:val="clear"/>
                  <w:vAlign w:val="center"/>
                </w:tcPr>
                <w:p w14:paraId="2ADF1CA9">
                  <w:pPr>
                    <w:pStyle w:val="70"/>
                    <w:widowControl/>
                    <w:spacing w:line="240" w:lineRule="auto"/>
                    <w:rPr>
                      <w:b w:val="0"/>
                      <w:bCs w:val="0"/>
                      <w:color w:val="000000"/>
                      <w:sz w:val="21"/>
                      <w:szCs w:val="21"/>
                      <w:bdr w:val="none" w:color="auto" w:sz="0" w:space="0"/>
                      <w:lang w:val="en-US"/>
                    </w:rPr>
                  </w:pPr>
                  <w:r>
                    <w:rPr>
                      <w:rFonts w:hint="eastAsia" w:ascii="Times New Roman" w:hAnsi="Times New Roman" w:eastAsia="宋体" w:cs="宋体"/>
                      <w:b w:val="0"/>
                      <w:bCs w:val="0"/>
                      <w:color w:val="000000"/>
                      <w:sz w:val="21"/>
                      <w:szCs w:val="21"/>
                      <w:bdr w:val="none" w:color="auto" w:sz="0" w:space="0"/>
                    </w:rPr>
                    <w:t>粘接机</w:t>
                  </w:r>
                </w:p>
              </w:tc>
              <w:tc>
                <w:tcPr>
                  <w:tcW w:w="1123" w:type="dxa"/>
                  <w:tcBorders>
                    <w:top w:val="single" w:color="auto" w:sz="8" w:space="0"/>
                    <w:left w:val="single" w:color="auto" w:sz="8" w:space="0"/>
                    <w:bottom w:val="single" w:color="auto" w:sz="8" w:space="0"/>
                    <w:right w:val="single" w:color="auto" w:sz="8" w:space="0"/>
                  </w:tcBorders>
                  <w:shd w:val="clear"/>
                  <w:vAlign w:val="center"/>
                </w:tcPr>
                <w:p w14:paraId="045C001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Times New Roman" w:eastAsia="宋体" w:cs="宋体"/>
                      <w:bCs/>
                      <w:color w:val="000000"/>
                      <w:kern w:val="2"/>
                      <w:sz w:val="21"/>
                      <w:szCs w:val="21"/>
                      <w:bdr w:val="none" w:color="auto" w:sz="0" w:space="0"/>
                      <w:lang w:val="en-US" w:eastAsia="zh-CN" w:bidi="ar"/>
                    </w:rPr>
                    <w:t>非标设备</w:t>
                  </w:r>
                </w:p>
              </w:tc>
              <w:tc>
                <w:tcPr>
                  <w:tcW w:w="720" w:type="dxa"/>
                  <w:tcBorders>
                    <w:top w:val="single" w:color="auto" w:sz="8" w:space="0"/>
                    <w:left w:val="single" w:color="auto" w:sz="8" w:space="0"/>
                    <w:bottom w:val="single" w:color="auto" w:sz="8" w:space="0"/>
                    <w:right w:val="single" w:color="auto" w:sz="8" w:space="0"/>
                  </w:tcBorders>
                  <w:shd w:val="clear"/>
                  <w:vAlign w:val="center"/>
                </w:tcPr>
                <w:p w14:paraId="3E1257E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30</w:t>
                  </w:r>
                </w:p>
              </w:tc>
              <w:tc>
                <w:tcPr>
                  <w:tcW w:w="1276" w:type="dxa"/>
                  <w:tcBorders>
                    <w:top w:val="single" w:color="auto" w:sz="8" w:space="0"/>
                    <w:left w:val="single" w:color="auto" w:sz="8" w:space="0"/>
                    <w:bottom w:val="single" w:color="auto" w:sz="8" w:space="0"/>
                    <w:right w:val="single" w:color="auto" w:sz="8" w:space="0"/>
                  </w:tcBorders>
                  <w:shd w:val="clear"/>
                  <w:vAlign w:val="center"/>
                </w:tcPr>
                <w:p w14:paraId="1CD4F98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50</w:t>
                  </w:r>
                </w:p>
              </w:tc>
              <w:tc>
                <w:tcPr>
                  <w:tcW w:w="850" w:type="dxa"/>
                  <w:tcBorders>
                    <w:top w:val="single" w:color="auto" w:sz="8" w:space="0"/>
                    <w:left w:val="single" w:color="auto" w:sz="8" w:space="0"/>
                    <w:bottom w:val="single" w:color="auto" w:sz="8" w:space="0"/>
                    <w:right w:val="single" w:color="auto" w:sz="8" w:space="0"/>
                  </w:tcBorders>
                  <w:shd w:val="clear"/>
                  <w:vAlign w:val="center"/>
                </w:tcPr>
                <w:p w14:paraId="67C0D8C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+20</w:t>
                  </w:r>
                </w:p>
              </w:tc>
              <w:tc>
                <w:tcPr>
                  <w:tcW w:w="1973" w:type="dxa"/>
                  <w:tcBorders>
                    <w:top w:val="single" w:color="auto" w:sz="8" w:space="0"/>
                    <w:left w:val="single" w:color="auto" w:sz="8" w:space="0"/>
                    <w:bottom w:val="single" w:color="auto" w:sz="8" w:space="0"/>
                    <w:right w:val="nil"/>
                  </w:tcBorders>
                  <w:shd w:val="clear"/>
                  <w:vAlign w:val="center"/>
                </w:tcPr>
                <w:p w14:paraId="4C48FAA5">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Times New Roman" w:eastAsia="宋体" w:cs="宋体"/>
                      <w:bCs/>
                      <w:color w:val="000000"/>
                      <w:kern w:val="2"/>
                      <w:sz w:val="21"/>
                      <w:szCs w:val="21"/>
                      <w:bdr w:val="none" w:color="auto" w:sz="0" w:space="0"/>
                      <w:lang w:val="en-US" w:eastAsia="zh-CN" w:bidi="ar"/>
                    </w:rPr>
                    <w:t>硅胶泡棉条粘接</w:t>
                  </w:r>
                </w:p>
              </w:tc>
            </w:tr>
            <w:tr w14:paraId="5E127EA1">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vAlign w:val="center"/>
                </w:tcPr>
                <w:p w14:paraId="31A09D6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20</w:t>
                  </w:r>
                </w:p>
              </w:tc>
              <w:tc>
                <w:tcPr>
                  <w:tcW w:w="1804" w:type="dxa"/>
                  <w:tcBorders>
                    <w:top w:val="single" w:color="auto" w:sz="8" w:space="0"/>
                    <w:left w:val="single" w:color="auto" w:sz="8" w:space="0"/>
                    <w:bottom w:val="single" w:color="auto" w:sz="8" w:space="0"/>
                    <w:right w:val="single" w:color="auto" w:sz="8" w:space="0"/>
                  </w:tcBorders>
                  <w:shd w:val="clear"/>
                  <w:vAlign w:val="center"/>
                </w:tcPr>
                <w:p w14:paraId="760F38A4">
                  <w:pPr>
                    <w:pStyle w:val="70"/>
                    <w:widowControl/>
                    <w:spacing w:line="240" w:lineRule="auto"/>
                    <w:rPr>
                      <w:b w:val="0"/>
                      <w:bCs w:val="0"/>
                      <w:color w:val="000000"/>
                      <w:sz w:val="21"/>
                      <w:szCs w:val="21"/>
                      <w:bdr w:val="none" w:color="auto" w:sz="0" w:space="0"/>
                      <w:lang w:val="en-US"/>
                    </w:rPr>
                  </w:pPr>
                  <w:r>
                    <w:rPr>
                      <w:rFonts w:hint="eastAsia" w:ascii="Times New Roman" w:hAnsi="Times New Roman" w:eastAsia="宋体" w:cs="宋体"/>
                      <w:b w:val="0"/>
                      <w:bCs w:val="0"/>
                      <w:color w:val="000000"/>
                      <w:sz w:val="21"/>
                      <w:szCs w:val="21"/>
                      <w:bdr w:val="none" w:color="auto" w:sz="0" w:space="0"/>
                    </w:rPr>
                    <w:t>复卷机</w:t>
                  </w:r>
                </w:p>
              </w:tc>
              <w:tc>
                <w:tcPr>
                  <w:tcW w:w="1123" w:type="dxa"/>
                  <w:tcBorders>
                    <w:top w:val="single" w:color="auto" w:sz="8" w:space="0"/>
                    <w:left w:val="single" w:color="auto" w:sz="8" w:space="0"/>
                    <w:bottom w:val="single" w:color="auto" w:sz="8" w:space="0"/>
                    <w:right w:val="single" w:color="auto" w:sz="8" w:space="0"/>
                  </w:tcBorders>
                  <w:shd w:val="clear"/>
                  <w:vAlign w:val="center"/>
                </w:tcPr>
                <w:p w14:paraId="030DC0C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Times New Roman" w:eastAsia="宋体" w:cs="宋体"/>
                      <w:bCs/>
                      <w:color w:val="000000"/>
                      <w:kern w:val="2"/>
                      <w:sz w:val="21"/>
                      <w:szCs w:val="21"/>
                      <w:bdr w:val="none" w:color="auto" w:sz="0" w:space="0"/>
                      <w:lang w:val="en-US" w:eastAsia="zh-CN" w:bidi="ar"/>
                    </w:rPr>
                    <w:t>非标设备</w:t>
                  </w:r>
                </w:p>
              </w:tc>
              <w:tc>
                <w:tcPr>
                  <w:tcW w:w="720" w:type="dxa"/>
                  <w:tcBorders>
                    <w:top w:val="single" w:color="auto" w:sz="8" w:space="0"/>
                    <w:left w:val="single" w:color="auto" w:sz="8" w:space="0"/>
                    <w:bottom w:val="single" w:color="auto" w:sz="8" w:space="0"/>
                    <w:right w:val="single" w:color="auto" w:sz="8" w:space="0"/>
                  </w:tcBorders>
                  <w:shd w:val="clear"/>
                  <w:vAlign w:val="center"/>
                </w:tcPr>
                <w:p w14:paraId="004C915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1</w:t>
                  </w:r>
                </w:p>
              </w:tc>
              <w:tc>
                <w:tcPr>
                  <w:tcW w:w="1276" w:type="dxa"/>
                  <w:tcBorders>
                    <w:top w:val="single" w:color="auto" w:sz="8" w:space="0"/>
                    <w:left w:val="single" w:color="auto" w:sz="8" w:space="0"/>
                    <w:bottom w:val="single" w:color="auto" w:sz="8" w:space="0"/>
                    <w:right w:val="single" w:color="auto" w:sz="8" w:space="0"/>
                  </w:tcBorders>
                  <w:shd w:val="clear"/>
                  <w:vAlign w:val="center"/>
                </w:tcPr>
                <w:p w14:paraId="248D57E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1</w:t>
                  </w:r>
                </w:p>
              </w:tc>
              <w:tc>
                <w:tcPr>
                  <w:tcW w:w="850" w:type="dxa"/>
                  <w:tcBorders>
                    <w:top w:val="single" w:color="auto" w:sz="8" w:space="0"/>
                    <w:left w:val="single" w:color="auto" w:sz="8" w:space="0"/>
                    <w:bottom w:val="single" w:color="auto" w:sz="8" w:space="0"/>
                    <w:right w:val="single" w:color="auto" w:sz="8" w:space="0"/>
                  </w:tcBorders>
                  <w:shd w:val="clear"/>
                  <w:vAlign w:val="center"/>
                </w:tcPr>
                <w:p w14:paraId="5B2ACE3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0</w:t>
                  </w:r>
                </w:p>
              </w:tc>
              <w:tc>
                <w:tcPr>
                  <w:tcW w:w="1973" w:type="dxa"/>
                  <w:tcBorders>
                    <w:top w:val="single" w:color="auto" w:sz="8" w:space="0"/>
                    <w:left w:val="single" w:color="auto" w:sz="8" w:space="0"/>
                    <w:bottom w:val="single" w:color="auto" w:sz="8" w:space="0"/>
                    <w:right w:val="nil"/>
                  </w:tcBorders>
                  <w:shd w:val="clear"/>
                  <w:vAlign w:val="center"/>
                </w:tcPr>
                <w:p w14:paraId="0650687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Times New Roman" w:eastAsia="宋体" w:cs="宋体"/>
                      <w:bCs/>
                      <w:color w:val="000000"/>
                      <w:kern w:val="2"/>
                      <w:sz w:val="21"/>
                      <w:szCs w:val="21"/>
                      <w:bdr w:val="none" w:color="auto" w:sz="0" w:space="0"/>
                      <w:lang w:val="en-US" w:eastAsia="zh-CN" w:bidi="ar"/>
                    </w:rPr>
                    <w:t>皮革复卷</w:t>
                  </w:r>
                </w:p>
              </w:tc>
            </w:tr>
            <w:tr w14:paraId="291B23F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12" w:space="0"/>
                    <w:right w:val="single" w:color="auto" w:sz="8" w:space="0"/>
                  </w:tcBorders>
                  <w:shd w:val="clear"/>
                  <w:vAlign w:val="center"/>
                </w:tcPr>
                <w:p w14:paraId="238194D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21</w:t>
                  </w:r>
                </w:p>
              </w:tc>
              <w:tc>
                <w:tcPr>
                  <w:tcW w:w="1804" w:type="dxa"/>
                  <w:tcBorders>
                    <w:top w:val="single" w:color="auto" w:sz="8" w:space="0"/>
                    <w:left w:val="single" w:color="auto" w:sz="8" w:space="0"/>
                    <w:bottom w:val="single" w:color="auto" w:sz="12" w:space="0"/>
                    <w:right w:val="single" w:color="auto" w:sz="8" w:space="0"/>
                  </w:tcBorders>
                  <w:shd w:val="clear"/>
                  <w:vAlign w:val="center"/>
                </w:tcPr>
                <w:p w14:paraId="6E026917">
                  <w:pPr>
                    <w:pStyle w:val="70"/>
                    <w:widowControl/>
                    <w:spacing w:line="240" w:lineRule="auto"/>
                    <w:rPr>
                      <w:b w:val="0"/>
                      <w:bCs w:val="0"/>
                      <w:color w:val="000000"/>
                      <w:sz w:val="21"/>
                      <w:szCs w:val="21"/>
                      <w:bdr w:val="none" w:color="auto" w:sz="0" w:space="0"/>
                      <w:lang w:val="en-US"/>
                    </w:rPr>
                  </w:pPr>
                  <w:r>
                    <w:rPr>
                      <w:rFonts w:hint="eastAsia" w:ascii="Times New Roman" w:hAnsi="Times New Roman" w:eastAsia="宋体" w:cs="宋体"/>
                      <w:b w:val="0"/>
                      <w:bCs w:val="0"/>
                      <w:color w:val="000000"/>
                      <w:sz w:val="21"/>
                      <w:szCs w:val="21"/>
                      <w:bdr w:val="none" w:color="auto" w:sz="0" w:space="0"/>
                    </w:rPr>
                    <w:t>打包机</w:t>
                  </w:r>
                </w:p>
              </w:tc>
              <w:tc>
                <w:tcPr>
                  <w:tcW w:w="1123" w:type="dxa"/>
                  <w:tcBorders>
                    <w:top w:val="single" w:color="auto" w:sz="8" w:space="0"/>
                    <w:left w:val="single" w:color="auto" w:sz="8" w:space="0"/>
                    <w:bottom w:val="single" w:color="auto" w:sz="12" w:space="0"/>
                    <w:right w:val="single" w:color="auto" w:sz="8" w:space="0"/>
                  </w:tcBorders>
                  <w:shd w:val="clear"/>
                  <w:vAlign w:val="center"/>
                </w:tcPr>
                <w:p w14:paraId="7973605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w:t>
                  </w:r>
                </w:p>
              </w:tc>
              <w:tc>
                <w:tcPr>
                  <w:tcW w:w="720" w:type="dxa"/>
                  <w:tcBorders>
                    <w:top w:val="single" w:color="auto" w:sz="8" w:space="0"/>
                    <w:left w:val="single" w:color="auto" w:sz="8" w:space="0"/>
                    <w:bottom w:val="single" w:color="auto" w:sz="12" w:space="0"/>
                    <w:right w:val="single" w:color="auto" w:sz="8" w:space="0"/>
                  </w:tcBorders>
                  <w:shd w:val="clear"/>
                  <w:vAlign w:val="center"/>
                </w:tcPr>
                <w:p w14:paraId="4D6110A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0</w:t>
                  </w:r>
                </w:p>
              </w:tc>
              <w:tc>
                <w:tcPr>
                  <w:tcW w:w="1276" w:type="dxa"/>
                  <w:tcBorders>
                    <w:top w:val="single" w:color="auto" w:sz="8" w:space="0"/>
                    <w:left w:val="single" w:color="auto" w:sz="8" w:space="0"/>
                    <w:bottom w:val="single" w:color="auto" w:sz="12" w:space="0"/>
                    <w:right w:val="single" w:color="auto" w:sz="8" w:space="0"/>
                  </w:tcBorders>
                  <w:shd w:val="clear"/>
                  <w:vAlign w:val="center"/>
                </w:tcPr>
                <w:p w14:paraId="38FF5A2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1</w:t>
                  </w:r>
                </w:p>
              </w:tc>
              <w:tc>
                <w:tcPr>
                  <w:tcW w:w="850" w:type="dxa"/>
                  <w:tcBorders>
                    <w:top w:val="single" w:color="auto" w:sz="8" w:space="0"/>
                    <w:left w:val="single" w:color="auto" w:sz="8" w:space="0"/>
                    <w:bottom w:val="single" w:color="auto" w:sz="12" w:space="0"/>
                    <w:right w:val="single" w:color="auto" w:sz="8" w:space="0"/>
                  </w:tcBorders>
                  <w:shd w:val="clear"/>
                  <w:vAlign w:val="center"/>
                </w:tcPr>
                <w:p w14:paraId="5CAE67F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+1</w:t>
                  </w:r>
                </w:p>
              </w:tc>
              <w:tc>
                <w:tcPr>
                  <w:tcW w:w="1973" w:type="dxa"/>
                  <w:tcBorders>
                    <w:top w:val="single" w:color="auto" w:sz="8" w:space="0"/>
                    <w:left w:val="single" w:color="auto" w:sz="8" w:space="0"/>
                    <w:bottom w:val="single" w:color="auto" w:sz="12" w:space="0"/>
                    <w:right w:val="nil"/>
                  </w:tcBorders>
                  <w:shd w:val="clear"/>
                  <w:vAlign w:val="center"/>
                </w:tcPr>
                <w:p w14:paraId="7E36C83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Times New Roman" w:eastAsia="宋体" w:cs="宋体"/>
                      <w:bCs/>
                      <w:color w:val="000000"/>
                      <w:kern w:val="2"/>
                      <w:sz w:val="21"/>
                      <w:szCs w:val="21"/>
                      <w:bdr w:val="none" w:color="auto" w:sz="0" w:space="0"/>
                      <w:lang w:val="en-US" w:eastAsia="zh-CN" w:bidi="ar"/>
                    </w:rPr>
                    <w:t>一般固废打包</w:t>
                  </w:r>
                </w:p>
              </w:tc>
            </w:tr>
          </w:tbl>
          <w:p w14:paraId="023B19A5">
            <w:pPr>
              <w:pStyle w:val="25"/>
              <w:widowControl/>
              <w:ind w:left="0" w:firstLine="480"/>
              <w:rPr>
                <w:color w:val="000000"/>
                <w:bdr w:val="none" w:color="auto" w:sz="0" w:space="0"/>
                <w:lang w:val="en-US"/>
              </w:rPr>
            </w:pPr>
            <w:r>
              <w:rPr>
                <w:rFonts w:hint="eastAsia" w:ascii="Times New Roman" w:hAnsi="Times New Roman" w:eastAsia="宋体" w:cs="宋体"/>
                <w:color w:val="000000"/>
                <w:bdr w:val="none" w:color="auto" w:sz="0" w:space="0"/>
              </w:rPr>
              <w:t>扩建项目生产设备不属于《高耗能落后机电设备</w:t>
            </w:r>
            <w:r>
              <w:rPr>
                <w:color w:val="000000"/>
                <w:bdr w:val="none" w:color="auto" w:sz="0" w:space="0"/>
                <w:lang w:val="en-US"/>
              </w:rPr>
              <w:t>(</w:t>
            </w:r>
            <w:r>
              <w:rPr>
                <w:rFonts w:hint="eastAsia" w:ascii="Times New Roman" w:hAnsi="Times New Roman" w:eastAsia="宋体" w:cs="宋体"/>
                <w:color w:val="000000"/>
                <w:bdr w:val="none" w:color="auto" w:sz="0" w:space="0"/>
              </w:rPr>
              <w:t>产品</w:t>
            </w:r>
            <w:r>
              <w:rPr>
                <w:color w:val="000000"/>
                <w:bdr w:val="none" w:color="auto" w:sz="0" w:space="0"/>
                <w:lang w:val="en-US"/>
              </w:rPr>
              <w:t>)</w:t>
            </w:r>
            <w:r>
              <w:rPr>
                <w:rFonts w:hint="eastAsia" w:ascii="Times New Roman" w:hAnsi="Times New Roman" w:eastAsia="宋体" w:cs="宋体"/>
                <w:color w:val="000000"/>
                <w:bdr w:val="none" w:color="auto" w:sz="0" w:space="0"/>
              </w:rPr>
              <w:t>淘汰目录》</w:t>
            </w:r>
            <w:r>
              <w:rPr>
                <w:color w:val="000000"/>
                <w:bdr w:val="none" w:color="auto" w:sz="0" w:space="0"/>
                <w:lang w:val="en-US"/>
              </w:rPr>
              <w:t>(</w:t>
            </w:r>
            <w:r>
              <w:rPr>
                <w:rFonts w:hint="eastAsia" w:ascii="Times New Roman" w:hAnsi="Times New Roman" w:eastAsia="宋体" w:cs="宋体"/>
                <w:color w:val="000000"/>
                <w:bdr w:val="none" w:color="auto" w:sz="0" w:space="0"/>
              </w:rPr>
              <w:t>第一批、第二批、第三批、第四批</w:t>
            </w:r>
            <w:r>
              <w:rPr>
                <w:color w:val="000000"/>
                <w:bdr w:val="none" w:color="auto" w:sz="0" w:space="0"/>
                <w:lang w:val="en-US"/>
              </w:rPr>
              <w:t>)</w:t>
            </w:r>
            <w:r>
              <w:rPr>
                <w:rFonts w:hint="eastAsia" w:ascii="Times New Roman" w:hAnsi="Times New Roman" w:eastAsia="宋体" w:cs="宋体"/>
                <w:color w:val="000000"/>
                <w:bdr w:val="none" w:color="auto" w:sz="0" w:space="0"/>
              </w:rPr>
              <w:t>、《产业结构调整指导目录</w:t>
            </w:r>
            <w:r>
              <w:rPr>
                <w:color w:val="000000"/>
                <w:bdr w:val="none" w:color="auto" w:sz="0" w:space="0"/>
                <w:lang w:val="en-US"/>
              </w:rPr>
              <w:t>(2024</w:t>
            </w:r>
            <w:r>
              <w:rPr>
                <w:rFonts w:hint="eastAsia" w:ascii="Times New Roman" w:hAnsi="Times New Roman" w:eastAsia="宋体" w:cs="宋体"/>
                <w:color w:val="000000"/>
                <w:bdr w:val="none" w:color="auto" w:sz="0" w:space="0"/>
              </w:rPr>
              <w:t>年本</w:t>
            </w:r>
            <w:r>
              <w:rPr>
                <w:color w:val="000000"/>
                <w:bdr w:val="none" w:color="auto" w:sz="0" w:space="0"/>
                <w:lang w:val="en-US"/>
              </w:rPr>
              <w:t>)</w:t>
            </w:r>
            <w:r>
              <w:rPr>
                <w:rFonts w:hint="eastAsia" w:ascii="Times New Roman" w:hAnsi="Times New Roman" w:eastAsia="宋体" w:cs="宋体"/>
                <w:color w:val="000000"/>
                <w:bdr w:val="none" w:color="auto" w:sz="0" w:space="0"/>
              </w:rPr>
              <w:t>》中限制、淘汰类的设备。</w:t>
            </w:r>
          </w:p>
          <w:p w14:paraId="63BE468D">
            <w:pPr>
              <w:keepNext w:val="0"/>
              <w:keepLines w:val="0"/>
              <w:widowControl/>
              <w:suppressLineNumbers w:val="0"/>
              <w:spacing w:before="0" w:beforeAutospacing="0" w:after="0" w:afterAutospacing="0" w:line="440" w:lineRule="exact"/>
              <w:ind w:left="0" w:right="0"/>
              <w:jc w:val="left"/>
              <w:outlineLvl w:val="1"/>
              <w:rPr>
                <w:rFonts w:hint="default" w:ascii="Times New Roman" w:hAnsi="Times New Roman" w:cs="Times New Roman"/>
                <w:b/>
                <w:bCs/>
                <w:color w:val="000000"/>
                <w:sz w:val="24"/>
                <w:szCs w:val="24"/>
                <w:bdr w:val="none" w:color="auto" w:sz="0" w:space="0"/>
                <w:lang w:val="en-US"/>
              </w:rPr>
            </w:pPr>
            <w:r>
              <w:rPr>
                <w:rFonts w:hint="default" w:ascii="Times New Roman" w:hAnsi="Times New Roman" w:eastAsia="宋体" w:cs="Times New Roman"/>
                <w:b/>
                <w:bCs/>
                <w:color w:val="000000"/>
                <w:kern w:val="2"/>
                <w:sz w:val="24"/>
                <w:szCs w:val="24"/>
                <w:bdr w:val="none" w:color="auto" w:sz="0" w:space="0"/>
                <w:lang w:val="en-US" w:eastAsia="zh-CN" w:bidi="ar"/>
              </w:rPr>
              <w:t>2.6</w:t>
            </w:r>
            <w:r>
              <w:rPr>
                <w:rFonts w:hint="eastAsia" w:ascii="Times New Roman" w:hAnsi="Times New Roman" w:eastAsia="宋体" w:cs="宋体"/>
                <w:b/>
                <w:bCs/>
                <w:color w:val="000000"/>
                <w:kern w:val="2"/>
                <w:sz w:val="24"/>
                <w:szCs w:val="24"/>
                <w:bdr w:val="none" w:color="auto" w:sz="0" w:space="0"/>
                <w:lang w:val="en-US" w:eastAsia="zh-CN" w:bidi="ar"/>
              </w:rPr>
              <w:t>主要原辅材料及能源消耗情况</w:t>
            </w:r>
          </w:p>
          <w:p w14:paraId="143CC90D">
            <w:pPr>
              <w:pStyle w:val="25"/>
              <w:widowControl/>
              <w:ind w:left="0" w:firstLine="480"/>
              <w:rPr>
                <w:color w:val="000000"/>
                <w:bdr w:val="none" w:color="auto" w:sz="0" w:space="0"/>
                <w:lang w:val="en-US"/>
              </w:rPr>
            </w:pPr>
            <w:r>
              <w:rPr>
                <w:rFonts w:hint="eastAsia" w:ascii="Times New Roman" w:hAnsi="Times New Roman" w:eastAsia="宋体" w:cs="宋体"/>
                <w:color w:val="000000"/>
                <w:bdr w:val="none" w:color="auto" w:sz="0" w:space="0"/>
              </w:rPr>
              <w:t>扩建项目主要原辅材料见表</w:t>
            </w:r>
            <w:r>
              <w:rPr>
                <w:color w:val="000000"/>
                <w:bdr w:val="none" w:color="auto" w:sz="0" w:space="0"/>
                <w:lang w:val="en-US"/>
              </w:rPr>
              <w:t>2.6-1</w:t>
            </w:r>
            <w:r>
              <w:rPr>
                <w:rFonts w:hint="eastAsia" w:ascii="Times New Roman" w:hAnsi="Times New Roman" w:eastAsia="宋体" w:cs="宋体"/>
                <w:color w:val="000000"/>
                <w:bdr w:val="none" w:color="auto" w:sz="0" w:space="0"/>
              </w:rPr>
              <w:t>，能源消耗情况见表</w:t>
            </w:r>
            <w:r>
              <w:rPr>
                <w:color w:val="000000"/>
                <w:bdr w:val="none" w:color="auto" w:sz="0" w:space="0"/>
                <w:lang w:val="en-US"/>
              </w:rPr>
              <w:t>2.6-2</w:t>
            </w:r>
            <w:r>
              <w:rPr>
                <w:rFonts w:hint="eastAsia" w:ascii="Times New Roman" w:hAnsi="Times New Roman" w:eastAsia="宋体" w:cs="宋体"/>
                <w:color w:val="000000"/>
                <w:bdr w:val="none" w:color="auto" w:sz="0" w:space="0"/>
              </w:rPr>
              <w:t>。</w:t>
            </w:r>
          </w:p>
          <w:p w14:paraId="68D63600">
            <w:pPr>
              <w:keepNext w:val="0"/>
              <w:keepLines w:val="0"/>
              <w:widowControl w:val="0"/>
              <w:suppressLineNumbers w:val="0"/>
              <w:spacing w:before="0" w:beforeAutospacing="0" w:after="0" w:afterAutospacing="0" w:line="460" w:lineRule="exact"/>
              <w:ind w:left="0" w:right="0" w:firstLine="495"/>
              <w:jc w:val="center"/>
              <w:rPr>
                <w:rFonts w:hint="default" w:ascii="Times New Roman" w:hAnsi="Calibri" w:cs="Times New Roman"/>
                <w:bCs/>
                <w:color w:val="000000"/>
                <w:sz w:val="24"/>
                <w:szCs w:val="24"/>
                <w:bdr w:val="none" w:color="auto" w:sz="0" w:space="0"/>
                <w:lang w:val="en-US"/>
              </w:rPr>
            </w:pPr>
            <w:r>
              <w:rPr>
                <w:rFonts w:hint="eastAsia" w:ascii="Times New Roman" w:hAnsi="Calibri" w:eastAsia="宋体" w:cs="宋体"/>
                <w:bCs/>
                <w:color w:val="000000"/>
                <w:kern w:val="2"/>
                <w:sz w:val="24"/>
                <w:szCs w:val="24"/>
                <w:bdr w:val="none" w:color="auto" w:sz="0" w:space="0"/>
                <w:lang w:val="en-US" w:eastAsia="zh-CN" w:bidi="ar"/>
              </w:rPr>
              <w:t>表</w:t>
            </w:r>
            <w:r>
              <w:rPr>
                <w:rFonts w:hint="default" w:ascii="Times New Roman" w:hAnsi="Calibri" w:eastAsia="宋体" w:cs="Times New Roman"/>
                <w:bCs/>
                <w:color w:val="000000"/>
                <w:kern w:val="2"/>
                <w:sz w:val="24"/>
                <w:szCs w:val="24"/>
                <w:bdr w:val="none" w:color="auto" w:sz="0" w:space="0"/>
                <w:lang w:val="en-US" w:eastAsia="zh-CN" w:bidi="ar"/>
              </w:rPr>
              <w:t xml:space="preserve">2.6-1 </w:t>
            </w:r>
            <w:r>
              <w:rPr>
                <w:rFonts w:hint="eastAsia" w:ascii="Times New Roman" w:hAnsi="Calibri" w:eastAsia="宋体" w:cs="宋体"/>
                <w:bCs/>
                <w:color w:val="000000"/>
                <w:kern w:val="2"/>
                <w:sz w:val="24"/>
                <w:szCs w:val="24"/>
                <w:bdr w:val="none" w:color="auto" w:sz="0" w:space="0"/>
                <w:lang w:val="en-US" w:eastAsia="zh-CN" w:bidi="ar"/>
              </w:rPr>
              <w:t>扩建项目主要原辅材料</w:t>
            </w:r>
          </w:p>
          <w:tbl>
            <w:tblPr>
              <w:tblStyle w:val="18"/>
              <w:tblpPr w:leftFromText="180" w:rightFromText="180" w:vertAnchor="text" w:tblpXSpec="center" w:tblpY="1"/>
              <w:tblOverlap w:val="never"/>
              <w:tblW w:w="5000" w:type="pct"/>
              <w:tblInd w:w="8" w:type="dxa"/>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tblLayout w:type="fixed"/>
              <w:tblCellMar>
                <w:top w:w="0" w:type="dxa"/>
                <w:left w:w="108" w:type="dxa"/>
                <w:bottom w:w="0" w:type="dxa"/>
                <w:right w:w="108" w:type="dxa"/>
              </w:tblCellMar>
            </w:tblPr>
            <w:tblGrid>
              <w:gridCol w:w="556"/>
              <w:gridCol w:w="862"/>
              <w:gridCol w:w="1803"/>
              <w:gridCol w:w="1008"/>
              <w:gridCol w:w="1060"/>
              <w:gridCol w:w="1105"/>
              <w:gridCol w:w="1105"/>
              <w:gridCol w:w="886"/>
            </w:tblGrid>
            <w:tr w14:paraId="3F0C6D55">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tblCellMar>
                  <w:top w:w="0" w:type="dxa"/>
                  <w:left w:w="108" w:type="dxa"/>
                  <w:bottom w:w="0" w:type="dxa"/>
                  <w:right w:w="108" w:type="dxa"/>
                </w:tblCellMar>
              </w:tblPrEx>
              <w:trPr>
                <w:trHeight w:val="118" w:hRule="atLeast"/>
              </w:trPr>
              <w:tc>
                <w:tcPr>
                  <w:tcW w:w="556" w:type="dxa"/>
                  <w:vMerge w:val="restart"/>
                  <w:tcBorders>
                    <w:top w:val="single" w:color="auto" w:sz="12" w:space="0"/>
                    <w:left w:val="nil"/>
                    <w:bottom w:val="single" w:color="auto" w:sz="8" w:space="0"/>
                    <w:right w:val="single" w:color="auto" w:sz="8" w:space="0"/>
                  </w:tcBorders>
                  <w:shd w:val="clear"/>
                  <w:vAlign w:val="center"/>
                </w:tcPr>
                <w:p w14:paraId="29F7242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Calibri" w:eastAsia="宋体" w:cs="宋体"/>
                      <w:bCs/>
                      <w:color w:val="000000"/>
                      <w:kern w:val="2"/>
                      <w:sz w:val="21"/>
                      <w:szCs w:val="21"/>
                      <w:bdr w:val="none" w:color="auto" w:sz="0" w:space="0"/>
                      <w:lang w:val="en-US" w:eastAsia="zh-CN" w:bidi="ar"/>
                    </w:rPr>
                    <w:t>序号</w:t>
                  </w:r>
                </w:p>
              </w:tc>
              <w:tc>
                <w:tcPr>
                  <w:tcW w:w="862" w:type="dxa"/>
                  <w:vMerge w:val="restart"/>
                  <w:tcBorders>
                    <w:top w:val="single" w:color="auto" w:sz="12" w:space="0"/>
                    <w:left w:val="single" w:color="auto" w:sz="8" w:space="0"/>
                    <w:bottom w:val="single" w:color="auto" w:sz="8" w:space="0"/>
                    <w:right w:val="single" w:color="auto" w:sz="8" w:space="0"/>
                  </w:tcBorders>
                  <w:shd w:val="clear"/>
                  <w:vAlign w:val="center"/>
                </w:tcPr>
                <w:p w14:paraId="7867B2B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Calibri" w:eastAsia="宋体" w:cs="宋体"/>
                      <w:bCs/>
                      <w:color w:val="000000"/>
                      <w:kern w:val="2"/>
                      <w:sz w:val="21"/>
                      <w:szCs w:val="21"/>
                      <w:bdr w:val="none" w:color="auto" w:sz="0" w:space="0"/>
                      <w:lang w:val="en-US" w:eastAsia="zh-CN" w:bidi="ar"/>
                    </w:rPr>
                    <w:t>名称</w:t>
                  </w:r>
                </w:p>
              </w:tc>
              <w:tc>
                <w:tcPr>
                  <w:tcW w:w="1803" w:type="dxa"/>
                  <w:vMerge w:val="restart"/>
                  <w:tcBorders>
                    <w:top w:val="single" w:color="auto" w:sz="12" w:space="0"/>
                    <w:left w:val="single" w:color="auto" w:sz="8" w:space="0"/>
                    <w:bottom w:val="single" w:color="auto" w:sz="8" w:space="0"/>
                    <w:right w:val="single" w:color="auto" w:sz="8" w:space="0"/>
                  </w:tcBorders>
                  <w:shd w:val="clear"/>
                  <w:vAlign w:val="center"/>
                </w:tcPr>
                <w:p w14:paraId="003AFDCD">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Calibri" w:eastAsia="宋体" w:cs="宋体"/>
                      <w:bCs/>
                      <w:color w:val="000000"/>
                      <w:kern w:val="2"/>
                      <w:sz w:val="21"/>
                      <w:szCs w:val="21"/>
                      <w:bdr w:val="none" w:color="auto" w:sz="0" w:space="0"/>
                      <w:lang w:val="en-US" w:eastAsia="zh-CN" w:bidi="ar"/>
                    </w:rPr>
                    <w:t>规格</w:t>
                  </w:r>
                </w:p>
              </w:tc>
              <w:tc>
                <w:tcPr>
                  <w:tcW w:w="3173" w:type="dxa"/>
                  <w:gridSpan w:val="3"/>
                  <w:tcBorders>
                    <w:top w:val="single" w:color="auto" w:sz="12" w:space="0"/>
                    <w:left w:val="single" w:color="auto" w:sz="8" w:space="0"/>
                    <w:bottom w:val="single" w:color="auto" w:sz="8" w:space="0"/>
                    <w:right w:val="single" w:color="auto" w:sz="8" w:space="0"/>
                  </w:tcBorders>
                  <w:shd w:val="clear"/>
                  <w:vAlign w:val="center"/>
                </w:tcPr>
                <w:p w14:paraId="22EE9D83">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bCs/>
                      <w:color w:val="000000"/>
                      <w:szCs w:val="21"/>
                      <w:bdr w:val="none" w:color="auto" w:sz="0" w:space="0"/>
                      <w:lang w:val="en-US"/>
                    </w:rPr>
                  </w:pPr>
                  <w:r>
                    <w:rPr>
                      <w:rFonts w:hint="eastAsia" w:ascii="Times New Roman" w:hAnsi="Calibri" w:eastAsia="宋体" w:cs="宋体"/>
                      <w:bCs/>
                      <w:color w:val="000000"/>
                      <w:kern w:val="2"/>
                      <w:sz w:val="21"/>
                      <w:szCs w:val="21"/>
                      <w:bdr w:val="none" w:color="auto" w:sz="0" w:space="0"/>
                      <w:lang w:val="en-US" w:eastAsia="zh-CN" w:bidi="ar"/>
                    </w:rPr>
                    <w:t>年使用量</w:t>
                  </w:r>
                </w:p>
              </w:tc>
              <w:tc>
                <w:tcPr>
                  <w:tcW w:w="1105" w:type="dxa"/>
                  <w:vMerge w:val="restart"/>
                  <w:tcBorders>
                    <w:top w:val="single" w:color="auto" w:sz="12" w:space="0"/>
                    <w:left w:val="single" w:color="auto" w:sz="8" w:space="0"/>
                    <w:bottom w:val="single" w:color="auto" w:sz="8" w:space="0"/>
                    <w:right w:val="single" w:color="auto" w:sz="8" w:space="0"/>
                  </w:tcBorders>
                  <w:shd w:val="clear"/>
                  <w:vAlign w:val="center"/>
                </w:tcPr>
                <w:p w14:paraId="11EAA45D">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bCs/>
                      <w:color w:val="000000"/>
                      <w:szCs w:val="21"/>
                      <w:bdr w:val="none" w:color="auto" w:sz="0" w:space="0"/>
                      <w:lang w:val="en-US"/>
                    </w:rPr>
                  </w:pPr>
                  <w:r>
                    <w:rPr>
                      <w:rFonts w:hint="eastAsia" w:ascii="Times New Roman" w:hAnsi="Calibri" w:eastAsia="宋体" w:cs="宋体"/>
                      <w:bCs/>
                      <w:color w:val="000000"/>
                      <w:kern w:val="2"/>
                      <w:sz w:val="21"/>
                      <w:szCs w:val="21"/>
                      <w:bdr w:val="none" w:color="auto" w:sz="0" w:space="0"/>
                      <w:lang w:val="en-US" w:eastAsia="zh-CN" w:bidi="ar"/>
                    </w:rPr>
                    <w:t>储存位置</w:t>
                  </w:r>
                </w:p>
              </w:tc>
              <w:tc>
                <w:tcPr>
                  <w:tcW w:w="886" w:type="dxa"/>
                  <w:vMerge w:val="restart"/>
                  <w:tcBorders>
                    <w:top w:val="single" w:color="auto" w:sz="12" w:space="0"/>
                    <w:left w:val="single" w:color="auto" w:sz="8" w:space="0"/>
                    <w:bottom w:val="single" w:color="auto" w:sz="8" w:space="0"/>
                    <w:right w:val="nil"/>
                  </w:tcBorders>
                  <w:shd w:val="clear"/>
                  <w:vAlign w:val="center"/>
                </w:tcPr>
                <w:p w14:paraId="110CDD6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highlight w:val="yellow"/>
                      <w:bdr w:val="none" w:color="auto" w:sz="0" w:space="0"/>
                      <w:lang w:val="en-US"/>
                    </w:rPr>
                  </w:pPr>
                  <w:r>
                    <w:rPr>
                      <w:rFonts w:hint="eastAsia" w:ascii="Times New Roman" w:hAnsi="Calibri" w:eastAsia="宋体" w:cs="宋体"/>
                      <w:bCs/>
                      <w:color w:val="000000"/>
                      <w:kern w:val="2"/>
                      <w:sz w:val="21"/>
                      <w:szCs w:val="21"/>
                      <w:bdr w:val="none" w:color="auto" w:sz="0" w:space="0"/>
                      <w:lang w:val="en-US" w:eastAsia="zh-CN" w:bidi="ar"/>
                    </w:rPr>
                    <w:t>最大暂存量</w:t>
                  </w:r>
                </w:p>
              </w:tc>
            </w:tr>
            <w:tr w14:paraId="689E100F">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76" w:hRule="atLeast"/>
              </w:trPr>
              <w:tc>
                <w:tcPr>
                  <w:tcW w:w="556" w:type="dxa"/>
                  <w:vMerge w:val="continue"/>
                  <w:tcBorders>
                    <w:top w:val="single" w:color="auto" w:sz="12" w:space="0"/>
                    <w:left w:val="nil"/>
                    <w:bottom w:val="single" w:color="auto" w:sz="8" w:space="0"/>
                    <w:right w:val="single" w:color="auto" w:sz="8" w:space="0"/>
                  </w:tcBorders>
                  <w:shd w:val="clear"/>
                  <w:vAlign w:val="center"/>
                </w:tcPr>
                <w:p w14:paraId="1F8847E9">
                  <w:pPr>
                    <w:rPr>
                      <w:rFonts w:hint="default" w:ascii="Calibri" w:hAnsi="Calibri" w:cs="Calibri"/>
                      <w:sz w:val="20"/>
                      <w:szCs w:val="20"/>
                    </w:rPr>
                  </w:pPr>
                </w:p>
              </w:tc>
              <w:tc>
                <w:tcPr>
                  <w:tcW w:w="862" w:type="dxa"/>
                  <w:vMerge w:val="continue"/>
                  <w:tcBorders>
                    <w:top w:val="single" w:color="auto" w:sz="12" w:space="0"/>
                    <w:left w:val="single" w:color="auto" w:sz="8" w:space="0"/>
                    <w:bottom w:val="single" w:color="auto" w:sz="8" w:space="0"/>
                    <w:right w:val="single" w:color="auto" w:sz="8" w:space="0"/>
                  </w:tcBorders>
                  <w:shd w:val="clear"/>
                  <w:vAlign w:val="center"/>
                </w:tcPr>
                <w:p w14:paraId="343DBAB4">
                  <w:pPr>
                    <w:rPr>
                      <w:rFonts w:hint="default" w:ascii="Calibri" w:hAnsi="Calibri" w:cs="Calibri"/>
                      <w:sz w:val="20"/>
                      <w:szCs w:val="20"/>
                    </w:rPr>
                  </w:pPr>
                </w:p>
              </w:tc>
              <w:tc>
                <w:tcPr>
                  <w:tcW w:w="1803" w:type="dxa"/>
                  <w:vMerge w:val="continue"/>
                  <w:tcBorders>
                    <w:top w:val="single" w:color="auto" w:sz="12" w:space="0"/>
                    <w:left w:val="single" w:color="auto" w:sz="8" w:space="0"/>
                    <w:bottom w:val="single" w:color="auto" w:sz="8" w:space="0"/>
                    <w:right w:val="single" w:color="auto" w:sz="8" w:space="0"/>
                  </w:tcBorders>
                  <w:shd w:val="clear"/>
                  <w:vAlign w:val="center"/>
                </w:tcPr>
                <w:p w14:paraId="5E020DA5">
                  <w:pPr>
                    <w:rPr>
                      <w:rFonts w:hint="default" w:ascii="Calibri" w:hAnsi="Calibri" w:cs="Calibri"/>
                      <w:sz w:val="20"/>
                      <w:szCs w:val="20"/>
                    </w:rPr>
                  </w:pPr>
                </w:p>
              </w:tc>
              <w:tc>
                <w:tcPr>
                  <w:tcW w:w="1008" w:type="dxa"/>
                  <w:tcBorders>
                    <w:top w:val="single" w:color="auto" w:sz="8" w:space="0"/>
                    <w:left w:val="single" w:color="auto" w:sz="8" w:space="0"/>
                    <w:bottom w:val="single" w:color="auto" w:sz="8" w:space="0"/>
                    <w:right w:val="single" w:color="auto" w:sz="8" w:space="0"/>
                  </w:tcBorders>
                  <w:shd w:val="clear"/>
                  <w:vAlign w:val="center"/>
                </w:tcPr>
                <w:p w14:paraId="16B34656">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bCs/>
                      <w:color w:val="000000"/>
                      <w:szCs w:val="21"/>
                      <w:bdr w:val="none" w:color="auto" w:sz="0" w:space="0"/>
                      <w:lang w:val="en-US"/>
                    </w:rPr>
                  </w:pPr>
                  <w:r>
                    <w:rPr>
                      <w:rFonts w:hint="eastAsia" w:ascii="Times New Roman" w:hAnsi="Calibri" w:eastAsia="宋体" w:cs="宋体"/>
                      <w:bCs/>
                      <w:color w:val="000000"/>
                      <w:kern w:val="2"/>
                      <w:sz w:val="21"/>
                      <w:szCs w:val="21"/>
                      <w:bdr w:val="none" w:color="auto" w:sz="0" w:space="0"/>
                      <w:lang w:val="en-US" w:eastAsia="zh-CN" w:bidi="ar"/>
                    </w:rPr>
                    <w:t>现有</w:t>
                  </w:r>
                </w:p>
              </w:tc>
              <w:tc>
                <w:tcPr>
                  <w:tcW w:w="1060" w:type="dxa"/>
                  <w:tcBorders>
                    <w:top w:val="single" w:color="auto" w:sz="8" w:space="0"/>
                    <w:left w:val="single" w:color="auto" w:sz="8" w:space="0"/>
                    <w:bottom w:val="single" w:color="auto" w:sz="8" w:space="0"/>
                    <w:right w:val="single" w:color="auto" w:sz="8" w:space="0"/>
                  </w:tcBorders>
                  <w:shd w:val="clear"/>
                  <w:vAlign w:val="center"/>
                </w:tcPr>
                <w:p w14:paraId="0243038A">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bCs/>
                      <w:color w:val="000000"/>
                      <w:szCs w:val="21"/>
                      <w:bdr w:val="none" w:color="auto" w:sz="0" w:space="0"/>
                      <w:lang w:val="en-US"/>
                    </w:rPr>
                  </w:pPr>
                  <w:r>
                    <w:rPr>
                      <w:rFonts w:hint="eastAsia" w:ascii="Times New Roman" w:hAnsi="Calibri" w:eastAsia="宋体" w:cs="宋体"/>
                      <w:bCs/>
                      <w:color w:val="000000"/>
                      <w:kern w:val="2"/>
                      <w:sz w:val="21"/>
                      <w:szCs w:val="21"/>
                      <w:bdr w:val="none" w:color="auto" w:sz="0" w:space="0"/>
                      <w:lang w:val="en-US" w:eastAsia="zh-CN" w:bidi="ar"/>
                    </w:rPr>
                    <w:t>扩建后</w:t>
                  </w:r>
                </w:p>
              </w:tc>
              <w:tc>
                <w:tcPr>
                  <w:tcW w:w="1105" w:type="dxa"/>
                  <w:tcBorders>
                    <w:top w:val="single" w:color="auto" w:sz="8" w:space="0"/>
                    <w:left w:val="single" w:color="auto" w:sz="8" w:space="0"/>
                    <w:bottom w:val="single" w:color="auto" w:sz="8" w:space="0"/>
                    <w:right w:val="single" w:color="auto" w:sz="8" w:space="0"/>
                  </w:tcBorders>
                  <w:shd w:val="clear"/>
                  <w:vAlign w:val="center"/>
                </w:tcPr>
                <w:p w14:paraId="761BA5BB">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bCs/>
                      <w:color w:val="000000"/>
                      <w:szCs w:val="21"/>
                      <w:bdr w:val="none" w:color="auto" w:sz="0" w:space="0"/>
                      <w:lang w:val="en-US"/>
                    </w:rPr>
                  </w:pPr>
                  <w:r>
                    <w:rPr>
                      <w:rFonts w:hint="eastAsia" w:ascii="Times New Roman" w:hAnsi="Calibri" w:eastAsia="宋体" w:cs="宋体"/>
                      <w:bCs/>
                      <w:color w:val="000000"/>
                      <w:kern w:val="2"/>
                      <w:sz w:val="21"/>
                      <w:szCs w:val="21"/>
                      <w:bdr w:val="none" w:color="auto" w:sz="0" w:space="0"/>
                      <w:lang w:val="en-US" w:eastAsia="zh-CN" w:bidi="ar"/>
                    </w:rPr>
                    <w:t>变化量</w:t>
                  </w:r>
                </w:p>
              </w:tc>
              <w:tc>
                <w:tcPr>
                  <w:tcW w:w="1105" w:type="dxa"/>
                  <w:vMerge w:val="continue"/>
                  <w:tcBorders>
                    <w:top w:val="single" w:color="auto" w:sz="12" w:space="0"/>
                    <w:left w:val="single" w:color="auto" w:sz="8" w:space="0"/>
                    <w:bottom w:val="single" w:color="auto" w:sz="8" w:space="0"/>
                    <w:right w:val="single" w:color="auto" w:sz="8" w:space="0"/>
                  </w:tcBorders>
                  <w:shd w:val="clear"/>
                  <w:vAlign w:val="center"/>
                </w:tcPr>
                <w:p w14:paraId="2F149044">
                  <w:pPr>
                    <w:rPr>
                      <w:rFonts w:hint="default" w:ascii="Calibri" w:hAnsi="Calibri" w:cs="Calibri"/>
                      <w:sz w:val="20"/>
                      <w:szCs w:val="20"/>
                    </w:rPr>
                  </w:pPr>
                </w:p>
              </w:tc>
              <w:tc>
                <w:tcPr>
                  <w:tcW w:w="886" w:type="dxa"/>
                  <w:vMerge w:val="continue"/>
                  <w:tcBorders>
                    <w:top w:val="single" w:color="auto" w:sz="12" w:space="0"/>
                    <w:left w:val="single" w:color="auto" w:sz="8" w:space="0"/>
                    <w:bottom w:val="single" w:color="auto" w:sz="8" w:space="0"/>
                    <w:right w:val="nil"/>
                  </w:tcBorders>
                  <w:shd w:val="clear"/>
                  <w:vAlign w:val="center"/>
                </w:tcPr>
                <w:p w14:paraId="2E92667B">
                  <w:pPr>
                    <w:rPr>
                      <w:rFonts w:hint="default" w:ascii="Calibri" w:hAnsi="Calibri" w:cs="Calibri"/>
                      <w:sz w:val="20"/>
                      <w:szCs w:val="20"/>
                    </w:rPr>
                  </w:pPr>
                </w:p>
              </w:tc>
            </w:tr>
            <w:tr w14:paraId="53250DE7">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81" w:hRule="atLeast"/>
              </w:trPr>
              <w:tc>
                <w:tcPr>
                  <w:tcW w:w="556" w:type="dxa"/>
                  <w:tcBorders>
                    <w:top w:val="single" w:color="auto" w:sz="8" w:space="0"/>
                    <w:left w:val="nil"/>
                    <w:bottom w:val="single" w:color="auto" w:sz="8" w:space="0"/>
                    <w:right w:val="single" w:color="auto" w:sz="8" w:space="0"/>
                  </w:tcBorders>
                  <w:shd w:val="clear"/>
                  <w:vAlign w:val="center"/>
                </w:tcPr>
                <w:p w14:paraId="7A394C83">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1</w:t>
                  </w:r>
                </w:p>
              </w:tc>
              <w:tc>
                <w:tcPr>
                  <w:tcW w:w="862" w:type="dxa"/>
                  <w:tcBorders>
                    <w:top w:val="single" w:color="auto" w:sz="8" w:space="0"/>
                    <w:left w:val="single" w:color="auto" w:sz="8" w:space="0"/>
                    <w:bottom w:val="single" w:color="auto" w:sz="8" w:space="0"/>
                    <w:right w:val="single" w:color="auto" w:sz="8" w:space="0"/>
                  </w:tcBorders>
                  <w:shd w:val="clear"/>
                  <w:vAlign w:val="center"/>
                </w:tcPr>
                <w:p w14:paraId="034D27E4">
                  <w:pPr>
                    <w:keepNext w:val="0"/>
                    <w:keepLines w:val="0"/>
                    <w:widowControl w:val="0"/>
                    <w:suppressLineNumbers w:val="0"/>
                    <w:adjustRightInd w:val="0"/>
                    <w:snapToGrid w:val="0"/>
                    <w:spacing w:before="0" w:beforeAutospacing="0" w:after="0" w:afterAutospacing="0"/>
                    <w:ind w:left="0" w:right="0"/>
                    <w:jc w:val="center"/>
                    <w:rPr>
                      <w:bCs/>
                      <w:snapToGrid w:val="0"/>
                      <w:color w:val="000000"/>
                      <w:kern w:val="0"/>
                      <w:szCs w:val="21"/>
                      <w:bdr w:val="none" w:color="auto" w:sz="0" w:space="0"/>
                      <w:lang w:val="en-US"/>
                    </w:rPr>
                  </w:pPr>
                  <w:r>
                    <w:rPr>
                      <w:rFonts w:hint="eastAsia" w:ascii="Calibri" w:hAnsi="Calibri" w:eastAsia="宋体" w:cs="宋体"/>
                      <w:bCs/>
                      <w:snapToGrid w:val="0"/>
                      <w:color w:val="000000"/>
                      <w:kern w:val="0"/>
                      <w:sz w:val="21"/>
                      <w:szCs w:val="21"/>
                      <w:bdr w:val="none" w:color="auto" w:sz="0" w:space="0"/>
                      <w:lang w:val="en-US" w:eastAsia="zh-CN" w:bidi="ar"/>
                    </w:rPr>
                    <w:t>成品皮革材料</w:t>
                  </w:r>
                </w:p>
              </w:tc>
              <w:tc>
                <w:tcPr>
                  <w:tcW w:w="1803" w:type="dxa"/>
                  <w:tcBorders>
                    <w:top w:val="single" w:color="auto" w:sz="8" w:space="0"/>
                    <w:left w:val="single" w:color="auto" w:sz="8" w:space="0"/>
                    <w:bottom w:val="single" w:color="auto" w:sz="8" w:space="0"/>
                    <w:right w:val="single" w:color="auto" w:sz="8" w:space="0"/>
                  </w:tcBorders>
                  <w:shd w:val="clear"/>
                  <w:vAlign w:val="center"/>
                </w:tcPr>
                <w:p w14:paraId="77593902">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60m*1m=1</w:t>
                  </w:r>
                  <w:r>
                    <w:rPr>
                      <w:rFonts w:hint="eastAsia" w:ascii="Times New Roman" w:hAnsi="Calibri" w:eastAsia="宋体" w:cs="宋体"/>
                      <w:color w:val="000000"/>
                      <w:kern w:val="2"/>
                      <w:sz w:val="21"/>
                      <w:szCs w:val="21"/>
                      <w:bdr w:val="none" w:color="auto" w:sz="0" w:space="0"/>
                      <w:lang w:val="en-US" w:eastAsia="zh-CN" w:bidi="ar"/>
                    </w:rPr>
                    <w:t>卷</w:t>
                  </w:r>
                </w:p>
              </w:tc>
              <w:tc>
                <w:tcPr>
                  <w:tcW w:w="1008" w:type="dxa"/>
                  <w:tcBorders>
                    <w:top w:val="single" w:color="auto" w:sz="8" w:space="0"/>
                    <w:left w:val="single" w:color="auto" w:sz="8" w:space="0"/>
                    <w:bottom w:val="single" w:color="auto" w:sz="8" w:space="0"/>
                    <w:right w:val="single" w:color="auto" w:sz="8" w:space="0"/>
                  </w:tcBorders>
                  <w:shd w:val="clear"/>
                  <w:vAlign w:val="center"/>
                </w:tcPr>
                <w:p w14:paraId="1C87877C">
                  <w:pPr>
                    <w:keepNext w:val="0"/>
                    <w:keepLines w:val="0"/>
                    <w:widowControl w:val="0"/>
                    <w:suppressLineNumbers w:val="0"/>
                    <w:spacing w:before="0" w:beforeAutospacing="0" w:after="0" w:afterAutospacing="0" w:line="300" w:lineRule="exact"/>
                    <w:ind w:left="0" w:right="0"/>
                    <w:jc w:val="center"/>
                    <w:rPr>
                      <w:color w:val="000000"/>
                      <w:sz w:val="24"/>
                      <w:szCs w:val="24"/>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1.5</w:t>
                  </w:r>
                  <w:r>
                    <w:rPr>
                      <w:rFonts w:hint="eastAsia" w:ascii="Times New Roman" w:hAnsi="Times New Roman" w:eastAsia="宋体" w:cs="宋体"/>
                      <w:color w:val="000000"/>
                      <w:kern w:val="2"/>
                      <w:sz w:val="21"/>
                      <w:szCs w:val="21"/>
                      <w:bdr w:val="none" w:color="auto" w:sz="0" w:space="0"/>
                      <w:lang w:val="en-US" w:eastAsia="zh-CN" w:bidi="ar"/>
                    </w:rPr>
                    <w:t>万</w:t>
                  </w:r>
                  <w:r>
                    <w:rPr>
                      <w:rFonts w:hint="default" w:ascii="Times New Roman" w:hAnsi="Times New Roman" w:eastAsia="宋体" w:cs="Times New Roman"/>
                      <w:color w:val="000000"/>
                      <w:kern w:val="2"/>
                      <w:sz w:val="21"/>
                      <w:szCs w:val="21"/>
                      <w:bdr w:val="none" w:color="auto" w:sz="0" w:space="0"/>
                      <w:lang w:val="en-US" w:eastAsia="zh-CN" w:bidi="ar"/>
                    </w:rPr>
                    <w:t>m</w:t>
                  </w:r>
                  <w:r>
                    <w:rPr>
                      <w:rFonts w:hint="default" w:ascii="Times New Roman" w:hAnsi="Times New Roman" w:eastAsia="宋体" w:cs="Times New Roman"/>
                      <w:color w:val="000000"/>
                      <w:kern w:val="2"/>
                      <w:sz w:val="21"/>
                      <w:szCs w:val="21"/>
                      <w:bdr w:val="none" w:color="auto" w:sz="0" w:space="0"/>
                      <w:vertAlign w:val="superscript"/>
                      <w:lang w:val="en-US" w:eastAsia="zh-CN" w:bidi="ar"/>
                    </w:rPr>
                    <w:t>2</w:t>
                  </w:r>
                </w:p>
              </w:tc>
              <w:tc>
                <w:tcPr>
                  <w:tcW w:w="1060" w:type="dxa"/>
                  <w:tcBorders>
                    <w:top w:val="single" w:color="auto" w:sz="8" w:space="0"/>
                    <w:left w:val="single" w:color="auto" w:sz="8" w:space="0"/>
                    <w:bottom w:val="single" w:color="auto" w:sz="8" w:space="0"/>
                    <w:right w:val="single" w:color="auto" w:sz="8" w:space="0"/>
                  </w:tcBorders>
                  <w:shd w:val="clear"/>
                  <w:vAlign w:val="center"/>
                </w:tcPr>
                <w:p w14:paraId="10FB4C43">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3</w:t>
                  </w:r>
                  <w:r>
                    <w:rPr>
                      <w:rFonts w:hint="eastAsia" w:ascii="Times New Roman" w:hAnsi="Times New Roman" w:eastAsia="宋体" w:cs="宋体"/>
                      <w:color w:val="000000"/>
                      <w:kern w:val="2"/>
                      <w:sz w:val="21"/>
                      <w:szCs w:val="21"/>
                      <w:bdr w:val="none" w:color="auto" w:sz="0" w:space="0"/>
                      <w:lang w:val="en-US" w:eastAsia="zh-CN" w:bidi="ar"/>
                    </w:rPr>
                    <w:t>万</w:t>
                  </w:r>
                  <w:r>
                    <w:rPr>
                      <w:rFonts w:hint="default" w:ascii="Times New Roman" w:hAnsi="Times New Roman" w:eastAsia="宋体" w:cs="Times New Roman"/>
                      <w:color w:val="000000"/>
                      <w:kern w:val="2"/>
                      <w:sz w:val="21"/>
                      <w:szCs w:val="21"/>
                      <w:bdr w:val="none" w:color="auto" w:sz="0" w:space="0"/>
                      <w:lang w:val="en-US" w:eastAsia="zh-CN" w:bidi="ar"/>
                    </w:rPr>
                    <w:t>m</w:t>
                  </w:r>
                  <w:r>
                    <w:rPr>
                      <w:rFonts w:hint="default" w:ascii="Times New Roman" w:hAnsi="Times New Roman" w:eastAsia="宋体" w:cs="Times New Roman"/>
                      <w:color w:val="000000"/>
                      <w:kern w:val="2"/>
                      <w:sz w:val="21"/>
                      <w:szCs w:val="21"/>
                      <w:bdr w:val="none" w:color="auto" w:sz="0" w:space="0"/>
                      <w:vertAlign w:val="superscript"/>
                      <w:lang w:val="en-US" w:eastAsia="zh-CN" w:bidi="ar"/>
                    </w:rPr>
                    <w:t>2</w:t>
                  </w:r>
                </w:p>
              </w:tc>
              <w:tc>
                <w:tcPr>
                  <w:tcW w:w="1105" w:type="dxa"/>
                  <w:tcBorders>
                    <w:top w:val="single" w:color="auto" w:sz="8" w:space="0"/>
                    <w:left w:val="single" w:color="auto" w:sz="8" w:space="0"/>
                    <w:bottom w:val="single" w:color="auto" w:sz="8" w:space="0"/>
                    <w:right w:val="single" w:color="auto" w:sz="8" w:space="0"/>
                  </w:tcBorders>
                  <w:shd w:val="clear"/>
                  <w:vAlign w:val="center"/>
                </w:tcPr>
                <w:p w14:paraId="605FD256">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+1.5</w:t>
                  </w:r>
                  <w:r>
                    <w:rPr>
                      <w:rFonts w:hint="eastAsia" w:ascii="Times New Roman" w:hAnsi="Times New Roman" w:eastAsia="宋体" w:cs="宋体"/>
                      <w:color w:val="000000"/>
                      <w:kern w:val="2"/>
                      <w:sz w:val="21"/>
                      <w:szCs w:val="21"/>
                      <w:bdr w:val="none" w:color="auto" w:sz="0" w:space="0"/>
                      <w:lang w:val="en-US" w:eastAsia="zh-CN" w:bidi="ar"/>
                    </w:rPr>
                    <w:t>万</w:t>
                  </w:r>
                  <w:r>
                    <w:rPr>
                      <w:rFonts w:hint="default" w:ascii="Times New Roman" w:hAnsi="Times New Roman" w:eastAsia="宋体" w:cs="Times New Roman"/>
                      <w:color w:val="000000"/>
                      <w:kern w:val="2"/>
                      <w:sz w:val="21"/>
                      <w:szCs w:val="21"/>
                      <w:bdr w:val="none" w:color="auto" w:sz="0" w:space="0"/>
                      <w:lang w:val="en-US" w:eastAsia="zh-CN" w:bidi="ar"/>
                    </w:rPr>
                    <w:t>m</w:t>
                  </w:r>
                  <w:r>
                    <w:rPr>
                      <w:rFonts w:hint="default" w:ascii="Times New Roman" w:hAnsi="Times New Roman" w:eastAsia="宋体" w:cs="Times New Roman"/>
                      <w:color w:val="000000"/>
                      <w:kern w:val="2"/>
                      <w:sz w:val="21"/>
                      <w:szCs w:val="21"/>
                      <w:bdr w:val="none" w:color="auto" w:sz="0" w:space="0"/>
                      <w:vertAlign w:val="superscript"/>
                      <w:lang w:val="en-US" w:eastAsia="zh-CN" w:bidi="ar"/>
                    </w:rPr>
                    <w:t>2</w:t>
                  </w:r>
                </w:p>
              </w:tc>
              <w:tc>
                <w:tcPr>
                  <w:tcW w:w="1105" w:type="dxa"/>
                  <w:tcBorders>
                    <w:top w:val="single" w:color="auto" w:sz="8" w:space="0"/>
                    <w:left w:val="single" w:color="auto" w:sz="8" w:space="0"/>
                    <w:bottom w:val="single" w:color="auto" w:sz="8" w:space="0"/>
                    <w:right w:val="single" w:color="auto" w:sz="8" w:space="0"/>
                  </w:tcBorders>
                  <w:shd w:val="clear"/>
                  <w:vAlign w:val="center"/>
                </w:tcPr>
                <w:p w14:paraId="65C9D4B8">
                  <w:pPr>
                    <w:keepNext w:val="0"/>
                    <w:keepLines w:val="0"/>
                    <w:widowControl w:val="0"/>
                    <w:suppressLineNumbers w:val="0"/>
                    <w:spacing w:before="0" w:beforeAutospacing="0" w:after="0" w:afterAutospacing="0"/>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原材料库房</w:t>
                  </w:r>
                </w:p>
              </w:tc>
              <w:tc>
                <w:tcPr>
                  <w:tcW w:w="886" w:type="dxa"/>
                  <w:tcBorders>
                    <w:top w:val="single" w:color="auto" w:sz="8" w:space="0"/>
                    <w:left w:val="single" w:color="auto" w:sz="8" w:space="0"/>
                    <w:bottom w:val="single" w:color="auto" w:sz="8" w:space="0"/>
                    <w:right w:val="nil"/>
                  </w:tcBorders>
                  <w:shd w:val="clear"/>
                  <w:vAlign w:val="center"/>
                </w:tcPr>
                <w:p w14:paraId="466C1052">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2000m</w:t>
                  </w:r>
                  <w:r>
                    <w:rPr>
                      <w:rFonts w:hint="default" w:ascii="Times New Roman" w:hAnsi="Times New Roman" w:eastAsia="宋体" w:cs="Times New Roman"/>
                      <w:color w:val="000000"/>
                      <w:kern w:val="2"/>
                      <w:sz w:val="21"/>
                      <w:szCs w:val="21"/>
                      <w:bdr w:val="none" w:color="auto" w:sz="0" w:space="0"/>
                      <w:vertAlign w:val="superscript"/>
                      <w:lang w:val="en-US" w:eastAsia="zh-CN" w:bidi="ar"/>
                    </w:rPr>
                    <w:t>2</w:t>
                  </w:r>
                </w:p>
              </w:tc>
            </w:tr>
            <w:tr w14:paraId="65E7F9A2">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81" w:hRule="atLeast"/>
              </w:trPr>
              <w:tc>
                <w:tcPr>
                  <w:tcW w:w="556" w:type="dxa"/>
                  <w:tcBorders>
                    <w:top w:val="single" w:color="auto" w:sz="8" w:space="0"/>
                    <w:left w:val="nil"/>
                    <w:bottom w:val="single" w:color="auto" w:sz="8" w:space="0"/>
                    <w:right w:val="single" w:color="auto" w:sz="8" w:space="0"/>
                  </w:tcBorders>
                  <w:shd w:val="clear"/>
                  <w:vAlign w:val="center"/>
                </w:tcPr>
                <w:p w14:paraId="1EEA6E71">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2</w:t>
                  </w:r>
                </w:p>
              </w:tc>
              <w:tc>
                <w:tcPr>
                  <w:tcW w:w="862" w:type="dxa"/>
                  <w:tcBorders>
                    <w:top w:val="single" w:color="auto" w:sz="8" w:space="0"/>
                    <w:left w:val="single" w:color="auto" w:sz="8" w:space="0"/>
                    <w:bottom w:val="single" w:color="auto" w:sz="8" w:space="0"/>
                    <w:right w:val="single" w:color="auto" w:sz="8" w:space="0"/>
                  </w:tcBorders>
                  <w:shd w:val="clear"/>
                  <w:vAlign w:val="center"/>
                </w:tcPr>
                <w:p w14:paraId="0EF9F55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热熔胶</w:t>
                  </w:r>
                </w:p>
              </w:tc>
              <w:tc>
                <w:tcPr>
                  <w:tcW w:w="1803" w:type="dxa"/>
                  <w:tcBorders>
                    <w:top w:val="single" w:color="auto" w:sz="8" w:space="0"/>
                    <w:left w:val="single" w:color="auto" w:sz="8" w:space="0"/>
                    <w:bottom w:val="single" w:color="auto" w:sz="8" w:space="0"/>
                    <w:right w:val="single" w:color="auto" w:sz="8" w:space="0"/>
                  </w:tcBorders>
                  <w:shd w:val="clear"/>
                  <w:vAlign w:val="center"/>
                </w:tcPr>
                <w:p w14:paraId="4EB60F1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25kg/</w:t>
                  </w:r>
                  <w:r>
                    <w:rPr>
                      <w:rFonts w:hint="eastAsia" w:ascii="Times New Roman" w:hAnsi="Times New Roman" w:eastAsia="宋体" w:cs="宋体"/>
                      <w:color w:val="000000"/>
                      <w:kern w:val="2"/>
                      <w:sz w:val="21"/>
                      <w:szCs w:val="21"/>
                      <w:bdr w:val="none" w:color="auto" w:sz="0" w:space="0"/>
                      <w:lang w:val="en-US" w:eastAsia="zh-CN" w:bidi="ar"/>
                    </w:rPr>
                    <w:t>袋</w:t>
                  </w:r>
                </w:p>
              </w:tc>
              <w:tc>
                <w:tcPr>
                  <w:tcW w:w="1008" w:type="dxa"/>
                  <w:tcBorders>
                    <w:top w:val="single" w:color="auto" w:sz="8" w:space="0"/>
                    <w:left w:val="single" w:color="auto" w:sz="8" w:space="0"/>
                    <w:bottom w:val="single" w:color="auto" w:sz="8" w:space="0"/>
                    <w:right w:val="single" w:color="auto" w:sz="8" w:space="0"/>
                  </w:tcBorders>
                  <w:shd w:val="clear"/>
                  <w:vAlign w:val="center"/>
                </w:tcPr>
                <w:p w14:paraId="5BD3A402">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3t</w:t>
                  </w:r>
                </w:p>
              </w:tc>
              <w:tc>
                <w:tcPr>
                  <w:tcW w:w="1060" w:type="dxa"/>
                  <w:tcBorders>
                    <w:top w:val="single" w:color="auto" w:sz="8" w:space="0"/>
                    <w:left w:val="single" w:color="auto" w:sz="8" w:space="0"/>
                    <w:bottom w:val="single" w:color="auto" w:sz="8" w:space="0"/>
                    <w:right w:val="single" w:color="auto" w:sz="8" w:space="0"/>
                  </w:tcBorders>
                  <w:shd w:val="clear"/>
                  <w:vAlign w:val="center"/>
                </w:tcPr>
                <w:p w14:paraId="582AEA2F">
                  <w:pPr>
                    <w:pStyle w:val="73"/>
                    <w:widowControl/>
                    <w:spacing w:line="300" w:lineRule="exact"/>
                    <w:ind w:left="0" w:firstLine="0" w:firstLineChars="0"/>
                    <w:jc w:val="center"/>
                    <w:rPr>
                      <w:rFonts w:hint="default" w:ascii="Times New Roman" w:hAnsi="Times New Roman" w:cs="Times New Roman"/>
                      <w:b w:val="0"/>
                      <w:bCs/>
                      <w:color w:val="000000"/>
                      <w:sz w:val="21"/>
                      <w:szCs w:val="21"/>
                      <w:bdr w:val="none" w:color="auto" w:sz="0" w:space="0"/>
                      <w:lang w:val="en-US"/>
                    </w:rPr>
                  </w:pPr>
                  <w:r>
                    <w:rPr>
                      <w:rFonts w:hint="default" w:ascii="Times New Roman" w:hAnsi="Times New Roman" w:cs="Times New Roman"/>
                      <w:b w:val="0"/>
                      <w:bCs/>
                      <w:color w:val="000000"/>
                      <w:sz w:val="21"/>
                      <w:szCs w:val="21"/>
                      <w:bdr w:val="none" w:color="auto" w:sz="0" w:space="0"/>
                      <w:lang w:val="en-US"/>
                    </w:rPr>
                    <w:t>5t</w:t>
                  </w:r>
                </w:p>
              </w:tc>
              <w:tc>
                <w:tcPr>
                  <w:tcW w:w="1105" w:type="dxa"/>
                  <w:tcBorders>
                    <w:top w:val="single" w:color="auto" w:sz="8" w:space="0"/>
                    <w:left w:val="single" w:color="auto" w:sz="8" w:space="0"/>
                    <w:bottom w:val="single" w:color="auto" w:sz="8" w:space="0"/>
                    <w:right w:val="single" w:color="auto" w:sz="8" w:space="0"/>
                  </w:tcBorders>
                  <w:shd w:val="clear"/>
                  <w:vAlign w:val="center"/>
                </w:tcPr>
                <w:p w14:paraId="78593925">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+2t</w:t>
                  </w:r>
                </w:p>
              </w:tc>
              <w:tc>
                <w:tcPr>
                  <w:tcW w:w="1105" w:type="dxa"/>
                  <w:tcBorders>
                    <w:top w:val="single" w:color="auto" w:sz="8" w:space="0"/>
                    <w:left w:val="single" w:color="auto" w:sz="8" w:space="0"/>
                    <w:bottom w:val="single" w:color="auto" w:sz="8" w:space="0"/>
                    <w:right w:val="single" w:color="auto" w:sz="8" w:space="0"/>
                  </w:tcBorders>
                  <w:shd w:val="clear"/>
                  <w:vAlign w:val="center"/>
                </w:tcPr>
                <w:p w14:paraId="1D62FBA7">
                  <w:pPr>
                    <w:keepNext w:val="0"/>
                    <w:keepLines w:val="0"/>
                    <w:widowControl w:val="0"/>
                    <w:suppressLineNumbers w:val="0"/>
                    <w:spacing w:before="0" w:beforeAutospacing="0" w:after="0" w:afterAutospacing="0"/>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辅料室</w:t>
                  </w:r>
                </w:p>
              </w:tc>
              <w:tc>
                <w:tcPr>
                  <w:tcW w:w="886" w:type="dxa"/>
                  <w:tcBorders>
                    <w:top w:val="single" w:color="auto" w:sz="8" w:space="0"/>
                    <w:left w:val="single" w:color="auto" w:sz="8" w:space="0"/>
                    <w:bottom w:val="single" w:color="auto" w:sz="8" w:space="0"/>
                    <w:right w:val="nil"/>
                  </w:tcBorders>
                  <w:shd w:val="clear"/>
                  <w:vAlign w:val="center"/>
                </w:tcPr>
                <w:p w14:paraId="7BF34527">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0.5</w:t>
                  </w:r>
                </w:p>
              </w:tc>
            </w:tr>
            <w:tr w14:paraId="4EC60567">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81" w:hRule="atLeast"/>
              </w:trPr>
              <w:tc>
                <w:tcPr>
                  <w:tcW w:w="556" w:type="dxa"/>
                  <w:tcBorders>
                    <w:top w:val="single" w:color="auto" w:sz="8" w:space="0"/>
                    <w:left w:val="nil"/>
                    <w:bottom w:val="single" w:color="auto" w:sz="8" w:space="0"/>
                    <w:right w:val="single" w:color="auto" w:sz="8" w:space="0"/>
                  </w:tcBorders>
                  <w:shd w:val="clear"/>
                  <w:vAlign w:val="center"/>
                </w:tcPr>
                <w:p w14:paraId="04DD9620">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3</w:t>
                  </w:r>
                </w:p>
              </w:tc>
              <w:tc>
                <w:tcPr>
                  <w:tcW w:w="862" w:type="dxa"/>
                  <w:tcBorders>
                    <w:top w:val="single" w:color="auto" w:sz="8" w:space="0"/>
                    <w:left w:val="single" w:color="auto" w:sz="8" w:space="0"/>
                    <w:bottom w:val="single" w:color="auto" w:sz="8" w:space="0"/>
                    <w:right w:val="single" w:color="auto" w:sz="8" w:space="0"/>
                  </w:tcBorders>
                  <w:shd w:val="clear"/>
                  <w:vAlign w:val="center"/>
                </w:tcPr>
                <w:p w14:paraId="050901D3">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线轴</w:t>
                  </w:r>
                </w:p>
              </w:tc>
              <w:tc>
                <w:tcPr>
                  <w:tcW w:w="1803" w:type="dxa"/>
                  <w:tcBorders>
                    <w:top w:val="single" w:color="auto" w:sz="8" w:space="0"/>
                    <w:left w:val="single" w:color="auto" w:sz="8" w:space="0"/>
                    <w:bottom w:val="single" w:color="auto" w:sz="8" w:space="0"/>
                    <w:right w:val="single" w:color="auto" w:sz="8" w:space="0"/>
                  </w:tcBorders>
                  <w:shd w:val="clear"/>
                  <w:vAlign w:val="center"/>
                </w:tcPr>
                <w:p w14:paraId="617B7B7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w:t>
                  </w:r>
                </w:p>
              </w:tc>
              <w:tc>
                <w:tcPr>
                  <w:tcW w:w="1008" w:type="dxa"/>
                  <w:tcBorders>
                    <w:top w:val="single" w:color="auto" w:sz="8" w:space="0"/>
                    <w:left w:val="single" w:color="auto" w:sz="8" w:space="0"/>
                    <w:bottom w:val="single" w:color="auto" w:sz="8" w:space="0"/>
                    <w:right w:val="single" w:color="auto" w:sz="8" w:space="0"/>
                  </w:tcBorders>
                  <w:shd w:val="clear"/>
                  <w:vAlign w:val="center"/>
                </w:tcPr>
                <w:p w14:paraId="79CFC35D">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50</w:t>
                  </w:r>
                  <w:r>
                    <w:rPr>
                      <w:rFonts w:hint="eastAsia" w:ascii="Times New Roman" w:hAnsi="Times New Roman" w:eastAsia="宋体" w:cs="宋体"/>
                      <w:color w:val="000000"/>
                      <w:kern w:val="2"/>
                      <w:sz w:val="21"/>
                      <w:szCs w:val="21"/>
                      <w:bdr w:val="none" w:color="auto" w:sz="0" w:space="0"/>
                      <w:lang w:val="en-US" w:eastAsia="zh-CN" w:bidi="ar"/>
                    </w:rPr>
                    <w:t>万</w:t>
                  </w:r>
                  <w:r>
                    <w:rPr>
                      <w:rFonts w:hint="default" w:ascii="Times New Roman" w:hAnsi="Times New Roman" w:eastAsia="宋体" w:cs="Times New Roman"/>
                      <w:color w:val="000000"/>
                      <w:kern w:val="2"/>
                      <w:sz w:val="21"/>
                      <w:szCs w:val="21"/>
                      <w:bdr w:val="none" w:color="auto" w:sz="0" w:space="0"/>
                      <w:lang w:val="en-US" w:eastAsia="zh-CN" w:bidi="ar"/>
                    </w:rPr>
                    <w:t>m</w:t>
                  </w:r>
                </w:p>
              </w:tc>
              <w:tc>
                <w:tcPr>
                  <w:tcW w:w="1060" w:type="dxa"/>
                  <w:tcBorders>
                    <w:top w:val="single" w:color="auto" w:sz="8" w:space="0"/>
                    <w:left w:val="single" w:color="auto" w:sz="8" w:space="0"/>
                    <w:bottom w:val="single" w:color="auto" w:sz="8" w:space="0"/>
                    <w:right w:val="single" w:color="auto" w:sz="8" w:space="0"/>
                  </w:tcBorders>
                  <w:shd w:val="clear"/>
                  <w:vAlign w:val="center"/>
                </w:tcPr>
                <w:p w14:paraId="0E4E22A9">
                  <w:pPr>
                    <w:pStyle w:val="73"/>
                    <w:widowControl/>
                    <w:spacing w:line="300" w:lineRule="exact"/>
                    <w:ind w:left="0" w:firstLine="0" w:firstLineChars="0"/>
                    <w:jc w:val="center"/>
                    <w:rPr>
                      <w:rFonts w:hint="default" w:ascii="Times New Roman" w:hAnsi="Times New Roman" w:cs="Times New Roman"/>
                      <w:b w:val="0"/>
                      <w:bCs/>
                      <w:color w:val="000000"/>
                      <w:sz w:val="21"/>
                      <w:szCs w:val="21"/>
                      <w:bdr w:val="none" w:color="auto" w:sz="0" w:space="0"/>
                      <w:lang w:val="en-US"/>
                    </w:rPr>
                  </w:pPr>
                  <w:r>
                    <w:rPr>
                      <w:rFonts w:hint="default" w:ascii="Times New Roman" w:hAnsi="Times New Roman" w:cs="Times New Roman"/>
                      <w:b w:val="0"/>
                      <w:bCs/>
                      <w:color w:val="000000"/>
                      <w:sz w:val="21"/>
                      <w:szCs w:val="21"/>
                      <w:bdr w:val="none" w:color="auto" w:sz="0" w:space="0"/>
                      <w:lang w:val="en-US"/>
                    </w:rPr>
                    <w:t>50</w:t>
                  </w:r>
                  <w:r>
                    <w:rPr>
                      <w:rFonts w:hint="eastAsia" w:ascii="Times New Roman" w:hAnsi="Times New Roman" w:eastAsia="宋体" w:cs="宋体"/>
                      <w:b w:val="0"/>
                      <w:bCs/>
                      <w:color w:val="000000"/>
                      <w:sz w:val="21"/>
                      <w:szCs w:val="21"/>
                      <w:bdr w:val="none" w:color="auto" w:sz="0" w:space="0"/>
                    </w:rPr>
                    <w:t>万</w:t>
                  </w:r>
                  <w:r>
                    <w:rPr>
                      <w:rFonts w:hint="default" w:ascii="Times New Roman" w:hAnsi="Times New Roman" w:cs="Times New Roman"/>
                      <w:b w:val="0"/>
                      <w:bCs/>
                      <w:color w:val="000000"/>
                      <w:sz w:val="21"/>
                      <w:szCs w:val="21"/>
                      <w:bdr w:val="none" w:color="auto" w:sz="0" w:space="0"/>
                      <w:lang w:val="en-US"/>
                    </w:rPr>
                    <w:t>m</w:t>
                  </w:r>
                </w:p>
              </w:tc>
              <w:tc>
                <w:tcPr>
                  <w:tcW w:w="1105" w:type="dxa"/>
                  <w:tcBorders>
                    <w:top w:val="single" w:color="auto" w:sz="8" w:space="0"/>
                    <w:left w:val="single" w:color="auto" w:sz="8" w:space="0"/>
                    <w:bottom w:val="single" w:color="auto" w:sz="8" w:space="0"/>
                    <w:right w:val="single" w:color="auto" w:sz="8" w:space="0"/>
                  </w:tcBorders>
                  <w:shd w:val="clear"/>
                  <w:vAlign w:val="center"/>
                </w:tcPr>
                <w:p w14:paraId="334981BD">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w:t>
                  </w:r>
                </w:p>
              </w:tc>
              <w:tc>
                <w:tcPr>
                  <w:tcW w:w="1105" w:type="dxa"/>
                  <w:tcBorders>
                    <w:top w:val="single" w:color="auto" w:sz="8" w:space="0"/>
                    <w:left w:val="single" w:color="auto" w:sz="8" w:space="0"/>
                    <w:bottom w:val="single" w:color="auto" w:sz="8" w:space="0"/>
                    <w:right w:val="single" w:color="auto" w:sz="8" w:space="0"/>
                  </w:tcBorders>
                  <w:shd w:val="clear"/>
                  <w:vAlign w:val="center"/>
                </w:tcPr>
                <w:p w14:paraId="264FDB1A">
                  <w:pPr>
                    <w:keepNext w:val="0"/>
                    <w:keepLines w:val="0"/>
                    <w:widowControl w:val="0"/>
                    <w:suppressLineNumbers w:val="0"/>
                    <w:spacing w:before="0" w:beforeAutospacing="0" w:after="0" w:afterAutospacing="0"/>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原材料库房</w:t>
                  </w:r>
                </w:p>
              </w:tc>
              <w:tc>
                <w:tcPr>
                  <w:tcW w:w="886" w:type="dxa"/>
                  <w:tcBorders>
                    <w:top w:val="single" w:color="auto" w:sz="8" w:space="0"/>
                    <w:left w:val="single" w:color="auto" w:sz="8" w:space="0"/>
                    <w:bottom w:val="single" w:color="auto" w:sz="8" w:space="0"/>
                    <w:right w:val="nil"/>
                  </w:tcBorders>
                  <w:shd w:val="clear"/>
                  <w:vAlign w:val="center"/>
                </w:tcPr>
                <w:p w14:paraId="50B209E8">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10</w:t>
                  </w:r>
                  <w:r>
                    <w:rPr>
                      <w:rFonts w:hint="eastAsia" w:ascii="Times New Roman" w:hAnsi="Times New Roman" w:eastAsia="宋体" w:cs="宋体"/>
                      <w:color w:val="000000"/>
                      <w:kern w:val="2"/>
                      <w:sz w:val="21"/>
                      <w:szCs w:val="21"/>
                      <w:bdr w:val="none" w:color="auto" w:sz="0" w:space="0"/>
                      <w:lang w:val="en-US" w:eastAsia="zh-CN" w:bidi="ar"/>
                    </w:rPr>
                    <w:t>万米</w:t>
                  </w:r>
                </w:p>
              </w:tc>
            </w:tr>
            <w:tr w14:paraId="330FD64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81" w:hRule="atLeast"/>
              </w:trPr>
              <w:tc>
                <w:tcPr>
                  <w:tcW w:w="556" w:type="dxa"/>
                  <w:tcBorders>
                    <w:top w:val="single" w:color="auto" w:sz="8" w:space="0"/>
                    <w:left w:val="nil"/>
                    <w:bottom w:val="single" w:color="auto" w:sz="8" w:space="0"/>
                    <w:right w:val="single" w:color="auto" w:sz="8" w:space="0"/>
                  </w:tcBorders>
                  <w:shd w:val="clear"/>
                  <w:vAlign w:val="center"/>
                </w:tcPr>
                <w:p w14:paraId="17F4063E">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4</w:t>
                  </w:r>
                </w:p>
              </w:tc>
              <w:tc>
                <w:tcPr>
                  <w:tcW w:w="862" w:type="dxa"/>
                  <w:tcBorders>
                    <w:top w:val="single" w:color="auto" w:sz="8" w:space="0"/>
                    <w:left w:val="single" w:color="auto" w:sz="8" w:space="0"/>
                    <w:bottom w:val="single" w:color="auto" w:sz="8" w:space="0"/>
                    <w:right w:val="single" w:color="auto" w:sz="8" w:space="0"/>
                  </w:tcBorders>
                  <w:shd w:val="clear"/>
                  <w:vAlign w:val="center"/>
                </w:tcPr>
                <w:p w14:paraId="04520087">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成品硅胶泡棉</w:t>
                  </w:r>
                </w:p>
              </w:tc>
              <w:tc>
                <w:tcPr>
                  <w:tcW w:w="1803" w:type="dxa"/>
                  <w:tcBorders>
                    <w:top w:val="single" w:color="auto" w:sz="8" w:space="0"/>
                    <w:left w:val="single" w:color="auto" w:sz="8" w:space="0"/>
                    <w:bottom w:val="single" w:color="auto" w:sz="8" w:space="0"/>
                    <w:right w:val="single" w:color="auto" w:sz="8" w:space="0"/>
                  </w:tcBorders>
                  <w:shd w:val="clear"/>
                  <w:vAlign w:val="center"/>
                </w:tcPr>
                <w:p w14:paraId="1F96E46D">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30m*0.5m=1</w:t>
                  </w:r>
                  <w:r>
                    <w:rPr>
                      <w:rFonts w:hint="eastAsia" w:ascii="Times New Roman" w:hAnsi="Times New Roman" w:eastAsia="宋体" w:cs="宋体"/>
                      <w:color w:val="000000"/>
                      <w:kern w:val="2"/>
                      <w:sz w:val="21"/>
                      <w:szCs w:val="21"/>
                      <w:bdr w:val="none" w:color="auto" w:sz="0" w:space="0"/>
                      <w:lang w:val="en-US" w:eastAsia="zh-CN" w:bidi="ar"/>
                    </w:rPr>
                    <w:t>卷</w:t>
                  </w:r>
                </w:p>
              </w:tc>
              <w:tc>
                <w:tcPr>
                  <w:tcW w:w="1008" w:type="dxa"/>
                  <w:tcBorders>
                    <w:top w:val="single" w:color="auto" w:sz="8" w:space="0"/>
                    <w:left w:val="single" w:color="auto" w:sz="8" w:space="0"/>
                    <w:bottom w:val="single" w:color="auto" w:sz="8" w:space="0"/>
                    <w:right w:val="single" w:color="auto" w:sz="8" w:space="0"/>
                  </w:tcBorders>
                  <w:shd w:val="clear"/>
                  <w:vAlign w:val="center"/>
                </w:tcPr>
                <w:p w14:paraId="78F69C69">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w:t>
                  </w:r>
                  <w:r>
                    <w:rPr>
                      <w:rFonts w:hint="eastAsia" w:ascii="Times New Roman" w:hAnsi="Times New Roman" w:eastAsia="宋体" w:cs="宋体"/>
                      <w:color w:val="000000"/>
                      <w:kern w:val="2"/>
                      <w:sz w:val="21"/>
                      <w:szCs w:val="21"/>
                      <w:bdr w:val="none" w:color="auto" w:sz="0" w:space="0"/>
                      <w:lang w:val="en-US" w:eastAsia="zh-CN" w:bidi="ar"/>
                    </w:rPr>
                    <w:t>万</w:t>
                  </w:r>
                  <w:r>
                    <w:rPr>
                      <w:rFonts w:hint="default" w:ascii="Times New Roman" w:hAnsi="Times New Roman" w:eastAsia="宋体" w:cs="Times New Roman"/>
                      <w:color w:val="000000"/>
                      <w:kern w:val="2"/>
                      <w:sz w:val="21"/>
                      <w:szCs w:val="21"/>
                      <w:bdr w:val="none" w:color="auto" w:sz="0" w:space="0"/>
                      <w:lang w:val="en-US" w:eastAsia="zh-CN" w:bidi="ar"/>
                    </w:rPr>
                    <w:t>m</w:t>
                  </w:r>
                  <w:r>
                    <w:rPr>
                      <w:rFonts w:hint="default" w:ascii="Times New Roman" w:hAnsi="Times New Roman" w:eastAsia="宋体" w:cs="Times New Roman"/>
                      <w:color w:val="000000"/>
                      <w:kern w:val="2"/>
                      <w:sz w:val="21"/>
                      <w:szCs w:val="21"/>
                      <w:bdr w:val="none" w:color="auto" w:sz="0" w:space="0"/>
                      <w:vertAlign w:val="superscript"/>
                      <w:lang w:val="en-US" w:eastAsia="zh-CN" w:bidi="ar"/>
                    </w:rPr>
                    <w:t>2</w:t>
                  </w:r>
                </w:p>
              </w:tc>
              <w:tc>
                <w:tcPr>
                  <w:tcW w:w="1060" w:type="dxa"/>
                  <w:tcBorders>
                    <w:top w:val="single" w:color="auto" w:sz="8" w:space="0"/>
                    <w:left w:val="single" w:color="auto" w:sz="8" w:space="0"/>
                    <w:bottom w:val="single" w:color="auto" w:sz="8" w:space="0"/>
                    <w:right w:val="single" w:color="auto" w:sz="8" w:space="0"/>
                  </w:tcBorders>
                  <w:shd w:val="clear"/>
                  <w:vAlign w:val="center"/>
                </w:tcPr>
                <w:p w14:paraId="1FD95031">
                  <w:pPr>
                    <w:pStyle w:val="73"/>
                    <w:widowControl/>
                    <w:spacing w:line="300" w:lineRule="exact"/>
                    <w:ind w:left="0" w:firstLine="0" w:firstLineChars="0"/>
                    <w:jc w:val="center"/>
                    <w:rPr>
                      <w:rFonts w:hint="default" w:ascii="Times New Roman" w:hAnsi="Times New Roman" w:cs="Times New Roman"/>
                      <w:b w:val="0"/>
                      <w:bCs/>
                      <w:color w:val="000000"/>
                      <w:sz w:val="21"/>
                      <w:szCs w:val="21"/>
                      <w:bdr w:val="none" w:color="auto" w:sz="0" w:space="0"/>
                      <w:lang w:val="en-US"/>
                    </w:rPr>
                  </w:pPr>
                  <w:r>
                    <w:rPr>
                      <w:rFonts w:hint="default" w:ascii="Times New Roman" w:hAnsi="Times New Roman" w:cs="Times New Roman"/>
                      <w:b w:val="0"/>
                      <w:bCs/>
                      <w:color w:val="000000"/>
                      <w:sz w:val="21"/>
                      <w:szCs w:val="21"/>
                      <w:bdr w:val="none" w:color="auto" w:sz="0" w:space="0"/>
                      <w:lang w:val="en-US"/>
                    </w:rPr>
                    <w:t>3</w:t>
                  </w:r>
                  <w:r>
                    <w:rPr>
                      <w:rFonts w:hint="eastAsia" w:ascii="Times New Roman" w:hAnsi="Times New Roman" w:eastAsia="宋体" w:cs="宋体"/>
                      <w:b w:val="0"/>
                      <w:bCs/>
                      <w:color w:val="000000"/>
                      <w:sz w:val="21"/>
                      <w:szCs w:val="21"/>
                      <w:bdr w:val="none" w:color="auto" w:sz="0" w:space="0"/>
                    </w:rPr>
                    <w:t>万</w:t>
                  </w:r>
                  <w:r>
                    <w:rPr>
                      <w:rFonts w:hint="default" w:ascii="Times New Roman" w:hAnsi="Times New Roman" w:cs="Times New Roman"/>
                      <w:b w:val="0"/>
                      <w:bCs/>
                      <w:color w:val="000000"/>
                      <w:sz w:val="21"/>
                      <w:szCs w:val="21"/>
                      <w:bdr w:val="none" w:color="auto" w:sz="0" w:space="0"/>
                      <w:lang w:val="en-US"/>
                    </w:rPr>
                    <w:t>m</w:t>
                  </w:r>
                  <w:r>
                    <w:rPr>
                      <w:rFonts w:hint="default" w:ascii="Times New Roman" w:hAnsi="Times New Roman" w:cs="Times New Roman"/>
                      <w:b w:val="0"/>
                      <w:bCs/>
                      <w:color w:val="000000"/>
                      <w:sz w:val="21"/>
                      <w:szCs w:val="21"/>
                      <w:bdr w:val="none" w:color="auto" w:sz="0" w:space="0"/>
                      <w:vertAlign w:val="superscript"/>
                      <w:lang w:val="en-US"/>
                    </w:rPr>
                    <w:t>2</w:t>
                  </w:r>
                </w:p>
              </w:tc>
              <w:tc>
                <w:tcPr>
                  <w:tcW w:w="1105" w:type="dxa"/>
                  <w:tcBorders>
                    <w:top w:val="single" w:color="auto" w:sz="8" w:space="0"/>
                    <w:left w:val="single" w:color="auto" w:sz="8" w:space="0"/>
                    <w:bottom w:val="single" w:color="auto" w:sz="8" w:space="0"/>
                    <w:right w:val="single" w:color="auto" w:sz="8" w:space="0"/>
                  </w:tcBorders>
                  <w:shd w:val="clear"/>
                  <w:vAlign w:val="center"/>
                </w:tcPr>
                <w:p w14:paraId="24F1E089">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+2</w:t>
                  </w:r>
                  <w:r>
                    <w:rPr>
                      <w:rFonts w:hint="eastAsia" w:ascii="Times New Roman" w:hAnsi="Times New Roman" w:eastAsia="宋体" w:cs="宋体"/>
                      <w:color w:val="000000"/>
                      <w:kern w:val="2"/>
                      <w:sz w:val="21"/>
                      <w:szCs w:val="21"/>
                      <w:bdr w:val="none" w:color="auto" w:sz="0" w:space="0"/>
                      <w:lang w:val="en-US" w:eastAsia="zh-CN" w:bidi="ar"/>
                    </w:rPr>
                    <w:t>万</w:t>
                  </w:r>
                  <w:r>
                    <w:rPr>
                      <w:rFonts w:hint="default" w:ascii="Times New Roman" w:hAnsi="Times New Roman" w:eastAsia="宋体" w:cs="Times New Roman"/>
                      <w:color w:val="000000"/>
                      <w:kern w:val="2"/>
                      <w:sz w:val="21"/>
                      <w:szCs w:val="21"/>
                      <w:bdr w:val="none" w:color="auto" w:sz="0" w:space="0"/>
                      <w:lang w:val="en-US" w:eastAsia="zh-CN" w:bidi="ar"/>
                    </w:rPr>
                    <w:t>m</w:t>
                  </w:r>
                  <w:r>
                    <w:rPr>
                      <w:rFonts w:hint="default" w:ascii="Times New Roman" w:hAnsi="Times New Roman" w:eastAsia="宋体" w:cs="Times New Roman"/>
                      <w:color w:val="000000"/>
                      <w:kern w:val="2"/>
                      <w:sz w:val="21"/>
                      <w:szCs w:val="21"/>
                      <w:bdr w:val="none" w:color="auto" w:sz="0" w:space="0"/>
                      <w:vertAlign w:val="superscript"/>
                      <w:lang w:val="en-US" w:eastAsia="zh-CN" w:bidi="ar"/>
                    </w:rPr>
                    <w:t>2</w:t>
                  </w:r>
                </w:p>
              </w:tc>
              <w:tc>
                <w:tcPr>
                  <w:tcW w:w="1105" w:type="dxa"/>
                  <w:tcBorders>
                    <w:top w:val="single" w:color="auto" w:sz="8" w:space="0"/>
                    <w:left w:val="single" w:color="auto" w:sz="8" w:space="0"/>
                    <w:bottom w:val="single" w:color="auto" w:sz="8" w:space="0"/>
                    <w:right w:val="single" w:color="auto" w:sz="8" w:space="0"/>
                  </w:tcBorders>
                  <w:shd w:val="clear"/>
                  <w:vAlign w:val="center"/>
                </w:tcPr>
                <w:p w14:paraId="0C5A0BBE">
                  <w:pPr>
                    <w:keepNext w:val="0"/>
                    <w:keepLines w:val="0"/>
                    <w:widowControl w:val="0"/>
                    <w:suppressLineNumbers w:val="0"/>
                    <w:spacing w:before="0" w:beforeAutospacing="0" w:after="0" w:afterAutospacing="0"/>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原材料库房</w:t>
                  </w:r>
                </w:p>
              </w:tc>
              <w:tc>
                <w:tcPr>
                  <w:tcW w:w="886" w:type="dxa"/>
                  <w:tcBorders>
                    <w:top w:val="single" w:color="auto" w:sz="8" w:space="0"/>
                    <w:left w:val="single" w:color="auto" w:sz="8" w:space="0"/>
                    <w:bottom w:val="single" w:color="auto" w:sz="8" w:space="0"/>
                    <w:right w:val="nil"/>
                  </w:tcBorders>
                  <w:shd w:val="clear"/>
                  <w:vAlign w:val="center"/>
                </w:tcPr>
                <w:p w14:paraId="6346B91D">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2000 m</w:t>
                  </w:r>
                  <w:r>
                    <w:rPr>
                      <w:rFonts w:hint="default" w:ascii="Times New Roman" w:hAnsi="Times New Roman" w:eastAsia="宋体" w:cs="Times New Roman"/>
                      <w:color w:val="000000"/>
                      <w:kern w:val="2"/>
                      <w:sz w:val="21"/>
                      <w:szCs w:val="21"/>
                      <w:bdr w:val="none" w:color="auto" w:sz="0" w:space="0"/>
                      <w:vertAlign w:val="superscript"/>
                      <w:lang w:val="en-US" w:eastAsia="zh-CN" w:bidi="ar"/>
                    </w:rPr>
                    <w:t>2</w:t>
                  </w:r>
                </w:p>
              </w:tc>
            </w:tr>
            <w:tr w14:paraId="49E9B65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81" w:hRule="atLeast"/>
              </w:trPr>
              <w:tc>
                <w:tcPr>
                  <w:tcW w:w="556" w:type="dxa"/>
                  <w:tcBorders>
                    <w:top w:val="single" w:color="auto" w:sz="8" w:space="0"/>
                    <w:left w:val="nil"/>
                    <w:bottom w:val="single" w:color="auto" w:sz="8" w:space="0"/>
                    <w:right w:val="single" w:color="auto" w:sz="8" w:space="0"/>
                  </w:tcBorders>
                  <w:shd w:val="clear"/>
                  <w:vAlign w:val="center"/>
                </w:tcPr>
                <w:p w14:paraId="21AE73FF">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5</w:t>
                  </w:r>
                </w:p>
              </w:tc>
              <w:tc>
                <w:tcPr>
                  <w:tcW w:w="862" w:type="dxa"/>
                  <w:tcBorders>
                    <w:top w:val="single" w:color="auto" w:sz="8" w:space="0"/>
                    <w:left w:val="single" w:color="auto" w:sz="8" w:space="0"/>
                    <w:bottom w:val="single" w:color="auto" w:sz="8" w:space="0"/>
                    <w:right w:val="single" w:color="auto" w:sz="8" w:space="0"/>
                  </w:tcBorders>
                  <w:shd w:val="clear"/>
                  <w:vAlign w:val="center"/>
                </w:tcPr>
                <w:p w14:paraId="22696932">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成品双面胶带</w:t>
                  </w:r>
                </w:p>
              </w:tc>
              <w:tc>
                <w:tcPr>
                  <w:tcW w:w="1803" w:type="dxa"/>
                  <w:tcBorders>
                    <w:top w:val="single" w:color="auto" w:sz="8" w:space="0"/>
                    <w:left w:val="single" w:color="auto" w:sz="8" w:space="0"/>
                    <w:bottom w:val="single" w:color="auto" w:sz="8" w:space="0"/>
                    <w:right w:val="single" w:color="auto" w:sz="8" w:space="0"/>
                  </w:tcBorders>
                  <w:shd w:val="clear"/>
                  <w:vAlign w:val="center"/>
                </w:tcPr>
                <w:p w14:paraId="5DEA425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100m</w:t>
                  </w:r>
                  <w:r>
                    <w:rPr>
                      <w:rFonts w:hint="default" w:ascii="Times New Roman" w:hAnsi="Times New Roman" w:eastAsia="宋体" w:cs="Times New Roman"/>
                      <w:color w:val="000000"/>
                      <w:kern w:val="2"/>
                      <w:sz w:val="21"/>
                      <w:szCs w:val="21"/>
                      <w:bdr w:val="none" w:color="auto" w:sz="0" w:space="0"/>
                      <w:vertAlign w:val="superscript"/>
                      <w:lang w:val="en-US" w:eastAsia="zh-CN" w:bidi="ar"/>
                    </w:rPr>
                    <w:t>2</w:t>
                  </w:r>
                  <w:r>
                    <w:rPr>
                      <w:rFonts w:hint="default" w:ascii="Times New Roman" w:hAnsi="Times New Roman" w:eastAsia="宋体" w:cs="Times New Roman"/>
                      <w:color w:val="000000"/>
                      <w:kern w:val="2"/>
                      <w:sz w:val="21"/>
                      <w:szCs w:val="21"/>
                      <w:bdr w:val="none" w:color="auto" w:sz="0" w:space="0"/>
                      <w:lang w:val="en-US" w:eastAsia="zh-CN" w:bidi="ar"/>
                    </w:rPr>
                    <w:t>/</w:t>
                  </w:r>
                  <w:r>
                    <w:rPr>
                      <w:rFonts w:hint="eastAsia" w:ascii="Times New Roman" w:hAnsi="Times New Roman" w:eastAsia="宋体" w:cs="宋体"/>
                      <w:color w:val="000000"/>
                      <w:kern w:val="2"/>
                      <w:sz w:val="21"/>
                      <w:szCs w:val="21"/>
                      <w:bdr w:val="none" w:color="auto" w:sz="0" w:space="0"/>
                      <w:lang w:val="en-US" w:eastAsia="zh-CN" w:bidi="ar"/>
                    </w:rPr>
                    <w:t>卷</w:t>
                  </w:r>
                </w:p>
              </w:tc>
              <w:tc>
                <w:tcPr>
                  <w:tcW w:w="1008" w:type="dxa"/>
                  <w:tcBorders>
                    <w:top w:val="single" w:color="auto" w:sz="8" w:space="0"/>
                    <w:left w:val="single" w:color="auto" w:sz="8" w:space="0"/>
                    <w:bottom w:val="single" w:color="auto" w:sz="8" w:space="0"/>
                    <w:right w:val="single" w:color="auto" w:sz="8" w:space="0"/>
                  </w:tcBorders>
                  <w:shd w:val="clear"/>
                  <w:vAlign w:val="center"/>
                </w:tcPr>
                <w:p w14:paraId="234A84B8">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1.5</w:t>
                  </w:r>
                  <w:r>
                    <w:rPr>
                      <w:rFonts w:hint="eastAsia" w:ascii="Times New Roman" w:hAnsi="Times New Roman" w:eastAsia="宋体" w:cs="宋体"/>
                      <w:color w:val="000000"/>
                      <w:kern w:val="2"/>
                      <w:sz w:val="21"/>
                      <w:szCs w:val="21"/>
                      <w:bdr w:val="none" w:color="auto" w:sz="0" w:space="0"/>
                      <w:lang w:val="en-US" w:eastAsia="zh-CN" w:bidi="ar"/>
                    </w:rPr>
                    <w:t>万</w:t>
                  </w:r>
                  <w:r>
                    <w:rPr>
                      <w:rFonts w:hint="default" w:ascii="Times New Roman" w:hAnsi="Times New Roman" w:eastAsia="宋体" w:cs="Times New Roman"/>
                      <w:color w:val="000000"/>
                      <w:kern w:val="2"/>
                      <w:sz w:val="21"/>
                      <w:szCs w:val="21"/>
                      <w:bdr w:val="none" w:color="auto" w:sz="0" w:space="0"/>
                      <w:lang w:val="en-US" w:eastAsia="zh-CN" w:bidi="ar"/>
                    </w:rPr>
                    <w:t>m</w:t>
                  </w:r>
                  <w:r>
                    <w:rPr>
                      <w:rFonts w:hint="default" w:ascii="Times New Roman" w:hAnsi="Times New Roman" w:eastAsia="宋体" w:cs="Times New Roman"/>
                      <w:color w:val="000000"/>
                      <w:kern w:val="2"/>
                      <w:sz w:val="21"/>
                      <w:szCs w:val="21"/>
                      <w:bdr w:val="none" w:color="auto" w:sz="0" w:space="0"/>
                      <w:vertAlign w:val="superscript"/>
                      <w:lang w:val="en-US" w:eastAsia="zh-CN" w:bidi="ar"/>
                    </w:rPr>
                    <w:t>2</w:t>
                  </w:r>
                </w:p>
              </w:tc>
              <w:tc>
                <w:tcPr>
                  <w:tcW w:w="1060" w:type="dxa"/>
                  <w:tcBorders>
                    <w:top w:val="single" w:color="auto" w:sz="8" w:space="0"/>
                    <w:left w:val="single" w:color="auto" w:sz="8" w:space="0"/>
                    <w:bottom w:val="single" w:color="auto" w:sz="8" w:space="0"/>
                    <w:right w:val="single" w:color="auto" w:sz="8" w:space="0"/>
                  </w:tcBorders>
                  <w:shd w:val="clear"/>
                  <w:vAlign w:val="center"/>
                </w:tcPr>
                <w:p w14:paraId="43B7FBA8">
                  <w:pPr>
                    <w:pStyle w:val="73"/>
                    <w:widowControl/>
                    <w:spacing w:line="300" w:lineRule="exact"/>
                    <w:ind w:left="0" w:firstLine="0" w:firstLineChars="0"/>
                    <w:jc w:val="center"/>
                    <w:rPr>
                      <w:rFonts w:hint="default" w:ascii="Times New Roman" w:hAnsi="Times New Roman" w:cs="Times New Roman"/>
                      <w:b w:val="0"/>
                      <w:bCs/>
                      <w:color w:val="000000"/>
                      <w:sz w:val="21"/>
                      <w:szCs w:val="21"/>
                      <w:bdr w:val="none" w:color="auto" w:sz="0" w:space="0"/>
                      <w:lang w:val="en-US"/>
                    </w:rPr>
                  </w:pPr>
                  <w:r>
                    <w:rPr>
                      <w:rFonts w:hint="default" w:ascii="Times New Roman" w:hAnsi="Times New Roman" w:cs="Times New Roman"/>
                      <w:b w:val="0"/>
                      <w:bCs/>
                      <w:color w:val="000000"/>
                      <w:sz w:val="21"/>
                      <w:szCs w:val="21"/>
                      <w:bdr w:val="none" w:color="auto" w:sz="0" w:space="0"/>
                      <w:lang w:val="en-US"/>
                    </w:rPr>
                    <w:t>3</w:t>
                  </w:r>
                  <w:r>
                    <w:rPr>
                      <w:rFonts w:hint="eastAsia" w:ascii="Times New Roman" w:hAnsi="Times New Roman" w:eastAsia="宋体" w:cs="宋体"/>
                      <w:b w:val="0"/>
                      <w:bCs/>
                      <w:color w:val="000000"/>
                      <w:sz w:val="21"/>
                      <w:szCs w:val="21"/>
                      <w:bdr w:val="none" w:color="auto" w:sz="0" w:space="0"/>
                    </w:rPr>
                    <w:t>万</w:t>
                  </w:r>
                  <w:r>
                    <w:rPr>
                      <w:rFonts w:hint="default" w:ascii="Times New Roman" w:hAnsi="Times New Roman" w:cs="Times New Roman"/>
                      <w:b w:val="0"/>
                      <w:bCs/>
                      <w:color w:val="000000"/>
                      <w:sz w:val="21"/>
                      <w:szCs w:val="21"/>
                      <w:bdr w:val="none" w:color="auto" w:sz="0" w:space="0"/>
                      <w:lang w:val="en-US"/>
                    </w:rPr>
                    <w:t>m</w:t>
                  </w:r>
                  <w:r>
                    <w:rPr>
                      <w:rFonts w:hint="default" w:ascii="Times New Roman" w:hAnsi="Times New Roman" w:cs="Times New Roman"/>
                      <w:b w:val="0"/>
                      <w:bCs/>
                      <w:color w:val="000000"/>
                      <w:sz w:val="21"/>
                      <w:szCs w:val="21"/>
                      <w:bdr w:val="none" w:color="auto" w:sz="0" w:space="0"/>
                      <w:vertAlign w:val="superscript"/>
                      <w:lang w:val="en-US"/>
                    </w:rPr>
                    <w:t>2</w:t>
                  </w:r>
                </w:p>
              </w:tc>
              <w:tc>
                <w:tcPr>
                  <w:tcW w:w="1105" w:type="dxa"/>
                  <w:tcBorders>
                    <w:top w:val="single" w:color="auto" w:sz="8" w:space="0"/>
                    <w:left w:val="single" w:color="auto" w:sz="8" w:space="0"/>
                    <w:bottom w:val="single" w:color="auto" w:sz="8" w:space="0"/>
                    <w:right w:val="single" w:color="auto" w:sz="8" w:space="0"/>
                  </w:tcBorders>
                  <w:shd w:val="clear"/>
                  <w:vAlign w:val="center"/>
                </w:tcPr>
                <w:p w14:paraId="277382E6">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+1.5</w:t>
                  </w:r>
                  <w:r>
                    <w:rPr>
                      <w:rFonts w:hint="eastAsia" w:ascii="Times New Roman" w:hAnsi="Times New Roman" w:eastAsia="宋体" w:cs="宋体"/>
                      <w:color w:val="000000"/>
                      <w:kern w:val="2"/>
                      <w:sz w:val="21"/>
                      <w:szCs w:val="21"/>
                      <w:bdr w:val="none" w:color="auto" w:sz="0" w:space="0"/>
                      <w:lang w:val="en-US" w:eastAsia="zh-CN" w:bidi="ar"/>
                    </w:rPr>
                    <w:t>万</w:t>
                  </w:r>
                  <w:r>
                    <w:rPr>
                      <w:rFonts w:hint="default" w:ascii="Times New Roman" w:hAnsi="Times New Roman" w:eastAsia="宋体" w:cs="Times New Roman"/>
                      <w:color w:val="000000"/>
                      <w:kern w:val="2"/>
                      <w:sz w:val="21"/>
                      <w:szCs w:val="21"/>
                      <w:bdr w:val="none" w:color="auto" w:sz="0" w:space="0"/>
                      <w:lang w:val="en-US" w:eastAsia="zh-CN" w:bidi="ar"/>
                    </w:rPr>
                    <w:t>m</w:t>
                  </w:r>
                  <w:r>
                    <w:rPr>
                      <w:rFonts w:hint="default" w:ascii="Times New Roman" w:hAnsi="Times New Roman" w:eastAsia="宋体" w:cs="Times New Roman"/>
                      <w:color w:val="000000"/>
                      <w:kern w:val="2"/>
                      <w:sz w:val="21"/>
                      <w:szCs w:val="21"/>
                      <w:bdr w:val="none" w:color="auto" w:sz="0" w:space="0"/>
                      <w:vertAlign w:val="superscript"/>
                      <w:lang w:val="en-US" w:eastAsia="zh-CN" w:bidi="ar"/>
                    </w:rPr>
                    <w:t>2</w:t>
                  </w:r>
                </w:p>
              </w:tc>
              <w:tc>
                <w:tcPr>
                  <w:tcW w:w="1105" w:type="dxa"/>
                  <w:tcBorders>
                    <w:top w:val="single" w:color="auto" w:sz="8" w:space="0"/>
                    <w:left w:val="single" w:color="auto" w:sz="8" w:space="0"/>
                    <w:bottom w:val="single" w:color="auto" w:sz="8" w:space="0"/>
                    <w:right w:val="single" w:color="auto" w:sz="8" w:space="0"/>
                  </w:tcBorders>
                  <w:shd w:val="clear"/>
                  <w:vAlign w:val="center"/>
                </w:tcPr>
                <w:p w14:paraId="2AE5E3AE">
                  <w:pPr>
                    <w:keepNext w:val="0"/>
                    <w:keepLines w:val="0"/>
                    <w:widowControl w:val="0"/>
                    <w:suppressLineNumbers w:val="0"/>
                    <w:spacing w:before="0" w:beforeAutospacing="0" w:after="0" w:afterAutospacing="0"/>
                    <w:ind w:left="0" w:right="0"/>
                    <w:jc w:val="center"/>
                    <w:rPr>
                      <w:b/>
                      <w:bCs w:val="0"/>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原材料库房</w:t>
                  </w:r>
                </w:p>
              </w:tc>
              <w:tc>
                <w:tcPr>
                  <w:tcW w:w="886" w:type="dxa"/>
                  <w:tcBorders>
                    <w:top w:val="single" w:color="auto" w:sz="8" w:space="0"/>
                    <w:left w:val="single" w:color="auto" w:sz="8" w:space="0"/>
                    <w:bottom w:val="single" w:color="auto" w:sz="8" w:space="0"/>
                    <w:right w:val="nil"/>
                  </w:tcBorders>
                  <w:shd w:val="clear"/>
                  <w:vAlign w:val="center"/>
                </w:tcPr>
                <w:p w14:paraId="2B7975BA">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2000m</w:t>
                  </w:r>
                  <w:r>
                    <w:rPr>
                      <w:rFonts w:hint="default" w:ascii="Times New Roman" w:hAnsi="Times New Roman" w:eastAsia="宋体" w:cs="Times New Roman"/>
                      <w:color w:val="000000"/>
                      <w:kern w:val="2"/>
                      <w:sz w:val="21"/>
                      <w:szCs w:val="21"/>
                      <w:bdr w:val="none" w:color="auto" w:sz="0" w:space="0"/>
                      <w:vertAlign w:val="superscript"/>
                      <w:lang w:val="en-US" w:eastAsia="zh-CN" w:bidi="ar"/>
                    </w:rPr>
                    <w:t>2</w:t>
                  </w:r>
                </w:p>
              </w:tc>
            </w:tr>
            <w:tr w14:paraId="052E54E4">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81" w:hRule="atLeast"/>
              </w:trPr>
              <w:tc>
                <w:tcPr>
                  <w:tcW w:w="556" w:type="dxa"/>
                  <w:tcBorders>
                    <w:top w:val="single" w:color="auto" w:sz="8" w:space="0"/>
                    <w:left w:val="nil"/>
                    <w:bottom w:val="single" w:color="auto" w:sz="8" w:space="0"/>
                    <w:right w:val="single" w:color="auto" w:sz="8" w:space="0"/>
                  </w:tcBorders>
                  <w:shd w:val="clear"/>
                  <w:vAlign w:val="center"/>
                </w:tcPr>
                <w:p w14:paraId="420DFBA0">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6</w:t>
                  </w:r>
                </w:p>
              </w:tc>
              <w:tc>
                <w:tcPr>
                  <w:tcW w:w="862" w:type="dxa"/>
                  <w:tcBorders>
                    <w:top w:val="single" w:color="auto" w:sz="8" w:space="0"/>
                    <w:left w:val="single" w:color="auto" w:sz="8" w:space="0"/>
                    <w:bottom w:val="single" w:color="auto" w:sz="8" w:space="0"/>
                    <w:right w:val="single" w:color="auto" w:sz="8" w:space="0"/>
                  </w:tcBorders>
                  <w:shd w:val="clear"/>
                  <w:vAlign w:val="center"/>
                </w:tcPr>
                <w:p w14:paraId="7126248B">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背胶处理剂</w:t>
                  </w:r>
                </w:p>
              </w:tc>
              <w:tc>
                <w:tcPr>
                  <w:tcW w:w="1803" w:type="dxa"/>
                  <w:tcBorders>
                    <w:top w:val="single" w:color="auto" w:sz="8" w:space="0"/>
                    <w:left w:val="single" w:color="auto" w:sz="8" w:space="0"/>
                    <w:bottom w:val="single" w:color="auto" w:sz="8" w:space="0"/>
                    <w:right w:val="single" w:color="auto" w:sz="8" w:space="0"/>
                  </w:tcBorders>
                  <w:shd w:val="clear"/>
                  <w:vAlign w:val="center"/>
                </w:tcPr>
                <w:p w14:paraId="6EA301A3">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TJ-60</w:t>
                  </w:r>
                  <w:r>
                    <w:rPr>
                      <w:rFonts w:hint="eastAsia" w:ascii="Times New Roman" w:hAnsi="Times New Roman" w:eastAsia="宋体" w:cs="宋体"/>
                      <w:color w:val="000000"/>
                      <w:kern w:val="2"/>
                      <w:sz w:val="21"/>
                      <w:szCs w:val="21"/>
                      <w:bdr w:val="none" w:color="auto" w:sz="0" w:space="0"/>
                      <w:lang w:val="en-US" w:eastAsia="zh-CN" w:bidi="ar"/>
                    </w:rPr>
                    <w:t>，</w:t>
                  </w:r>
                  <w:r>
                    <w:rPr>
                      <w:rFonts w:hint="default" w:ascii="Times New Roman" w:hAnsi="Times New Roman" w:eastAsia="宋体" w:cs="Times New Roman"/>
                      <w:color w:val="000000"/>
                      <w:kern w:val="2"/>
                      <w:sz w:val="21"/>
                      <w:szCs w:val="21"/>
                      <w:bdr w:val="none" w:color="auto" w:sz="0" w:space="0"/>
                      <w:lang w:val="en-US" w:eastAsia="zh-CN" w:bidi="ar"/>
                    </w:rPr>
                    <w:t>10kg/</w:t>
                  </w:r>
                  <w:r>
                    <w:rPr>
                      <w:rFonts w:hint="eastAsia" w:ascii="Times New Roman" w:hAnsi="Times New Roman" w:eastAsia="宋体" w:cs="宋体"/>
                      <w:color w:val="000000"/>
                      <w:kern w:val="2"/>
                      <w:sz w:val="21"/>
                      <w:szCs w:val="21"/>
                      <w:bdr w:val="none" w:color="auto" w:sz="0" w:space="0"/>
                      <w:lang w:val="en-US" w:eastAsia="zh-CN" w:bidi="ar"/>
                    </w:rPr>
                    <w:t>桶</w:t>
                  </w:r>
                </w:p>
              </w:tc>
              <w:tc>
                <w:tcPr>
                  <w:tcW w:w="1008" w:type="dxa"/>
                  <w:tcBorders>
                    <w:top w:val="single" w:color="auto" w:sz="8" w:space="0"/>
                    <w:left w:val="single" w:color="auto" w:sz="8" w:space="0"/>
                    <w:bottom w:val="single" w:color="auto" w:sz="8" w:space="0"/>
                    <w:right w:val="single" w:color="auto" w:sz="8" w:space="0"/>
                  </w:tcBorders>
                  <w:shd w:val="clear"/>
                  <w:vAlign w:val="center"/>
                </w:tcPr>
                <w:p w14:paraId="0992D161">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0.6t</w:t>
                  </w:r>
                </w:p>
              </w:tc>
              <w:tc>
                <w:tcPr>
                  <w:tcW w:w="1060" w:type="dxa"/>
                  <w:tcBorders>
                    <w:top w:val="single" w:color="auto" w:sz="8" w:space="0"/>
                    <w:left w:val="single" w:color="auto" w:sz="8" w:space="0"/>
                    <w:bottom w:val="single" w:color="auto" w:sz="8" w:space="0"/>
                    <w:right w:val="single" w:color="auto" w:sz="8" w:space="0"/>
                  </w:tcBorders>
                  <w:shd w:val="clear"/>
                  <w:vAlign w:val="center"/>
                </w:tcPr>
                <w:p w14:paraId="07991AA4">
                  <w:pPr>
                    <w:pStyle w:val="73"/>
                    <w:widowControl/>
                    <w:spacing w:line="300" w:lineRule="exact"/>
                    <w:ind w:left="0" w:firstLine="0" w:firstLineChars="0"/>
                    <w:jc w:val="center"/>
                    <w:rPr>
                      <w:rFonts w:hint="default" w:ascii="Times New Roman" w:hAnsi="Times New Roman" w:cs="Times New Roman"/>
                      <w:b w:val="0"/>
                      <w:bCs/>
                      <w:color w:val="000000"/>
                      <w:sz w:val="21"/>
                      <w:szCs w:val="21"/>
                      <w:bdr w:val="none" w:color="auto" w:sz="0" w:space="0"/>
                      <w:lang w:val="en-US"/>
                    </w:rPr>
                  </w:pPr>
                  <w:r>
                    <w:rPr>
                      <w:rFonts w:hint="default" w:ascii="Times New Roman" w:hAnsi="Times New Roman" w:cs="Times New Roman"/>
                      <w:b w:val="0"/>
                      <w:bCs/>
                      <w:color w:val="000000"/>
                      <w:sz w:val="21"/>
                      <w:szCs w:val="21"/>
                      <w:bdr w:val="none" w:color="auto" w:sz="0" w:space="0"/>
                      <w:lang w:val="en-US"/>
                    </w:rPr>
                    <w:t>0.9t</w:t>
                  </w:r>
                </w:p>
              </w:tc>
              <w:tc>
                <w:tcPr>
                  <w:tcW w:w="1105" w:type="dxa"/>
                  <w:tcBorders>
                    <w:top w:val="single" w:color="auto" w:sz="8" w:space="0"/>
                    <w:left w:val="single" w:color="auto" w:sz="8" w:space="0"/>
                    <w:bottom w:val="single" w:color="auto" w:sz="8" w:space="0"/>
                    <w:right w:val="single" w:color="auto" w:sz="8" w:space="0"/>
                  </w:tcBorders>
                  <w:shd w:val="clear"/>
                  <w:vAlign w:val="center"/>
                </w:tcPr>
                <w:p w14:paraId="2AA4A667">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+0.3t</w:t>
                  </w:r>
                </w:p>
              </w:tc>
              <w:tc>
                <w:tcPr>
                  <w:tcW w:w="1105" w:type="dxa"/>
                  <w:tcBorders>
                    <w:top w:val="single" w:color="auto" w:sz="8" w:space="0"/>
                    <w:left w:val="single" w:color="auto" w:sz="8" w:space="0"/>
                    <w:bottom w:val="single" w:color="auto" w:sz="8" w:space="0"/>
                    <w:right w:val="single" w:color="auto" w:sz="8" w:space="0"/>
                  </w:tcBorders>
                  <w:shd w:val="clear"/>
                  <w:vAlign w:val="center"/>
                </w:tcPr>
                <w:p w14:paraId="4A762CEB">
                  <w:pPr>
                    <w:keepNext w:val="0"/>
                    <w:keepLines w:val="0"/>
                    <w:widowControl w:val="0"/>
                    <w:suppressLineNumbers w:val="0"/>
                    <w:spacing w:before="0" w:beforeAutospacing="0" w:after="0" w:afterAutospacing="0"/>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辅料室</w:t>
                  </w:r>
                </w:p>
              </w:tc>
              <w:tc>
                <w:tcPr>
                  <w:tcW w:w="886" w:type="dxa"/>
                  <w:tcBorders>
                    <w:top w:val="single" w:color="auto" w:sz="8" w:space="0"/>
                    <w:left w:val="single" w:color="auto" w:sz="8" w:space="0"/>
                    <w:bottom w:val="single" w:color="auto" w:sz="8" w:space="0"/>
                    <w:right w:val="nil"/>
                  </w:tcBorders>
                  <w:shd w:val="clear"/>
                  <w:vAlign w:val="center"/>
                </w:tcPr>
                <w:p w14:paraId="7BF13FCE">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0.05t</w:t>
                  </w:r>
                </w:p>
              </w:tc>
            </w:tr>
            <w:tr w14:paraId="0EF9DAEB">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81" w:hRule="atLeast"/>
              </w:trPr>
              <w:tc>
                <w:tcPr>
                  <w:tcW w:w="556" w:type="dxa"/>
                  <w:tcBorders>
                    <w:top w:val="single" w:color="auto" w:sz="8" w:space="0"/>
                    <w:left w:val="nil"/>
                    <w:bottom w:val="single" w:color="auto" w:sz="8" w:space="0"/>
                    <w:right w:val="single" w:color="auto" w:sz="8" w:space="0"/>
                  </w:tcBorders>
                  <w:shd w:val="clear"/>
                  <w:vAlign w:val="center"/>
                </w:tcPr>
                <w:p w14:paraId="4A7ED12D">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7</w:t>
                  </w:r>
                </w:p>
              </w:tc>
              <w:tc>
                <w:tcPr>
                  <w:tcW w:w="862" w:type="dxa"/>
                  <w:tcBorders>
                    <w:top w:val="single" w:color="auto" w:sz="8" w:space="0"/>
                    <w:left w:val="single" w:color="auto" w:sz="8" w:space="0"/>
                    <w:bottom w:val="single" w:color="auto" w:sz="8" w:space="0"/>
                    <w:right w:val="single" w:color="auto" w:sz="8" w:space="0"/>
                  </w:tcBorders>
                  <w:shd w:val="clear"/>
                  <w:vAlign w:val="center"/>
                </w:tcPr>
                <w:p w14:paraId="06F6A72A">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液体硅橡胶</w:t>
                  </w:r>
                </w:p>
              </w:tc>
              <w:tc>
                <w:tcPr>
                  <w:tcW w:w="1803" w:type="dxa"/>
                  <w:tcBorders>
                    <w:top w:val="single" w:color="auto" w:sz="8" w:space="0"/>
                    <w:left w:val="single" w:color="auto" w:sz="8" w:space="0"/>
                    <w:bottom w:val="single" w:color="auto" w:sz="8" w:space="0"/>
                    <w:right w:val="single" w:color="auto" w:sz="8" w:space="0"/>
                  </w:tcBorders>
                  <w:shd w:val="clear"/>
                  <w:vAlign w:val="center"/>
                </w:tcPr>
                <w:p w14:paraId="703A6E6B">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1kg/</w:t>
                  </w:r>
                  <w:r>
                    <w:rPr>
                      <w:rFonts w:hint="eastAsia" w:ascii="Times New Roman" w:hAnsi="Times New Roman" w:eastAsia="宋体" w:cs="宋体"/>
                      <w:color w:val="000000"/>
                      <w:kern w:val="2"/>
                      <w:sz w:val="21"/>
                      <w:szCs w:val="21"/>
                      <w:bdr w:val="none" w:color="auto" w:sz="0" w:space="0"/>
                      <w:lang w:val="en-US" w:eastAsia="zh-CN" w:bidi="ar"/>
                    </w:rPr>
                    <w:t>桶，</w:t>
                  </w:r>
                  <w:r>
                    <w:rPr>
                      <w:rFonts w:hint="default" w:ascii="Times New Roman" w:hAnsi="Times New Roman" w:eastAsia="宋体" w:cs="Times New Roman"/>
                      <w:color w:val="000000"/>
                      <w:kern w:val="2"/>
                      <w:sz w:val="21"/>
                      <w:szCs w:val="21"/>
                      <w:bdr w:val="none" w:color="auto" w:sz="0" w:space="0"/>
                      <w:lang w:val="en-US" w:eastAsia="zh-CN" w:bidi="ar"/>
                    </w:rPr>
                    <w:t>TJ-RA660AB</w:t>
                  </w:r>
                </w:p>
              </w:tc>
              <w:tc>
                <w:tcPr>
                  <w:tcW w:w="1008" w:type="dxa"/>
                  <w:tcBorders>
                    <w:top w:val="single" w:color="auto" w:sz="8" w:space="0"/>
                    <w:left w:val="single" w:color="auto" w:sz="8" w:space="0"/>
                    <w:bottom w:val="single" w:color="auto" w:sz="8" w:space="0"/>
                    <w:right w:val="single" w:color="auto" w:sz="8" w:space="0"/>
                  </w:tcBorders>
                  <w:shd w:val="clear"/>
                  <w:vAlign w:val="center"/>
                </w:tcPr>
                <w:p w14:paraId="7D7395FF">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0.05t</w:t>
                  </w:r>
                </w:p>
              </w:tc>
              <w:tc>
                <w:tcPr>
                  <w:tcW w:w="1060" w:type="dxa"/>
                  <w:tcBorders>
                    <w:top w:val="single" w:color="auto" w:sz="8" w:space="0"/>
                    <w:left w:val="single" w:color="auto" w:sz="8" w:space="0"/>
                    <w:bottom w:val="single" w:color="auto" w:sz="8" w:space="0"/>
                    <w:right w:val="single" w:color="auto" w:sz="8" w:space="0"/>
                  </w:tcBorders>
                  <w:shd w:val="clear"/>
                  <w:vAlign w:val="center"/>
                </w:tcPr>
                <w:p w14:paraId="7DC70061">
                  <w:pPr>
                    <w:pStyle w:val="73"/>
                    <w:widowControl/>
                    <w:spacing w:line="300" w:lineRule="exact"/>
                    <w:ind w:left="0" w:firstLine="0" w:firstLineChars="0"/>
                    <w:jc w:val="center"/>
                    <w:rPr>
                      <w:rFonts w:hint="default" w:ascii="Times New Roman" w:hAnsi="Times New Roman" w:cs="Times New Roman"/>
                      <w:b w:val="0"/>
                      <w:bCs/>
                      <w:color w:val="000000"/>
                      <w:sz w:val="21"/>
                      <w:szCs w:val="21"/>
                      <w:bdr w:val="none" w:color="auto" w:sz="0" w:space="0"/>
                      <w:lang w:val="en-US"/>
                    </w:rPr>
                  </w:pPr>
                  <w:r>
                    <w:rPr>
                      <w:rFonts w:hint="default" w:ascii="Times New Roman" w:hAnsi="Times New Roman" w:cs="Times New Roman"/>
                      <w:b w:val="0"/>
                      <w:bCs/>
                      <w:color w:val="000000"/>
                      <w:sz w:val="21"/>
                      <w:szCs w:val="21"/>
                      <w:bdr w:val="none" w:color="auto" w:sz="0" w:space="0"/>
                      <w:lang w:val="en-US"/>
                    </w:rPr>
                    <w:t>0.08t</w:t>
                  </w:r>
                </w:p>
              </w:tc>
              <w:tc>
                <w:tcPr>
                  <w:tcW w:w="1105" w:type="dxa"/>
                  <w:tcBorders>
                    <w:top w:val="single" w:color="auto" w:sz="8" w:space="0"/>
                    <w:left w:val="single" w:color="auto" w:sz="8" w:space="0"/>
                    <w:bottom w:val="single" w:color="auto" w:sz="8" w:space="0"/>
                    <w:right w:val="single" w:color="auto" w:sz="8" w:space="0"/>
                  </w:tcBorders>
                  <w:shd w:val="clear"/>
                  <w:vAlign w:val="center"/>
                </w:tcPr>
                <w:p w14:paraId="245E644A">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+0.03t</w:t>
                  </w:r>
                </w:p>
              </w:tc>
              <w:tc>
                <w:tcPr>
                  <w:tcW w:w="1105" w:type="dxa"/>
                  <w:tcBorders>
                    <w:top w:val="single" w:color="auto" w:sz="8" w:space="0"/>
                    <w:left w:val="single" w:color="auto" w:sz="8" w:space="0"/>
                    <w:bottom w:val="single" w:color="auto" w:sz="8" w:space="0"/>
                    <w:right w:val="single" w:color="auto" w:sz="8" w:space="0"/>
                  </w:tcBorders>
                  <w:shd w:val="clear"/>
                  <w:vAlign w:val="center"/>
                </w:tcPr>
                <w:p w14:paraId="1FD55ECB">
                  <w:pPr>
                    <w:keepNext w:val="0"/>
                    <w:keepLines w:val="0"/>
                    <w:widowControl w:val="0"/>
                    <w:suppressLineNumbers w:val="0"/>
                    <w:spacing w:before="0" w:beforeAutospacing="0" w:after="0" w:afterAutospacing="0"/>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辅料室</w:t>
                  </w:r>
                </w:p>
              </w:tc>
              <w:tc>
                <w:tcPr>
                  <w:tcW w:w="886" w:type="dxa"/>
                  <w:tcBorders>
                    <w:top w:val="single" w:color="auto" w:sz="8" w:space="0"/>
                    <w:left w:val="single" w:color="auto" w:sz="8" w:space="0"/>
                    <w:bottom w:val="single" w:color="auto" w:sz="8" w:space="0"/>
                    <w:right w:val="nil"/>
                  </w:tcBorders>
                  <w:shd w:val="clear"/>
                  <w:vAlign w:val="center"/>
                </w:tcPr>
                <w:p w14:paraId="556A25A5">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0.005t</w:t>
                  </w:r>
                </w:p>
              </w:tc>
            </w:tr>
            <w:tr w14:paraId="169043D3">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81" w:hRule="atLeast"/>
              </w:trPr>
              <w:tc>
                <w:tcPr>
                  <w:tcW w:w="556" w:type="dxa"/>
                  <w:tcBorders>
                    <w:top w:val="single" w:color="auto" w:sz="8" w:space="0"/>
                    <w:left w:val="nil"/>
                    <w:bottom w:val="single" w:color="auto" w:sz="8" w:space="0"/>
                    <w:right w:val="single" w:color="auto" w:sz="8" w:space="0"/>
                  </w:tcBorders>
                  <w:shd w:val="clear"/>
                  <w:vAlign w:val="center"/>
                </w:tcPr>
                <w:p w14:paraId="13F0963A">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8</w:t>
                  </w:r>
                </w:p>
              </w:tc>
              <w:tc>
                <w:tcPr>
                  <w:tcW w:w="862" w:type="dxa"/>
                  <w:tcBorders>
                    <w:top w:val="single" w:color="auto" w:sz="8" w:space="0"/>
                    <w:left w:val="single" w:color="auto" w:sz="8" w:space="0"/>
                    <w:bottom w:val="single" w:color="auto" w:sz="8" w:space="0"/>
                    <w:right w:val="single" w:color="auto" w:sz="8" w:space="0"/>
                  </w:tcBorders>
                  <w:shd w:val="clear"/>
                  <w:vAlign w:val="center"/>
                </w:tcPr>
                <w:p w14:paraId="2A34A02A">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成品泡棉</w:t>
                  </w:r>
                </w:p>
              </w:tc>
              <w:tc>
                <w:tcPr>
                  <w:tcW w:w="1803" w:type="dxa"/>
                  <w:tcBorders>
                    <w:top w:val="single" w:color="auto" w:sz="8" w:space="0"/>
                    <w:left w:val="single" w:color="auto" w:sz="8" w:space="0"/>
                    <w:bottom w:val="single" w:color="auto" w:sz="8" w:space="0"/>
                    <w:right w:val="single" w:color="auto" w:sz="8" w:space="0"/>
                  </w:tcBorders>
                  <w:shd w:val="clear"/>
                  <w:vAlign w:val="center"/>
                </w:tcPr>
                <w:p w14:paraId="718E697C">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100m*1.6m</w:t>
                  </w:r>
                </w:p>
                <w:p w14:paraId="7D255043">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w:t>
                  </w:r>
                  <w:r>
                    <w:rPr>
                      <w:rFonts w:hint="eastAsia" w:ascii="Times New Roman" w:hAnsi="Times New Roman" w:eastAsia="宋体" w:cs="宋体"/>
                      <w:color w:val="000000"/>
                      <w:kern w:val="2"/>
                      <w:sz w:val="21"/>
                      <w:szCs w:val="21"/>
                      <w:bdr w:val="none" w:color="auto" w:sz="0" w:space="0"/>
                      <w:lang w:val="en-US" w:eastAsia="zh-CN" w:bidi="ar"/>
                    </w:rPr>
                    <w:t>卷，主要为</w:t>
                  </w:r>
                  <w:r>
                    <w:rPr>
                      <w:rFonts w:hint="default" w:ascii="Times New Roman" w:hAnsi="Times New Roman" w:eastAsia="宋体" w:cs="Times New Roman"/>
                      <w:color w:val="000000"/>
                      <w:kern w:val="2"/>
                      <w:sz w:val="21"/>
                      <w:szCs w:val="21"/>
                      <w:bdr w:val="none" w:color="auto" w:sz="0" w:space="0"/>
                      <w:lang w:val="en-US" w:eastAsia="zh-CN" w:bidi="ar"/>
                    </w:rPr>
                    <w:t>PU</w:t>
                  </w:r>
                  <w:r>
                    <w:rPr>
                      <w:rFonts w:hint="eastAsia" w:ascii="Times New Roman" w:hAnsi="Times New Roman" w:eastAsia="宋体" w:cs="宋体"/>
                      <w:color w:val="000000"/>
                      <w:kern w:val="2"/>
                      <w:sz w:val="21"/>
                      <w:szCs w:val="21"/>
                      <w:bdr w:val="none" w:color="auto" w:sz="0" w:space="0"/>
                      <w:lang w:val="en-US" w:eastAsia="zh-CN" w:bidi="ar"/>
                    </w:rPr>
                    <w:t>、</w:t>
                  </w:r>
                  <w:r>
                    <w:rPr>
                      <w:rFonts w:hint="default" w:ascii="Times New Roman" w:hAnsi="Times New Roman" w:eastAsia="宋体" w:cs="Times New Roman"/>
                      <w:color w:val="000000"/>
                      <w:kern w:val="2"/>
                      <w:sz w:val="21"/>
                      <w:szCs w:val="21"/>
                      <w:bdr w:val="none" w:color="auto" w:sz="0" w:space="0"/>
                      <w:lang w:val="en-US" w:eastAsia="zh-CN" w:bidi="ar"/>
                    </w:rPr>
                    <w:t>EPDM</w:t>
                  </w:r>
                  <w:r>
                    <w:rPr>
                      <w:rFonts w:hint="eastAsia" w:ascii="Times New Roman" w:hAnsi="Times New Roman" w:eastAsia="宋体" w:cs="宋体"/>
                      <w:color w:val="000000"/>
                      <w:kern w:val="2"/>
                      <w:sz w:val="21"/>
                      <w:szCs w:val="21"/>
                      <w:bdr w:val="none" w:color="auto" w:sz="0" w:space="0"/>
                      <w:lang w:val="en-US" w:eastAsia="zh-CN" w:bidi="ar"/>
                    </w:rPr>
                    <w:t>、</w:t>
                  </w:r>
                  <w:r>
                    <w:rPr>
                      <w:rFonts w:hint="default" w:ascii="Times New Roman" w:hAnsi="Times New Roman" w:eastAsia="宋体" w:cs="Times New Roman"/>
                      <w:color w:val="000000"/>
                      <w:kern w:val="2"/>
                      <w:sz w:val="21"/>
                      <w:szCs w:val="21"/>
                      <w:bdr w:val="none" w:color="auto" w:sz="0" w:space="0"/>
                      <w:lang w:val="en-US" w:eastAsia="zh-CN" w:bidi="ar"/>
                    </w:rPr>
                    <w:t>EVA</w:t>
                  </w:r>
                  <w:r>
                    <w:rPr>
                      <w:rFonts w:hint="eastAsia" w:ascii="Times New Roman" w:hAnsi="Times New Roman" w:eastAsia="宋体" w:cs="宋体"/>
                      <w:color w:val="000000"/>
                      <w:kern w:val="2"/>
                      <w:sz w:val="21"/>
                      <w:szCs w:val="21"/>
                      <w:bdr w:val="none" w:color="auto" w:sz="0" w:space="0"/>
                      <w:lang w:val="en-US" w:eastAsia="zh-CN" w:bidi="ar"/>
                    </w:rPr>
                    <w:t>泡棉</w:t>
                  </w:r>
                </w:p>
              </w:tc>
              <w:tc>
                <w:tcPr>
                  <w:tcW w:w="1008" w:type="dxa"/>
                  <w:tcBorders>
                    <w:top w:val="single" w:color="auto" w:sz="8" w:space="0"/>
                    <w:left w:val="single" w:color="auto" w:sz="8" w:space="0"/>
                    <w:bottom w:val="single" w:color="auto" w:sz="8" w:space="0"/>
                    <w:right w:val="single" w:color="auto" w:sz="8" w:space="0"/>
                  </w:tcBorders>
                  <w:shd w:val="clear"/>
                  <w:vAlign w:val="center"/>
                </w:tcPr>
                <w:p w14:paraId="6790AA49">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0.4</w:t>
                  </w:r>
                  <w:r>
                    <w:rPr>
                      <w:rFonts w:hint="eastAsia" w:ascii="Times New Roman" w:hAnsi="Times New Roman" w:eastAsia="宋体" w:cs="宋体"/>
                      <w:color w:val="000000"/>
                      <w:kern w:val="2"/>
                      <w:sz w:val="21"/>
                      <w:szCs w:val="21"/>
                      <w:bdr w:val="none" w:color="auto" w:sz="0" w:space="0"/>
                      <w:lang w:val="en-US" w:eastAsia="zh-CN" w:bidi="ar"/>
                    </w:rPr>
                    <w:t>万</w:t>
                  </w:r>
                  <w:r>
                    <w:rPr>
                      <w:rFonts w:hint="default" w:ascii="Times New Roman" w:hAnsi="Times New Roman" w:eastAsia="宋体" w:cs="Times New Roman"/>
                      <w:color w:val="000000"/>
                      <w:kern w:val="2"/>
                      <w:sz w:val="21"/>
                      <w:szCs w:val="21"/>
                      <w:bdr w:val="none" w:color="auto" w:sz="0" w:space="0"/>
                      <w:lang w:val="en-US" w:eastAsia="zh-CN" w:bidi="ar"/>
                    </w:rPr>
                    <w:t>m</w:t>
                  </w:r>
                  <w:r>
                    <w:rPr>
                      <w:rFonts w:hint="default" w:ascii="Times New Roman" w:hAnsi="Times New Roman" w:eastAsia="宋体" w:cs="Times New Roman"/>
                      <w:color w:val="000000"/>
                      <w:kern w:val="2"/>
                      <w:sz w:val="21"/>
                      <w:szCs w:val="21"/>
                      <w:bdr w:val="none" w:color="auto" w:sz="0" w:space="0"/>
                      <w:vertAlign w:val="superscript"/>
                      <w:lang w:val="en-US" w:eastAsia="zh-CN" w:bidi="ar"/>
                    </w:rPr>
                    <w:t>2</w:t>
                  </w:r>
                </w:p>
              </w:tc>
              <w:tc>
                <w:tcPr>
                  <w:tcW w:w="1060" w:type="dxa"/>
                  <w:tcBorders>
                    <w:top w:val="single" w:color="auto" w:sz="8" w:space="0"/>
                    <w:left w:val="single" w:color="auto" w:sz="8" w:space="0"/>
                    <w:bottom w:val="single" w:color="auto" w:sz="8" w:space="0"/>
                    <w:right w:val="single" w:color="auto" w:sz="8" w:space="0"/>
                  </w:tcBorders>
                  <w:shd w:val="clear"/>
                  <w:vAlign w:val="center"/>
                </w:tcPr>
                <w:p w14:paraId="53CAC22C">
                  <w:pPr>
                    <w:pStyle w:val="73"/>
                    <w:widowControl/>
                    <w:spacing w:line="300" w:lineRule="exact"/>
                    <w:ind w:left="0" w:firstLine="0" w:firstLineChars="0"/>
                    <w:jc w:val="center"/>
                    <w:rPr>
                      <w:rFonts w:hint="default" w:ascii="Times New Roman" w:hAnsi="Times New Roman" w:cs="Times New Roman"/>
                      <w:b w:val="0"/>
                      <w:bCs/>
                      <w:color w:val="000000"/>
                      <w:sz w:val="21"/>
                      <w:szCs w:val="21"/>
                      <w:bdr w:val="none" w:color="auto" w:sz="0" w:space="0"/>
                      <w:lang w:val="en-US"/>
                    </w:rPr>
                  </w:pPr>
                  <w:r>
                    <w:rPr>
                      <w:rFonts w:hint="default" w:ascii="Times New Roman" w:hAnsi="Times New Roman" w:cs="Times New Roman"/>
                      <w:b w:val="0"/>
                      <w:bCs/>
                      <w:color w:val="000000"/>
                      <w:sz w:val="21"/>
                      <w:szCs w:val="21"/>
                      <w:bdr w:val="none" w:color="auto" w:sz="0" w:space="0"/>
                      <w:lang w:val="en-US"/>
                    </w:rPr>
                    <w:t>1.5</w:t>
                  </w:r>
                  <w:r>
                    <w:rPr>
                      <w:rFonts w:hint="eastAsia" w:ascii="Times New Roman" w:hAnsi="Times New Roman" w:eastAsia="宋体" w:cs="宋体"/>
                      <w:b w:val="0"/>
                      <w:bCs/>
                      <w:color w:val="000000"/>
                      <w:sz w:val="21"/>
                      <w:szCs w:val="21"/>
                      <w:bdr w:val="none" w:color="auto" w:sz="0" w:space="0"/>
                    </w:rPr>
                    <w:t>万</w:t>
                  </w:r>
                  <w:r>
                    <w:rPr>
                      <w:rFonts w:hint="default" w:ascii="Times New Roman" w:hAnsi="Times New Roman" w:cs="Times New Roman"/>
                      <w:b w:val="0"/>
                      <w:bCs/>
                      <w:color w:val="000000"/>
                      <w:szCs w:val="21"/>
                      <w:bdr w:val="none" w:color="auto" w:sz="0" w:space="0"/>
                      <w:lang w:val="en-US"/>
                    </w:rPr>
                    <w:t>m</w:t>
                  </w:r>
                  <w:r>
                    <w:rPr>
                      <w:rFonts w:hint="default" w:ascii="Times New Roman" w:hAnsi="Times New Roman" w:cs="Times New Roman"/>
                      <w:b w:val="0"/>
                      <w:bCs/>
                      <w:color w:val="000000"/>
                      <w:szCs w:val="21"/>
                      <w:bdr w:val="none" w:color="auto" w:sz="0" w:space="0"/>
                      <w:vertAlign w:val="superscript"/>
                      <w:lang w:val="en-US"/>
                    </w:rPr>
                    <w:t>2</w:t>
                  </w:r>
                </w:p>
              </w:tc>
              <w:tc>
                <w:tcPr>
                  <w:tcW w:w="1105" w:type="dxa"/>
                  <w:tcBorders>
                    <w:top w:val="single" w:color="auto" w:sz="8" w:space="0"/>
                    <w:left w:val="single" w:color="auto" w:sz="8" w:space="0"/>
                    <w:bottom w:val="single" w:color="auto" w:sz="8" w:space="0"/>
                    <w:right w:val="single" w:color="auto" w:sz="8" w:space="0"/>
                  </w:tcBorders>
                  <w:shd w:val="clear"/>
                  <w:vAlign w:val="center"/>
                </w:tcPr>
                <w:p w14:paraId="04B9EFB0">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+0.9</w:t>
                  </w:r>
                  <w:r>
                    <w:rPr>
                      <w:rFonts w:hint="eastAsia" w:ascii="Times New Roman" w:hAnsi="Times New Roman" w:eastAsia="宋体" w:cs="宋体"/>
                      <w:color w:val="000000"/>
                      <w:kern w:val="2"/>
                      <w:sz w:val="21"/>
                      <w:szCs w:val="21"/>
                      <w:bdr w:val="none" w:color="auto" w:sz="0" w:space="0"/>
                      <w:lang w:val="en-US" w:eastAsia="zh-CN" w:bidi="ar"/>
                    </w:rPr>
                    <w:t>万</w:t>
                  </w:r>
                  <w:r>
                    <w:rPr>
                      <w:rFonts w:hint="default" w:ascii="Times New Roman" w:hAnsi="Times New Roman" w:eastAsia="宋体" w:cs="Times New Roman"/>
                      <w:color w:val="000000"/>
                      <w:kern w:val="2"/>
                      <w:sz w:val="21"/>
                      <w:szCs w:val="21"/>
                      <w:bdr w:val="none" w:color="auto" w:sz="0" w:space="0"/>
                      <w:lang w:val="en-US" w:eastAsia="zh-CN" w:bidi="ar"/>
                    </w:rPr>
                    <w:t>m</w:t>
                  </w:r>
                  <w:r>
                    <w:rPr>
                      <w:rFonts w:hint="default" w:ascii="Times New Roman" w:hAnsi="Times New Roman" w:eastAsia="宋体" w:cs="Times New Roman"/>
                      <w:color w:val="000000"/>
                      <w:kern w:val="2"/>
                      <w:sz w:val="21"/>
                      <w:szCs w:val="21"/>
                      <w:bdr w:val="none" w:color="auto" w:sz="0" w:space="0"/>
                      <w:vertAlign w:val="superscript"/>
                      <w:lang w:val="en-US" w:eastAsia="zh-CN" w:bidi="ar"/>
                    </w:rPr>
                    <w:t>2</w:t>
                  </w:r>
                </w:p>
              </w:tc>
              <w:tc>
                <w:tcPr>
                  <w:tcW w:w="1105" w:type="dxa"/>
                  <w:tcBorders>
                    <w:top w:val="single" w:color="auto" w:sz="8" w:space="0"/>
                    <w:left w:val="single" w:color="auto" w:sz="8" w:space="0"/>
                    <w:bottom w:val="single" w:color="auto" w:sz="8" w:space="0"/>
                    <w:right w:val="single" w:color="auto" w:sz="8" w:space="0"/>
                  </w:tcBorders>
                  <w:shd w:val="clear"/>
                  <w:vAlign w:val="center"/>
                </w:tcPr>
                <w:p w14:paraId="0BB7326A">
                  <w:pPr>
                    <w:keepNext w:val="0"/>
                    <w:keepLines w:val="0"/>
                    <w:widowControl w:val="0"/>
                    <w:suppressLineNumbers w:val="0"/>
                    <w:spacing w:before="0" w:beforeAutospacing="0" w:after="0" w:afterAutospacing="0"/>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原材料库房</w:t>
                  </w:r>
                </w:p>
              </w:tc>
              <w:tc>
                <w:tcPr>
                  <w:tcW w:w="886" w:type="dxa"/>
                  <w:tcBorders>
                    <w:top w:val="single" w:color="auto" w:sz="8" w:space="0"/>
                    <w:left w:val="single" w:color="auto" w:sz="8" w:space="0"/>
                    <w:bottom w:val="single" w:color="auto" w:sz="8" w:space="0"/>
                    <w:right w:val="nil"/>
                  </w:tcBorders>
                  <w:shd w:val="clear"/>
                  <w:vAlign w:val="center"/>
                </w:tcPr>
                <w:p w14:paraId="358D3722">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1000m</w:t>
                  </w:r>
                  <w:r>
                    <w:rPr>
                      <w:rFonts w:hint="default" w:ascii="Times New Roman" w:hAnsi="Times New Roman" w:eastAsia="宋体" w:cs="Times New Roman"/>
                      <w:color w:val="000000"/>
                      <w:kern w:val="2"/>
                      <w:sz w:val="21"/>
                      <w:szCs w:val="21"/>
                      <w:bdr w:val="none" w:color="auto" w:sz="0" w:space="0"/>
                      <w:vertAlign w:val="superscript"/>
                      <w:lang w:val="en-US" w:eastAsia="zh-CN" w:bidi="ar"/>
                    </w:rPr>
                    <w:t>2</w:t>
                  </w:r>
                </w:p>
              </w:tc>
            </w:tr>
            <w:tr w14:paraId="5BD5337B">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81" w:hRule="atLeast"/>
              </w:trPr>
              <w:tc>
                <w:tcPr>
                  <w:tcW w:w="556" w:type="dxa"/>
                  <w:tcBorders>
                    <w:top w:val="single" w:color="auto" w:sz="8" w:space="0"/>
                    <w:left w:val="nil"/>
                    <w:bottom w:val="single" w:color="auto" w:sz="8" w:space="0"/>
                    <w:right w:val="single" w:color="auto" w:sz="8" w:space="0"/>
                  </w:tcBorders>
                  <w:shd w:val="clear"/>
                  <w:vAlign w:val="center"/>
                </w:tcPr>
                <w:p w14:paraId="5299C0C8">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9</w:t>
                  </w:r>
                </w:p>
              </w:tc>
              <w:tc>
                <w:tcPr>
                  <w:tcW w:w="862" w:type="dxa"/>
                  <w:tcBorders>
                    <w:top w:val="single" w:color="auto" w:sz="8" w:space="0"/>
                    <w:left w:val="single" w:color="auto" w:sz="8" w:space="0"/>
                    <w:bottom w:val="single" w:color="auto" w:sz="8" w:space="0"/>
                    <w:right w:val="single" w:color="auto" w:sz="8" w:space="0"/>
                  </w:tcBorders>
                  <w:shd w:val="clear"/>
                  <w:vAlign w:val="center"/>
                </w:tcPr>
                <w:p w14:paraId="221A6CCB">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云母板</w:t>
                  </w:r>
                </w:p>
              </w:tc>
              <w:tc>
                <w:tcPr>
                  <w:tcW w:w="1803" w:type="dxa"/>
                  <w:tcBorders>
                    <w:top w:val="single" w:color="auto" w:sz="8" w:space="0"/>
                    <w:left w:val="single" w:color="auto" w:sz="8" w:space="0"/>
                    <w:bottom w:val="single" w:color="auto" w:sz="8" w:space="0"/>
                    <w:right w:val="single" w:color="auto" w:sz="8" w:space="0"/>
                  </w:tcBorders>
                  <w:shd w:val="clear"/>
                  <w:vAlign w:val="center"/>
                </w:tcPr>
                <w:p w14:paraId="705B64D8">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长</w:t>
                  </w:r>
                  <w:r>
                    <w:rPr>
                      <w:rFonts w:hint="default" w:ascii="Times New Roman" w:hAnsi="Times New Roman" w:eastAsia="宋体" w:cs="Times New Roman"/>
                      <w:color w:val="000000"/>
                      <w:kern w:val="2"/>
                      <w:sz w:val="21"/>
                      <w:szCs w:val="21"/>
                      <w:bdr w:val="none" w:color="auto" w:sz="0" w:space="0"/>
                      <w:lang w:val="en-US" w:eastAsia="zh-CN" w:bidi="ar"/>
                    </w:rPr>
                    <w:t>*</w:t>
                  </w:r>
                  <w:r>
                    <w:rPr>
                      <w:rFonts w:hint="eastAsia" w:ascii="Times New Roman" w:hAnsi="Times New Roman" w:eastAsia="宋体" w:cs="宋体"/>
                      <w:color w:val="000000"/>
                      <w:kern w:val="2"/>
                      <w:sz w:val="21"/>
                      <w:szCs w:val="21"/>
                      <w:bdr w:val="none" w:color="auto" w:sz="0" w:space="0"/>
                      <w:lang w:val="en-US" w:eastAsia="zh-CN" w:bidi="ar"/>
                    </w:rPr>
                    <w:t>宽</w:t>
                  </w:r>
                  <w:r>
                    <w:rPr>
                      <w:rFonts w:hint="default" w:ascii="Times New Roman" w:hAnsi="Times New Roman" w:eastAsia="宋体" w:cs="Times New Roman"/>
                      <w:color w:val="000000"/>
                      <w:kern w:val="2"/>
                      <w:sz w:val="21"/>
                      <w:szCs w:val="21"/>
                      <w:bdr w:val="none" w:color="auto" w:sz="0" w:space="0"/>
                      <w:lang w:val="en-US" w:eastAsia="zh-CN" w:bidi="ar"/>
                    </w:rPr>
                    <w:t>*</w:t>
                  </w:r>
                  <w:r>
                    <w:rPr>
                      <w:rFonts w:hint="eastAsia" w:ascii="Times New Roman" w:hAnsi="Times New Roman" w:eastAsia="宋体" w:cs="宋体"/>
                      <w:color w:val="000000"/>
                      <w:kern w:val="2"/>
                      <w:sz w:val="21"/>
                      <w:szCs w:val="21"/>
                      <w:bdr w:val="none" w:color="auto" w:sz="0" w:space="0"/>
                      <w:lang w:val="en-US" w:eastAsia="zh-CN" w:bidi="ar"/>
                    </w:rPr>
                    <w:t>厚</w:t>
                  </w:r>
                  <w:r>
                    <w:rPr>
                      <w:rFonts w:hint="default" w:ascii="Times New Roman" w:hAnsi="Times New Roman" w:eastAsia="宋体" w:cs="Times New Roman"/>
                      <w:color w:val="000000"/>
                      <w:kern w:val="2"/>
                      <w:sz w:val="21"/>
                      <w:szCs w:val="21"/>
                      <w:bdr w:val="none" w:color="auto" w:sz="0" w:space="0"/>
                      <w:lang w:val="en-US" w:eastAsia="zh-CN" w:bidi="ar"/>
                    </w:rPr>
                    <w:t>=2m*1m*0.002m</w:t>
                  </w:r>
                  <w:r>
                    <w:rPr>
                      <w:rFonts w:hint="eastAsia" w:ascii="Times New Roman" w:hAnsi="Times New Roman" w:eastAsia="宋体" w:cs="宋体"/>
                      <w:color w:val="000000"/>
                      <w:kern w:val="2"/>
                      <w:sz w:val="21"/>
                      <w:szCs w:val="21"/>
                      <w:bdr w:val="none" w:color="auto" w:sz="0" w:space="0"/>
                      <w:lang w:val="en-US" w:eastAsia="zh-CN" w:bidi="ar"/>
                    </w:rPr>
                    <w:t>，</w:t>
                  </w:r>
                  <w:r>
                    <w:rPr>
                      <w:rFonts w:hint="default" w:ascii="Times New Roman" w:hAnsi="Times New Roman" w:eastAsia="宋体" w:cs="Times New Roman"/>
                      <w:color w:val="000000"/>
                      <w:kern w:val="2"/>
                      <w:sz w:val="21"/>
                      <w:szCs w:val="21"/>
                      <w:bdr w:val="none" w:color="auto" w:sz="0" w:space="0"/>
                      <w:lang w:val="en-US" w:eastAsia="zh-CN" w:bidi="ar"/>
                    </w:rPr>
                    <w:t>1</w:t>
                  </w:r>
                  <w:r>
                    <w:rPr>
                      <w:rFonts w:hint="eastAsia" w:ascii="Times New Roman" w:hAnsi="Times New Roman" w:eastAsia="宋体" w:cs="宋体"/>
                      <w:color w:val="000000"/>
                      <w:kern w:val="2"/>
                      <w:sz w:val="21"/>
                      <w:szCs w:val="21"/>
                      <w:bdr w:val="none" w:color="auto" w:sz="0" w:space="0"/>
                      <w:lang w:val="en-US" w:eastAsia="zh-CN" w:bidi="ar"/>
                    </w:rPr>
                    <w:t>片约重</w:t>
                  </w:r>
                  <w:r>
                    <w:rPr>
                      <w:rFonts w:hint="default" w:ascii="Times New Roman" w:hAnsi="Times New Roman" w:eastAsia="宋体" w:cs="Times New Roman"/>
                      <w:color w:val="000000"/>
                      <w:kern w:val="2"/>
                      <w:sz w:val="21"/>
                      <w:szCs w:val="21"/>
                      <w:bdr w:val="none" w:color="auto" w:sz="0" w:space="0"/>
                      <w:lang w:val="en-US" w:eastAsia="zh-CN" w:bidi="ar"/>
                    </w:rPr>
                    <w:t>5kg</w:t>
                  </w:r>
                </w:p>
              </w:tc>
              <w:tc>
                <w:tcPr>
                  <w:tcW w:w="1008" w:type="dxa"/>
                  <w:tcBorders>
                    <w:top w:val="single" w:color="auto" w:sz="8" w:space="0"/>
                    <w:left w:val="single" w:color="auto" w:sz="8" w:space="0"/>
                    <w:bottom w:val="single" w:color="auto" w:sz="8" w:space="0"/>
                    <w:right w:val="single" w:color="auto" w:sz="8" w:space="0"/>
                  </w:tcBorders>
                  <w:shd w:val="clear"/>
                  <w:vAlign w:val="center"/>
                </w:tcPr>
                <w:p w14:paraId="2FDEBD40">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1.2</w:t>
                  </w:r>
                  <w:r>
                    <w:rPr>
                      <w:rFonts w:hint="eastAsia" w:ascii="Times New Roman" w:hAnsi="Times New Roman" w:eastAsia="宋体" w:cs="宋体"/>
                      <w:color w:val="000000"/>
                      <w:kern w:val="2"/>
                      <w:sz w:val="21"/>
                      <w:szCs w:val="21"/>
                      <w:bdr w:val="none" w:color="auto" w:sz="0" w:space="0"/>
                      <w:lang w:val="en-US" w:eastAsia="zh-CN" w:bidi="ar"/>
                    </w:rPr>
                    <w:t>万片</w:t>
                  </w:r>
                </w:p>
              </w:tc>
              <w:tc>
                <w:tcPr>
                  <w:tcW w:w="1060" w:type="dxa"/>
                  <w:tcBorders>
                    <w:top w:val="single" w:color="auto" w:sz="8" w:space="0"/>
                    <w:left w:val="single" w:color="auto" w:sz="8" w:space="0"/>
                    <w:bottom w:val="single" w:color="auto" w:sz="8" w:space="0"/>
                    <w:right w:val="single" w:color="auto" w:sz="8" w:space="0"/>
                  </w:tcBorders>
                  <w:shd w:val="clear"/>
                  <w:vAlign w:val="center"/>
                </w:tcPr>
                <w:p w14:paraId="3FDBEADC">
                  <w:pPr>
                    <w:pStyle w:val="73"/>
                    <w:widowControl/>
                    <w:spacing w:line="300" w:lineRule="exact"/>
                    <w:ind w:left="0" w:firstLine="0" w:firstLineChars="0"/>
                    <w:jc w:val="center"/>
                    <w:rPr>
                      <w:rFonts w:hint="default" w:ascii="Times New Roman" w:hAnsi="Times New Roman" w:cs="Times New Roman"/>
                      <w:b w:val="0"/>
                      <w:bCs/>
                      <w:color w:val="000000"/>
                      <w:sz w:val="21"/>
                      <w:szCs w:val="21"/>
                      <w:bdr w:val="none" w:color="auto" w:sz="0" w:space="0"/>
                      <w:lang w:val="en-US"/>
                    </w:rPr>
                  </w:pPr>
                  <w:r>
                    <w:rPr>
                      <w:rFonts w:hint="default" w:ascii="Times New Roman" w:hAnsi="Times New Roman" w:cs="Times New Roman"/>
                      <w:b w:val="0"/>
                      <w:bCs/>
                      <w:color w:val="000000"/>
                      <w:sz w:val="21"/>
                      <w:szCs w:val="21"/>
                      <w:bdr w:val="none" w:color="auto" w:sz="0" w:space="0"/>
                      <w:lang w:val="en-US"/>
                    </w:rPr>
                    <w:t>2</w:t>
                  </w:r>
                  <w:r>
                    <w:rPr>
                      <w:rFonts w:hint="eastAsia" w:ascii="Times New Roman" w:hAnsi="Times New Roman" w:eastAsia="宋体" w:cs="宋体"/>
                      <w:b w:val="0"/>
                      <w:bCs/>
                      <w:color w:val="000000"/>
                      <w:sz w:val="21"/>
                      <w:szCs w:val="21"/>
                      <w:bdr w:val="none" w:color="auto" w:sz="0" w:space="0"/>
                    </w:rPr>
                    <w:t>万片</w:t>
                  </w:r>
                </w:p>
              </w:tc>
              <w:tc>
                <w:tcPr>
                  <w:tcW w:w="1105" w:type="dxa"/>
                  <w:tcBorders>
                    <w:top w:val="single" w:color="auto" w:sz="8" w:space="0"/>
                    <w:left w:val="single" w:color="auto" w:sz="8" w:space="0"/>
                    <w:bottom w:val="single" w:color="auto" w:sz="8" w:space="0"/>
                    <w:right w:val="single" w:color="auto" w:sz="8" w:space="0"/>
                  </w:tcBorders>
                  <w:shd w:val="clear"/>
                  <w:vAlign w:val="center"/>
                </w:tcPr>
                <w:p w14:paraId="509C34B4">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+0.8</w:t>
                  </w:r>
                  <w:r>
                    <w:rPr>
                      <w:rFonts w:hint="eastAsia" w:ascii="Times New Roman" w:hAnsi="Times New Roman" w:eastAsia="宋体" w:cs="宋体"/>
                      <w:color w:val="000000"/>
                      <w:kern w:val="2"/>
                      <w:sz w:val="21"/>
                      <w:szCs w:val="21"/>
                      <w:bdr w:val="none" w:color="auto" w:sz="0" w:space="0"/>
                      <w:lang w:val="en-US" w:eastAsia="zh-CN" w:bidi="ar"/>
                    </w:rPr>
                    <w:t>万片</w:t>
                  </w:r>
                </w:p>
              </w:tc>
              <w:tc>
                <w:tcPr>
                  <w:tcW w:w="1105" w:type="dxa"/>
                  <w:tcBorders>
                    <w:top w:val="single" w:color="auto" w:sz="8" w:space="0"/>
                    <w:left w:val="single" w:color="auto" w:sz="8" w:space="0"/>
                    <w:bottom w:val="single" w:color="auto" w:sz="8" w:space="0"/>
                    <w:right w:val="single" w:color="auto" w:sz="8" w:space="0"/>
                  </w:tcBorders>
                  <w:shd w:val="clear"/>
                  <w:vAlign w:val="center"/>
                </w:tcPr>
                <w:p w14:paraId="6733EFDE">
                  <w:pPr>
                    <w:keepNext w:val="0"/>
                    <w:keepLines w:val="0"/>
                    <w:widowControl w:val="0"/>
                    <w:suppressLineNumbers w:val="0"/>
                    <w:spacing w:before="0" w:beforeAutospacing="0" w:after="0" w:afterAutospacing="0"/>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原材料库房</w:t>
                  </w:r>
                </w:p>
              </w:tc>
              <w:tc>
                <w:tcPr>
                  <w:tcW w:w="886" w:type="dxa"/>
                  <w:tcBorders>
                    <w:top w:val="single" w:color="auto" w:sz="8" w:space="0"/>
                    <w:left w:val="single" w:color="auto" w:sz="8" w:space="0"/>
                    <w:bottom w:val="single" w:color="auto" w:sz="8" w:space="0"/>
                    <w:right w:val="nil"/>
                  </w:tcBorders>
                  <w:shd w:val="clear"/>
                  <w:vAlign w:val="center"/>
                </w:tcPr>
                <w:p w14:paraId="28CD3D76">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2000</w:t>
                  </w:r>
                  <w:r>
                    <w:rPr>
                      <w:rFonts w:hint="eastAsia" w:ascii="Times New Roman" w:hAnsi="Times New Roman" w:eastAsia="宋体" w:cs="宋体"/>
                      <w:color w:val="000000"/>
                      <w:kern w:val="2"/>
                      <w:sz w:val="21"/>
                      <w:szCs w:val="21"/>
                      <w:bdr w:val="none" w:color="auto" w:sz="0" w:space="0"/>
                      <w:lang w:val="en-US" w:eastAsia="zh-CN" w:bidi="ar"/>
                    </w:rPr>
                    <w:t>片</w:t>
                  </w:r>
                </w:p>
              </w:tc>
            </w:tr>
            <w:tr w14:paraId="46DF53F2">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81" w:hRule="atLeast"/>
              </w:trPr>
              <w:tc>
                <w:tcPr>
                  <w:tcW w:w="556" w:type="dxa"/>
                  <w:tcBorders>
                    <w:top w:val="single" w:color="auto" w:sz="8" w:space="0"/>
                    <w:left w:val="nil"/>
                    <w:bottom w:val="single" w:color="auto" w:sz="8" w:space="0"/>
                    <w:right w:val="single" w:color="auto" w:sz="8" w:space="0"/>
                  </w:tcBorders>
                  <w:shd w:val="clear"/>
                  <w:vAlign w:val="center"/>
                </w:tcPr>
                <w:p w14:paraId="14E7BABE">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10</w:t>
                  </w:r>
                </w:p>
              </w:tc>
              <w:tc>
                <w:tcPr>
                  <w:tcW w:w="862" w:type="dxa"/>
                  <w:tcBorders>
                    <w:top w:val="single" w:color="auto" w:sz="8" w:space="0"/>
                    <w:left w:val="single" w:color="auto" w:sz="8" w:space="0"/>
                    <w:bottom w:val="single" w:color="auto" w:sz="8" w:space="0"/>
                    <w:right w:val="single" w:color="auto" w:sz="8" w:space="0"/>
                  </w:tcBorders>
                  <w:shd w:val="clear"/>
                  <w:vAlign w:val="center"/>
                </w:tcPr>
                <w:p w14:paraId="1541198D">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缠绕膜</w:t>
                  </w:r>
                </w:p>
              </w:tc>
              <w:tc>
                <w:tcPr>
                  <w:tcW w:w="1803" w:type="dxa"/>
                  <w:tcBorders>
                    <w:top w:val="single" w:color="auto" w:sz="8" w:space="0"/>
                    <w:left w:val="single" w:color="auto" w:sz="8" w:space="0"/>
                    <w:bottom w:val="single" w:color="auto" w:sz="8" w:space="0"/>
                    <w:right w:val="single" w:color="auto" w:sz="8" w:space="0"/>
                  </w:tcBorders>
                  <w:shd w:val="clear"/>
                  <w:vAlign w:val="center"/>
                </w:tcPr>
                <w:p w14:paraId="48726F69">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w:t>
                  </w:r>
                </w:p>
              </w:tc>
              <w:tc>
                <w:tcPr>
                  <w:tcW w:w="1008" w:type="dxa"/>
                  <w:tcBorders>
                    <w:top w:val="single" w:color="auto" w:sz="8" w:space="0"/>
                    <w:left w:val="single" w:color="auto" w:sz="8" w:space="0"/>
                    <w:bottom w:val="single" w:color="auto" w:sz="8" w:space="0"/>
                    <w:right w:val="single" w:color="auto" w:sz="8" w:space="0"/>
                  </w:tcBorders>
                  <w:shd w:val="clear"/>
                  <w:vAlign w:val="center"/>
                </w:tcPr>
                <w:p w14:paraId="0BC8AC7B">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120</w:t>
                  </w:r>
                  <w:r>
                    <w:rPr>
                      <w:rFonts w:hint="eastAsia" w:ascii="Times New Roman" w:hAnsi="Times New Roman" w:eastAsia="宋体" w:cs="宋体"/>
                      <w:color w:val="000000"/>
                      <w:kern w:val="2"/>
                      <w:sz w:val="21"/>
                      <w:szCs w:val="21"/>
                      <w:bdr w:val="none" w:color="auto" w:sz="0" w:space="0"/>
                      <w:lang w:val="en-US" w:eastAsia="zh-CN" w:bidi="ar"/>
                    </w:rPr>
                    <w:t>卷</w:t>
                  </w:r>
                </w:p>
              </w:tc>
              <w:tc>
                <w:tcPr>
                  <w:tcW w:w="1060" w:type="dxa"/>
                  <w:tcBorders>
                    <w:top w:val="single" w:color="auto" w:sz="8" w:space="0"/>
                    <w:left w:val="single" w:color="auto" w:sz="8" w:space="0"/>
                    <w:bottom w:val="single" w:color="auto" w:sz="8" w:space="0"/>
                    <w:right w:val="single" w:color="auto" w:sz="8" w:space="0"/>
                  </w:tcBorders>
                  <w:shd w:val="clear"/>
                  <w:vAlign w:val="center"/>
                </w:tcPr>
                <w:p w14:paraId="1F70D659">
                  <w:pPr>
                    <w:pStyle w:val="73"/>
                    <w:widowControl/>
                    <w:spacing w:line="300" w:lineRule="exact"/>
                    <w:ind w:left="0" w:firstLine="0" w:firstLineChars="0"/>
                    <w:jc w:val="center"/>
                    <w:rPr>
                      <w:rFonts w:hint="default" w:ascii="Times New Roman" w:hAnsi="Times New Roman" w:cs="Times New Roman"/>
                      <w:b w:val="0"/>
                      <w:bCs/>
                      <w:color w:val="000000"/>
                      <w:sz w:val="21"/>
                      <w:szCs w:val="21"/>
                      <w:bdr w:val="none" w:color="auto" w:sz="0" w:space="0"/>
                      <w:lang w:val="en-US"/>
                    </w:rPr>
                  </w:pPr>
                  <w:r>
                    <w:rPr>
                      <w:rFonts w:hint="default" w:ascii="Times New Roman" w:hAnsi="Times New Roman" w:cs="Times New Roman"/>
                      <w:b w:val="0"/>
                      <w:bCs/>
                      <w:color w:val="000000"/>
                      <w:sz w:val="21"/>
                      <w:szCs w:val="21"/>
                      <w:bdr w:val="none" w:color="auto" w:sz="0" w:space="0"/>
                      <w:lang w:val="en-US"/>
                    </w:rPr>
                    <w:t>240</w:t>
                  </w:r>
                  <w:r>
                    <w:rPr>
                      <w:rFonts w:hint="eastAsia" w:ascii="Times New Roman" w:hAnsi="Times New Roman" w:eastAsia="宋体" w:cs="宋体"/>
                      <w:b w:val="0"/>
                      <w:bCs/>
                      <w:color w:val="000000"/>
                      <w:sz w:val="21"/>
                      <w:szCs w:val="21"/>
                      <w:bdr w:val="none" w:color="auto" w:sz="0" w:space="0"/>
                    </w:rPr>
                    <w:t>卷</w:t>
                  </w:r>
                </w:p>
              </w:tc>
              <w:tc>
                <w:tcPr>
                  <w:tcW w:w="1105" w:type="dxa"/>
                  <w:tcBorders>
                    <w:top w:val="single" w:color="auto" w:sz="8" w:space="0"/>
                    <w:left w:val="single" w:color="auto" w:sz="8" w:space="0"/>
                    <w:bottom w:val="single" w:color="auto" w:sz="8" w:space="0"/>
                    <w:right w:val="single" w:color="auto" w:sz="8" w:space="0"/>
                  </w:tcBorders>
                  <w:shd w:val="clear"/>
                  <w:vAlign w:val="center"/>
                </w:tcPr>
                <w:p w14:paraId="4C05F3D7">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+120</w:t>
                  </w:r>
                  <w:r>
                    <w:rPr>
                      <w:rFonts w:hint="eastAsia" w:ascii="Times New Roman" w:hAnsi="Times New Roman" w:eastAsia="宋体" w:cs="宋体"/>
                      <w:color w:val="000000"/>
                      <w:kern w:val="2"/>
                      <w:sz w:val="21"/>
                      <w:szCs w:val="21"/>
                      <w:bdr w:val="none" w:color="auto" w:sz="0" w:space="0"/>
                      <w:lang w:val="en-US" w:eastAsia="zh-CN" w:bidi="ar"/>
                    </w:rPr>
                    <w:t>卷</w:t>
                  </w:r>
                </w:p>
              </w:tc>
              <w:tc>
                <w:tcPr>
                  <w:tcW w:w="1105" w:type="dxa"/>
                  <w:tcBorders>
                    <w:top w:val="single" w:color="auto" w:sz="8" w:space="0"/>
                    <w:left w:val="single" w:color="auto" w:sz="8" w:space="0"/>
                    <w:bottom w:val="single" w:color="auto" w:sz="8" w:space="0"/>
                    <w:right w:val="single" w:color="auto" w:sz="8" w:space="0"/>
                  </w:tcBorders>
                  <w:shd w:val="clear"/>
                  <w:vAlign w:val="center"/>
                </w:tcPr>
                <w:p w14:paraId="7C8885D0">
                  <w:pPr>
                    <w:keepNext w:val="0"/>
                    <w:keepLines w:val="0"/>
                    <w:widowControl w:val="0"/>
                    <w:suppressLineNumbers w:val="0"/>
                    <w:spacing w:before="0" w:beforeAutospacing="0" w:after="0" w:afterAutospacing="0"/>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原材料库房</w:t>
                  </w:r>
                </w:p>
              </w:tc>
              <w:tc>
                <w:tcPr>
                  <w:tcW w:w="886" w:type="dxa"/>
                  <w:tcBorders>
                    <w:top w:val="single" w:color="auto" w:sz="8" w:space="0"/>
                    <w:left w:val="single" w:color="auto" w:sz="8" w:space="0"/>
                    <w:bottom w:val="single" w:color="auto" w:sz="8" w:space="0"/>
                    <w:right w:val="nil"/>
                  </w:tcBorders>
                  <w:shd w:val="clear"/>
                  <w:vAlign w:val="center"/>
                </w:tcPr>
                <w:p w14:paraId="11E32ECE">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40</w:t>
                  </w:r>
                  <w:r>
                    <w:rPr>
                      <w:rFonts w:hint="eastAsia" w:ascii="Times New Roman" w:hAnsi="Times New Roman" w:eastAsia="宋体" w:cs="宋体"/>
                      <w:color w:val="000000"/>
                      <w:kern w:val="2"/>
                      <w:sz w:val="21"/>
                      <w:szCs w:val="21"/>
                      <w:bdr w:val="none" w:color="auto" w:sz="0" w:space="0"/>
                      <w:lang w:val="en-US" w:eastAsia="zh-CN" w:bidi="ar"/>
                    </w:rPr>
                    <w:t>卷</w:t>
                  </w:r>
                </w:p>
              </w:tc>
            </w:tr>
            <w:tr w14:paraId="6A972E73">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81" w:hRule="atLeast"/>
              </w:trPr>
              <w:tc>
                <w:tcPr>
                  <w:tcW w:w="556" w:type="dxa"/>
                  <w:tcBorders>
                    <w:top w:val="single" w:color="auto" w:sz="8" w:space="0"/>
                    <w:left w:val="nil"/>
                    <w:bottom w:val="single" w:color="auto" w:sz="8" w:space="0"/>
                    <w:right w:val="single" w:color="auto" w:sz="8" w:space="0"/>
                  </w:tcBorders>
                  <w:shd w:val="clear"/>
                  <w:vAlign w:val="center"/>
                </w:tcPr>
                <w:p w14:paraId="35B16A67">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11</w:t>
                  </w:r>
                </w:p>
              </w:tc>
              <w:tc>
                <w:tcPr>
                  <w:tcW w:w="862" w:type="dxa"/>
                  <w:tcBorders>
                    <w:top w:val="single" w:color="auto" w:sz="8" w:space="0"/>
                    <w:left w:val="single" w:color="auto" w:sz="8" w:space="0"/>
                    <w:bottom w:val="single" w:color="auto" w:sz="8" w:space="0"/>
                    <w:right w:val="single" w:color="auto" w:sz="8" w:space="0"/>
                  </w:tcBorders>
                  <w:shd w:val="clear"/>
                  <w:vAlign w:val="center"/>
                </w:tcPr>
                <w:p w14:paraId="0FE54950">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包装纸箱</w:t>
                  </w:r>
                </w:p>
              </w:tc>
              <w:tc>
                <w:tcPr>
                  <w:tcW w:w="1803" w:type="dxa"/>
                  <w:tcBorders>
                    <w:top w:val="single" w:color="auto" w:sz="8" w:space="0"/>
                    <w:left w:val="single" w:color="auto" w:sz="8" w:space="0"/>
                    <w:bottom w:val="single" w:color="auto" w:sz="8" w:space="0"/>
                    <w:right w:val="single" w:color="auto" w:sz="8" w:space="0"/>
                  </w:tcBorders>
                  <w:shd w:val="clear"/>
                  <w:vAlign w:val="center"/>
                </w:tcPr>
                <w:p w14:paraId="675354CC">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w:t>
                  </w:r>
                </w:p>
              </w:tc>
              <w:tc>
                <w:tcPr>
                  <w:tcW w:w="1008" w:type="dxa"/>
                  <w:tcBorders>
                    <w:top w:val="single" w:color="auto" w:sz="8" w:space="0"/>
                    <w:left w:val="single" w:color="auto" w:sz="8" w:space="0"/>
                    <w:bottom w:val="single" w:color="auto" w:sz="8" w:space="0"/>
                    <w:right w:val="single" w:color="auto" w:sz="8" w:space="0"/>
                  </w:tcBorders>
                  <w:shd w:val="clear"/>
                  <w:vAlign w:val="center"/>
                </w:tcPr>
                <w:p w14:paraId="66151900">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1000</w:t>
                  </w:r>
                  <w:r>
                    <w:rPr>
                      <w:rFonts w:hint="eastAsia" w:ascii="Times New Roman" w:hAnsi="Times New Roman" w:eastAsia="宋体" w:cs="宋体"/>
                      <w:color w:val="000000"/>
                      <w:kern w:val="2"/>
                      <w:sz w:val="21"/>
                      <w:szCs w:val="21"/>
                      <w:bdr w:val="none" w:color="auto" w:sz="0" w:space="0"/>
                      <w:lang w:val="en-US" w:eastAsia="zh-CN" w:bidi="ar"/>
                    </w:rPr>
                    <w:t>个</w:t>
                  </w:r>
                </w:p>
              </w:tc>
              <w:tc>
                <w:tcPr>
                  <w:tcW w:w="1060" w:type="dxa"/>
                  <w:tcBorders>
                    <w:top w:val="single" w:color="auto" w:sz="8" w:space="0"/>
                    <w:left w:val="single" w:color="auto" w:sz="8" w:space="0"/>
                    <w:bottom w:val="single" w:color="auto" w:sz="8" w:space="0"/>
                    <w:right w:val="single" w:color="auto" w:sz="8" w:space="0"/>
                  </w:tcBorders>
                  <w:shd w:val="clear"/>
                  <w:vAlign w:val="center"/>
                </w:tcPr>
                <w:p w14:paraId="12F4B8DA">
                  <w:pPr>
                    <w:pStyle w:val="73"/>
                    <w:widowControl/>
                    <w:spacing w:line="300" w:lineRule="exact"/>
                    <w:ind w:left="0" w:firstLine="0" w:firstLineChars="0"/>
                    <w:jc w:val="center"/>
                    <w:rPr>
                      <w:rFonts w:hint="default" w:ascii="Times New Roman" w:hAnsi="Times New Roman" w:cs="Times New Roman"/>
                      <w:b w:val="0"/>
                      <w:bCs/>
                      <w:color w:val="000000"/>
                      <w:sz w:val="21"/>
                      <w:szCs w:val="21"/>
                      <w:bdr w:val="none" w:color="auto" w:sz="0" w:space="0"/>
                      <w:lang w:val="en-US"/>
                    </w:rPr>
                  </w:pPr>
                  <w:r>
                    <w:rPr>
                      <w:rFonts w:hint="default" w:ascii="Times New Roman" w:hAnsi="Times New Roman" w:cs="Times New Roman"/>
                      <w:b w:val="0"/>
                      <w:bCs/>
                      <w:color w:val="000000"/>
                      <w:sz w:val="21"/>
                      <w:szCs w:val="21"/>
                      <w:bdr w:val="none" w:color="auto" w:sz="0" w:space="0"/>
                      <w:lang w:val="en-US"/>
                    </w:rPr>
                    <w:t>5000</w:t>
                  </w:r>
                  <w:r>
                    <w:rPr>
                      <w:rFonts w:hint="eastAsia" w:ascii="Times New Roman" w:hAnsi="Times New Roman" w:eastAsia="宋体" w:cs="宋体"/>
                      <w:b w:val="0"/>
                      <w:bCs/>
                      <w:color w:val="000000"/>
                      <w:sz w:val="21"/>
                      <w:szCs w:val="21"/>
                      <w:bdr w:val="none" w:color="auto" w:sz="0" w:space="0"/>
                    </w:rPr>
                    <w:t>个</w:t>
                  </w:r>
                </w:p>
              </w:tc>
              <w:tc>
                <w:tcPr>
                  <w:tcW w:w="1105" w:type="dxa"/>
                  <w:tcBorders>
                    <w:top w:val="single" w:color="auto" w:sz="8" w:space="0"/>
                    <w:left w:val="single" w:color="auto" w:sz="8" w:space="0"/>
                    <w:bottom w:val="single" w:color="auto" w:sz="8" w:space="0"/>
                    <w:right w:val="single" w:color="auto" w:sz="8" w:space="0"/>
                  </w:tcBorders>
                  <w:shd w:val="clear"/>
                  <w:vAlign w:val="center"/>
                </w:tcPr>
                <w:p w14:paraId="16D06D8D">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+4000</w:t>
                  </w:r>
                  <w:r>
                    <w:rPr>
                      <w:rFonts w:hint="eastAsia" w:ascii="Times New Roman" w:hAnsi="Times New Roman" w:eastAsia="宋体" w:cs="宋体"/>
                      <w:color w:val="000000"/>
                      <w:kern w:val="2"/>
                      <w:sz w:val="21"/>
                      <w:szCs w:val="21"/>
                      <w:bdr w:val="none" w:color="auto" w:sz="0" w:space="0"/>
                      <w:lang w:val="en-US" w:eastAsia="zh-CN" w:bidi="ar"/>
                    </w:rPr>
                    <w:t>个</w:t>
                  </w:r>
                </w:p>
              </w:tc>
              <w:tc>
                <w:tcPr>
                  <w:tcW w:w="1105" w:type="dxa"/>
                  <w:tcBorders>
                    <w:top w:val="single" w:color="auto" w:sz="8" w:space="0"/>
                    <w:left w:val="single" w:color="auto" w:sz="8" w:space="0"/>
                    <w:bottom w:val="single" w:color="auto" w:sz="8" w:space="0"/>
                    <w:right w:val="single" w:color="auto" w:sz="8" w:space="0"/>
                  </w:tcBorders>
                  <w:shd w:val="clear"/>
                  <w:vAlign w:val="center"/>
                </w:tcPr>
                <w:p w14:paraId="6526105B">
                  <w:pPr>
                    <w:keepNext w:val="0"/>
                    <w:keepLines w:val="0"/>
                    <w:widowControl w:val="0"/>
                    <w:suppressLineNumbers w:val="0"/>
                    <w:spacing w:before="0" w:beforeAutospacing="0" w:after="0" w:afterAutospacing="0"/>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原材料库房</w:t>
                  </w:r>
                </w:p>
              </w:tc>
              <w:tc>
                <w:tcPr>
                  <w:tcW w:w="886" w:type="dxa"/>
                  <w:tcBorders>
                    <w:top w:val="single" w:color="auto" w:sz="8" w:space="0"/>
                    <w:left w:val="single" w:color="auto" w:sz="8" w:space="0"/>
                    <w:bottom w:val="single" w:color="auto" w:sz="8" w:space="0"/>
                    <w:right w:val="nil"/>
                  </w:tcBorders>
                  <w:shd w:val="clear"/>
                  <w:vAlign w:val="center"/>
                </w:tcPr>
                <w:p w14:paraId="7CA80753">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300</w:t>
                  </w:r>
                  <w:r>
                    <w:rPr>
                      <w:rFonts w:hint="eastAsia" w:ascii="Times New Roman" w:hAnsi="Times New Roman" w:eastAsia="宋体" w:cs="宋体"/>
                      <w:color w:val="000000"/>
                      <w:kern w:val="2"/>
                      <w:sz w:val="21"/>
                      <w:szCs w:val="21"/>
                      <w:bdr w:val="none" w:color="auto" w:sz="0" w:space="0"/>
                      <w:lang w:val="en-US" w:eastAsia="zh-CN" w:bidi="ar"/>
                    </w:rPr>
                    <w:t>个</w:t>
                  </w:r>
                </w:p>
              </w:tc>
            </w:tr>
            <w:tr w14:paraId="686BA495">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81" w:hRule="atLeast"/>
              </w:trPr>
              <w:tc>
                <w:tcPr>
                  <w:tcW w:w="556" w:type="dxa"/>
                  <w:tcBorders>
                    <w:top w:val="single" w:color="auto" w:sz="8" w:space="0"/>
                    <w:left w:val="nil"/>
                    <w:bottom w:val="single" w:color="auto" w:sz="12" w:space="0"/>
                    <w:right w:val="single" w:color="auto" w:sz="8" w:space="0"/>
                  </w:tcBorders>
                  <w:shd w:val="clear"/>
                  <w:vAlign w:val="center"/>
                </w:tcPr>
                <w:p w14:paraId="4FA2205A">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12</w:t>
                  </w:r>
                </w:p>
              </w:tc>
              <w:tc>
                <w:tcPr>
                  <w:tcW w:w="862" w:type="dxa"/>
                  <w:tcBorders>
                    <w:top w:val="single" w:color="auto" w:sz="8" w:space="0"/>
                    <w:left w:val="single" w:color="auto" w:sz="8" w:space="0"/>
                    <w:bottom w:val="single" w:color="auto" w:sz="12" w:space="0"/>
                    <w:right w:val="single" w:color="auto" w:sz="8" w:space="0"/>
                  </w:tcBorders>
                  <w:shd w:val="clear"/>
                  <w:vAlign w:val="center"/>
                </w:tcPr>
                <w:p w14:paraId="48B58D55">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网格棉</w:t>
                  </w:r>
                </w:p>
              </w:tc>
              <w:tc>
                <w:tcPr>
                  <w:tcW w:w="1803" w:type="dxa"/>
                  <w:tcBorders>
                    <w:top w:val="single" w:color="auto" w:sz="8" w:space="0"/>
                    <w:left w:val="single" w:color="auto" w:sz="8" w:space="0"/>
                    <w:bottom w:val="single" w:color="auto" w:sz="12" w:space="0"/>
                    <w:right w:val="single" w:color="auto" w:sz="8" w:space="0"/>
                  </w:tcBorders>
                  <w:shd w:val="clear"/>
                  <w:vAlign w:val="center"/>
                </w:tcPr>
                <w:p w14:paraId="645192D5">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厚度约为</w:t>
                  </w:r>
                  <w:r>
                    <w:rPr>
                      <w:rFonts w:hint="default" w:ascii="Times New Roman" w:hAnsi="Times New Roman" w:eastAsia="宋体" w:cs="Times New Roman"/>
                      <w:color w:val="000000"/>
                      <w:kern w:val="2"/>
                      <w:sz w:val="21"/>
                      <w:szCs w:val="21"/>
                      <w:bdr w:val="none" w:color="auto" w:sz="0" w:space="0"/>
                      <w:lang w:val="en-US" w:eastAsia="zh-CN" w:bidi="ar"/>
                    </w:rPr>
                    <w:t>5~8mm</w:t>
                  </w:r>
                  <w:r>
                    <w:rPr>
                      <w:rFonts w:hint="eastAsia" w:ascii="Times New Roman" w:hAnsi="Times New Roman" w:eastAsia="宋体" w:cs="宋体"/>
                      <w:color w:val="000000"/>
                      <w:kern w:val="2"/>
                      <w:sz w:val="21"/>
                      <w:szCs w:val="21"/>
                      <w:bdr w:val="none" w:color="auto" w:sz="0" w:space="0"/>
                      <w:lang w:val="en-US" w:eastAsia="zh-CN" w:bidi="ar"/>
                    </w:rPr>
                    <w:t>，主要成分聚氨酯，密度为</w:t>
                  </w:r>
                  <w:r>
                    <w:rPr>
                      <w:rFonts w:hint="default" w:ascii="Times New Roman" w:hAnsi="Times New Roman" w:eastAsia="宋体" w:cs="Times New Roman"/>
                      <w:color w:val="000000"/>
                      <w:kern w:val="2"/>
                      <w:sz w:val="21"/>
                      <w:szCs w:val="21"/>
                      <w:bdr w:val="none" w:color="auto" w:sz="0" w:space="0"/>
                      <w:lang w:val="en-US" w:eastAsia="zh-CN" w:bidi="ar"/>
                    </w:rPr>
                    <w:t>685kg/m</w:t>
                  </w:r>
                  <w:r>
                    <w:rPr>
                      <w:rFonts w:hint="default" w:ascii="Times New Roman" w:hAnsi="Times New Roman" w:eastAsia="宋体" w:cs="Times New Roman"/>
                      <w:color w:val="000000"/>
                      <w:kern w:val="2"/>
                      <w:sz w:val="21"/>
                      <w:szCs w:val="21"/>
                      <w:bdr w:val="none" w:color="auto" w:sz="0" w:space="0"/>
                      <w:vertAlign w:val="superscript"/>
                      <w:lang w:val="en-US" w:eastAsia="zh-CN" w:bidi="ar"/>
                    </w:rPr>
                    <w:t>3</w:t>
                  </w:r>
                </w:p>
              </w:tc>
              <w:tc>
                <w:tcPr>
                  <w:tcW w:w="1008" w:type="dxa"/>
                  <w:tcBorders>
                    <w:top w:val="single" w:color="auto" w:sz="8" w:space="0"/>
                    <w:left w:val="single" w:color="auto" w:sz="8" w:space="0"/>
                    <w:bottom w:val="single" w:color="auto" w:sz="12" w:space="0"/>
                    <w:right w:val="single" w:color="auto" w:sz="8" w:space="0"/>
                  </w:tcBorders>
                  <w:shd w:val="clear"/>
                  <w:vAlign w:val="center"/>
                </w:tcPr>
                <w:p w14:paraId="73284398">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1000m</w:t>
                  </w:r>
                  <w:r>
                    <w:rPr>
                      <w:rFonts w:hint="default" w:ascii="Times New Roman" w:hAnsi="Times New Roman" w:eastAsia="宋体" w:cs="Times New Roman"/>
                      <w:color w:val="000000"/>
                      <w:kern w:val="2"/>
                      <w:sz w:val="21"/>
                      <w:szCs w:val="21"/>
                      <w:bdr w:val="none" w:color="auto" w:sz="0" w:space="0"/>
                      <w:vertAlign w:val="superscript"/>
                      <w:lang w:val="en-US" w:eastAsia="zh-CN" w:bidi="ar"/>
                    </w:rPr>
                    <w:t>2</w:t>
                  </w:r>
                </w:p>
              </w:tc>
              <w:tc>
                <w:tcPr>
                  <w:tcW w:w="1060" w:type="dxa"/>
                  <w:tcBorders>
                    <w:top w:val="single" w:color="auto" w:sz="8" w:space="0"/>
                    <w:left w:val="single" w:color="auto" w:sz="8" w:space="0"/>
                    <w:bottom w:val="single" w:color="auto" w:sz="12" w:space="0"/>
                    <w:right w:val="single" w:color="auto" w:sz="8" w:space="0"/>
                  </w:tcBorders>
                  <w:shd w:val="clear"/>
                  <w:vAlign w:val="center"/>
                </w:tcPr>
                <w:p w14:paraId="0DD43D3F">
                  <w:pPr>
                    <w:pStyle w:val="73"/>
                    <w:widowControl/>
                    <w:spacing w:line="300" w:lineRule="exact"/>
                    <w:ind w:left="0" w:firstLine="0" w:firstLineChars="0"/>
                    <w:jc w:val="center"/>
                    <w:rPr>
                      <w:rFonts w:hint="default" w:ascii="Times New Roman" w:hAnsi="Times New Roman" w:cs="Times New Roman"/>
                      <w:b w:val="0"/>
                      <w:bCs/>
                      <w:color w:val="000000"/>
                      <w:sz w:val="21"/>
                      <w:szCs w:val="21"/>
                      <w:bdr w:val="none" w:color="auto" w:sz="0" w:space="0"/>
                      <w:lang w:val="en-US"/>
                    </w:rPr>
                  </w:pPr>
                  <w:r>
                    <w:rPr>
                      <w:rFonts w:hint="default" w:ascii="Times New Roman" w:hAnsi="Times New Roman" w:cs="Times New Roman"/>
                      <w:b w:val="0"/>
                      <w:bCs/>
                      <w:color w:val="000000"/>
                      <w:sz w:val="21"/>
                      <w:szCs w:val="21"/>
                      <w:bdr w:val="none" w:color="auto" w:sz="0" w:space="0"/>
                      <w:lang w:val="en-US"/>
                    </w:rPr>
                    <w:t>5000m</w:t>
                  </w:r>
                  <w:r>
                    <w:rPr>
                      <w:rFonts w:hint="default" w:ascii="Times New Roman" w:hAnsi="Times New Roman" w:cs="Times New Roman"/>
                      <w:b w:val="0"/>
                      <w:bCs/>
                      <w:color w:val="000000"/>
                      <w:sz w:val="21"/>
                      <w:szCs w:val="21"/>
                      <w:bdr w:val="none" w:color="auto" w:sz="0" w:space="0"/>
                      <w:vertAlign w:val="superscript"/>
                      <w:lang w:val="en-US"/>
                    </w:rPr>
                    <w:t>2</w:t>
                  </w:r>
                </w:p>
              </w:tc>
              <w:tc>
                <w:tcPr>
                  <w:tcW w:w="1105" w:type="dxa"/>
                  <w:tcBorders>
                    <w:top w:val="single" w:color="auto" w:sz="8" w:space="0"/>
                    <w:left w:val="single" w:color="auto" w:sz="8" w:space="0"/>
                    <w:bottom w:val="single" w:color="auto" w:sz="12" w:space="0"/>
                    <w:right w:val="single" w:color="auto" w:sz="8" w:space="0"/>
                  </w:tcBorders>
                  <w:shd w:val="clear"/>
                  <w:vAlign w:val="center"/>
                </w:tcPr>
                <w:p w14:paraId="6A375B2D">
                  <w:pPr>
                    <w:pStyle w:val="73"/>
                    <w:widowControl/>
                    <w:spacing w:line="300" w:lineRule="exact"/>
                    <w:ind w:left="0" w:firstLine="0" w:firstLineChars="0"/>
                    <w:jc w:val="center"/>
                    <w:rPr>
                      <w:rFonts w:hint="default" w:ascii="Times New Roman" w:hAnsi="Times New Roman" w:cs="Times New Roman"/>
                      <w:b w:val="0"/>
                      <w:bCs/>
                      <w:color w:val="000000"/>
                      <w:sz w:val="21"/>
                      <w:szCs w:val="21"/>
                      <w:bdr w:val="none" w:color="auto" w:sz="0" w:space="0"/>
                      <w:lang w:val="en-US"/>
                    </w:rPr>
                  </w:pPr>
                  <w:r>
                    <w:rPr>
                      <w:rFonts w:hint="default" w:ascii="Times New Roman" w:hAnsi="Times New Roman" w:cs="Times New Roman"/>
                      <w:b w:val="0"/>
                      <w:bCs/>
                      <w:color w:val="000000"/>
                      <w:sz w:val="21"/>
                      <w:szCs w:val="21"/>
                      <w:bdr w:val="none" w:color="auto" w:sz="0" w:space="0"/>
                      <w:lang w:val="en-US"/>
                    </w:rPr>
                    <w:t>+4000 m</w:t>
                  </w:r>
                  <w:r>
                    <w:rPr>
                      <w:rFonts w:hint="default" w:ascii="Times New Roman" w:hAnsi="Times New Roman" w:cs="Times New Roman"/>
                      <w:b w:val="0"/>
                      <w:bCs/>
                      <w:color w:val="000000"/>
                      <w:sz w:val="21"/>
                      <w:szCs w:val="21"/>
                      <w:bdr w:val="none" w:color="auto" w:sz="0" w:space="0"/>
                      <w:vertAlign w:val="superscript"/>
                      <w:lang w:val="en-US"/>
                    </w:rPr>
                    <w:t>2</w:t>
                  </w:r>
                </w:p>
              </w:tc>
              <w:tc>
                <w:tcPr>
                  <w:tcW w:w="1105" w:type="dxa"/>
                  <w:tcBorders>
                    <w:top w:val="single" w:color="auto" w:sz="8" w:space="0"/>
                    <w:left w:val="single" w:color="auto" w:sz="8" w:space="0"/>
                    <w:bottom w:val="single" w:color="auto" w:sz="12" w:space="0"/>
                    <w:right w:val="single" w:color="auto" w:sz="8" w:space="0"/>
                  </w:tcBorders>
                  <w:shd w:val="clear"/>
                  <w:vAlign w:val="center"/>
                </w:tcPr>
                <w:p w14:paraId="565C4A2B">
                  <w:pPr>
                    <w:pStyle w:val="73"/>
                    <w:widowControl/>
                    <w:spacing w:line="300" w:lineRule="exact"/>
                    <w:ind w:left="0" w:firstLine="0" w:firstLineChars="0"/>
                    <w:jc w:val="center"/>
                    <w:rPr>
                      <w:rFonts w:hint="default" w:ascii="Times New Roman" w:hAnsi="Times New Roman" w:cs="Times New Roman"/>
                      <w:b w:val="0"/>
                      <w:bCs/>
                      <w:color w:val="000000"/>
                      <w:sz w:val="21"/>
                      <w:szCs w:val="21"/>
                      <w:bdr w:val="none" w:color="auto" w:sz="0" w:space="0"/>
                      <w:lang w:val="en-US"/>
                    </w:rPr>
                  </w:pPr>
                  <w:r>
                    <w:rPr>
                      <w:rFonts w:hint="eastAsia" w:ascii="Times New Roman" w:hAnsi="Times New Roman" w:eastAsia="宋体" w:cs="宋体"/>
                      <w:b w:val="0"/>
                      <w:bCs/>
                      <w:color w:val="000000"/>
                      <w:sz w:val="21"/>
                      <w:szCs w:val="21"/>
                      <w:bdr w:val="none" w:color="auto" w:sz="0" w:space="0"/>
                    </w:rPr>
                    <w:t>材料库房</w:t>
                  </w:r>
                </w:p>
              </w:tc>
              <w:tc>
                <w:tcPr>
                  <w:tcW w:w="886" w:type="dxa"/>
                  <w:tcBorders>
                    <w:top w:val="single" w:color="auto" w:sz="8" w:space="0"/>
                    <w:left w:val="single" w:color="auto" w:sz="8" w:space="0"/>
                    <w:bottom w:val="single" w:color="auto" w:sz="12" w:space="0"/>
                    <w:right w:val="nil"/>
                  </w:tcBorders>
                  <w:shd w:val="clear"/>
                  <w:vAlign w:val="center"/>
                </w:tcPr>
                <w:p w14:paraId="6BB757DF">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300m</w:t>
                  </w:r>
                  <w:r>
                    <w:rPr>
                      <w:rFonts w:hint="default" w:ascii="Times New Roman" w:hAnsi="Times New Roman" w:eastAsia="宋体" w:cs="Times New Roman"/>
                      <w:color w:val="000000"/>
                      <w:kern w:val="2"/>
                      <w:sz w:val="21"/>
                      <w:szCs w:val="21"/>
                      <w:bdr w:val="none" w:color="auto" w:sz="0" w:space="0"/>
                      <w:vertAlign w:val="superscript"/>
                      <w:lang w:val="en-US" w:eastAsia="zh-CN" w:bidi="ar"/>
                    </w:rPr>
                    <w:t>2</w:t>
                  </w:r>
                </w:p>
              </w:tc>
            </w:tr>
          </w:tbl>
          <w:p w14:paraId="329F8177">
            <w:pPr>
              <w:pStyle w:val="25"/>
              <w:widowControl/>
              <w:spacing w:line="440" w:lineRule="exact"/>
              <w:ind w:left="0" w:firstLine="480"/>
              <w:rPr>
                <w:color w:val="000000"/>
                <w:bdr w:val="none" w:color="auto" w:sz="0" w:space="0"/>
                <w:lang w:val="en-US"/>
              </w:rPr>
            </w:pPr>
            <w:r>
              <w:rPr>
                <w:rFonts w:hint="eastAsia" w:ascii="Times New Roman" w:hAnsi="Times New Roman" w:eastAsia="宋体" w:cs="宋体"/>
                <w:color w:val="000000"/>
                <w:bdr w:val="none" w:color="auto" w:sz="0" w:space="0"/>
              </w:rPr>
              <w:t>原辅材料主要理化性质简述：</w:t>
            </w:r>
          </w:p>
          <w:p w14:paraId="57BB6406">
            <w:pPr>
              <w:keepNext w:val="0"/>
              <w:keepLines w:val="0"/>
              <w:widowControl w:val="0"/>
              <w:suppressLineNumbers w:val="0"/>
              <w:topLinePunct/>
              <w:spacing w:before="0" w:beforeAutospacing="0" w:after="0" w:afterAutospacing="0" w:line="440" w:lineRule="exact"/>
              <w:ind w:left="0" w:right="0" w:firstLine="200"/>
              <w:jc w:val="both"/>
              <w:rPr>
                <w:rFonts w:hint="default" w:ascii="Times New Roman" w:hAnsi="Times New Roman" w:cs="Times New Roman"/>
                <w:color w:val="000000"/>
                <w:sz w:val="24"/>
                <w:szCs w:val="24"/>
                <w:bdr w:val="none" w:color="auto" w:sz="0" w:space="0"/>
                <w:lang w:val="en-US"/>
              </w:rPr>
            </w:pPr>
            <w:r>
              <w:rPr>
                <w:rFonts w:hint="eastAsia" w:ascii="Calibri" w:hAnsi="Calibri" w:eastAsia="宋体" w:cs="宋体"/>
                <w:b/>
                <w:bCs/>
                <w:color w:val="000000"/>
                <w:kern w:val="2"/>
                <w:sz w:val="24"/>
                <w:szCs w:val="24"/>
                <w:bdr w:val="none" w:color="auto" w:sz="0" w:space="0"/>
                <w:lang w:val="en-US" w:eastAsia="zh-CN" w:bidi="ar"/>
              </w:rPr>
              <w:t>热熔胶：</w:t>
            </w:r>
            <w:r>
              <w:rPr>
                <w:rFonts w:hint="eastAsia" w:ascii="Times New Roman" w:hAnsi="Calibri" w:eastAsia="宋体" w:cs="宋体"/>
                <w:color w:val="000000"/>
                <w:kern w:val="2"/>
                <w:sz w:val="24"/>
                <w:szCs w:val="24"/>
                <w:bdr w:val="none" w:color="auto" w:sz="0" w:space="0"/>
                <w:lang w:val="en-US" w:eastAsia="zh-CN" w:bidi="ar"/>
              </w:rPr>
              <w:t>热熔胶是一种可塑性的粘合剂，常温呈固体状态，加热融化后能快速粘接。在一定温度范围内其物理状态随温度改变而改变，而化学特性不变，无毒无味，属环保型化学产品。熔融粘度：</w:t>
            </w:r>
            <w:r>
              <w:rPr>
                <w:rFonts w:hint="default" w:ascii="Times New Roman" w:hAnsi="Times New Roman" w:eastAsia="宋体" w:cs="Times New Roman"/>
                <w:color w:val="000000"/>
                <w:kern w:val="2"/>
                <w:sz w:val="24"/>
                <w:szCs w:val="24"/>
                <w:bdr w:val="none" w:color="auto" w:sz="0" w:space="0"/>
                <w:lang w:val="en-US" w:eastAsia="zh-CN" w:bidi="ar"/>
              </w:rPr>
              <w:t>7500CPs/180</w:t>
            </w:r>
            <w:r>
              <w:rPr>
                <w:rFonts w:hint="default" w:ascii="Calibri" w:hAnsi="Calibri" w:eastAsia="宋体" w:cs="Times New Roman"/>
                <w:color w:val="000000"/>
                <w:kern w:val="2"/>
                <w:sz w:val="24"/>
                <w:szCs w:val="24"/>
                <w:bdr w:val="none" w:color="auto" w:sz="0" w:space="0"/>
                <w:lang w:val="en-US" w:eastAsia="zh-CN" w:bidi="ar"/>
              </w:rPr>
              <w:t>℃</w:t>
            </w:r>
            <w:r>
              <w:rPr>
                <w:rFonts w:hint="eastAsia" w:ascii="Times New Roman" w:hAnsi="Calibri" w:eastAsia="宋体" w:cs="宋体"/>
                <w:color w:val="000000"/>
                <w:kern w:val="2"/>
                <w:sz w:val="24"/>
                <w:szCs w:val="24"/>
                <w:bdr w:val="none" w:color="auto" w:sz="0" w:space="0"/>
                <w:lang w:val="en-US" w:eastAsia="zh-CN" w:bidi="ar"/>
              </w:rPr>
              <w:t>，软化点</w:t>
            </w:r>
            <w:r>
              <w:rPr>
                <w:rFonts w:hint="default" w:ascii="Times New Roman" w:hAnsi="Times New Roman" w:eastAsia="宋体" w:cs="Times New Roman"/>
                <w:color w:val="000000"/>
                <w:kern w:val="2"/>
                <w:sz w:val="24"/>
                <w:szCs w:val="24"/>
                <w:bdr w:val="none" w:color="auto" w:sz="0" w:space="0"/>
                <w:lang w:val="en-US" w:eastAsia="zh-CN" w:bidi="ar"/>
              </w:rPr>
              <w:t>85</w:t>
            </w:r>
            <w:r>
              <w:rPr>
                <w:rFonts w:hint="default" w:ascii="Calibri" w:hAnsi="Calibri" w:eastAsia="宋体" w:cs="Times New Roman"/>
                <w:color w:val="000000"/>
                <w:kern w:val="2"/>
                <w:sz w:val="24"/>
                <w:szCs w:val="24"/>
                <w:bdr w:val="none" w:color="auto" w:sz="0" w:space="0"/>
                <w:lang w:val="en-US" w:eastAsia="zh-CN" w:bidi="ar"/>
              </w:rPr>
              <w:t>℃</w:t>
            </w:r>
            <w:r>
              <w:rPr>
                <w:rFonts w:hint="eastAsia" w:ascii="Times New Roman" w:hAnsi="Calibri" w:eastAsia="宋体" w:cs="宋体"/>
                <w:color w:val="000000"/>
                <w:kern w:val="2"/>
                <w:sz w:val="24"/>
                <w:szCs w:val="24"/>
                <w:bdr w:val="none" w:color="auto" w:sz="0" w:space="0"/>
                <w:lang w:val="en-US" w:eastAsia="zh-CN" w:bidi="ar"/>
              </w:rPr>
              <w:t>，加德纳颜色：</w:t>
            </w:r>
            <w:r>
              <w:rPr>
                <w:rFonts w:hint="default" w:ascii="Times New Roman" w:hAnsi="Times New Roman" w:eastAsia="宋体" w:cs="Times New Roman"/>
                <w:color w:val="000000"/>
                <w:kern w:val="2"/>
                <w:sz w:val="24"/>
                <w:szCs w:val="24"/>
                <w:bdr w:val="none" w:color="auto" w:sz="0" w:space="0"/>
                <w:lang w:val="en-US" w:eastAsia="zh-CN" w:bidi="ar"/>
              </w:rPr>
              <w:t>0±0.2</w:t>
            </w:r>
            <w:r>
              <w:rPr>
                <w:rFonts w:hint="eastAsia" w:ascii="Times New Roman" w:hAnsi="Calibri" w:eastAsia="宋体" w:cs="宋体"/>
                <w:color w:val="000000"/>
                <w:kern w:val="2"/>
                <w:sz w:val="24"/>
                <w:szCs w:val="24"/>
                <w:bdr w:val="none" w:color="auto" w:sz="0" w:space="0"/>
                <w:lang w:val="en-US" w:eastAsia="zh-CN" w:bidi="ar"/>
              </w:rPr>
              <w:t>，初粘性：</w:t>
            </w:r>
            <w:r>
              <w:rPr>
                <w:rFonts w:hint="default" w:ascii="Times New Roman" w:hAnsi="Times New Roman" w:eastAsia="宋体" w:cs="Times New Roman"/>
                <w:color w:val="000000"/>
                <w:kern w:val="2"/>
                <w:sz w:val="24"/>
                <w:szCs w:val="24"/>
                <w:bdr w:val="none" w:color="auto" w:sz="0" w:space="0"/>
                <w:lang w:val="en-US" w:eastAsia="zh-CN" w:bidi="ar"/>
              </w:rPr>
              <w:t>&gt;15#</w:t>
            </w:r>
            <w:r>
              <w:rPr>
                <w:rFonts w:hint="eastAsia" w:ascii="Times New Roman" w:hAnsi="Calibri" w:eastAsia="宋体" w:cs="宋体"/>
                <w:color w:val="000000"/>
                <w:kern w:val="2"/>
                <w:sz w:val="24"/>
                <w:szCs w:val="24"/>
                <w:bdr w:val="none" w:color="auto" w:sz="0" w:space="0"/>
                <w:lang w:val="en-US" w:eastAsia="zh-CN" w:bidi="ar"/>
              </w:rPr>
              <w:t>铜球，剥离强度：</w:t>
            </w:r>
            <w:r>
              <w:rPr>
                <w:rFonts w:hint="default" w:ascii="Times New Roman" w:hAnsi="Times New Roman" w:eastAsia="宋体" w:cs="Times New Roman"/>
                <w:color w:val="000000"/>
                <w:kern w:val="2"/>
                <w:sz w:val="24"/>
                <w:szCs w:val="24"/>
                <w:bdr w:val="none" w:color="auto" w:sz="0" w:space="0"/>
                <w:lang w:val="en-US" w:eastAsia="zh-CN" w:bidi="ar"/>
              </w:rPr>
              <w:t>&gt;4.5N/in2</w:t>
            </w:r>
            <w:r>
              <w:rPr>
                <w:rFonts w:hint="eastAsia" w:ascii="Times New Roman" w:hAnsi="Calibri" w:eastAsia="宋体" w:cs="宋体"/>
                <w:color w:val="000000"/>
                <w:kern w:val="2"/>
                <w:sz w:val="24"/>
                <w:szCs w:val="24"/>
                <w:bdr w:val="none" w:color="auto" w:sz="0" w:space="0"/>
                <w:lang w:val="en-US" w:eastAsia="zh-CN" w:bidi="ar"/>
              </w:rPr>
              <w:t>，推荐温度：</w:t>
            </w:r>
            <w:r>
              <w:rPr>
                <w:rFonts w:hint="default" w:ascii="Times New Roman" w:hAnsi="Times New Roman" w:eastAsia="宋体" w:cs="Times New Roman"/>
                <w:color w:val="000000"/>
                <w:kern w:val="2"/>
                <w:sz w:val="24"/>
                <w:szCs w:val="24"/>
                <w:bdr w:val="none" w:color="auto" w:sz="0" w:space="0"/>
                <w:lang w:val="en-US" w:eastAsia="zh-CN" w:bidi="ar"/>
              </w:rPr>
              <w:t>160</w:t>
            </w:r>
            <w:r>
              <w:rPr>
                <w:rFonts w:hint="default" w:ascii="Calibri" w:hAnsi="Calibri" w:eastAsia="宋体" w:cs="Times New Roman"/>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~180</w:t>
            </w:r>
            <w:r>
              <w:rPr>
                <w:rFonts w:hint="default" w:ascii="Calibri" w:hAnsi="Calibri" w:eastAsia="宋体" w:cs="Times New Roman"/>
                <w:color w:val="000000"/>
                <w:kern w:val="2"/>
                <w:sz w:val="24"/>
                <w:szCs w:val="24"/>
                <w:bdr w:val="none" w:color="auto" w:sz="0" w:space="0"/>
                <w:lang w:val="en-US" w:eastAsia="zh-CN" w:bidi="ar"/>
              </w:rPr>
              <w:t>℃</w:t>
            </w:r>
            <w:r>
              <w:rPr>
                <w:rFonts w:hint="eastAsia" w:ascii="Times New Roman" w:hAnsi="Calibri" w:eastAsia="宋体" w:cs="宋体"/>
                <w:color w:val="000000"/>
                <w:kern w:val="2"/>
                <w:sz w:val="24"/>
                <w:szCs w:val="24"/>
                <w:bdr w:val="none" w:color="auto" w:sz="0" w:space="0"/>
                <w:lang w:val="en-US" w:eastAsia="zh-CN" w:bidi="ar"/>
              </w:rPr>
              <w:t>。</w:t>
            </w:r>
          </w:p>
          <w:p w14:paraId="630E9FF9">
            <w:pPr>
              <w:keepNext w:val="0"/>
              <w:keepLines w:val="0"/>
              <w:widowControl w:val="0"/>
              <w:suppressLineNumbers w:val="0"/>
              <w:snapToGrid w:val="0"/>
              <w:spacing w:before="0" w:beforeAutospacing="0" w:after="0" w:afterAutospacing="0" w:line="440" w:lineRule="exact"/>
              <w:ind w:left="0" w:right="0" w:firstLine="480" w:firstLineChars="200"/>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根据建设单位提供的热熔胶</w:t>
            </w:r>
            <w:r>
              <w:rPr>
                <w:rFonts w:hint="default" w:ascii="Times New Roman" w:hAnsi="Calibri" w:eastAsia="宋体" w:cs="Times New Roman"/>
                <w:color w:val="000000"/>
                <w:kern w:val="2"/>
                <w:sz w:val="24"/>
                <w:szCs w:val="24"/>
                <w:bdr w:val="none" w:color="auto" w:sz="0" w:space="0"/>
                <w:lang w:val="en-US" w:eastAsia="zh-CN" w:bidi="ar"/>
              </w:rPr>
              <w:t>MSDS</w:t>
            </w:r>
            <w:r>
              <w:rPr>
                <w:rFonts w:hint="eastAsia" w:ascii="Times New Roman" w:hAnsi="Calibri" w:eastAsia="宋体" w:cs="宋体"/>
                <w:color w:val="000000"/>
                <w:kern w:val="2"/>
                <w:sz w:val="24"/>
                <w:szCs w:val="24"/>
                <w:bdr w:val="none" w:color="auto" w:sz="0" w:space="0"/>
                <w:lang w:val="en-US" w:eastAsia="zh-CN" w:bidi="ar"/>
              </w:rPr>
              <w:t>，项目所用热熔胶主要成分为</w:t>
            </w:r>
            <w:r>
              <w:rPr>
                <w:rFonts w:hint="default" w:ascii="Times New Roman" w:hAnsi="Calibri" w:eastAsia="宋体" w:cs="Times New Roman"/>
                <w:color w:val="000000"/>
                <w:kern w:val="2"/>
                <w:sz w:val="24"/>
                <w:szCs w:val="24"/>
                <w:bdr w:val="none" w:color="auto" w:sz="0" w:space="0"/>
                <w:lang w:val="en-US" w:eastAsia="zh-CN" w:bidi="ar"/>
              </w:rPr>
              <w:t>EAA</w:t>
            </w:r>
            <w:r>
              <w:rPr>
                <w:rFonts w:hint="eastAsia" w:ascii="Times New Roman" w:hAnsi="Calibri" w:eastAsia="宋体" w:cs="宋体"/>
                <w:color w:val="000000"/>
                <w:kern w:val="2"/>
                <w:sz w:val="24"/>
                <w:szCs w:val="24"/>
                <w:bdr w:val="none" w:color="auto" w:sz="0" w:space="0"/>
                <w:lang w:val="en-US" w:eastAsia="zh-CN" w:bidi="ar"/>
              </w:rPr>
              <w:t>，即乙烯丙烯酸</w:t>
            </w:r>
            <w:r>
              <w:rPr>
                <w:rFonts w:hint="default" w:ascii="Times New Roman" w:hAnsi="Calibri" w:eastAsia="宋体" w:cs="Times New Roman"/>
                <w:color w:val="000000"/>
                <w:kern w:val="2"/>
                <w:sz w:val="24"/>
                <w:szCs w:val="24"/>
                <w:bdr w:val="none" w:color="auto" w:sz="0" w:space="0"/>
                <w:lang w:val="en-US" w:eastAsia="zh-CN" w:bidi="ar"/>
              </w:rPr>
              <w:t>-</w:t>
            </w:r>
            <w:r>
              <w:rPr>
                <w:rFonts w:hint="eastAsia" w:ascii="Times New Roman" w:hAnsi="Calibri" w:eastAsia="宋体" w:cs="宋体"/>
                <w:color w:val="000000"/>
                <w:kern w:val="2"/>
                <w:sz w:val="24"/>
                <w:szCs w:val="24"/>
                <w:bdr w:val="none" w:color="auto" w:sz="0" w:space="0"/>
                <w:lang w:val="en-US" w:eastAsia="zh-CN" w:bidi="ar"/>
              </w:rPr>
              <w:t>乙烯丙烯酸共聚物，是一种具有热塑性和极高粘接性的聚合物，具有良好的透明性、耐磨性、耐低温性、粘接性、着色性。</w:t>
            </w:r>
            <w:r>
              <w:rPr>
                <w:rFonts w:hint="default" w:ascii="Times New Roman" w:hAnsi="Calibri" w:eastAsia="宋体" w:cs="Times New Roman"/>
                <w:color w:val="000000"/>
                <w:kern w:val="2"/>
                <w:sz w:val="24"/>
                <w:szCs w:val="24"/>
                <w:bdr w:val="none" w:color="auto" w:sz="0" w:space="0"/>
                <w:lang w:val="en-US" w:eastAsia="zh-CN" w:bidi="ar"/>
              </w:rPr>
              <w:t>EAA</w:t>
            </w:r>
            <w:r>
              <w:rPr>
                <w:rFonts w:hint="eastAsia" w:ascii="Times New Roman" w:hAnsi="Calibri" w:eastAsia="宋体" w:cs="宋体"/>
                <w:color w:val="000000"/>
                <w:kern w:val="2"/>
                <w:sz w:val="24"/>
                <w:szCs w:val="24"/>
                <w:bdr w:val="none" w:color="auto" w:sz="0" w:space="0"/>
                <w:lang w:val="en-US" w:eastAsia="zh-CN" w:bidi="ar"/>
              </w:rPr>
              <w:t>广泛应用于包装、粉末涂层、粘合剂、热熔胶、密封材料、水性溶剂等方面。</w:t>
            </w:r>
          </w:p>
          <w:p w14:paraId="0E83E28A">
            <w:pPr>
              <w:keepNext w:val="0"/>
              <w:keepLines w:val="0"/>
              <w:widowControl w:val="0"/>
              <w:suppressLineNumbers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根据建设单位提供的热熔胶中挥发性有机物</w:t>
            </w:r>
            <w:r>
              <w:rPr>
                <w:rFonts w:hint="default" w:ascii="Times New Roman" w:hAnsi="Times New Roman" w:eastAsia="宋体" w:cs="Times New Roman"/>
                <w:color w:val="000000"/>
                <w:kern w:val="2"/>
                <w:sz w:val="24"/>
                <w:szCs w:val="24"/>
                <w:bdr w:val="none" w:color="auto" w:sz="0" w:space="0"/>
                <w:lang w:val="en-US" w:eastAsia="zh-CN" w:bidi="ar"/>
              </w:rPr>
              <w:t>VOC</w:t>
            </w:r>
            <w:r>
              <w:rPr>
                <w:rFonts w:hint="eastAsia" w:ascii="Times New Roman" w:hAnsi="Calibri" w:eastAsia="宋体" w:cs="宋体"/>
                <w:color w:val="000000"/>
                <w:kern w:val="2"/>
                <w:sz w:val="24"/>
                <w:szCs w:val="24"/>
                <w:bdr w:val="none" w:color="auto" w:sz="0" w:space="0"/>
                <w:lang w:val="en-US" w:eastAsia="zh-CN" w:bidi="ar"/>
              </w:rPr>
              <w:t>含量检测报告（见附件</w:t>
            </w:r>
            <w:r>
              <w:rPr>
                <w:rFonts w:hint="default" w:ascii="Times New Roman" w:hAnsi="Times New Roman" w:eastAsia="宋体" w:cs="Times New Roman"/>
                <w:color w:val="000000"/>
                <w:kern w:val="2"/>
                <w:sz w:val="24"/>
                <w:szCs w:val="24"/>
                <w:bdr w:val="none" w:color="auto" w:sz="0" w:space="0"/>
                <w:lang w:val="en-US" w:eastAsia="zh-CN" w:bidi="ar"/>
              </w:rPr>
              <w:t>9-1</w:t>
            </w:r>
            <w:r>
              <w:rPr>
                <w:rFonts w:hint="eastAsia" w:ascii="Times New Roman" w:hAnsi="Calibri" w:eastAsia="宋体" w:cs="宋体"/>
                <w:color w:val="000000"/>
                <w:kern w:val="2"/>
                <w:sz w:val="24"/>
                <w:szCs w:val="24"/>
                <w:bdr w:val="none" w:color="auto" w:sz="0" w:space="0"/>
                <w:lang w:val="en-US" w:eastAsia="zh-CN" w:bidi="ar"/>
              </w:rPr>
              <w:t>），项目使用的热熔胶挥发性有机物</w:t>
            </w:r>
            <w:r>
              <w:rPr>
                <w:rFonts w:hint="default" w:ascii="Times New Roman" w:hAnsi="Times New Roman" w:eastAsia="宋体" w:cs="Times New Roman"/>
                <w:color w:val="000000"/>
                <w:kern w:val="2"/>
                <w:sz w:val="24"/>
                <w:szCs w:val="24"/>
                <w:bdr w:val="none" w:color="auto" w:sz="0" w:space="0"/>
                <w:lang w:val="en-US" w:eastAsia="zh-CN" w:bidi="ar"/>
              </w:rPr>
              <w:t>VOC</w:t>
            </w:r>
            <w:r>
              <w:rPr>
                <w:rFonts w:hint="eastAsia" w:ascii="Times New Roman" w:hAnsi="Calibri" w:eastAsia="宋体" w:cs="宋体"/>
                <w:color w:val="000000"/>
                <w:kern w:val="2"/>
                <w:sz w:val="24"/>
                <w:szCs w:val="24"/>
                <w:bdr w:val="none" w:color="auto" w:sz="0" w:space="0"/>
                <w:lang w:val="en-US" w:eastAsia="zh-CN" w:bidi="ar"/>
              </w:rPr>
              <w:t>含量为</w:t>
            </w:r>
            <w:r>
              <w:rPr>
                <w:rFonts w:hint="default" w:ascii="Times New Roman" w:hAnsi="Times New Roman" w:eastAsia="宋体" w:cs="Times New Roman"/>
                <w:color w:val="000000"/>
                <w:kern w:val="2"/>
                <w:sz w:val="24"/>
                <w:szCs w:val="24"/>
                <w:bdr w:val="none" w:color="auto" w:sz="0" w:space="0"/>
                <w:lang w:val="en-US" w:eastAsia="zh-CN" w:bidi="ar"/>
              </w:rPr>
              <w:t>4g/kg</w:t>
            </w:r>
            <w:r>
              <w:rPr>
                <w:rFonts w:hint="eastAsia" w:ascii="Times New Roman" w:hAnsi="Calibri" w:eastAsia="宋体" w:cs="宋体"/>
                <w:color w:val="000000"/>
                <w:kern w:val="2"/>
                <w:sz w:val="24"/>
                <w:szCs w:val="24"/>
                <w:bdr w:val="none" w:color="auto" w:sz="0" w:space="0"/>
                <w:lang w:val="en-US" w:eastAsia="zh-CN" w:bidi="ar"/>
              </w:rPr>
              <w:t>，满足《胶粘剂挥发性有机化合物限量》</w:t>
            </w:r>
            <w:r>
              <w:rPr>
                <w:rFonts w:hint="default" w:ascii="Times New Roman" w:hAnsi="Times New Roman" w:eastAsia="宋体" w:cs="Times New Roman"/>
                <w:color w:val="000000"/>
                <w:kern w:val="2"/>
                <w:sz w:val="24"/>
                <w:szCs w:val="24"/>
                <w:bdr w:val="none" w:color="auto" w:sz="0" w:space="0"/>
                <w:lang w:val="en-US" w:eastAsia="zh-CN" w:bidi="ar"/>
              </w:rPr>
              <w:t>(GB33372-2020)</w:t>
            </w:r>
            <w:r>
              <w:rPr>
                <w:rFonts w:hint="eastAsia" w:ascii="Times New Roman" w:hAnsi="Calibri" w:eastAsia="宋体" w:cs="宋体"/>
                <w:color w:val="000000"/>
                <w:kern w:val="2"/>
                <w:sz w:val="24"/>
                <w:szCs w:val="24"/>
                <w:bdr w:val="none" w:color="auto" w:sz="0" w:space="0"/>
                <w:lang w:val="en-US" w:eastAsia="zh-CN" w:bidi="ar"/>
              </w:rPr>
              <w:t>中表</w:t>
            </w:r>
            <w:r>
              <w:rPr>
                <w:rFonts w:hint="default" w:ascii="Times New Roman" w:hAnsi="Times New Roman" w:eastAsia="宋体" w:cs="Times New Roman"/>
                <w:color w:val="000000"/>
                <w:kern w:val="2"/>
                <w:sz w:val="24"/>
                <w:szCs w:val="24"/>
                <w:bdr w:val="none" w:color="auto" w:sz="0" w:space="0"/>
                <w:lang w:val="en-US" w:eastAsia="zh-CN" w:bidi="ar"/>
              </w:rPr>
              <w:t>3</w:t>
            </w:r>
            <w:r>
              <w:rPr>
                <w:rFonts w:hint="eastAsia" w:ascii="Times New Roman" w:hAnsi="Calibri" w:eastAsia="宋体" w:cs="宋体"/>
                <w:color w:val="000000"/>
                <w:kern w:val="2"/>
                <w:sz w:val="24"/>
                <w:szCs w:val="24"/>
                <w:bdr w:val="none" w:color="auto" w:sz="0" w:space="0"/>
                <w:lang w:val="en-US" w:eastAsia="zh-CN" w:bidi="ar"/>
              </w:rPr>
              <w:t>本体型胶黏剂</w:t>
            </w:r>
            <w:r>
              <w:rPr>
                <w:rFonts w:hint="default" w:ascii="Times New Roman" w:hAnsi="Times New Roman" w:eastAsia="宋体" w:cs="Times New Roman"/>
                <w:color w:val="000000"/>
                <w:kern w:val="2"/>
                <w:sz w:val="24"/>
                <w:szCs w:val="24"/>
                <w:bdr w:val="none" w:color="auto" w:sz="0" w:space="0"/>
                <w:lang w:val="en-US" w:eastAsia="zh-CN" w:bidi="ar"/>
              </w:rPr>
              <w:t>VOC</w:t>
            </w:r>
            <w:r>
              <w:rPr>
                <w:rFonts w:hint="eastAsia" w:ascii="Times New Roman" w:hAnsi="Calibri" w:eastAsia="宋体" w:cs="宋体"/>
                <w:color w:val="000000"/>
                <w:kern w:val="2"/>
                <w:sz w:val="24"/>
                <w:szCs w:val="24"/>
                <w:bdr w:val="none" w:color="auto" w:sz="0" w:space="0"/>
                <w:lang w:val="en-US" w:eastAsia="zh-CN" w:bidi="ar"/>
              </w:rPr>
              <w:t>含量限量中热塑类的限值要求小于等于</w:t>
            </w:r>
            <w:r>
              <w:rPr>
                <w:rFonts w:hint="default" w:ascii="Times New Roman" w:hAnsi="Times New Roman" w:eastAsia="宋体" w:cs="Times New Roman"/>
                <w:color w:val="000000"/>
                <w:kern w:val="2"/>
                <w:sz w:val="24"/>
                <w:szCs w:val="24"/>
                <w:bdr w:val="none" w:color="auto" w:sz="0" w:space="0"/>
                <w:lang w:val="en-US" w:eastAsia="zh-CN" w:bidi="ar"/>
              </w:rPr>
              <w:t>50g/kg</w:t>
            </w:r>
            <w:r>
              <w:rPr>
                <w:rFonts w:hint="eastAsia" w:ascii="Times New Roman" w:hAnsi="Calibri" w:eastAsia="宋体" w:cs="宋体"/>
                <w:color w:val="000000"/>
                <w:kern w:val="2"/>
                <w:sz w:val="24"/>
                <w:szCs w:val="24"/>
                <w:bdr w:val="none" w:color="auto" w:sz="0" w:space="0"/>
                <w:lang w:val="en-US" w:eastAsia="zh-CN" w:bidi="ar"/>
              </w:rPr>
              <w:t>。</w:t>
            </w:r>
          </w:p>
          <w:p w14:paraId="18911F43">
            <w:pPr>
              <w:keepNext w:val="0"/>
              <w:keepLines w:val="0"/>
              <w:widowControl w:val="0"/>
              <w:suppressLineNumbers w:val="0"/>
              <w:snapToGrid w:val="0"/>
              <w:spacing w:before="0" w:beforeAutospacing="0" w:after="0" w:afterAutospacing="0" w:line="440" w:lineRule="exact"/>
              <w:ind w:left="0" w:right="0" w:firstLine="482" w:firstLineChars="200"/>
              <w:jc w:val="both"/>
              <w:rPr>
                <w:rFonts w:hint="default" w:ascii="Times New Roman" w:hAnsi="Times New Roman" w:cs="Times New Roman"/>
                <w:color w:val="000000"/>
                <w:sz w:val="24"/>
                <w:szCs w:val="24"/>
                <w:bdr w:val="none" w:color="auto" w:sz="0" w:space="0"/>
                <w:lang w:val="en-US"/>
              </w:rPr>
            </w:pPr>
            <w:r>
              <w:rPr>
                <w:rFonts w:hint="eastAsia" w:ascii="Calibri" w:hAnsi="Calibri" w:eastAsia="宋体" w:cs="宋体"/>
                <w:b/>
                <w:bCs w:val="0"/>
                <w:color w:val="000000"/>
                <w:kern w:val="2"/>
                <w:sz w:val="24"/>
                <w:szCs w:val="24"/>
                <w:bdr w:val="none" w:color="auto" w:sz="0" w:space="0"/>
                <w:lang w:val="en-US" w:eastAsia="zh-CN" w:bidi="ar"/>
              </w:rPr>
              <w:t>背胶处理剂</w:t>
            </w:r>
            <w:r>
              <w:rPr>
                <w:rFonts w:hint="eastAsia" w:ascii="Times New Roman" w:hAnsi="Calibri" w:eastAsia="宋体" w:cs="宋体"/>
                <w:b/>
                <w:bCs w:val="0"/>
                <w:color w:val="000000"/>
                <w:kern w:val="2"/>
                <w:sz w:val="24"/>
                <w:szCs w:val="24"/>
                <w:bdr w:val="none" w:color="auto" w:sz="0" w:space="0"/>
                <w:lang w:val="en-US" w:eastAsia="zh-CN" w:bidi="ar"/>
              </w:rPr>
              <w:t>（</w:t>
            </w:r>
            <w:r>
              <w:rPr>
                <w:rFonts w:hint="default" w:ascii="Times New Roman" w:hAnsi="Times New Roman" w:eastAsia="宋体" w:cs="Times New Roman"/>
                <w:b/>
                <w:bCs w:val="0"/>
                <w:color w:val="000000"/>
                <w:kern w:val="2"/>
                <w:sz w:val="24"/>
                <w:szCs w:val="24"/>
                <w:bdr w:val="none" w:color="auto" w:sz="0" w:space="0"/>
                <w:lang w:val="en-US" w:eastAsia="zh-CN" w:bidi="ar"/>
              </w:rPr>
              <w:t>TJ-60</w:t>
            </w:r>
            <w:r>
              <w:rPr>
                <w:rFonts w:hint="eastAsia" w:ascii="Times New Roman" w:hAnsi="Calibri" w:eastAsia="宋体" w:cs="宋体"/>
                <w:b/>
                <w:bCs w:val="0"/>
                <w:color w:val="000000"/>
                <w:kern w:val="2"/>
                <w:sz w:val="24"/>
                <w:szCs w:val="24"/>
                <w:bdr w:val="none" w:color="auto" w:sz="0" w:space="0"/>
                <w:lang w:val="en-US" w:eastAsia="zh-CN" w:bidi="ar"/>
              </w:rPr>
              <w:t>）：</w:t>
            </w:r>
            <w:r>
              <w:rPr>
                <w:rFonts w:hint="eastAsia" w:ascii="Times New Roman" w:hAnsi="Calibri" w:eastAsia="宋体" w:cs="宋体"/>
                <w:color w:val="000000"/>
                <w:kern w:val="2"/>
                <w:sz w:val="24"/>
                <w:szCs w:val="24"/>
                <w:bdr w:val="none" w:color="auto" w:sz="0" w:space="0"/>
                <w:lang w:val="en-US" w:eastAsia="zh-CN" w:bidi="ar"/>
              </w:rPr>
              <w:t>硅橡胶背胶处理剂专用于硅橡胶材料的表面处理，能有效改善硅橡胶材质的表面极性，大大提高粘接性能。根据建设单位提供的</w:t>
            </w:r>
            <w:r>
              <w:rPr>
                <w:rFonts w:hint="default" w:ascii="Times New Roman" w:hAnsi="Times New Roman" w:eastAsia="宋体" w:cs="Times New Roman"/>
                <w:color w:val="000000"/>
                <w:kern w:val="2"/>
                <w:sz w:val="24"/>
                <w:szCs w:val="24"/>
                <w:bdr w:val="none" w:color="auto" w:sz="0" w:space="0"/>
                <w:lang w:val="en-US" w:eastAsia="zh-CN" w:bidi="ar"/>
              </w:rPr>
              <w:t>TJ-60</w:t>
            </w:r>
            <w:r>
              <w:rPr>
                <w:rFonts w:hint="eastAsia" w:ascii="Times New Roman" w:hAnsi="Calibri" w:eastAsia="宋体" w:cs="宋体"/>
                <w:color w:val="000000"/>
                <w:kern w:val="2"/>
                <w:sz w:val="24"/>
                <w:szCs w:val="24"/>
                <w:bdr w:val="none" w:color="auto" w:sz="0" w:space="0"/>
                <w:lang w:val="en-US" w:eastAsia="zh-CN" w:bidi="ar"/>
              </w:rPr>
              <w:t>的</w:t>
            </w:r>
            <w:r>
              <w:rPr>
                <w:rFonts w:hint="default" w:ascii="Times New Roman" w:hAnsi="Times New Roman" w:eastAsia="宋体" w:cs="Times New Roman"/>
                <w:color w:val="000000"/>
                <w:kern w:val="2"/>
                <w:sz w:val="24"/>
                <w:szCs w:val="24"/>
                <w:bdr w:val="none" w:color="auto" w:sz="0" w:space="0"/>
                <w:lang w:val="en-US" w:eastAsia="zh-CN" w:bidi="ar"/>
              </w:rPr>
              <w:t>MSDS</w:t>
            </w:r>
            <w:r>
              <w:rPr>
                <w:rFonts w:hint="eastAsia" w:ascii="Times New Roman" w:hAnsi="Calibri" w:eastAsia="宋体" w:cs="宋体"/>
                <w:color w:val="000000"/>
                <w:kern w:val="2"/>
                <w:sz w:val="24"/>
                <w:szCs w:val="24"/>
                <w:bdr w:val="none" w:color="auto" w:sz="0" w:space="0"/>
                <w:lang w:val="en-US" w:eastAsia="zh-CN" w:bidi="ar"/>
              </w:rPr>
              <w:t>可知，本品为无色透明液体，无刺激味。闪点：（开口）</w:t>
            </w:r>
            <w:r>
              <w:rPr>
                <w:rFonts w:hint="default" w:ascii="Times New Roman" w:hAnsi="Times New Roman" w:eastAsia="宋体" w:cs="Times New Roman"/>
                <w:color w:val="000000"/>
                <w:kern w:val="2"/>
                <w:sz w:val="24"/>
                <w:szCs w:val="24"/>
                <w:bdr w:val="none" w:color="auto" w:sz="0" w:space="0"/>
                <w:lang w:val="en-US" w:eastAsia="zh-CN" w:bidi="ar"/>
              </w:rPr>
              <w:t>20</w:t>
            </w:r>
            <w:r>
              <w:rPr>
                <w:rFonts w:hint="default" w:ascii="Calibri" w:hAnsi="Calibri" w:eastAsia="宋体" w:cs="Times New Roman"/>
                <w:color w:val="000000"/>
                <w:kern w:val="2"/>
                <w:sz w:val="24"/>
                <w:szCs w:val="24"/>
                <w:bdr w:val="none" w:color="auto" w:sz="0" w:space="0"/>
                <w:lang w:val="en-US" w:eastAsia="zh-CN" w:bidi="ar"/>
              </w:rPr>
              <w:t>℃</w:t>
            </w:r>
            <w:r>
              <w:rPr>
                <w:rFonts w:hint="eastAsia" w:ascii="Times New Roman" w:hAnsi="Calibri" w:eastAsia="宋体" w:cs="宋体"/>
                <w:color w:val="000000"/>
                <w:kern w:val="2"/>
                <w:sz w:val="24"/>
                <w:szCs w:val="24"/>
                <w:bdr w:val="none" w:color="auto" w:sz="0" w:space="0"/>
                <w:lang w:val="en-US" w:eastAsia="zh-CN" w:bidi="ar"/>
              </w:rPr>
              <w:t>，密度：</w:t>
            </w:r>
            <w:r>
              <w:rPr>
                <w:rFonts w:hint="default" w:ascii="Times New Roman" w:hAnsi="Times New Roman" w:eastAsia="宋体" w:cs="Times New Roman"/>
                <w:color w:val="000000"/>
                <w:kern w:val="2"/>
                <w:sz w:val="24"/>
                <w:szCs w:val="24"/>
                <w:bdr w:val="none" w:color="auto" w:sz="0" w:space="0"/>
                <w:lang w:val="en-US" w:eastAsia="zh-CN" w:bidi="ar"/>
              </w:rPr>
              <w:t>0.85g/cm</w:t>
            </w:r>
            <w:r>
              <w:rPr>
                <w:rFonts w:hint="default" w:ascii="Times New Roman" w:hAnsi="Times New Roman" w:eastAsia="宋体" w:cs="Times New Roman"/>
                <w:color w:val="000000"/>
                <w:kern w:val="2"/>
                <w:sz w:val="24"/>
                <w:szCs w:val="24"/>
                <w:bdr w:val="none" w:color="auto" w:sz="0" w:space="0"/>
                <w:vertAlign w:val="superscript"/>
                <w:lang w:val="en-US" w:eastAsia="zh-CN" w:bidi="ar"/>
              </w:rPr>
              <w:t>3</w:t>
            </w:r>
            <w:r>
              <w:rPr>
                <w:rFonts w:hint="eastAsia" w:ascii="Times New Roman" w:hAnsi="Calibri" w:eastAsia="宋体" w:cs="宋体"/>
                <w:color w:val="000000"/>
                <w:kern w:val="2"/>
                <w:sz w:val="24"/>
                <w:szCs w:val="24"/>
                <w:bdr w:val="none" w:color="auto" w:sz="0" w:space="0"/>
                <w:lang w:val="en-US" w:eastAsia="zh-CN" w:bidi="ar"/>
              </w:rPr>
              <w:t>，主要成为为：特殊硅氧烷聚合物（</w:t>
            </w:r>
            <w:r>
              <w:rPr>
                <w:rFonts w:hint="default" w:ascii="Times New Roman" w:hAnsi="Times New Roman" w:eastAsia="宋体" w:cs="Times New Roman"/>
                <w:color w:val="000000"/>
                <w:kern w:val="2"/>
                <w:sz w:val="24"/>
                <w:szCs w:val="24"/>
                <w:bdr w:val="none" w:color="auto" w:sz="0" w:space="0"/>
                <w:lang w:val="en-US" w:eastAsia="zh-CN" w:bidi="ar"/>
              </w:rPr>
              <w:t>25%~35%</w:t>
            </w:r>
            <w:r>
              <w:rPr>
                <w:rFonts w:hint="eastAsia" w:ascii="Times New Roman" w:hAnsi="Calibri" w:eastAsia="宋体" w:cs="宋体"/>
                <w:color w:val="000000"/>
                <w:kern w:val="2"/>
                <w:sz w:val="24"/>
                <w:szCs w:val="24"/>
                <w:bdr w:val="none" w:color="auto" w:sz="0" w:space="0"/>
                <w:lang w:val="en-US" w:eastAsia="zh-CN" w:bidi="ar"/>
              </w:rPr>
              <w:t>）、偶联剂（</w:t>
            </w:r>
            <w:r>
              <w:rPr>
                <w:rFonts w:hint="default" w:ascii="Times New Roman" w:hAnsi="Times New Roman" w:eastAsia="宋体" w:cs="Times New Roman"/>
                <w:color w:val="000000"/>
                <w:kern w:val="2"/>
                <w:sz w:val="24"/>
                <w:szCs w:val="24"/>
                <w:bdr w:val="none" w:color="auto" w:sz="0" w:space="0"/>
                <w:lang w:val="en-US" w:eastAsia="zh-CN" w:bidi="ar"/>
              </w:rPr>
              <w:t>5%~10%</w:t>
            </w:r>
            <w:r>
              <w:rPr>
                <w:rFonts w:hint="eastAsia" w:ascii="Times New Roman" w:hAnsi="Calibri" w:eastAsia="宋体" w:cs="宋体"/>
                <w:color w:val="000000"/>
                <w:kern w:val="2"/>
                <w:sz w:val="24"/>
                <w:szCs w:val="24"/>
                <w:bdr w:val="none" w:color="auto" w:sz="0" w:space="0"/>
                <w:lang w:val="en-US" w:eastAsia="zh-CN" w:bidi="ar"/>
              </w:rPr>
              <w:t>）、正庚烷（</w:t>
            </w:r>
            <w:r>
              <w:rPr>
                <w:rFonts w:hint="default" w:ascii="Times New Roman" w:hAnsi="Times New Roman" w:eastAsia="宋体" w:cs="Times New Roman"/>
                <w:color w:val="000000"/>
                <w:kern w:val="2"/>
                <w:sz w:val="24"/>
                <w:szCs w:val="24"/>
                <w:bdr w:val="none" w:color="auto" w:sz="0" w:space="0"/>
                <w:lang w:val="en-US" w:eastAsia="zh-CN" w:bidi="ar"/>
              </w:rPr>
              <w:t>50%~60%</w:t>
            </w:r>
            <w:r>
              <w:rPr>
                <w:rFonts w:hint="eastAsia" w:ascii="Times New Roman" w:hAnsi="Calibri" w:eastAsia="宋体" w:cs="宋体"/>
                <w:color w:val="000000"/>
                <w:kern w:val="2"/>
                <w:sz w:val="24"/>
                <w:szCs w:val="24"/>
                <w:bdr w:val="none" w:color="auto" w:sz="0" w:space="0"/>
                <w:lang w:val="en-US" w:eastAsia="zh-CN" w:bidi="ar"/>
              </w:rPr>
              <w:t>）。</w:t>
            </w:r>
          </w:p>
          <w:p w14:paraId="6568A432">
            <w:pPr>
              <w:keepNext w:val="0"/>
              <w:keepLines w:val="0"/>
              <w:widowControl w:val="0"/>
              <w:suppressLineNumbers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根据建设单位提供的背胶处理剂中挥发性有机物</w:t>
            </w:r>
            <w:r>
              <w:rPr>
                <w:rFonts w:hint="default" w:ascii="Times New Roman" w:hAnsi="Times New Roman" w:eastAsia="宋体" w:cs="Times New Roman"/>
                <w:color w:val="000000"/>
                <w:kern w:val="2"/>
                <w:sz w:val="24"/>
                <w:szCs w:val="24"/>
                <w:bdr w:val="none" w:color="auto" w:sz="0" w:space="0"/>
                <w:lang w:val="en-US" w:eastAsia="zh-CN" w:bidi="ar"/>
              </w:rPr>
              <w:t>VOC</w:t>
            </w:r>
            <w:r>
              <w:rPr>
                <w:rFonts w:hint="eastAsia" w:ascii="Times New Roman" w:hAnsi="Calibri" w:eastAsia="宋体" w:cs="宋体"/>
                <w:color w:val="000000"/>
                <w:kern w:val="2"/>
                <w:sz w:val="24"/>
                <w:szCs w:val="24"/>
                <w:bdr w:val="none" w:color="auto" w:sz="0" w:space="0"/>
                <w:lang w:val="en-US" w:eastAsia="zh-CN" w:bidi="ar"/>
              </w:rPr>
              <w:t>含量检测报告，项目使用的背胶处理剂</w:t>
            </w:r>
            <w:r>
              <w:rPr>
                <w:rFonts w:hint="default" w:ascii="Times New Roman" w:hAnsi="Times New Roman" w:eastAsia="宋体" w:cs="Times New Roman"/>
                <w:color w:val="000000"/>
                <w:kern w:val="2"/>
                <w:sz w:val="24"/>
                <w:szCs w:val="24"/>
                <w:bdr w:val="none" w:color="auto" w:sz="0" w:space="0"/>
                <w:lang w:val="en-US" w:eastAsia="zh-CN" w:bidi="ar"/>
              </w:rPr>
              <w:t>VOC</w:t>
            </w:r>
            <w:r>
              <w:rPr>
                <w:rFonts w:hint="eastAsia" w:ascii="Times New Roman" w:hAnsi="Calibri" w:eastAsia="宋体" w:cs="宋体"/>
                <w:color w:val="000000"/>
                <w:kern w:val="2"/>
                <w:sz w:val="24"/>
                <w:szCs w:val="24"/>
                <w:bdr w:val="none" w:color="auto" w:sz="0" w:space="0"/>
                <w:lang w:val="en-US" w:eastAsia="zh-CN" w:bidi="ar"/>
              </w:rPr>
              <w:t>含量未检出（</w:t>
            </w:r>
            <w:r>
              <w:rPr>
                <w:rFonts w:hint="default" w:ascii="Times New Roman" w:hAnsi="Times New Roman" w:eastAsia="宋体" w:cs="Times New Roman"/>
                <w:color w:val="000000"/>
                <w:kern w:val="2"/>
                <w:sz w:val="24"/>
                <w:szCs w:val="24"/>
                <w:bdr w:val="none" w:color="auto" w:sz="0" w:space="0"/>
                <w:lang w:val="en-US" w:eastAsia="zh-CN" w:bidi="ar"/>
              </w:rPr>
              <w:t>ND</w:t>
            </w:r>
            <w:r>
              <w:rPr>
                <w:rFonts w:hint="eastAsia" w:ascii="Times New Roman" w:hAnsi="Calibri" w:eastAsia="宋体" w:cs="宋体"/>
                <w:color w:val="000000"/>
                <w:kern w:val="2"/>
                <w:sz w:val="24"/>
                <w:szCs w:val="24"/>
                <w:bdr w:val="none" w:color="auto" w:sz="0" w:space="0"/>
                <w:lang w:val="en-US" w:eastAsia="zh-CN" w:bidi="ar"/>
              </w:rPr>
              <w:t>），满足《胶粘剂挥发性有机化合物限量》</w:t>
            </w:r>
            <w:r>
              <w:rPr>
                <w:rFonts w:hint="default" w:ascii="Times New Roman" w:hAnsi="Times New Roman" w:eastAsia="宋体" w:cs="Times New Roman"/>
                <w:color w:val="000000"/>
                <w:kern w:val="2"/>
                <w:sz w:val="24"/>
                <w:szCs w:val="24"/>
                <w:bdr w:val="none" w:color="auto" w:sz="0" w:space="0"/>
                <w:lang w:val="en-US" w:eastAsia="zh-CN" w:bidi="ar"/>
              </w:rPr>
              <w:t>(GB33372-2020)</w:t>
            </w:r>
            <w:r>
              <w:rPr>
                <w:rFonts w:hint="eastAsia" w:ascii="Times New Roman" w:hAnsi="Calibri" w:eastAsia="宋体" w:cs="宋体"/>
                <w:color w:val="000000"/>
                <w:kern w:val="2"/>
                <w:sz w:val="24"/>
                <w:szCs w:val="24"/>
                <w:bdr w:val="none" w:color="auto" w:sz="0" w:space="0"/>
                <w:lang w:val="en-US" w:eastAsia="zh-CN" w:bidi="ar"/>
              </w:rPr>
              <w:t>中表</w:t>
            </w:r>
            <w:r>
              <w:rPr>
                <w:rFonts w:hint="default" w:ascii="Times New Roman" w:hAnsi="Times New Roman" w:eastAsia="宋体" w:cs="Times New Roman"/>
                <w:color w:val="000000"/>
                <w:kern w:val="2"/>
                <w:sz w:val="24"/>
                <w:szCs w:val="24"/>
                <w:bdr w:val="none" w:color="auto" w:sz="0" w:space="0"/>
                <w:lang w:val="en-US" w:eastAsia="zh-CN" w:bidi="ar"/>
              </w:rPr>
              <w:t>1</w:t>
            </w:r>
            <w:r>
              <w:rPr>
                <w:rFonts w:hint="eastAsia" w:ascii="Times New Roman" w:hAnsi="Calibri" w:eastAsia="宋体" w:cs="宋体"/>
                <w:color w:val="000000"/>
                <w:kern w:val="2"/>
                <w:sz w:val="24"/>
                <w:szCs w:val="24"/>
                <w:bdr w:val="none" w:color="auto" w:sz="0" w:space="0"/>
                <w:lang w:val="en-US" w:eastAsia="zh-CN" w:bidi="ar"/>
              </w:rPr>
              <w:t>溶剂型胶黏剂</w:t>
            </w:r>
            <w:r>
              <w:rPr>
                <w:rFonts w:hint="default" w:ascii="Times New Roman" w:hAnsi="Times New Roman" w:eastAsia="宋体" w:cs="Times New Roman"/>
                <w:color w:val="000000"/>
                <w:kern w:val="2"/>
                <w:sz w:val="24"/>
                <w:szCs w:val="24"/>
                <w:bdr w:val="none" w:color="auto" w:sz="0" w:space="0"/>
                <w:lang w:val="en-US" w:eastAsia="zh-CN" w:bidi="ar"/>
              </w:rPr>
              <w:t>VOC</w:t>
            </w:r>
            <w:r>
              <w:rPr>
                <w:rFonts w:hint="eastAsia" w:ascii="Times New Roman" w:hAnsi="Calibri" w:eastAsia="宋体" w:cs="宋体"/>
                <w:color w:val="000000"/>
                <w:kern w:val="2"/>
                <w:sz w:val="24"/>
                <w:szCs w:val="24"/>
                <w:bdr w:val="none" w:color="auto" w:sz="0" w:space="0"/>
                <w:lang w:val="en-US" w:eastAsia="zh-CN" w:bidi="ar"/>
              </w:rPr>
              <w:t>含量限量中其他类的限值要求小于等于</w:t>
            </w:r>
            <w:r>
              <w:rPr>
                <w:rFonts w:hint="default" w:ascii="Times New Roman" w:hAnsi="Times New Roman" w:eastAsia="宋体" w:cs="Times New Roman"/>
                <w:color w:val="000000"/>
                <w:kern w:val="2"/>
                <w:sz w:val="24"/>
                <w:szCs w:val="24"/>
                <w:bdr w:val="none" w:color="auto" w:sz="0" w:space="0"/>
                <w:lang w:val="en-US" w:eastAsia="zh-CN" w:bidi="ar"/>
              </w:rPr>
              <w:t>250g/L</w:t>
            </w:r>
            <w:r>
              <w:rPr>
                <w:rFonts w:hint="eastAsia" w:ascii="Times New Roman" w:hAnsi="Calibri" w:eastAsia="宋体" w:cs="宋体"/>
                <w:color w:val="000000"/>
                <w:kern w:val="2"/>
                <w:sz w:val="24"/>
                <w:szCs w:val="24"/>
                <w:bdr w:val="none" w:color="auto" w:sz="0" w:space="0"/>
                <w:lang w:val="en-US" w:eastAsia="zh-CN" w:bidi="ar"/>
              </w:rPr>
              <w:t>。</w:t>
            </w:r>
          </w:p>
          <w:p w14:paraId="7CA6C496">
            <w:pPr>
              <w:keepNext w:val="0"/>
              <w:keepLines w:val="0"/>
              <w:widowControl w:val="0"/>
              <w:suppressLineNumbers w:val="0"/>
              <w:snapToGrid w:val="0"/>
              <w:spacing w:before="0" w:beforeAutospacing="0" w:after="0" w:afterAutospacing="0" w:line="440" w:lineRule="exact"/>
              <w:ind w:left="0" w:right="0" w:firstLine="482" w:firstLineChars="200"/>
              <w:jc w:val="both"/>
              <w:rPr>
                <w:rFonts w:hint="default" w:ascii="Times New Roman" w:hAnsi="Times New Roman" w:cs="Times New Roman"/>
                <w:color w:val="000000"/>
                <w:sz w:val="24"/>
                <w:szCs w:val="24"/>
                <w:bdr w:val="none" w:color="auto" w:sz="0" w:space="0"/>
                <w:lang w:val="en-US"/>
              </w:rPr>
            </w:pPr>
            <w:r>
              <w:rPr>
                <w:rFonts w:hint="eastAsia" w:ascii="Calibri" w:hAnsi="Calibri" w:eastAsia="宋体" w:cs="宋体"/>
                <w:b/>
                <w:bCs w:val="0"/>
                <w:color w:val="000000"/>
                <w:kern w:val="2"/>
                <w:sz w:val="24"/>
                <w:szCs w:val="24"/>
                <w:bdr w:val="none" w:color="auto" w:sz="0" w:space="0"/>
                <w:lang w:val="en-US" w:eastAsia="zh-CN" w:bidi="ar"/>
              </w:rPr>
              <w:t>液体硅橡胶</w:t>
            </w:r>
            <w:r>
              <w:rPr>
                <w:rFonts w:hint="eastAsia" w:ascii="Calibri" w:hAnsi="Calibri" w:eastAsia="宋体" w:cs="宋体"/>
                <w:color w:val="000000"/>
                <w:kern w:val="2"/>
                <w:sz w:val="24"/>
                <w:szCs w:val="24"/>
                <w:bdr w:val="none" w:color="auto" w:sz="0" w:space="0"/>
                <w:lang w:val="en-US" w:eastAsia="zh-CN" w:bidi="ar"/>
              </w:rPr>
              <w:t>：</w:t>
            </w:r>
            <w:r>
              <w:rPr>
                <w:rFonts w:hint="eastAsia" w:ascii="Times New Roman" w:hAnsi="Calibri" w:eastAsia="宋体" w:cs="宋体"/>
                <w:color w:val="000000"/>
                <w:kern w:val="2"/>
                <w:sz w:val="24"/>
                <w:szCs w:val="24"/>
                <w:bdr w:val="none" w:color="auto" w:sz="0" w:space="0"/>
                <w:lang w:val="en-US" w:eastAsia="zh-CN" w:bidi="ar"/>
              </w:rPr>
              <w:t>又称双组份加成性硅橡胶，具有流动性好，粘接快，更安全环保，可完全达到食品级要求。</w:t>
            </w:r>
            <w:r>
              <w:rPr>
                <w:rFonts w:hint="default" w:ascii="Times New Roman" w:hAnsi="Calibri" w:eastAsia="宋体" w:cs="Times New Roman"/>
                <w:kern w:val="2"/>
                <w:sz w:val="24"/>
                <w:szCs w:val="24"/>
                <w:bdr w:val="none" w:color="auto" w:sz="0" w:space="0"/>
                <w:lang w:val="en-US" w:eastAsia="zh-CN" w:bidi="ar"/>
              </w:rPr>
              <w:fldChar w:fldCharType="begin"/>
            </w:r>
            <w:r>
              <w:rPr>
                <w:rFonts w:hint="default" w:ascii="Times New Roman" w:hAnsi="Calibri" w:eastAsia="宋体" w:cs="Times New Roman"/>
                <w:kern w:val="2"/>
                <w:sz w:val="24"/>
                <w:szCs w:val="24"/>
                <w:bdr w:val="none" w:color="auto" w:sz="0" w:space="0"/>
                <w:lang w:val="en-US" w:eastAsia="zh-CN" w:bidi="ar"/>
              </w:rPr>
              <w:instrText xml:space="preserve"> HYPERLINK "https://baike.baidu.com/item/%E6%B6%B2%E6%80%81%E7%A1%85%E6%A9%A1%E8%83%B6/8098172?fromModule=lemma_inlink" \t "E:\\Desktop\\永祺环评\\1、重庆永祺新能源科技有限公司永祺汽车配件扩建项目（送审版）\\2、重庆永祺新能源科技有限公司永祺汽车配件扩建项目（送审版）\\_blank" </w:instrText>
            </w:r>
            <w:r>
              <w:rPr>
                <w:rFonts w:hint="default" w:ascii="Times New Roman" w:hAnsi="Calibri" w:eastAsia="宋体" w:cs="Times New Roman"/>
                <w:kern w:val="2"/>
                <w:sz w:val="24"/>
                <w:szCs w:val="24"/>
                <w:bdr w:val="none" w:color="auto" w:sz="0" w:space="0"/>
                <w:lang w:val="en-US" w:eastAsia="zh-CN" w:bidi="ar"/>
              </w:rPr>
              <w:fldChar w:fldCharType="separate"/>
            </w:r>
            <w:r>
              <w:rPr>
                <w:rStyle w:val="23"/>
                <w:rFonts w:hint="eastAsia" w:ascii="Calibri" w:hAnsi="Calibri" w:eastAsia="宋体" w:cs="宋体"/>
                <w:color w:val="000000"/>
                <w:sz w:val="24"/>
                <w:szCs w:val="24"/>
                <w:u w:val="none"/>
                <w:bdr w:val="none" w:color="auto" w:sz="0" w:space="0"/>
                <w:lang w:val="en-US"/>
              </w:rPr>
              <w:t>液态硅橡胶</w:t>
            </w:r>
            <w:r>
              <w:rPr>
                <w:rFonts w:hint="default" w:ascii="Times New Roman" w:hAnsi="Calibri" w:eastAsia="宋体" w:cs="Times New Roman"/>
                <w:kern w:val="2"/>
                <w:sz w:val="24"/>
                <w:szCs w:val="24"/>
                <w:bdr w:val="none" w:color="auto" w:sz="0" w:space="0"/>
                <w:lang w:val="en-US" w:eastAsia="zh-CN" w:bidi="ar"/>
              </w:rPr>
              <w:fldChar w:fldCharType="end"/>
            </w:r>
            <w:r>
              <w:rPr>
                <w:rFonts w:hint="eastAsia" w:ascii="Calibri" w:hAnsi="Calibri" w:eastAsia="宋体" w:cs="宋体"/>
                <w:color w:val="000000"/>
                <w:kern w:val="2"/>
                <w:sz w:val="24"/>
                <w:szCs w:val="24"/>
                <w:bdr w:val="none" w:color="auto" w:sz="0" w:space="0"/>
                <w:lang w:val="en-US" w:eastAsia="zh-CN" w:bidi="ar"/>
              </w:rPr>
              <w:t>又分为自粘型和非自粘型两大类，可以常温固化可以高温固化，</w:t>
            </w:r>
            <w:r>
              <w:rPr>
                <w:rFonts w:hint="eastAsia" w:ascii="Times New Roman" w:hAnsi="Calibri" w:eastAsia="宋体" w:cs="宋体"/>
                <w:color w:val="000000"/>
                <w:kern w:val="2"/>
                <w:sz w:val="24"/>
                <w:szCs w:val="24"/>
                <w:bdr w:val="none" w:color="auto" w:sz="0" w:space="0"/>
                <w:lang w:val="en-US" w:eastAsia="zh-CN" w:bidi="ar"/>
              </w:rPr>
              <w:t>高温固化的可以在数秒钟内完成固化过程。</w:t>
            </w:r>
          </w:p>
          <w:p w14:paraId="29C6FAFA">
            <w:pPr>
              <w:keepNext w:val="0"/>
              <w:keepLines w:val="0"/>
              <w:widowControl w:val="0"/>
              <w:suppressLineNumbers w:val="0"/>
              <w:snapToGrid w:val="0"/>
              <w:spacing w:before="0" w:beforeAutospacing="0" w:after="0" w:afterAutospacing="0" w:line="440" w:lineRule="exact"/>
              <w:ind w:left="0" w:right="0" w:firstLine="480" w:firstLineChars="200"/>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本品为非自粘型液体硅橡胶，白色半透明粘性液体，无毒无气味，沸点＞</w:t>
            </w:r>
            <w:r>
              <w:rPr>
                <w:rFonts w:hint="default" w:ascii="Times New Roman" w:hAnsi="Times New Roman" w:eastAsia="宋体" w:cs="Times New Roman"/>
                <w:color w:val="000000"/>
                <w:kern w:val="2"/>
                <w:sz w:val="24"/>
                <w:szCs w:val="24"/>
                <w:bdr w:val="none" w:color="auto" w:sz="0" w:space="0"/>
                <w:lang w:val="en-US" w:eastAsia="zh-CN" w:bidi="ar"/>
              </w:rPr>
              <w:t>100</w:t>
            </w:r>
            <w:r>
              <w:rPr>
                <w:rFonts w:hint="default" w:ascii="Calibri" w:hAnsi="Calibri" w:eastAsia="宋体" w:cs="Times New Roman"/>
                <w:color w:val="000000"/>
                <w:kern w:val="2"/>
                <w:sz w:val="24"/>
                <w:szCs w:val="24"/>
                <w:bdr w:val="none" w:color="auto" w:sz="0" w:space="0"/>
                <w:lang w:val="en-US" w:eastAsia="zh-CN" w:bidi="ar"/>
              </w:rPr>
              <w:t>℃</w:t>
            </w:r>
            <w:r>
              <w:rPr>
                <w:rFonts w:hint="eastAsia" w:ascii="Times New Roman" w:hAnsi="Calibri" w:eastAsia="宋体" w:cs="宋体"/>
                <w:color w:val="000000"/>
                <w:kern w:val="2"/>
                <w:sz w:val="24"/>
                <w:szCs w:val="24"/>
                <w:bdr w:val="none" w:color="auto" w:sz="0" w:space="0"/>
                <w:lang w:val="en-US" w:eastAsia="zh-CN" w:bidi="ar"/>
              </w:rPr>
              <w:t>，分解温度＞</w:t>
            </w:r>
            <w:r>
              <w:rPr>
                <w:rFonts w:hint="default" w:ascii="Times New Roman" w:hAnsi="Times New Roman" w:eastAsia="宋体" w:cs="Times New Roman"/>
                <w:color w:val="000000"/>
                <w:kern w:val="2"/>
                <w:sz w:val="24"/>
                <w:szCs w:val="24"/>
                <w:bdr w:val="none" w:color="auto" w:sz="0" w:space="0"/>
                <w:lang w:val="en-US" w:eastAsia="zh-CN" w:bidi="ar"/>
              </w:rPr>
              <w:t>250</w:t>
            </w:r>
            <w:r>
              <w:rPr>
                <w:rFonts w:hint="default" w:ascii="Calibri" w:hAnsi="Calibri" w:eastAsia="宋体" w:cs="Times New Roman"/>
                <w:color w:val="000000"/>
                <w:kern w:val="2"/>
                <w:sz w:val="24"/>
                <w:szCs w:val="24"/>
                <w:bdr w:val="none" w:color="auto" w:sz="0" w:space="0"/>
                <w:lang w:val="en-US" w:eastAsia="zh-CN" w:bidi="ar"/>
              </w:rPr>
              <w:t>℃</w:t>
            </w:r>
            <w:r>
              <w:rPr>
                <w:rFonts w:hint="eastAsia" w:ascii="Times New Roman" w:hAnsi="Calibri" w:eastAsia="宋体" w:cs="宋体"/>
                <w:color w:val="000000"/>
                <w:kern w:val="2"/>
                <w:sz w:val="24"/>
                <w:szCs w:val="24"/>
                <w:bdr w:val="none" w:color="auto" w:sz="0" w:space="0"/>
                <w:lang w:val="en-US" w:eastAsia="zh-CN" w:bidi="ar"/>
              </w:rPr>
              <w:t>，闪点＞</w:t>
            </w:r>
            <w:r>
              <w:rPr>
                <w:rFonts w:hint="default" w:ascii="Times New Roman" w:hAnsi="Times New Roman" w:eastAsia="宋体" w:cs="Times New Roman"/>
                <w:color w:val="000000"/>
                <w:kern w:val="2"/>
                <w:sz w:val="24"/>
                <w:szCs w:val="24"/>
                <w:bdr w:val="none" w:color="auto" w:sz="0" w:space="0"/>
                <w:lang w:val="en-US" w:eastAsia="zh-CN" w:bidi="ar"/>
              </w:rPr>
              <w:t>100</w:t>
            </w:r>
            <w:r>
              <w:rPr>
                <w:rFonts w:hint="default" w:ascii="Calibri" w:hAnsi="Calibri" w:eastAsia="宋体" w:cs="Times New Roman"/>
                <w:color w:val="000000"/>
                <w:kern w:val="2"/>
                <w:sz w:val="24"/>
                <w:szCs w:val="24"/>
                <w:bdr w:val="none" w:color="auto" w:sz="0" w:space="0"/>
                <w:lang w:val="en-US" w:eastAsia="zh-CN" w:bidi="ar"/>
              </w:rPr>
              <w:t>℃</w:t>
            </w:r>
            <w:r>
              <w:rPr>
                <w:rFonts w:hint="eastAsia" w:ascii="Times New Roman" w:hAnsi="Calibri" w:eastAsia="宋体" w:cs="宋体"/>
                <w:color w:val="000000"/>
                <w:kern w:val="2"/>
                <w:sz w:val="24"/>
                <w:szCs w:val="24"/>
                <w:bdr w:val="none" w:color="auto" w:sz="0" w:space="0"/>
                <w:lang w:val="en-US" w:eastAsia="zh-CN" w:bidi="ar"/>
              </w:rPr>
              <w:t>（闭杯测试法），密度</w:t>
            </w:r>
            <w:r>
              <w:rPr>
                <w:rFonts w:hint="default" w:ascii="Times New Roman" w:hAnsi="Times New Roman" w:eastAsia="宋体" w:cs="Times New Roman"/>
                <w:color w:val="000000"/>
                <w:kern w:val="2"/>
                <w:sz w:val="24"/>
                <w:szCs w:val="24"/>
                <w:bdr w:val="none" w:color="auto" w:sz="0" w:space="0"/>
                <w:lang w:val="en-US" w:eastAsia="zh-CN" w:bidi="ar"/>
              </w:rPr>
              <w:t>1.1g/cm</w:t>
            </w:r>
            <w:r>
              <w:rPr>
                <w:rFonts w:hint="default" w:ascii="Times New Roman" w:hAnsi="Times New Roman" w:eastAsia="宋体" w:cs="Times New Roman"/>
                <w:color w:val="000000"/>
                <w:kern w:val="2"/>
                <w:sz w:val="24"/>
                <w:szCs w:val="24"/>
                <w:bdr w:val="none" w:color="auto" w:sz="0" w:space="0"/>
                <w:vertAlign w:val="superscript"/>
                <w:lang w:val="en-US" w:eastAsia="zh-CN" w:bidi="ar"/>
              </w:rPr>
              <w:t>3</w:t>
            </w:r>
            <w:r>
              <w:rPr>
                <w:rFonts w:hint="eastAsia" w:ascii="Times New Roman" w:hAnsi="Calibri" w:eastAsia="宋体" w:cs="宋体"/>
                <w:color w:val="000000"/>
                <w:kern w:val="2"/>
                <w:sz w:val="24"/>
                <w:szCs w:val="24"/>
                <w:bdr w:val="none" w:color="auto" w:sz="0" w:space="0"/>
                <w:lang w:val="en-US" w:eastAsia="zh-CN" w:bidi="ar"/>
              </w:rPr>
              <w:t>，主要成分为：端乙烯基聚硅氧烷（</w:t>
            </w:r>
            <w:r>
              <w:rPr>
                <w:rFonts w:hint="default" w:ascii="Times New Roman" w:hAnsi="Times New Roman" w:eastAsia="宋体" w:cs="Times New Roman"/>
                <w:color w:val="000000"/>
                <w:kern w:val="2"/>
                <w:sz w:val="24"/>
                <w:szCs w:val="24"/>
                <w:bdr w:val="none" w:color="auto" w:sz="0" w:space="0"/>
                <w:lang w:val="en-US" w:eastAsia="zh-CN" w:bidi="ar"/>
              </w:rPr>
              <w:t>30%~60%</w:t>
            </w:r>
            <w:r>
              <w:rPr>
                <w:rFonts w:hint="eastAsia" w:ascii="Times New Roman" w:hAnsi="Calibri" w:eastAsia="宋体" w:cs="宋体"/>
                <w:color w:val="000000"/>
                <w:kern w:val="2"/>
                <w:sz w:val="24"/>
                <w:szCs w:val="24"/>
                <w:bdr w:val="none" w:color="auto" w:sz="0" w:space="0"/>
                <w:lang w:val="en-US" w:eastAsia="zh-CN" w:bidi="ar"/>
              </w:rPr>
              <w:t>）、二氧化硅（</w:t>
            </w:r>
            <w:r>
              <w:rPr>
                <w:rFonts w:hint="default" w:ascii="Times New Roman" w:hAnsi="Times New Roman" w:eastAsia="宋体" w:cs="Times New Roman"/>
                <w:color w:val="000000"/>
                <w:kern w:val="2"/>
                <w:sz w:val="24"/>
                <w:szCs w:val="24"/>
                <w:bdr w:val="none" w:color="auto" w:sz="0" w:space="0"/>
                <w:lang w:val="en-US" w:eastAsia="zh-CN" w:bidi="ar"/>
              </w:rPr>
              <w:t>20%~40%</w:t>
            </w:r>
            <w:r>
              <w:rPr>
                <w:rFonts w:hint="eastAsia" w:ascii="Times New Roman" w:hAnsi="Calibri" w:eastAsia="宋体" w:cs="宋体"/>
                <w:color w:val="000000"/>
                <w:kern w:val="2"/>
                <w:sz w:val="24"/>
                <w:szCs w:val="24"/>
                <w:bdr w:val="none" w:color="auto" w:sz="0" w:space="0"/>
                <w:lang w:val="en-US" w:eastAsia="zh-CN" w:bidi="ar"/>
              </w:rPr>
              <w:t>）、含氢硅油（</w:t>
            </w:r>
            <w:r>
              <w:rPr>
                <w:rFonts w:hint="default" w:ascii="Times New Roman" w:hAnsi="Times New Roman" w:eastAsia="宋体" w:cs="Times New Roman"/>
                <w:color w:val="000000"/>
                <w:kern w:val="2"/>
                <w:sz w:val="24"/>
                <w:szCs w:val="24"/>
                <w:bdr w:val="none" w:color="auto" w:sz="0" w:space="0"/>
                <w:lang w:val="en-US" w:eastAsia="zh-CN" w:bidi="ar"/>
              </w:rPr>
              <w:t>2%~7%</w:t>
            </w:r>
            <w:r>
              <w:rPr>
                <w:rFonts w:hint="eastAsia" w:ascii="Times New Roman" w:hAnsi="Calibri" w:eastAsia="宋体" w:cs="宋体"/>
                <w:color w:val="000000"/>
                <w:kern w:val="2"/>
                <w:sz w:val="24"/>
                <w:szCs w:val="24"/>
                <w:bdr w:val="none" w:color="auto" w:sz="0" w:space="0"/>
                <w:lang w:val="en-US" w:eastAsia="zh-CN" w:bidi="ar"/>
              </w:rPr>
              <w:t>）、氯铂酸（微量）。</w:t>
            </w:r>
          </w:p>
          <w:p w14:paraId="3465C383">
            <w:pPr>
              <w:pStyle w:val="93"/>
              <w:widowControl/>
              <w:rPr>
                <w:b w:val="0"/>
                <w:bCs w:val="0"/>
                <w:sz w:val="24"/>
                <w:szCs w:val="24"/>
                <w:bdr w:val="none" w:color="auto" w:sz="0" w:space="0"/>
                <w:lang w:val="en-US"/>
              </w:rPr>
            </w:pPr>
            <w:r>
              <w:rPr>
                <w:rFonts w:hint="eastAsia" w:ascii="Times New Roman" w:hAnsi="Times New Roman" w:eastAsia="宋体" w:cs="宋体"/>
                <w:b w:val="0"/>
                <w:bCs w:val="0"/>
                <w:sz w:val="24"/>
                <w:szCs w:val="24"/>
                <w:bdr w:val="none" w:color="auto" w:sz="0" w:space="0"/>
              </w:rPr>
              <w:t>表</w:t>
            </w:r>
            <w:r>
              <w:rPr>
                <w:b w:val="0"/>
                <w:bCs w:val="0"/>
                <w:sz w:val="24"/>
                <w:szCs w:val="24"/>
                <w:bdr w:val="none" w:color="auto" w:sz="0" w:space="0"/>
                <w:lang w:val="en-US"/>
              </w:rPr>
              <w:t xml:space="preserve">2.6-2 </w:t>
            </w:r>
            <w:r>
              <w:rPr>
                <w:rFonts w:hint="eastAsia" w:ascii="Times New Roman" w:hAnsi="Times New Roman" w:eastAsia="宋体" w:cs="宋体"/>
                <w:b w:val="0"/>
                <w:bCs w:val="0"/>
                <w:sz w:val="24"/>
                <w:szCs w:val="24"/>
                <w:bdr w:val="none" w:color="auto" w:sz="0" w:space="0"/>
              </w:rPr>
              <w:t>扩建项目主要能源消耗情况</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Layout w:type="fixed"/>
              <w:tblCellMar>
                <w:top w:w="0" w:type="dxa"/>
                <w:left w:w="108" w:type="dxa"/>
                <w:bottom w:w="0" w:type="dxa"/>
                <w:right w:w="108" w:type="dxa"/>
              </w:tblCellMar>
            </w:tblPr>
            <w:tblGrid>
              <w:gridCol w:w="855"/>
              <w:gridCol w:w="1293"/>
              <w:gridCol w:w="1641"/>
              <w:gridCol w:w="1532"/>
              <w:gridCol w:w="1532"/>
              <w:gridCol w:w="1532"/>
            </w:tblGrid>
            <w:tr w14:paraId="32356F4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CellMar>
                  <w:top w:w="0" w:type="dxa"/>
                  <w:left w:w="108" w:type="dxa"/>
                  <w:bottom w:w="0" w:type="dxa"/>
                  <w:right w:w="108" w:type="dxa"/>
                </w:tblCellMar>
              </w:tblPrEx>
              <w:trPr>
                <w:trHeight w:val="50" w:hRule="atLeast"/>
                <w:jc w:val="center"/>
              </w:trPr>
              <w:tc>
                <w:tcPr>
                  <w:tcW w:w="855" w:type="dxa"/>
                  <w:vMerge w:val="restart"/>
                  <w:tcBorders>
                    <w:top w:val="single" w:color="auto" w:sz="12" w:space="0"/>
                    <w:left w:val="nil"/>
                    <w:bottom w:val="single" w:color="auto" w:sz="4" w:space="0"/>
                    <w:right w:val="single" w:color="auto" w:sz="4" w:space="0"/>
                  </w:tcBorders>
                  <w:shd w:val="clear"/>
                  <w:vAlign w:val="center"/>
                </w:tcPr>
                <w:p w14:paraId="488061B1">
                  <w:pPr>
                    <w:pStyle w:val="37"/>
                    <w:widowControl/>
                    <w:rPr>
                      <w:color w:val="000000"/>
                      <w:szCs w:val="21"/>
                      <w:bdr w:val="none" w:color="auto" w:sz="0" w:space="0"/>
                      <w:lang w:val="en-US"/>
                    </w:rPr>
                  </w:pPr>
                  <w:r>
                    <w:rPr>
                      <w:rFonts w:hint="eastAsia" w:ascii="Times New Roman" w:hAnsi="Times New Roman" w:eastAsia="宋体" w:cs="宋体"/>
                      <w:color w:val="000000"/>
                      <w:szCs w:val="21"/>
                      <w:bdr w:val="none" w:color="auto" w:sz="0" w:space="0"/>
                    </w:rPr>
                    <w:t>序号</w:t>
                  </w:r>
                </w:p>
              </w:tc>
              <w:tc>
                <w:tcPr>
                  <w:tcW w:w="1293" w:type="dxa"/>
                  <w:vMerge w:val="restart"/>
                  <w:tcBorders>
                    <w:top w:val="single" w:color="auto" w:sz="12" w:space="0"/>
                    <w:left w:val="single" w:color="auto" w:sz="4" w:space="0"/>
                    <w:bottom w:val="single" w:color="auto" w:sz="4" w:space="0"/>
                    <w:right w:val="single" w:color="auto" w:sz="4" w:space="0"/>
                  </w:tcBorders>
                  <w:shd w:val="clear"/>
                  <w:vAlign w:val="center"/>
                </w:tcPr>
                <w:p w14:paraId="24E7A28E">
                  <w:pPr>
                    <w:pStyle w:val="37"/>
                    <w:widowControl/>
                    <w:rPr>
                      <w:color w:val="000000"/>
                      <w:szCs w:val="21"/>
                      <w:bdr w:val="none" w:color="auto" w:sz="0" w:space="0"/>
                      <w:lang w:val="en-US"/>
                    </w:rPr>
                  </w:pPr>
                  <w:r>
                    <w:rPr>
                      <w:rFonts w:hint="eastAsia" w:ascii="Times New Roman" w:hAnsi="Times New Roman" w:eastAsia="宋体" w:cs="宋体"/>
                      <w:color w:val="000000"/>
                      <w:szCs w:val="21"/>
                      <w:bdr w:val="none" w:color="auto" w:sz="0" w:space="0"/>
                    </w:rPr>
                    <w:t>能源</w:t>
                  </w:r>
                </w:p>
              </w:tc>
              <w:tc>
                <w:tcPr>
                  <w:tcW w:w="1641" w:type="dxa"/>
                  <w:vMerge w:val="restart"/>
                  <w:tcBorders>
                    <w:top w:val="single" w:color="auto" w:sz="12" w:space="0"/>
                    <w:left w:val="single" w:color="auto" w:sz="4" w:space="0"/>
                    <w:bottom w:val="single" w:color="auto" w:sz="4" w:space="0"/>
                    <w:right w:val="single" w:color="auto" w:sz="4" w:space="0"/>
                  </w:tcBorders>
                  <w:shd w:val="clear"/>
                  <w:vAlign w:val="center"/>
                </w:tcPr>
                <w:p w14:paraId="199A6611">
                  <w:pPr>
                    <w:pStyle w:val="37"/>
                    <w:widowControl/>
                    <w:rPr>
                      <w:color w:val="000000"/>
                      <w:szCs w:val="21"/>
                      <w:bdr w:val="none" w:color="auto" w:sz="0" w:space="0"/>
                      <w:lang w:val="en-US"/>
                    </w:rPr>
                  </w:pPr>
                  <w:r>
                    <w:rPr>
                      <w:rFonts w:hint="eastAsia" w:ascii="Times New Roman" w:hAnsi="Times New Roman" w:eastAsia="宋体" w:cs="宋体"/>
                      <w:color w:val="000000"/>
                      <w:szCs w:val="21"/>
                      <w:bdr w:val="none" w:color="auto" w:sz="0" w:space="0"/>
                    </w:rPr>
                    <w:t>单位</w:t>
                  </w:r>
                </w:p>
              </w:tc>
              <w:tc>
                <w:tcPr>
                  <w:tcW w:w="4596" w:type="dxa"/>
                  <w:gridSpan w:val="3"/>
                  <w:tcBorders>
                    <w:top w:val="single" w:color="auto" w:sz="12" w:space="0"/>
                    <w:left w:val="single" w:color="auto" w:sz="4" w:space="0"/>
                    <w:bottom w:val="single" w:color="auto" w:sz="4" w:space="0"/>
                    <w:right w:val="nil"/>
                  </w:tcBorders>
                  <w:shd w:val="clear"/>
                  <w:vAlign w:val="center"/>
                </w:tcPr>
                <w:p w14:paraId="3A59519A">
                  <w:pPr>
                    <w:pStyle w:val="37"/>
                    <w:widowControl/>
                    <w:rPr>
                      <w:color w:val="000000"/>
                      <w:szCs w:val="21"/>
                      <w:bdr w:val="none" w:color="auto" w:sz="0" w:space="0"/>
                      <w:lang w:val="en-US"/>
                    </w:rPr>
                  </w:pPr>
                  <w:r>
                    <w:rPr>
                      <w:rFonts w:hint="eastAsia" w:ascii="Times New Roman" w:hAnsi="Times New Roman" w:eastAsia="宋体" w:cs="宋体"/>
                      <w:color w:val="000000"/>
                      <w:szCs w:val="21"/>
                      <w:bdr w:val="none" w:color="auto" w:sz="0" w:space="0"/>
                    </w:rPr>
                    <w:t>年消耗量</w:t>
                  </w:r>
                </w:p>
              </w:tc>
            </w:tr>
            <w:tr w14:paraId="34760B8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855" w:type="dxa"/>
                  <w:vMerge w:val="continue"/>
                  <w:tcBorders>
                    <w:top w:val="single" w:color="auto" w:sz="12" w:space="0"/>
                    <w:left w:val="nil"/>
                    <w:bottom w:val="single" w:color="auto" w:sz="4" w:space="0"/>
                    <w:right w:val="single" w:color="auto" w:sz="4" w:space="0"/>
                  </w:tcBorders>
                  <w:shd w:val="clear"/>
                  <w:vAlign w:val="center"/>
                </w:tcPr>
                <w:p w14:paraId="1588EC85">
                  <w:pPr>
                    <w:rPr>
                      <w:rFonts w:hint="default" w:ascii="Calibri" w:hAnsi="Calibri" w:cs="Calibri"/>
                      <w:sz w:val="20"/>
                      <w:szCs w:val="20"/>
                    </w:rPr>
                  </w:pPr>
                </w:p>
              </w:tc>
              <w:tc>
                <w:tcPr>
                  <w:tcW w:w="1293" w:type="dxa"/>
                  <w:vMerge w:val="continue"/>
                  <w:tcBorders>
                    <w:top w:val="single" w:color="auto" w:sz="12" w:space="0"/>
                    <w:left w:val="single" w:color="auto" w:sz="4" w:space="0"/>
                    <w:bottom w:val="single" w:color="auto" w:sz="4" w:space="0"/>
                    <w:right w:val="single" w:color="auto" w:sz="4" w:space="0"/>
                  </w:tcBorders>
                  <w:shd w:val="clear"/>
                  <w:vAlign w:val="center"/>
                </w:tcPr>
                <w:p w14:paraId="4C80C770">
                  <w:pPr>
                    <w:rPr>
                      <w:rFonts w:hint="default" w:ascii="Calibri" w:hAnsi="Calibri" w:cs="Calibri"/>
                      <w:sz w:val="20"/>
                      <w:szCs w:val="20"/>
                    </w:rPr>
                  </w:pPr>
                </w:p>
              </w:tc>
              <w:tc>
                <w:tcPr>
                  <w:tcW w:w="1641" w:type="dxa"/>
                  <w:vMerge w:val="continue"/>
                  <w:tcBorders>
                    <w:top w:val="single" w:color="auto" w:sz="12" w:space="0"/>
                    <w:left w:val="single" w:color="auto" w:sz="4" w:space="0"/>
                    <w:bottom w:val="single" w:color="auto" w:sz="4" w:space="0"/>
                    <w:right w:val="single" w:color="auto" w:sz="4" w:space="0"/>
                  </w:tcBorders>
                  <w:shd w:val="clear"/>
                  <w:vAlign w:val="center"/>
                </w:tcPr>
                <w:p w14:paraId="7484F489">
                  <w:pPr>
                    <w:rPr>
                      <w:rFonts w:hint="default" w:ascii="Calibri" w:hAnsi="Calibri" w:cs="Calibri"/>
                      <w:sz w:val="20"/>
                      <w:szCs w:val="20"/>
                    </w:rPr>
                  </w:pPr>
                </w:p>
              </w:tc>
              <w:tc>
                <w:tcPr>
                  <w:tcW w:w="1532" w:type="dxa"/>
                  <w:tcBorders>
                    <w:top w:val="single" w:color="auto" w:sz="4" w:space="0"/>
                    <w:left w:val="single" w:color="auto" w:sz="4" w:space="0"/>
                    <w:bottom w:val="single" w:color="auto" w:sz="4" w:space="0"/>
                    <w:right w:val="single" w:color="auto" w:sz="4" w:space="0"/>
                  </w:tcBorders>
                  <w:shd w:val="clear"/>
                  <w:vAlign w:val="center"/>
                </w:tcPr>
                <w:p w14:paraId="468C1305">
                  <w:pPr>
                    <w:pStyle w:val="37"/>
                    <w:widowControl/>
                    <w:rPr>
                      <w:color w:val="000000"/>
                      <w:szCs w:val="21"/>
                      <w:bdr w:val="none" w:color="auto" w:sz="0" w:space="0"/>
                      <w:lang w:val="en-US"/>
                    </w:rPr>
                  </w:pPr>
                  <w:r>
                    <w:rPr>
                      <w:rFonts w:hint="eastAsia" w:ascii="Times New Roman" w:hAnsi="Times New Roman" w:eastAsia="宋体" w:cs="宋体"/>
                      <w:color w:val="000000"/>
                      <w:szCs w:val="21"/>
                      <w:bdr w:val="none" w:color="auto" w:sz="0" w:space="0"/>
                    </w:rPr>
                    <w:t>现有项目</w:t>
                  </w:r>
                </w:p>
              </w:tc>
              <w:tc>
                <w:tcPr>
                  <w:tcW w:w="1532" w:type="dxa"/>
                  <w:tcBorders>
                    <w:top w:val="single" w:color="auto" w:sz="4" w:space="0"/>
                    <w:left w:val="single" w:color="auto" w:sz="4" w:space="0"/>
                    <w:bottom w:val="single" w:color="auto" w:sz="4" w:space="0"/>
                    <w:right w:val="single" w:color="auto" w:sz="4" w:space="0"/>
                  </w:tcBorders>
                  <w:shd w:val="clear"/>
                  <w:vAlign w:val="center"/>
                </w:tcPr>
                <w:p w14:paraId="64E04692">
                  <w:pPr>
                    <w:pStyle w:val="37"/>
                    <w:widowControl/>
                    <w:rPr>
                      <w:color w:val="000000"/>
                      <w:szCs w:val="21"/>
                      <w:bdr w:val="none" w:color="auto" w:sz="0" w:space="0"/>
                      <w:lang w:val="en-US"/>
                    </w:rPr>
                  </w:pPr>
                  <w:r>
                    <w:rPr>
                      <w:rFonts w:hint="eastAsia" w:ascii="Times New Roman" w:hAnsi="Times New Roman" w:eastAsia="宋体" w:cs="宋体"/>
                      <w:color w:val="000000"/>
                      <w:szCs w:val="21"/>
                      <w:bdr w:val="none" w:color="auto" w:sz="0" w:space="0"/>
                    </w:rPr>
                    <w:t>扩建后全厂</w:t>
                  </w:r>
                </w:p>
              </w:tc>
              <w:tc>
                <w:tcPr>
                  <w:tcW w:w="1532" w:type="dxa"/>
                  <w:tcBorders>
                    <w:top w:val="single" w:color="auto" w:sz="4" w:space="0"/>
                    <w:left w:val="single" w:color="auto" w:sz="4" w:space="0"/>
                    <w:bottom w:val="single" w:color="auto" w:sz="4" w:space="0"/>
                    <w:right w:val="nil"/>
                  </w:tcBorders>
                  <w:shd w:val="clear"/>
                  <w:vAlign w:val="center"/>
                </w:tcPr>
                <w:p w14:paraId="0314C9D9">
                  <w:pPr>
                    <w:pStyle w:val="37"/>
                    <w:widowControl/>
                    <w:rPr>
                      <w:color w:val="000000"/>
                      <w:szCs w:val="21"/>
                      <w:bdr w:val="none" w:color="auto" w:sz="0" w:space="0"/>
                      <w:lang w:val="en-US"/>
                    </w:rPr>
                  </w:pPr>
                  <w:r>
                    <w:rPr>
                      <w:rFonts w:hint="eastAsia" w:ascii="Times New Roman" w:hAnsi="Times New Roman" w:eastAsia="宋体" w:cs="宋体"/>
                      <w:color w:val="000000"/>
                      <w:szCs w:val="21"/>
                      <w:bdr w:val="none" w:color="auto" w:sz="0" w:space="0"/>
                    </w:rPr>
                    <w:t>变化量</w:t>
                  </w:r>
                </w:p>
              </w:tc>
            </w:tr>
            <w:tr w14:paraId="3857A28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55" w:type="dxa"/>
                  <w:tcBorders>
                    <w:top w:val="single" w:color="auto" w:sz="4" w:space="0"/>
                    <w:left w:val="nil"/>
                    <w:bottom w:val="single" w:color="auto" w:sz="4" w:space="0"/>
                    <w:right w:val="single" w:color="auto" w:sz="4" w:space="0"/>
                  </w:tcBorders>
                  <w:shd w:val="clear"/>
                  <w:vAlign w:val="center"/>
                </w:tcPr>
                <w:p w14:paraId="0CAA14D6">
                  <w:pPr>
                    <w:pStyle w:val="37"/>
                    <w:widowControl/>
                    <w:rPr>
                      <w:color w:val="000000"/>
                      <w:szCs w:val="21"/>
                      <w:bdr w:val="none" w:color="auto" w:sz="0" w:space="0"/>
                      <w:lang w:val="en-US"/>
                    </w:rPr>
                  </w:pPr>
                  <w:r>
                    <w:rPr>
                      <w:color w:val="000000"/>
                      <w:szCs w:val="21"/>
                      <w:bdr w:val="none" w:color="auto" w:sz="0" w:space="0"/>
                      <w:lang w:val="en-US"/>
                    </w:rPr>
                    <w:t>1</w:t>
                  </w:r>
                </w:p>
              </w:tc>
              <w:tc>
                <w:tcPr>
                  <w:tcW w:w="1293" w:type="dxa"/>
                  <w:tcBorders>
                    <w:top w:val="single" w:color="auto" w:sz="4" w:space="0"/>
                    <w:left w:val="single" w:color="auto" w:sz="4" w:space="0"/>
                    <w:bottom w:val="single" w:color="auto" w:sz="4" w:space="0"/>
                    <w:right w:val="single" w:color="auto" w:sz="4" w:space="0"/>
                  </w:tcBorders>
                  <w:shd w:val="clear"/>
                  <w:vAlign w:val="center"/>
                </w:tcPr>
                <w:p w14:paraId="15D21F91">
                  <w:pPr>
                    <w:pStyle w:val="37"/>
                    <w:widowControl/>
                    <w:rPr>
                      <w:color w:val="000000"/>
                      <w:szCs w:val="21"/>
                      <w:bdr w:val="none" w:color="auto" w:sz="0" w:space="0"/>
                      <w:lang w:val="en-US"/>
                    </w:rPr>
                  </w:pPr>
                  <w:r>
                    <w:rPr>
                      <w:rFonts w:hint="eastAsia" w:ascii="Times New Roman" w:hAnsi="Times New Roman" w:eastAsia="宋体" w:cs="宋体"/>
                      <w:color w:val="000000"/>
                      <w:szCs w:val="21"/>
                      <w:bdr w:val="none" w:color="auto" w:sz="0" w:space="0"/>
                    </w:rPr>
                    <w:t>水</w:t>
                  </w:r>
                </w:p>
              </w:tc>
              <w:tc>
                <w:tcPr>
                  <w:tcW w:w="1641" w:type="dxa"/>
                  <w:tcBorders>
                    <w:top w:val="single" w:color="auto" w:sz="4" w:space="0"/>
                    <w:left w:val="single" w:color="auto" w:sz="4" w:space="0"/>
                    <w:bottom w:val="single" w:color="auto" w:sz="4" w:space="0"/>
                    <w:right w:val="single" w:color="auto" w:sz="4" w:space="0"/>
                  </w:tcBorders>
                  <w:shd w:val="clear"/>
                  <w:vAlign w:val="center"/>
                </w:tcPr>
                <w:p w14:paraId="766F6B7B">
                  <w:pPr>
                    <w:pStyle w:val="37"/>
                    <w:widowControl/>
                    <w:rPr>
                      <w:color w:val="000000"/>
                      <w:szCs w:val="21"/>
                      <w:bdr w:val="none" w:color="auto" w:sz="0" w:space="0"/>
                      <w:lang w:val="en-US"/>
                    </w:rPr>
                  </w:pPr>
                  <w:r>
                    <w:rPr>
                      <w:rFonts w:hint="eastAsia" w:ascii="Times New Roman" w:hAnsi="Times New Roman" w:eastAsia="宋体" w:cs="宋体"/>
                      <w:color w:val="000000"/>
                      <w:szCs w:val="21"/>
                      <w:bdr w:val="none" w:color="auto" w:sz="0" w:space="0"/>
                    </w:rPr>
                    <w:t>万</w:t>
                  </w:r>
                  <w:r>
                    <w:rPr>
                      <w:color w:val="000000"/>
                      <w:szCs w:val="21"/>
                      <w:bdr w:val="none" w:color="auto" w:sz="0" w:space="0"/>
                      <w:lang w:val="en-US"/>
                    </w:rPr>
                    <w:t>m</w:t>
                  </w:r>
                  <w:r>
                    <w:rPr>
                      <w:color w:val="000000"/>
                      <w:szCs w:val="21"/>
                      <w:bdr w:val="none" w:color="auto" w:sz="0" w:space="0"/>
                      <w:vertAlign w:val="superscript"/>
                      <w:lang w:val="en-US"/>
                    </w:rPr>
                    <w:t>3</w:t>
                  </w:r>
                  <w:r>
                    <w:rPr>
                      <w:color w:val="000000"/>
                      <w:szCs w:val="21"/>
                      <w:bdr w:val="none" w:color="auto" w:sz="0" w:space="0"/>
                      <w:lang w:val="en-US"/>
                    </w:rPr>
                    <w:t>/a</w:t>
                  </w:r>
                </w:p>
              </w:tc>
              <w:tc>
                <w:tcPr>
                  <w:tcW w:w="1532" w:type="dxa"/>
                  <w:tcBorders>
                    <w:top w:val="single" w:color="auto" w:sz="4" w:space="0"/>
                    <w:left w:val="single" w:color="auto" w:sz="4" w:space="0"/>
                    <w:bottom w:val="single" w:color="auto" w:sz="4" w:space="0"/>
                    <w:right w:val="single" w:color="auto" w:sz="4" w:space="0"/>
                  </w:tcBorders>
                  <w:shd w:val="clear"/>
                  <w:vAlign w:val="center"/>
                </w:tcPr>
                <w:p w14:paraId="56384E33">
                  <w:pPr>
                    <w:pStyle w:val="37"/>
                    <w:widowControl/>
                    <w:rPr>
                      <w:color w:val="000000"/>
                      <w:szCs w:val="21"/>
                      <w:bdr w:val="none" w:color="auto" w:sz="0" w:space="0"/>
                      <w:lang w:val="en-US"/>
                    </w:rPr>
                  </w:pPr>
                  <w:r>
                    <w:rPr>
                      <w:color w:val="000000"/>
                      <w:szCs w:val="21"/>
                      <w:bdr w:val="none" w:color="auto" w:sz="0" w:space="0"/>
                      <w:lang w:val="en-US"/>
                    </w:rPr>
                    <w:t>0.0750</w:t>
                  </w:r>
                </w:p>
              </w:tc>
              <w:tc>
                <w:tcPr>
                  <w:tcW w:w="1532" w:type="dxa"/>
                  <w:tcBorders>
                    <w:top w:val="single" w:color="auto" w:sz="4" w:space="0"/>
                    <w:left w:val="single" w:color="auto" w:sz="4" w:space="0"/>
                    <w:bottom w:val="single" w:color="auto" w:sz="4" w:space="0"/>
                    <w:right w:val="single" w:color="auto" w:sz="4" w:space="0"/>
                  </w:tcBorders>
                  <w:shd w:val="clear"/>
                  <w:vAlign w:val="center"/>
                </w:tcPr>
                <w:p w14:paraId="7A6C13C5">
                  <w:pPr>
                    <w:pStyle w:val="37"/>
                    <w:widowControl/>
                    <w:rPr>
                      <w:color w:val="000000"/>
                      <w:szCs w:val="21"/>
                      <w:bdr w:val="none" w:color="auto" w:sz="0" w:space="0"/>
                      <w:lang w:val="en-US"/>
                    </w:rPr>
                  </w:pPr>
                  <w:r>
                    <w:rPr>
                      <w:color w:val="000000"/>
                      <w:szCs w:val="21"/>
                      <w:bdr w:val="none" w:color="auto" w:sz="0" w:space="0"/>
                      <w:lang w:val="en-US"/>
                    </w:rPr>
                    <w:t>0.0975</w:t>
                  </w:r>
                </w:p>
              </w:tc>
              <w:tc>
                <w:tcPr>
                  <w:tcW w:w="1532" w:type="dxa"/>
                  <w:tcBorders>
                    <w:top w:val="single" w:color="auto" w:sz="4" w:space="0"/>
                    <w:left w:val="single" w:color="auto" w:sz="4" w:space="0"/>
                    <w:bottom w:val="single" w:color="auto" w:sz="4" w:space="0"/>
                    <w:right w:val="nil"/>
                  </w:tcBorders>
                  <w:shd w:val="clear"/>
                  <w:vAlign w:val="center"/>
                </w:tcPr>
                <w:p w14:paraId="1FBDFE04">
                  <w:pPr>
                    <w:pStyle w:val="37"/>
                    <w:widowControl/>
                    <w:rPr>
                      <w:color w:val="000000"/>
                      <w:szCs w:val="21"/>
                      <w:bdr w:val="none" w:color="auto" w:sz="0" w:space="0"/>
                      <w:lang w:val="en-US"/>
                    </w:rPr>
                  </w:pPr>
                  <w:r>
                    <w:rPr>
                      <w:color w:val="000000"/>
                      <w:szCs w:val="21"/>
                      <w:bdr w:val="none" w:color="auto" w:sz="0" w:space="0"/>
                      <w:lang w:val="en-US"/>
                    </w:rPr>
                    <w:t>+0.0225</w:t>
                  </w:r>
                </w:p>
              </w:tc>
            </w:tr>
            <w:tr w14:paraId="7D41D62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55" w:type="dxa"/>
                  <w:tcBorders>
                    <w:top w:val="single" w:color="auto" w:sz="4" w:space="0"/>
                    <w:left w:val="nil"/>
                    <w:bottom w:val="single" w:color="auto" w:sz="12" w:space="0"/>
                    <w:right w:val="single" w:color="auto" w:sz="4" w:space="0"/>
                  </w:tcBorders>
                  <w:shd w:val="clear"/>
                  <w:vAlign w:val="center"/>
                </w:tcPr>
                <w:p w14:paraId="359A4B84">
                  <w:pPr>
                    <w:pStyle w:val="37"/>
                    <w:widowControl/>
                    <w:rPr>
                      <w:color w:val="000000"/>
                      <w:szCs w:val="21"/>
                      <w:bdr w:val="none" w:color="auto" w:sz="0" w:space="0"/>
                      <w:lang w:val="en-US"/>
                    </w:rPr>
                  </w:pPr>
                  <w:r>
                    <w:rPr>
                      <w:color w:val="000000"/>
                      <w:szCs w:val="21"/>
                      <w:bdr w:val="none" w:color="auto" w:sz="0" w:space="0"/>
                      <w:lang w:val="en-US"/>
                    </w:rPr>
                    <w:t>2</w:t>
                  </w:r>
                </w:p>
              </w:tc>
              <w:tc>
                <w:tcPr>
                  <w:tcW w:w="1293" w:type="dxa"/>
                  <w:tcBorders>
                    <w:top w:val="single" w:color="auto" w:sz="4" w:space="0"/>
                    <w:left w:val="single" w:color="auto" w:sz="4" w:space="0"/>
                    <w:bottom w:val="single" w:color="auto" w:sz="12" w:space="0"/>
                    <w:right w:val="single" w:color="auto" w:sz="4" w:space="0"/>
                  </w:tcBorders>
                  <w:shd w:val="clear"/>
                  <w:vAlign w:val="center"/>
                </w:tcPr>
                <w:p w14:paraId="1AF5922E">
                  <w:pPr>
                    <w:pStyle w:val="37"/>
                    <w:widowControl/>
                    <w:rPr>
                      <w:color w:val="000000"/>
                      <w:szCs w:val="21"/>
                      <w:bdr w:val="none" w:color="auto" w:sz="0" w:space="0"/>
                      <w:lang w:val="en-US"/>
                    </w:rPr>
                  </w:pPr>
                  <w:r>
                    <w:rPr>
                      <w:rFonts w:hint="eastAsia" w:ascii="Times New Roman" w:hAnsi="Times New Roman" w:eastAsia="宋体" w:cs="宋体"/>
                      <w:color w:val="000000"/>
                      <w:szCs w:val="21"/>
                      <w:bdr w:val="none" w:color="auto" w:sz="0" w:space="0"/>
                    </w:rPr>
                    <w:t>电</w:t>
                  </w:r>
                </w:p>
              </w:tc>
              <w:tc>
                <w:tcPr>
                  <w:tcW w:w="1641" w:type="dxa"/>
                  <w:tcBorders>
                    <w:top w:val="single" w:color="auto" w:sz="4" w:space="0"/>
                    <w:left w:val="single" w:color="auto" w:sz="4" w:space="0"/>
                    <w:bottom w:val="single" w:color="auto" w:sz="12" w:space="0"/>
                    <w:right w:val="single" w:color="auto" w:sz="4" w:space="0"/>
                  </w:tcBorders>
                  <w:shd w:val="clear"/>
                  <w:vAlign w:val="center"/>
                </w:tcPr>
                <w:p w14:paraId="42CDD1AD">
                  <w:pPr>
                    <w:pStyle w:val="37"/>
                    <w:widowControl/>
                    <w:rPr>
                      <w:color w:val="000000"/>
                      <w:szCs w:val="21"/>
                      <w:bdr w:val="none" w:color="auto" w:sz="0" w:space="0"/>
                      <w:lang w:val="en-US"/>
                    </w:rPr>
                  </w:pPr>
                  <w:r>
                    <w:rPr>
                      <w:rFonts w:hint="eastAsia" w:ascii="Times New Roman" w:hAnsi="Times New Roman" w:eastAsia="宋体" w:cs="宋体"/>
                      <w:color w:val="000000"/>
                      <w:szCs w:val="21"/>
                      <w:bdr w:val="none" w:color="auto" w:sz="0" w:space="0"/>
                    </w:rPr>
                    <w:t>万</w:t>
                  </w:r>
                  <w:r>
                    <w:rPr>
                      <w:color w:val="000000"/>
                      <w:szCs w:val="21"/>
                      <w:bdr w:val="none" w:color="auto" w:sz="0" w:space="0"/>
                      <w:lang w:val="en-US"/>
                    </w:rPr>
                    <w:t>kwh/a</w:t>
                  </w:r>
                </w:p>
              </w:tc>
              <w:tc>
                <w:tcPr>
                  <w:tcW w:w="1532" w:type="dxa"/>
                  <w:tcBorders>
                    <w:top w:val="single" w:color="auto" w:sz="4" w:space="0"/>
                    <w:left w:val="single" w:color="auto" w:sz="4" w:space="0"/>
                    <w:bottom w:val="single" w:color="auto" w:sz="12" w:space="0"/>
                    <w:right w:val="single" w:color="auto" w:sz="4" w:space="0"/>
                  </w:tcBorders>
                  <w:shd w:val="clear"/>
                  <w:vAlign w:val="center"/>
                </w:tcPr>
                <w:p w14:paraId="3E09978C">
                  <w:pPr>
                    <w:pStyle w:val="37"/>
                    <w:widowControl/>
                    <w:rPr>
                      <w:color w:val="000000"/>
                      <w:szCs w:val="21"/>
                      <w:bdr w:val="none" w:color="auto" w:sz="0" w:space="0"/>
                      <w:lang w:val="en-US"/>
                    </w:rPr>
                  </w:pPr>
                  <w:r>
                    <w:rPr>
                      <w:color w:val="000000"/>
                      <w:szCs w:val="21"/>
                      <w:bdr w:val="none" w:color="auto" w:sz="0" w:space="0"/>
                      <w:lang w:val="en-US"/>
                    </w:rPr>
                    <w:t>15</w:t>
                  </w:r>
                </w:p>
              </w:tc>
              <w:tc>
                <w:tcPr>
                  <w:tcW w:w="1532" w:type="dxa"/>
                  <w:tcBorders>
                    <w:top w:val="single" w:color="auto" w:sz="4" w:space="0"/>
                    <w:left w:val="single" w:color="auto" w:sz="4" w:space="0"/>
                    <w:bottom w:val="single" w:color="auto" w:sz="12" w:space="0"/>
                    <w:right w:val="single" w:color="auto" w:sz="4" w:space="0"/>
                  </w:tcBorders>
                  <w:shd w:val="clear"/>
                  <w:vAlign w:val="center"/>
                </w:tcPr>
                <w:p w14:paraId="3C73D415">
                  <w:pPr>
                    <w:pStyle w:val="37"/>
                    <w:widowControl/>
                    <w:rPr>
                      <w:color w:val="000000"/>
                      <w:szCs w:val="21"/>
                      <w:bdr w:val="none" w:color="auto" w:sz="0" w:space="0"/>
                      <w:lang w:val="en-US"/>
                    </w:rPr>
                  </w:pPr>
                  <w:r>
                    <w:rPr>
                      <w:color w:val="000000"/>
                      <w:szCs w:val="21"/>
                      <w:bdr w:val="none" w:color="auto" w:sz="0" w:space="0"/>
                      <w:lang w:val="en-US"/>
                    </w:rPr>
                    <w:t>25</w:t>
                  </w:r>
                </w:p>
              </w:tc>
              <w:tc>
                <w:tcPr>
                  <w:tcW w:w="1532" w:type="dxa"/>
                  <w:tcBorders>
                    <w:top w:val="single" w:color="auto" w:sz="4" w:space="0"/>
                    <w:left w:val="single" w:color="auto" w:sz="4" w:space="0"/>
                    <w:bottom w:val="single" w:color="auto" w:sz="12" w:space="0"/>
                    <w:right w:val="nil"/>
                  </w:tcBorders>
                  <w:shd w:val="clear"/>
                  <w:vAlign w:val="center"/>
                </w:tcPr>
                <w:p w14:paraId="2D495C0F">
                  <w:pPr>
                    <w:pStyle w:val="37"/>
                    <w:widowControl/>
                    <w:rPr>
                      <w:color w:val="000000"/>
                      <w:szCs w:val="21"/>
                      <w:bdr w:val="none" w:color="auto" w:sz="0" w:space="0"/>
                      <w:lang w:val="en-US"/>
                    </w:rPr>
                  </w:pPr>
                  <w:r>
                    <w:rPr>
                      <w:color w:val="000000"/>
                      <w:szCs w:val="21"/>
                      <w:bdr w:val="none" w:color="auto" w:sz="0" w:space="0"/>
                      <w:lang w:val="en-US"/>
                    </w:rPr>
                    <w:t>+10</w:t>
                  </w:r>
                </w:p>
              </w:tc>
            </w:tr>
          </w:tbl>
          <w:p w14:paraId="791325FE">
            <w:pPr>
              <w:keepNext w:val="0"/>
              <w:keepLines w:val="0"/>
              <w:widowControl/>
              <w:suppressLineNumbers w:val="0"/>
              <w:spacing w:before="0" w:beforeAutospacing="0" w:after="0" w:afterAutospacing="0" w:line="440" w:lineRule="exact"/>
              <w:ind w:left="0" w:right="0"/>
              <w:jc w:val="left"/>
              <w:outlineLvl w:val="1"/>
              <w:rPr>
                <w:rFonts w:hint="default" w:ascii="Times New Roman" w:hAnsi="Times New Roman" w:cs="Times New Roman"/>
                <w:b/>
                <w:bCs/>
                <w:color w:val="000000"/>
                <w:sz w:val="24"/>
                <w:szCs w:val="24"/>
                <w:bdr w:val="none" w:color="auto" w:sz="0" w:space="0"/>
                <w:lang w:val="en-US"/>
              </w:rPr>
            </w:pPr>
            <w:r>
              <w:rPr>
                <w:rFonts w:hint="default" w:ascii="Times New Roman" w:hAnsi="Times New Roman" w:eastAsia="宋体" w:cs="Times New Roman"/>
                <w:b/>
                <w:bCs/>
                <w:color w:val="000000"/>
                <w:kern w:val="2"/>
                <w:sz w:val="24"/>
                <w:szCs w:val="24"/>
                <w:bdr w:val="none" w:color="auto" w:sz="0" w:space="0"/>
                <w:lang w:val="en-US" w:eastAsia="zh-CN" w:bidi="ar"/>
              </w:rPr>
              <w:t>2.7</w:t>
            </w:r>
            <w:r>
              <w:rPr>
                <w:rFonts w:hint="eastAsia" w:ascii="Times New Roman" w:hAnsi="Times New Roman" w:eastAsia="宋体" w:cs="宋体"/>
                <w:b/>
                <w:bCs/>
                <w:color w:val="000000"/>
                <w:kern w:val="2"/>
                <w:sz w:val="24"/>
                <w:szCs w:val="24"/>
                <w:bdr w:val="none" w:color="auto" w:sz="0" w:space="0"/>
                <w:lang w:val="en-US" w:eastAsia="zh-CN" w:bidi="ar"/>
              </w:rPr>
              <w:t>劳动定员及工作制度</w:t>
            </w:r>
          </w:p>
          <w:p w14:paraId="21884598">
            <w:pPr>
              <w:keepNext w:val="0"/>
              <w:keepLines w:val="0"/>
              <w:widowControl/>
              <w:suppressLineNumbers w:val="0"/>
              <w:spacing w:before="0" w:beforeAutospacing="0" w:after="0" w:afterAutospacing="0" w:line="440" w:lineRule="exact"/>
              <w:ind w:left="0" w:right="0" w:firstLine="480"/>
              <w:jc w:val="both"/>
              <w:rPr>
                <w:rFonts w:hint="default" w:ascii="Times New Roman" w:hAnsi="Times New Roman" w:cs="Times New Roman"/>
                <w:bCs/>
                <w:color w:val="000000"/>
                <w:sz w:val="24"/>
                <w:szCs w:val="24"/>
                <w:bdr w:val="none" w:color="auto" w:sz="0" w:space="0"/>
                <w:lang w:val="en-US"/>
              </w:rPr>
            </w:pPr>
            <w:r>
              <w:rPr>
                <w:rFonts w:hint="eastAsia" w:ascii="Times New Roman" w:hAnsi="Times New Roman" w:eastAsia="宋体" w:cs="宋体"/>
                <w:bCs/>
                <w:color w:val="000000"/>
                <w:kern w:val="2"/>
                <w:sz w:val="24"/>
                <w:szCs w:val="24"/>
                <w:bdr w:val="none" w:color="auto" w:sz="0" w:space="0"/>
                <w:lang w:val="en-US" w:eastAsia="zh-CN" w:bidi="ar"/>
              </w:rPr>
              <w:t>扩建项目新增劳动定员，新增夜间生产班次（两班制，</w:t>
            </w:r>
            <w:bookmarkStart w:id="24" w:name="OLE_LINK7"/>
            <w:bookmarkStart w:id="25" w:name="OLE_LINK2"/>
            <w:r>
              <w:rPr>
                <w:rFonts w:hint="default" w:ascii="Times New Roman" w:hAnsi="Times New Roman" w:eastAsia="宋体" w:cs="Times New Roman"/>
                <w:bCs/>
                <w:color w:val="000000"/>
                <w:kern w:val="2"/>
                <w:sz w:val="24"/>
                <w:szCs w:val="24"/>
                <w:bdr w:val="none" w:color="auto" w:sz="0" w:space="0"/>
                <w:lang w:val="en-US" w:eastAsia="zh-CN" w:bidi="ar"/>
              </w:rPr>
              <w:t>8h/</w:t>
            </w:r>
            <w:r>
              <w:rPr>
                <w:rFonts w:hint="eastAsia" w:ascii="Times New Roman" w:hAnsi="Times New Roman" w:eastAsia="宋体" w:cs="宋体"/>
                <w:bCs/>
                <w:color w:val="000000"/>
                <w:kern w:val="2"/>
                <w:sz w:val="24"/>
                <w:szCs w:val="24"/>
                <w:bdr w:val="none" w:color="auto" w:sz="0" w:space="0"/>
                <w:lang w:val="en-US" w:eastAsia="zh-CN" w:bidi="ar"/>
              </w:rPr>
              <w:t>班</w:t>
            </w:r>
            <w:bookmarkEnd w:id="24"/>
            <w:bookmarkEnd w:id="25"/>
            <w:r>
              <w:rPr>
                <w:rFonts w:hint="eastAsia" w:ascii="Times New Roman" w:hAnsi="Times New Roman" w:eastAsia="宋体" w:cs="宋体"/>
                <w:bCs/>
                <w:color w:val="000000"/>
                <w:kern w:val="2"/>
                <w:sz w:val="24"/>
                <w:szCs w:val="24"/>
                <w:bdr w:val="none" w:color="auto" w:sz="0" w:space="0"/>
                <w:lang w:val="en-US" w:eastAsia="zh-CN" w:bidi="ar"/>
              </w:rPr>
              <w:t>）。工作制度见表</w:t>
            </w:r>
            <w:r>
              <w:rPr>
                <w:rFonts w:hint="default" w:ascii="Times New Roman" w:hAnsi="Times New Roman" w:eastAsia="宋体" w:cs="Times New Roman"/>
                <w:bCs/>
                <w:color w:val="000000"/>
                <w:kern w:val="2"/>
                <w:sz w:val="24"/>
                <w:szCs w:val="24"/>
                <w:bdr w:val="none" w:color="auto" w:sz="0" w:space="0"/>
                <w:lang w:val="en-US" w:eastAsia="zh-CN" w:bidi="ar"/>
              </w:rPr>
              <w:t>2.7-1</w:t>
            </w:r>
            <w:r>
              <w:rPr>
                <w:rFonts w:hint="eastAsia" w:ascii="Times New Roman" w:hAnsi="Times New Roman" w:eastAsia="宋体" w:cs="宋体"/>
                <w:bCs/>
                <w:color w:val="000000"/>
                <w:kern w:val="2"/>
                <w:sz w:val="24"/>
                <w:szCs w:val="24"/>
                <w:bdr w:val="none" w:color="auto" w:sz="0" w:space="0"/>
                <w:lang w:val="en-US" w:eastAsia="zh-CN" w:bidi="ar"/>
              </w:rPr>
              <w:t>。</w:t>
            </w:r>
          </w:p>
          <w:p w14:paraId="423BFD0B">
            <w:pPr>
              <w:pStyle w:val="44"/>
              <w:widowControl/>
              <w:rPr>
                <w:color w:val="000000"/>
                <w:bdr w:val="none" w:color="auto" w:sz="0" w:space="0"/>
                <w:lang w:val="en-US"/>
              </w:rPr>
            </w:pPr>
            <w:r>
              <w:rPr>
                <w:rFonts w:hint="eastAsia" w:ascii="Times New Roman" w:hAnsi="Times New Roman" w:eastAsia="宋体" w:cs="宋体"/>
                <w:color w:val="000000"/>
                <w:bdr w:val="none" w:color="auto" w:sz="0" w:space="0"/>
              </w:rPr>
              <w:t>表</w:t>
            </w:r>
            <w:r>
              <w:rPr>
                <w:color w:val="000000"/>
                <w:bdr w:val="none" w:color="auto" w:sz="0" w:space="0"/>
                <w:lang w:val="en-US"/>
              </w:rPr>
              <w:t xml:space="preserve">2.7-1 </w:t>
            </w:r>
            <w:r>
              <w:rPr>
                <w:rFonts w:hint="eastAsia" w:ascii="Times New Roman" w:hAnsi="Times New Roman" w:eastAsia="宋体" w:cs="宋体"/>
                <w:color w:val="000000"/>
                <w:bdr w:val="none" w:color="auto" w:sz="0" w:space="0"/>
              </w:rPr>
              <w:t>劳动定员及工作制度</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tblLayout w:type="fixed"/>
              <w:tblCellMar>
                <w:top w:w="0" w:type="dxa"/>
                <w:left w:w="57" w:type="dxa"/>
                <w:bottom w:w="0" w:type="dxa"/>
                <w:right w:w="57" w:type="dxa"/>
              </w:tblCellMar>
            </w:tblPr>
            <w:tblGrid>
              <w:gridCol w:w="1026"/>
              <w:gridCol w:w="1745"/>
              <w:gridCol w:w="948"/>
              <w:gridCol w:w="1134"/>
              <w:gridCol w:w="1134"/>
              <w:gridCol w:w="2398"/>
            </w:tblGrid>
            <w:tr w14:paraId="4C155BBE">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tblCellMar>
                  <w:top w:w="0" w:type="dxa"/>
                  <w:left w:w="57" w:type="dxa"/>
                  <w:bottom w:w="0" w:type="dxa"/>
                  <w:right w:w="57" w:type="dxa"/>
                </w:tblCellMar>
              </w:tblPrEx>
              <w:trPr>
                <w:trHeight w:val="340" w:hRule="atLeast"/>
                <w:jc w:val="center"/>
              </w:trPr>
              <w:tc>
                <w:tcPr>
                  <w:tcW w:w="2771" w:type="dxa"/>
                  <w:gridSpan w:val="2"/>
                  <w:tcBorders>
                    <w:top w:val="single" w:color="auto" w:sz="12" w:space="0"/>
                    <w:left w:val="nil"/>
                    <w:bottom w:val="single" w:color="auto" w:sz="6" w:space="0"/>
                    <w:right w:val="single" w:color="auto" w:sz="6" w:space="0"/>
                  </w:tcBorders>
                  <w:shd w:val="clear"/>
                  <w:vAlign w:val="center"/>
                </w:tcPr>
                <w:p w14:paraId="6998B5AB">
                  <w:pPr>
                    <w:pStyle w:val="37"/>
                    <w:widowControl/>
                    <w:rPr>
                      <w:color w:val="000000"/>
                      <w:szCs w:val="21"/>
                      <w:bdr w:val="none" w:color="auto" w:sz="0" w:space="0"/>
                      <w:lang w:val="en-US"/>
                    </w:rPr>
                  </w:pPr>
                  <w:r>
                    <w:rPr>
                      <w:rFonts w:hint="eastAsia" w:ascii="Times New Roman" w:hAnsi="Times New Roman" w:eastAsia="宋体" w:cs="宋体"/>
                      <w:color w:val="000000"/>
                      <w:szCs w:val="21"/>
                      <w:bdr w:val="none" w:color="auto" w:sz="0" w:space="0"/>
                    </w:rPr>
                    <w:t>类别</w:t>
                  </w:r>
                </w:p>
              </w:tc>
              <w:tc>
                <w:tcPr>
                  <w:tcW w:w="948" w:type="dxa"/>
                  <w:tcBorders>
                    <w:top w:val="single" w:color="auto" w:sz="12" w:space="0"/>
                    <w:left w:val="single" w:color="auto" w:sz="6" w:space="0"/>
                    <w:bottom w:val="single" w:color="auto" w:sz="6" w:space="0"/>
                    <w:right w:val="single" w:color="auto" w:sz="6" w:space="0"/>
                  </w:tcBorders>
                  <w:shd w:val="clear"/>
                  <w:vAlign w:val="center"/>
                </w:tcPr>
                <w:p w14:paraId="211EE394">
                  <w:pPr>
                    <w:pStyle w:val="37"/>
                    <w:widowControl/>
                    <w:rPr>
                      <w:color w:val="000000"/>
                      <w:szCs w:val="21"/>
                      <w:bdr w:val="none" w:color="auto" w:sz="0" w:space="0"/>
                      <w:lang w:val="en-US"/>
                    </w:rPr>
                  </w:pPr>
                  <w:r>
                    <w:rPr>
                      <w:rFonts w:hint="eastAsia" w:ascii="Times New Roman" w:hAnsi="Times New Roman" w:eastAsia="宋体" w:cs="宋体"/>
                      <w:color w:val="000000"/>
                      <w:szCs w:val="21"/>
                      <w:bdr w:val="none" w:color="auto" w:sz="0" w:space="0"/>
                    </w:rPr>
                    <w:t>单位</w:t>
                  </w:r>
                </w:p>
              </w:tc>
              <w:tc>
                <w:tcPr>
                  <w:tcW w:w="1135" w:type="dxa"/>
                  <w:tcBorders>
                    <w:top w:val="single" w:color="auto" w:sz="12" w:space="0"/>
                    <w:left w:val="single" w:color="auto" w:sz="6" w:space="0"/>
                    <w:bottom w:val="single" w:color="auto" w:sz="6" w:space="0"/>
                    <w:right w:val="single" w:color="auto" w:sz="6" w:space="0"/>
                  </w:tcBorders>
                  <w:shd w:val="clear"/>
                  <w:vAlign w:val="center"/>
                </w:tcPr>
                <w:p w14:paraId="6ADFF3C6">
                  <w:pPr>
                    <w:pStyle w:val="37"/>
                    <w:widowControl/>
                    <w:rPr>
                      <w:color w:val="000000"/>
                      <w:szCs w:val="21"/>
                      <w:bdr w:val="none" w:color="auto" w:sz="0" w:space="0"/>
                      <w:lang w:val="en-US"/>
                    </w:rPr>
                  </w:pPr>
                  <w:r>
                    <w:rPr>
                      <w:rFonts w:hint="eastAsia" w:ascii="Times New Roman" w:hAnsi="Times New Roman" w:eastAsia="宋体" w:cs="宋体"/>
                      <w:color w:val="000000"/>
                      <w:szCs w:val="21"/>
                      <w:bdr w:val="none" w:color="auto" w:sz="0" w:space="0"/>
                    </w:rPr>
                    <w:t>现有</w:t>
                  </w:r>
                </w:p>
              </w:tc>
              <w:tc>
                <w:tcPr>
                  <w:tcW w:w="1135" w:type="dxa"/>
                  <w:tcBorders>
                    <w:top w:val="single" w:color="auto" w:sz="12" w:space="0"/>
                    <w:left w:val="single" w:color="auto" w:sz="6" w:space="0"/>
                    <w:bottom w:val="single" w:color="auto" w:sz="6" w:space="0"/>
                    <w:right w:val="single" w:color="auto" w:sz="6" w:space="0"/>
                  </w:tcBorders>
                  <w:shd w:val="clear"/>
                  <w:vAlign w:val="center"/>
                </w:tcPr>
                <w:p w14:paraId="2C9A89B4">
                  <w:pPr>
                    <w:pStyle w:val="37"/>
                    <w:widowControl/>
                    <w:rPr>
                      <w:color w:val="000000"/>
                      <w:szCs w:val="21"/>
                      <w:bdr w:val="none" w:color="auto" w:sz="0" w:space="0"/>
                      <w:lang w:val="en-US"/>
                    </w:rPr>
                  </w:pPr>
                  <w:r>
                    <w:rPr>
                      <w:rFonts w:hint="eastAsia" w:ascii="Times New Roman" w:hAnsi="Times New Roman" w:eastAsia="宋体" w:cs="宋体"/>
                      <w:color w:val="000000"/>
                      <w:szCs w:val="21"/>
                      <w:bdr w:val="none" w:color="auto" w:sz="0" w:space="0"/>
                    </w:rPr>
                    <w:t>扩建后</w:t>
                  </w:r>
                </w:p>
              </w:tc>
              <w:tc>
                <w:tcPr>
                  <w:tcW w:w="2398" w:type="dxa"/>
                  <w:tcBorders>
                    <w:top w:val="single" w:color="auto" w:sz="12" w:space="0"/>
                    <w:left w:val="single" w:color="auto" w:sz="6" w:space="0"/>
                    <w:bottom w:val="single" w:color="auto" w:sz="6" w:space="0"/>
                    <w:right w:val="nil"/>
                  </w:tcBorders>
                  <w:shd w:val="clear"/>
                  <w:vAlign w:val="center"/>
                </w:tcPr>
                <w:p w14:paraId="4C2CAD0F">
                  <w:pPr>
                    <w:pStyle w:val="37"/>
                    <w:widowControl/>
                    <w:rPr>
                      <w:color w:val="000000"/>
                      <w:szCs w:val="21"/>
                      <w:bdr w:val="none" w:color="auto" w:sz="0" w:space="0"/>
                      <w:lang w:val="en-US"/>
                    </w:rPr>
                  </w:pPr>
                  <w:r>
                    <w:rPr>
                      <w:rFonts w:hint="eastAsia" w:ascii="Times New Roman" w:hAnsi="Times New Roman" w:eastAsia="宋体" w:cs="宋体"/>
                      <w:color w:val="000000"/>
                      <w:szCs w:val="21"/>
                      <w:bdr w:val="none" w:color="auto" w:sz="0" w:space="0"/>
                    </w:rPr>
                    <w:t>备注</w:t>
                  </w:r>
                </w:p>
              </w:tc>
            </w:tr>
            <w:tr w14:paraId="4D5F5040">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57" w:type="dxa"/>
                  <w:bottom w:w="0" w:type="dxa"/>
                  <w:right w:w="57" w:type="dxa"/>
                </w:tblCellMar>
              </w:tblPrEx>
              <w:trPr>
                <w:trHeight w:val="176" w:hRule="atLeast"/>
                <w:jc w:val="center"/>
              </w:trPr>
              <w:tc>
                <w:tcPr>
                  <w:tcW w:w="1026" w:type="dxa"/>
                  <w:vMerge w:val="restart"/>
                  <w:tcBorders>
                    <w:top w:val="single" w:color="auto" w:sz="6" w:space="0"/>
                    <w:left w:val="nil"/>
                    <w:bottom w:val="single" w:color="auto" w:sz="6" w:space="0"/>
                    <w:right w:val="single" w:color="auto" w:sz="6" w:space="0"/>
                  </w:tcBorders>
                  <w:shd w:val="clear"/>
                  <w:vAlign w:val="center"/>
                </w:tcPr>
                <w:p w14:paraId="052A4372">
                  <w:pPr>
                    <w:pStyle w:val="37"/>
                    <w:widowControl/>
                    <w:rPr>
                      <w:color w:val="000000"/>
                      <w:szCs w:val="21"/>
                      <w:bdr w:val="none" w:color="auto" w:sz="0" w:space="0"/>
                      <w:lang w:val="en-US"/>
                    </w:rPr>
                  </w:pPr>
                  <w:r>
                    <w:rPr>
                      <w:rFonts w:hint="eastAsia" w:ascii="Times New Roman" w:hAnsi="Times New Roman" w:eastAsia="宋体" w:cs="宋体"/>
                      <w:color w:val="000000"/>
                      <w:szCs w:val="21"/>
                      <w:bdr w:val="none" w:color="auto" w:sz="0" w:space="0"/>
                    </w:rPr>
                    <w:t>工作制度</w:t>
                  </w:r>
                </w:p>
              </w:tc>
              <w:tc>
                <w:tcPr>
                  <w:tcW w:w="1745" w:type="dxa"/>
                  <w:tcBorders>
                    <w:top w:val="single" w:color="auto" w:sz="6" w:space="0"/>
                    <w:left w:val="single" w:color="auto" w:sz="6" w:space="0"/>
                    <w:bottom w:val="single" w:color="auto" w:sz="6" w:space="0"/>
                    <w:right w:val="single" w:color="auto" w:sz="6" w:space="0"/>
                  </w:tcBorders>
                  <w:shd w:val="clear"/>
                  <w:vAlign w:val="center"/>
                </w:tcPr>
                <w:p w14:paraId="6F4C9840">
                  <w:pPr>
                    <w:pStyle w:val="37"/>
                    <w:widowControl/>
                    <w:rPr>
                      <w:color w:val="000000"/>
                      <w:szCs w:val="21"/>
                      <w:bdr w:val="none" w:color="auto" w:sz="0" w:space="0"/>
                      <w:lang w:val="en-US"/>
                    </w:rPr>
                  </w:pPr>
                  <w:r>
                    <w:rPr>
                      <w:rFonts w:hint="eastAsia" w:ascii="Times New Roman" w:hAnsi="Times New Roman" w:eastAsia="宋体" w:cs="宋体"/>
                      <w:color w:val="000000"/>
                      <w:szCs w:val="21"/>
                      <w:bdr w:val="none" w:color="auto" w:sz="0" w:space="0"/>
                    </w:rPr>
                    <w:t>年生产时间</w:t>
                  </w:r>
                </w:p>
              </w:tc>
              <w:tc>
                <w:tcPr>
                  <w:tcW w:w="948" w:type="dxa"/>
                  <w:tcBorders>
                    <w:top w:val="single" w:color="auto" w:sz="6" w:space="0"/>
                    <w:left w:val="single" w:color="auto" w:sz="6" w:space="0"/>
                    <w:bottom w:val="single" w:color="auto" w:sz="6" w:space="0"/>
                    <w:right w:val="single" w:color="auto" w:sz="6" w:space="0"/>
                  </w:tcBorders>
                  <w:shd w:val="clear"/>
                  <w:vAlign w:val="center"/>
                </w:tcPr>
                <w:p w14:paraId="35E1C81B">
                  <w:pPr>
                    <w:pStyle w:val="37"/>
                    <w:widowControl/>
                    <w:rPr>
                      <w:color w:val="000000"/>
                      <w:szCs w:val="21"/>
                      <w:bdr w:val="none" w:color="auto" w:sz="0" w:space="0"/>
                      <w:lang w:val="en-US"/>
                    </w:rPr>
                  </w:pPr>
                  <w:r>
                    <w:rPr>
                      <w:color w:val="000000"/>
                      <w:szCs w:val="21"/>
                      <w:bdr w:val="none" w:color="auto" w:sz="0" w:space="0"/>
                      <w:lang w:val="en-US"/>
                    </w:rPr>
                    <w:t>d</w:t>
                  </w:r>
                </w:p>
              </w:tc>
              <w:tc>
                <w:tcPr>
                  <w:tcW w:w="1135" w:type="dxa"/>
                  <w:tcBorders>
                    <w:top w:val="single" w:color="auto" w:sz="6" w:space="0"/>
                    <w:left w:val="single" w:color="auto" w:sz="6" w:space="0"/>
                    <w:bottom w:val="single" w:color="auto" w:sz="6" w:space="0"/>
                    <w:right w:val="single" w:color="auto" w:sz="6" w:space="0"/>
                  </w:tcBorders>
                  <w:shd w:val="clear"/>
                  <w:vAlign w:val="center"/>
                </w:tcPr>
                <w:p w14:paraId="60B64E71">
                  <w:pPr>
                    <w:pStyle w:val="37"/>
                    <w:widowControl/>
                    <w:rPr>
                      <w:color w:val="000000"/>
                      <w:szCs w:val="21"/>
                      <w:bdr w:val="none" w:color="auto" w:sz="0" w:space="0"/>
                      <w:lang w:val="en-US"/>
                    </w:rPr>
                  </w:pPr>
                  <w:r>
                    <w:rPr>
                      <w:color w:val="000000"/>
                      <w:szCs w:val="21"/>
                      <w:bdr w:val="none" w:color="auto" w:sz="0" w:space="0"/>
                      <w:lang w:val="en-US"/>
                    </w:rPr>
                    <w:t>300</w:t>
                  </w:r>
                </w:p>
              </w:tc>
              <w:tc>
                <w:tcPr>
                  <w:tcW w:w="1135" w:type="dxa"/>
                  <w:tcBorders>
                    <w:top w:val="single" w:color="auto" w:sz="6" w:space="0"/>
                    <w:left w:val="single" w:color="auto" w:sz="6" w:space="0"/>
                    <w:bottom w:val="single" w:color="auto" w:sz="6" w:space="0"/>
                    <w:right w:val="single" w:color="auto" w:sz="6" w:space="0"/>
                  </w:tcBorders>
                  <w:shd w:val="clear"/>
                  <w:vAlign w:val="center"/>
                </w:tcPr>
                <w:p w14:paraId="63F4EBD6">
                  <w:pPr>
                    <w:pStyle w:val="37"/>
                    <w:widowControl/>
                    <w:rPr>
                      <w:color w:val="000000"/>
                      <w:szCs w:val="21"/>
                      <w:bdr w:val="none" w:color="auto" w:sz="0" w:space="0"/>
                      <w:lang w:val="en-US"/>
                    </w:rPr>
                  </w:pPr>
                  <w:r>
                    <w:rPr>
                      <w:color w:val="000000"/>
                      <w:szCs w:val="21"/>
                      <w:bdr w:val="none" w:color="auto" w:sz="0" w:space="0"/>
                      <w:lang w:val="en-US"/>
                    </w:rPr>
                    <w:t>300</w:t>
                  </w:r>
                </w:p>
              </w:tc>
              <w:tc>
                <w:tcPr>
                  <w:tcW w:w="2398" w:type="dxa"/>
                  <w:tcBorders>
                    <w:top w:val="single" w:color="auto" w:sz="6" w:space="0"/>
                    <w:left w:val="single" w:color="auto" w:sz="6" w:space="0"/>
                    <w:bottom w:val="single" w:color="auto" w:sz="6" w:space="0"/>
                    <w:right w:val="nil"/>
                  </w:tcBorders>
                  <w:shd w:val="clear"/>
                  <w:vAlign w:val="center"/>
                </w:tcPr>
                <w:p w14:paraId="3153AE81">
                  <w:pPr>
                    <w:pStyle w:val="37"/>
                    <w:widowControl/>
                    <w:rPr>
                      <w:color w:val="000000"/>
                      <w:szCs w:val="21"/>
                      <w:bdr w:val="none" w:color="auto" w:sz="0" w:space="0"/>
                      <w:lang w:val="en-US"/>
                    </w:rPr>
                  </w:pPr>
                  <w:r>
                    <w:rPr>
                      <w:color w:val="000000"/>
                      <w:szCs w:val="21"/>
                      <w:bdr w:val="none" w:color="auto" w:sz="0" w:space="0"/>
                      <w:lang w:val="en-US"/>
                    </w:rPr>
                    <w:t>/</w:t>
                  </w:r>
                </w:p>
              </w:tc>
            </w:tr>
            <w:tr w14:paraId="2C1D7A47">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57" w:type="dxa"/>
                  <w:bottom w:w="0" w:type="dxa"/>
                  <w:right w:w="57" w:type="dxa"/>
                </w:tblCellMar>
              </w:tblPrEx>
              <w:trPr>
                <w:trHeight w:val="138" w:hRule="atLeast"/>
                <w:jc w:val="center"/>
              </w:trPr>
              <w:tc>
                <w:tcPr>
                  <w:tcW w:w="1026" w:type="dxa"/>
                  <w:vMerge w:val="continue"/>
                  <w:tcBorders>
                    <w:top w:val="single" w:color="auto" w:sz="6" w:space="0"/>
                    <w:left w:val="nil"/>
                    <w:bottom w:val="single" w:color="auto" w:sz="6" w:space="0"/>
                    <w:right w:val="single" w:color="auto" w:sz="6" w:space="0"/>
                  </w:tcBorders>
                  <w:shd w:val="clear"/>
                  <w:vAlign w:val="center"/>
                </w:tcPr>
                <w:p w14:paraId="02AA29E5">
                  <w:pPr>
                    <w:rPr>
                      <w:rFonts w:hint="default" w:ascii="Calibri" w:hAnsi="Calibri" w:cs="Calibri"/>
                      <w:sz w:val="20"/>
                      <w:szCs w:val="20"/>
                    </w:rPr>
                  </w:pPr>
                </w:p>
              </w:tc>
              <w:tc>
                <w:tcPr>
                  <w:tcW w:w="1745" w:type="dxa"/>
                  <w:tcBorders>
                    <w:top w:val="single" w:color="auto" w:sz="6" w:space="0"/>
                    <w:left w:val="single" w:color="auto" w:sz="6" w:space="0"/>
                    <w:bottom w:val="single" w:color="auto" w:sz="6" w:space="0"/>
                    <w:right w:val="single" w:color="auto" w:sz="6" w:space="0"/>
                  </w:tcBorders>
                  <w:shd w:val="clear"/>
                  <w:vAlign w:val="center"/>
                </w:tcPr>
                <w:p w14:paraId="52F1682A">
                  <w:pPr>
                    <w:pStyle w:val="37"/>
                    <w:widowControl/>
                    <w:rPr>
                      <w:color w:val="000000"/>
                      <w:szCs w:val="21"/>
                      <w:bdr w:val="none" w:color="auto" w:sz="0" w:space="0"/>
                      <w:lang w:val="en-US"/>
                    </w:rPr>
                  </w:pPr>
                  <w:r>
                    <w:rPr>
                      <w:rFonts w:hint="eastAsia" w:ascii="Times New Roman" w:hAnsi="Times New Roman" w:eastAsia="宋体" w:cs="宋体"/>
                      <w:color w:val="000000"/>
                      <w:szCs w:val="21"/>
                      <w:bdr w:val="none" w:color="auto" w:sz="0" w:space="0"/>
                    </w:rPr>
                    <w:t>生产班制</w:t>
                  </w:r>
                </w:p>
              </w:tc>
              <w:tc>
                <w:tcPr>
                  <w:tcW w:w="948" w:type="dxa"/>
                  <w:tcBorders>
                    <w:top w:val="single" w:color="auto" w:sz="6" w:space="0"/>
                    <w:left w:val="single" w:color="auto" w:sz="6" w:space="0"/>
                    <w:bottom w:val="single" w:color="auto" w:sz="6" w:space="0"/>
                    <w:right w:val="single" w:color="auto" w:sz="6" w:space="0"/>
                  </w:tcBorders>
                  <w:shd w:val="clear"/>
                  <w:vAlign w:val="center"/>
                </w:tcPr>
                <w:p w14:paraId="6013C25E">
                  <w:pPr>
                    <w:pStyle w:val="37"/>
                    <w:widowControl/>
                    <w:rPr>
                      <w:color w:val="000000"/>
                      <w:szCs w:val="21"/>
                      <w:bdr w:val="none" w:color="auto" w:sz="0" w:space="0"/>
                      <w:lang w:val="en-US"/>
                    </w:rPr>
                  </w:pPr>
                  <w:r>
                    <w:rPr>
                      <w:rFonts w:hint="eastAsia" w:ascii="Times New Roman" w:hAnsi="Times New Roman" w:eastAsia="宋体" w:cs="宋体"/>
                      <w:color w:val="000000"/>
                      <w:szCs w:val="21"/>
                      <w:bdr w:val="none" w:color="auto" w:sz="0" w:space="0"/>
                    </w:rPr>
                    <w:t>班</w:t>
                  </w:r>
                </w:p>
              </w:tc>
              <w:tc>
                <w:tcPr>
                  <w:tcW w:w="1135" w:type="dxa"/>
                  <w:tcBorders>
                    <w:top w:val="single" w:color="auto" w:sz="6" w:space="0"/>
                    <w:left w:val="single" w:color="auto" w:sz="6" w:space="0"/>
                    <w:bottom w:val="single" w:color="auto" w:sz="6" w:space="0"/>
                    <w:right w:val="single" w:color="auto" w:sz="6" w:space="0"/>
                  </w:tcBorders>
                  <w:shd w:val="clear"/>
                  <w:vAlign w:val="center"/>
                </w:tcPr>
                <w:p w14:paraId="6E7F585E">
                  <w:pPr>
                    <w:pStyle w:val="37"/>
                    <w:widowControl/>
                    <w:rPr>
                      <w:color w:val="000000"/>
                      <w:szCs w:val="21"/>
                      <w:bdr w:val="none" w:color="auto" w:sz="0" w:space="0"/>
                      <w:lang w:val="en-US"/>
                    </w:rPr>
                  </w:pPr>
                  <w:r>
                    <w:rPr>
                      <w:color w:val="000000"/>
                      <w:szCs w:val="21"/>
                      <w:bdr w:val="none" w:color="auto" w:sz="0" w:space="0"/>
                      <w:lang w:val="en-US"/>
                    </w:rPr>
                    <w:t>1</w:t>
                  </w:r>
                </w:p>
              </w:tc>
              <w:tc>
                <w:tcPr>
                  <w:tcW w:w="1135" w:type="dxa"/>
                  <w:tcBorders>
                    <w:top w:val="single" w:color="auto" w:sz="6" w:space="0"/>
                    <w:left w:val="single" w:color="auto" w:sz="6" w:space="0"/>
                    <w:bottom w:val="single" w:color="auto" w:sz="6" w:space="0"/>
                    <w:right w:val="single" w:color="auto" w:sz="6" w:space="0"/>
                  </w:tcBorders>
                  <w:shd w:val="clear"/>
                  <w:vAlign w:val="center"/>
                </w:tcPr>
                <w:p w14:paraId="59E9A743">
                  <w:pPr>
                    <w:pStyle w:val="37"/>
                    <w:widowControl/>
                    <w:rPr>
                      <w:color w:val="000000"/>
                      <w:szCs w:val="21"/>
                      <w:bdr w:val="none" w:color="auto" w:sz="0" w:space="0"/>
                      <w:lang w:val="en-US"/>
                    </w:rPr>
                  </w:pPr>
                  <w:r>
                    <w:rPr>
                      <w:color w:val="000000"/>
                      <w:szCs w:val="21"/>
                      <w:bdr w:val="none" w:color="auto" w:sz="0" w:space="0"/>
                      <w:lang w:val="en-US"/>
                    </w:rPr>
                    <w:t>2</w:t>
                  </w:r>
                </w:p>
              </w:tc>
              <w:tc>
                <w:tcPr>
                  <w:tcW w:w="2398" w:type="dxa"/>
                  <w:tcBorders>
                    <w:top w:val="single" w:color="auto" w:sz="6" w:space="0"/>
                    <w:left w:val="single" w:color="auto" w:sz="6" w:space="0"/>
                    <w:bottom w:val="single" w:color="auto" w:sz="6" w:space="0"/>
                    <w:right w:val="nil"/>
                  </w:tcBorders>
                  <w:shd w:val="clear"/>
                  <w:vAlign w:val="center"/>
                </w:tcPr>
                <w:p w14:paraId="469529AB">
                  <w:pPr>
                    <w:pStyle w:val="37"/>
                    <w:widowControl/>
                    <w:rPr>
                      <w:color w:val="000000"/>
                      <w:szCs w:val="21"/>
                      <w:bdr w:val="none" w:color="auto" w:sz="0" w:space="0"/>
                      <w:lang w:val="en-US"/>
                    </w:rPr>
                  </w:pPr>
                  <w:r>
                    <w:rPr>
                      <w:rFonts w:hint="eastAsia" w:ascii="Times New Roman" w:hAnsi="Times New Roman" w:eastAsia="宋体" w:cs="宋体"/>
                      <w:color w:val="000000"/>
                      <w:szCs w:val="21"/>
                      <w:bdr w:val="none" w:color="auto" w:sz="0" w:space="0"/>
                    </w:rPr>
                    <w:t>新增夜间生产班次</w:t>
                  </w:r>
                </w:p>
              </w:tc>
            </w:tr>
            <w:tr w14:paraId="0C554474">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57" w:type="dxa"/>
                  <w:bottom w:w="0" w:type="dxa"/>
                  <w:right w:w="57" w:type="dxa"/>
                </w:tblCellMar>
              </w:tblPrEx>
              <w:trPr>
                <w:trHeight w:val="214" w:hRule="atLeast"/>
                <w:jc w:val="center"/>
              </w:trPr>
              <w:tc>
                <w:tcPr>
                  <w:tcW w:w="1026" w:type="dxa"/>
                  <w:vMerge w:val="continue"/>
                  <w:tcBorders>
                    <w:top w:val="single" w:color="auto" w:sz="6" w:space="0"/>
                    <w:left w:val="nil"/>
                    <w:bottom w:val="single" w:color="auto" w:sz="6" w:space="0"/>
                    <w:right w:val="single" w:color="auto" w:sz="6" w:space="0"/>
                  </w:tcBorders>
                  <w:shd w:val="clear"/>
                  <w:vAlign w:val="center"/>
                </w:tcPr>
                <w:p w14:paraId="00DE6A59">
                  <w:pPr>
                    <w:rPr>
                      <w:rFonts w:hint="default" w:ascii="Calibri" w:hAnsi="Calibri" w:cs="Calibri"/>
                      <w:sz w:val="20"/>
                      <w:szCs w:val="20"/>
                    </w:rPr>
                  </w:pPr>
                </w:p>
              </w:tc>
              <w:tc>
                <w:tcPr>
                  <w:tcW w:w="1745" w:type="dxa"/>
                  <w:tcBorders>
                    <w:top w:val="single" w:color="auto" w:sz="6" w:space="0"/>
                    <w:left w:val="single" w:color="auto" w:sz="6" w:space="0"/>
                    <w:bottom w:val="single" w:color="auto" w:sz="6" w:space="0"/>
                    <w:right w:val="single" w:color="auto" w:sz="6" w:space="0"/>
                  </w:tcBorders>
                  <w:shd w:val="clear"/>
                  <w:vAlign w:val="center"/>
                </w:tcPr>
                <w:p w14:paraId="3BCF7C16">
                  <w:pPr>
                    <w:pStyle w:val="37"/>
                    <w:widowControl/>
                    <w:rPr>
                      <w:color w:val="000000"/>
                      <w:szCs w:val="21"/>
                      <w:bdr w:val="none" w:color="auto" w:sz="0" w:space="0"/>
                      <w:lang w:val="en-US"/>
                    </w:rPr>
                  </w:pPr>
                  <w:r>
                    <w:rPr>
                      <w:rFonts w:hint="eastAsia" w:ascii="Times New Roman" w:hAnsi="Times New Roman" w:eastAsia="宋体" w:cs="宋体"/>
                      <w:color w:val="000000"/>
                      <w:szCs w:val="21"/>
                      <w:bdr w:val="none" w:color="auto" w:sz="0" w:space="0"/>
                    </w:rPr>
                    <w:t>日工作时间</w:t>
                  </w:r>
                </w:p>
              </w:tc>
              <w:tc>
                <w:tcPr>
                  <w:tcW w:w="948" w:type="dxa"/>
                  <w:tcBorders>
                    <w:top w:val="single" w:color="auto" w:sz="6" w:space="0"/>
                    <w:left w:val="single" w:color="auto" w:sz="6" w:space="0"/>
                    <w:bottom w:val="single" w:color="auto" w:sz="6" w:space="0"/>
                    <w:right w:val="single" w:color="auto" w:sz="6" w:space="0"/>
                  </w:tcBorders>
                  <w:shd w:val="clear"/>
                  <w:vAlign w:val="center"/>
                </w:tcPr>
                <w:p w14:paraId="0B2712A8">
                  <w:pPr>
                    <w:pStyle w:val="37"/>
                    <w:widowControl/>
                    <w:rPr>
                      <w:color w:val="000000"/>
                      <w:szCs w:val="21"/>
                      <w:bdr w:val="none" w:color="auto" w:sz="0" w:space="0"/>
                      <w:lang w:val="en-US"/>
                    </w:rPr>
                  </w:pPr>
                  <w:r>
                    <w:rPr>
                      <w:color w:val="000000"/>
                      <w:szCs w:val="21"/>
                      <w:bdr w:val="none" w:color="auto" w:sz="0" w:space="0"/>
                      <w:lang w:val="en-US"/>
                    </w:rPr>
                    <w:t>h</w:t>
                  </w:r>
                </w:p>
              </w:tc>
              <w:tc>
                <w:tcPr>
                  <w:tcW w:w="1135" w:type="dxa"/>
                  <w:tcBorders>
                    <w:top w:val="single" w:color="auto" w:sz="6" w:space="0"/>
                    <w:left w:val="single" w:color="auto" w:sz="6" w:space="0"/>
                    <w:bottom w:val="single" w:color="auto" w:sz="6" w:space="0"/>
                    <w:right w:val="single" w:color="auto" w:sz="6" w:space="0"/>
                  </w:tcBorders>
                  <w:shd w:val="clear"/>
                  <w:vAlign w:val="center"/>
                </w:tcPr>
                <w:p w14:paraId="47153A7A">
                  <w:pPr>
                    <w:pStyle w:val="37"/>
                    <w:widowControl/>
                    <w:rPr>
                      <w:color w:val="000000"/>
                      <w:szCs w:val="21"/>
                      <w:bdr w:val="none" w:color="auto" w:sz="0" w:space="0"/>
                      <w:lang w:val="en-US"/>
                    </w:rPr>
                  </w:pPr>
                  <w:r>
                    <w:rPr>
                      <w:color w:val="000000"/>
                      <w:szCs w:val="21"/>
                      <w:bdr w:val="none" w:color="auto" w:sz="0" w:space="0"/>
                      <w:lang w:val="en-US"/>
                    </w:rPr>
                    <w:t>8</w:t>
                  </w:r>
                </w:p>
              </w:tc>
              <w:tc>
                <w:tcPr>
                  <w:tcW w:w="1135" w:type="dxa"/>
                  <w:tcBorders>
                    <w:top w:val="single" w:color="auto" w:sz="6" w:space="0"/>
                    <w:left w:val="single" w:color="auto" w:sz="6" w:space="0"/>
                    <w:bottom w:val="single" w:color="auto" w:sz="6" w:space="0"/>
                    <w:right w:val="single" w:color="auto" w:sz="6" w:space="0"/>
                  </w:tcBorders>
                  <w:shd w:val="clear"/>
                  <w:vAlign w:val="center"/>
                </w:tcPr>
                <w:p w14:paraId="73B963DA">
                  <w:pPr>
                    <w:pStyle w:val="37"/>
                    <w:widowControl/>
                    <w:rPr>
                      <w:color w:val="000000"/>
                      <w:szCs w:val="21"/>
                      <w:bdr w:val="none" w:color="auto" w:sz="0" w:space="0"/>
                      <w:lang w:val="en-US"/>
                    </w:rPr>
                  </w:pPr>
                  <w:r>
                    <w:rPr>
                      <w:color w:val="000000"/>
                      <w:szCs w:val="21"/>
                      <w:bdr w:val="none" w:color="auto" w:sz="0" w:space="0"/>
                      <w:lang w:val="en-US"/>
                    </w:rPr>
                    <w:t>16</w:t>
                  </w:r>
                </w:p>
              </w:tc>
              <w:tc>
                <w:tcPr>
                  <w:tcW w:w="2398" w:type="dxa"/>
                  <w:tcBorders>
                    <w:top w:val="single" w:color="auto" w:sz="6" w:space="0"/>
                    <w:left w:val="single" w:color="auto" w:sz="6" w:space="0"/>
                    <w:bottom w:val="single" w:color="auto" w:sz="6" w:space="0"/>
                    <w:right w:val="nil"/>
                  </w:tcBorders>
                  <w:shd w:val="clear"/>
                  <w:vAlign w:val="center"/>
                </w:tcPr>
                <w:p w14:paraId="4DED722E">
                  <w:pPr>
                    <w:pStyle w:val="37"/>
                    <w:widowControl/>
                    <w:rPr>
                      <w:color w:val="000000"/>
                      <w:szCs w:val="21"/>
                      <w:bdr w:val="none" w:color="auto" w:sz="0" w:space="0"/>
                      <w:lang w:val="en-US"/>
                    </w:rPr>
                  </w:pPr>
                  <w:r>
                    <w:rPr>
                      <w:color w:val="000000"/>
                      <w:szCs w:val="21"/>
                      <w:bdr w:val="none" w:color="auto" w:sz="0" w:space="0"/>
                      <w:lang w:val="en-US"/>
                    </w:rPr>
                    <w:t>8h/</w:t>
                  </w:r>
                  <w:r>
                    <w:rPr>
                      <w:rFonts w:hint="eastAsia" w:ascii="Times New Roman" w:hAnsi="Times New Roman" w:eastAsia="宋体" w:cs="宋体"/>
                      <w:color w:val="000000"/>
                      <w:szCs w:val="21"/>
                      <w:bdr w:val="none" w:color="auto" w:sz="0" w:space="0"/>
                    </w:rPr>
                    <w:t>班</w:t>
                  </w:r>
                </w:p>
              </w:tc>
            </w:tr>
            <w:tr w14:paraId="5E12EA0C">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57" w:type="dxa"/>
                  <w:bottom w:w="0" w:type="dxa"/>
                  <w:right w:w="57" w:type="dxa"/>
                </w:tblCellMar>
              </w:tblPrEx>
              <w:trPr>
                <w:trHeight w:val="214" w:hRule="atLeast"/>
                <w:jc w:val="center"/>
              </w:trPr>
              <w:tc>
                <w:tcPr>
                  <w:tcW w:w="1026" w:type="dxa"/>
                  <w:vMerge w:val="continue"/>
                  <w:tcBorders>
                    <w:top w:val="single" w:color="auto" w:sz="6" w:space="0"/>
                    <w:left w:val="nil"/>
                    <w:bottom w:val="single" w:color="auto" w:sz="6" w:space="0"/>
                    <w:right w:val="single" w:color="auto" w:sz="6" w:space="0"/>
                  </w:tcBorders>
                  <w:shd w:val="clear"/>
                  <w:vAlign w:val="center"/>
                </w:tcPr>
                <w:p w14:paraId="7E63F093">
                  <w:pPr>
                    <w:rPr>
                      <w:rFonts w:hint="default" w:ascii="Calibri" w:hAnsi="Calibri" w:cs="Calibri"/>
                      <w:sz w:val="20"/>
                      <w:szCs w:val="20"/>
                    </w:rPr>
                  </w:pPr>
                </w:p>
              </w:tc>
              <w:tc>
                <w:tcPr>
                  <w:tcW w:w="1745" w:type="dxa"/>
                  <w:tcBorders>
                    <w:top w:val="single" w:color="auto" w:sz="6" w:space="0"/>
                    <w:left w:val="single" w:color="auto" w:sz="6" w:space="0"/>
                    <w:bottom w:val="single" w:color="auto" w:sz="6" w:space="0"/>
                    <w:right w:val="single" w:color="auto" w:sz="6" w:space="0"/>
                  </w:tcBorders>
                  <w:shd w:val="clear"/>
                  <w:vAlign w:val="center"/>
                </w:tcPr>
                <w:p w14:paraId="652E20FA">
                  <w:pPr>
                    <w:pStyle w:val="37"/>
                    <w:widowControl/>
                    <w:rPr>
                      <w:color w:val="000000"/>
                      <w:szCs w:val="21"/>
                      <w:bdr w:val="none" w:color="auto" w:sz="0" w:space="0"/>
                      <w:lang w:val="en-US"/>
                    </w:rPr>
                  </w:pPr>
                  <w:r>
                    <w:rPr>
                      <w:rFonts w:hint="eastAsia" w:ascii="Times New Roman" w:hAnsi="Times New Roman" w:eastAsia="宋体" w:cs="宋体"/>
                      <w:color w:val="000000"/>
                      <w:szCs w:val="21"/>
                      <w:bdr w:val="none" w:color="auto" w:sz="0" w:space="0"/>
                    </w:rPr>
                    <w:t>年工作时间</w:t>
                  </w:r>
                </w:p>
              </w:tc>
              <w:tc>
                <w:tcPr>
                  <w:tcW w:w="948" w:type="dxa"/>
                  <w:tcBorders>
                    <w:top w:val="single" w:color="auto" w:sz="6" w:space="0"/>
                    <w:left w:val="single" w:color="auto" w:sz="6" w:space="0"/>
                    <w:bottom w:val="single" w:color="auto" w:sz="6" w:space="0"/>
                    <w:right w:val="single" w:color="auto" w:sz="6" w:space="0"/>
                  </w:tcBorders>
                  <w:shd w:val="clear"/>
                  <w:vAlign w:val="center"/>
                </w:tcPr>
                <w:p w14:paraId="22210AC3">
                  <w:pPr>
                    <w:pStyle w:val="37"/>
                    <w:widowControl/>
                    <w:rPr>
                      <w:color w:val="000000"/>
                      <w:szCs w:val="21"/>
                      <w:bdr w:val="none" w:color="auto" w:sz="0" w:space="0"/>
                      <w:lang w:val="en-US"/>
                    </w:rPr>
                  </w:pPr>
                  <w:r>
                    <w:rPr>
                      <w:color w:val="000000"/>
                      <w:szCs w:val="21"/>
                      <w:bdr w:val="none" w:color="auto" w:sz="0" w:space="0"/>
                      <w:lang w:val="en-US"/>
                    </w:rPr>
                    <w:t>h/a</w:t>
                  </w:r>
                </w:p>
              </w:tc>
              <w:tc>
                <w:tcPr>
                  <w:tcW w:w="1135" w:type="dxa"/>
                  <w:tcBorders>
                    <w:top w:val="single" w:color="auto" w:sz="6" w:space="0"/>
                    <w:left w:val="single" w:color="auto" w:sz="6" w:space="0"/>
                    <w:bottom w:val="single" w:color="auto" w:sz="6" w:space="0"/>
                    <w:right w:val="single" w:color="auto" w:sz="6" w:space="0"/>
                  </w:tcBorders>
                  <w:shd w:val="clear"/>
                  <w:vAlign w:val="center"/>
                </w:tcPr>
                <w:p w14:paraId="42CEC3B9">
                  <w:pPr>
                    <w:pStyle w:val="37"/>
                    <w:widowControl/>
                    <w:rPr>
                      <w:color w:val="000000"/>
                      <w:szCs w:val="21"/>
                      <w:bdr w:val="none" w:color="auto" w:sz="0" w:space="0"/>
                      <w:lang w:val="en-US"/>
                    </w:rPr>
                  </w:pPr>
                  <w:r>
                    <w:rPr>
                      <w:color w:val="000000"/>
                      <w:szCs w:val="21"/>
                      <w:bdr w:val="none" w:color="auto" w:sz="0" w:space="0"/>
                      <w:lang w:val="en-US"/>
                    </w:rPr>
                    <w:t>2400</w:t>
                  </w:r>
                </w:p>
              </w:tc>
              <w:tc>
                <w:tcPr>
                  <w:tcW w:w="1135" w:type="dxa"/>
                  <w:tcBorders>
                    <w:top w:val="single" w:color="auto" w:sz="6" w:space="0"/>
                    <w:left w:val="single" w:color="auto" w:sz="6" w:space="0"/>
                    <w:bottom w:val="single" w:color="auto" w:sz="6" w:space="0"/>
                    <w:right w:val="single" w:color="auto" w:sz="6" w:space="0"/>
                  </w:tcBorders>
                  <w:shd w:val="clear"/>
                  <w:vAlign w:val="center"/>
                </w:tcPr>
                <w:p w14:paraId="6683F621">
                  <w:pPr>
                    <w:pStyle w:val="37"/>
                    <w:widowControl/>
                    <w:rPr>
                      <w:color w:val="000000"/>
                      <w:szCs w:val="21"/>
                      <w:bdr w:val="none" w:color="auto" w:sz="0" w:space="0"/>
                      <w:lang w:val="en-US"/>
                    </w:rPr>
                  </w:pPr>
                  <w:r>
                    <w:rPr>
                      <w:color w:val="000000"/>
                      <w:szCs w:val="21"/>
                      <w:bdr w:val="none" w:color="auto" w:sz="0" w:space="0"/>
                      <w:lang w:val="en-US"/>
                    </w:rPr>
                    <w:t>4800</w:t>
                  </w:r>
                </w:p>
              </w:tc>
              <w:tc>
                <w:tcPr>
                  <w:tcW w:w="2398" w:type="dxa"/>
                  <w:tcBorders>
                    <w:top w:val="single" w:color="auto" w:sz="6" w:space="0"/>
                    <w:left w:val="single" w:color="auto" w:sz="6" w:space="0"/>
                    <w:bottom w:val="single" w:color="auto" w:sz="6" w:space="0"/>
                    <w:right w:val="nil"/>
                  </w:tcBorders>
                  <w:shd w:val="clear"/>
                  <w:vAlign w:val="center"/>
                </w:tcPr>
                <w:p w14:paraId="0AC71BD7">
                  <w:pPr>
                    <w:pStyle w:val="37"/>
                    <w:widowControl/>
                    <w:rPr>
                      <w:color w:val="000000"/>
                      <w:szCs w:val="21"/>
                      <w:bdr w:val="none" w:color="auto" w:sz="0" w:space="0"/>
                      <w:lang w:val="en-US"/>
                    </w:rPr>
                  </w:pPr>
                  <w:r>
                    <w:rPr>
                      <w:color w:val="000000"/>
                      <w:szCs w:val="21"/>
                      <w:bdr w:val="none" w:color="auto" w:sz="0" w:space="0"/>
                      <w:lang w:val="en-US"/>
                    </w:rPr>
                    <w:t>/</w:t>
                  </w:r>
                </w:p>
              </w:tc>
            </w:tr>
            <w:tr w14:paraId="237AFA14">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57" w:type="dxa"/>
                  <w:bottom w:w="0" w:type="dxa"/>
                  <w:right w:w="57" w:type="dxa"/>
                </w:tblCellMar>
              </w:tblPrEx>
              <w:trPr>
                <w:trHeight w:val="162" w:hRule="atLeast"/>
                <w:jc w:val="center"/>
              </w:trPr>
              <w:tc>
                <w:tcPr>
                  <w:tcW w:w="1026" w:type="dxa"/>
                  <w:tcBorders>
                    <w:top w:val="single" w:color="auto" w:sz="6" w:space="0"/>
                    <w:left w:val="nil"/>
                    <w:bottom w:val="single" w:color="auto" w:sz="12" w:space="0"/>
                    <w:right w:val="single" w:color="auto" w:sz="6" w:space="0"/>
                  </w:tcBorders>
                  <w:shd w:val="clear"/>
                  <w:vAlign w:val="center"/>
                </w:tcPr>
                <w:p w14:paraId="13635AEC">
                  <w:pPr>
                    <w:pStyle w:val="37"/>
                    <w:widowControl/>
                    <w:rPr>
                      <w:color w:val="000000"/>
                      <w:szCs w:val="21"/>
                      <w:bdr w:val="none" w:color="auto" w:sz="0" w:space="0"/>
                      <w:lang w:val="en-US"/>
                    </w:rPr>
                  </w:pPr>
                  <w:r>
                    <w:rPr>
                      <w:rFonts w:hint="eastAsia" w:ascii="Times New Roman" w:hAnsi="Times New Roman" w:eastAsia="宋体" w:cs="宋体"/>
                      <w:color w:val="000000"/>
                      <w:szCs w:val="21"/>
                      <w:bdr w:val="none" w:color="auto" w:sz="0" w:space="0"/>
                    </w:rPr>
                    <w:t>劳动定员</w:t>
                  </w:r>
                </w:p>
              </w:tc>
              <w:tc>
                <w:tcPr>
                  <w:tcW w:w="1745" w:type="dxa"/>
                  <w:tcBorders>
                    <w:top w:val="single" w:color="auto" w:sz="6" w:space="0"/>
                    <w:left w:val="single" w:color="auto" w:sz="6" w:space="0"/>
                    <w:bottom w:val="single" w:color="auto" w:sz="12" w:space="0"/>
                    <w:right w:val="single" w:color="auto" w:sz="6" w:space="0"/>
                  </w:tcBorders>
                  <w:shd w:val="clear"/>
                  <w:vAlign w:val="center"/>
                </w:tcPr>
                <w:p w14:paraId="35350750">
                  <w:pPr>
                    <w:pStyle w:val="37"/>
                    <w:widowControl/>
                    <w:rPr>
                      <w:color w:val="000000"/>
                      <w:szCs w:val="21"/>
                      <w:bdr w:val="none" w:color="auto" w:sz="0" w:space="0"/>
                      <w:lang w:val="en-US"/>
                    </w:rPr>
                  </w:pPr>
                  <w:r>
                    <w:rPr>
                      <w:rFonts w:hint="eastAsia" w:ascii="Times New Roman" w:hAnsi="Times New Roman" w:eastAsia="宋体" w:cs="宋体"/>
                      <w:color w:val="000000"/>
                      <w:szCs w:val="21"/>
                      <w:bdr w:val="none" w:color="auto" w:sz="0" w:space="0"/>
                    </w:rPr>
                    <w:t>生产及管理人员</w:t>
                  </w:r>
                </w:p>
              </w:tc>
              <w:tc>
                <w:tcPr>
                  <w:tcW w:w="948" w:type="dxa"/>
                  <w:tcBorders>
                    <w:top w:val="single" w:color="auto" w:sz="6" w:space="0"/>
                    <w:left w:val="single" w:color="auto" w:sz="6" w:space="0"/>
                    <w:bottom w:val="single" w:color="auto" w:sz="12" w:space="0"/>
                    <w:right w:val="single" w:color="auto" w:sz="6" w:space="0"/>
                  </w:tcBorders>
                  <w:shd w:val="clear"/>
                  <w:vAlign w:val="center"/>
                </w:tcPr>
                <w:p w14:paraId="1772DF5B">
                  <w:pPr>
                    <w:pStyle w:val="37"/>
                    <w:widowControl/>
                    <w:rPr>
                      <w:color w:val="000000"/>
                      <w:szCs w:val="21"/>
                      <w:bdr w:val="none" w:color="auto" w:sz="0" w:space="0"/>
                      <w:lang w:val="en-US"/>
                    </w:rPr>
                  </w:pPr>
                  <w:r>
                    <w:rPr>
                      <w:rFonts w:hint="eastAsia" w:ascii="Times New Roman" w:hAnsi="Times New Roman" w:eastAsia="宋体" w:cs="宋体"/>
                      <w:color w:val="000000"/>
                      <w:szCs w:val="21"/>
                      <w:bdr w:val="none" w:color="auto" w:sz="0" w:space="0"/>
                    </w:rPr>
                    <w:t>人</w:t>
                  </w:r>
                </w:p>
              </w:tc>
              <w:tc>
                <w:tcPr>
                  <w:tcW w:w="1135" w:type="dxa"/>
                  <w:tcBorders>
                    <w:top w:val="single" w:color="auto" w:sz="6" w:space="0"/>
                    <w:left w:val="single" w:color="auto" w:sz="6" w:space="0"/>
                    <w:bottom w:val="single" w:color="auto" w:sz="12" w:space="0"/>
                    <w:right w:val="single" w:color="auto" w:sz="6" w:space="0"/>
                  </w:tcBorders>
                  <w:shd w:val="clear"/>
                  <w:vAlign w:val="center"/>
                </w:tcPr>
                <w:p w14:paraId="31E21F59">
                  <w:pPr>
                    <w:pStyle w:val="37"/>
                    <w:widowControl/>
                    <w:rPr>
                      <w:color w:val="000000"/>
                      <w:szCs w:val="21"/>
                      <w:bdr w:val="none" w:color="auto" w:sz="0" w:space="0"/>
                      <w:lang w:val="en-US"/>
                    </w:rPr>
                  </w:pPr>
                  <w:r>
                    <w:rPr>
                      <w:color w:val="000000"/>
                      <w:szCs w:val="21"/>
                      <w:bdr w:val="none" w:color="auto" w:sz="0" w:space="0"/>
                      <w:lang w:val="en-US"/>
                    </w:rPr>
                    <w:t>50</w:t>
                  </w:r>
                </w:p>
              </w:tc>
              <w:tc>
                <w:tcPr>
                  <w:tcW w:w="1135" w:type="dxa"/>
                  <w:tcBorders>
                    <w:top w:val="single" w:color="auto" w:sz="6" w:space="0"/>
                    <w:left w:val="single" w:color="auto" w:sz="6" w:space="0"/>
                    <w:bottom w:val="single" w:color="auto" w:sz="12" w:space="0"/>
                    <w:right w:val="single" w:color="auto" w:sz="6" w:space="0"/>
                  </w:tcBorders>
                  <w:shd w:val="clear"/>
                  <w:vAlign w:val="center"/>
                </w:tcPr>
                <w:p w14:paraId="4D30B205">
                  <w:pPr>
                    <w:pStyle w:val="37"/>
                    <w:widowControl/>
                    <w:rPr>
                      <w:color w:val="000000"/>
                      <w:szCs w:val="21"/>
                      <w:bdr w:val="none" w:color="auto" w:sz="0" w:space="0"/>
                      <w:lang w:val="en-US"/>
                    </w:rPr>
                  </w:pPr>
                  <w:r>
                    <w:rPr>
                      <w:color w:val="000000"/>
                      <w:szCs w:val="21"/>
                      <w:bdr w:val="none" w:color="auto" w:sz="0" w:space="0"/>
                      <w:lang w:val="en-US"/>
                    </w:rPr>
                    <w:t>65</w:t>
                  </w:r>
                </w:p>
              </w:tc>
              <w:tc>
                <w:tcPr>
                  <w:tcW w:w="2398" w:type="dxa"/>
                  <w:tcBorders>
                    <w:top w:val="single" w:color="auto" w:sz="6" w:space="0"/>
                    <w:left w:val="single" w:color="auto" w:sz="6" w:space="0"/>
                    <w:bottom w:val="single" w:color="auto" w:sz="12" w:space="0"/>
                    <w:right w:val="nil"/>
                  </w:tcBorders>
                  <w:shd w:val="clear"/>
                  <w:vAlign w:val="center"/>
                </w:tcPr>
                <w:p w14:paraId="4223A479">
                  <w:pPr>
                    <w:pStyle w:val="37"/>
                    <w:widowControl/>
                    <w:rPr>
                      <w:color w:val="000000"/>
                      <w:szCs w:val="21"/>
                      <w:bdr w:val="none" w:color="auto" w:sz="0" w:space="0"/>
                      <w:lang w:val="en-US"/>
                    </w:rPr>
                  </w:pPr>
                  <w:r>
                    <w:rPr>
                      <w:rFonts w:hint="eastAsia" w:ascii="Times New Roman" w:hAnsi="Times New Roman" w:eastAsia="宋体" w:cs="宋体"/>
                      <w:color w:val="000000"/>
                      <w:szCs w:val="21"/>
                      <w:bdr w:val="none" w:color="auto" w:sz="0" w:space="0"/>
                    </w:rPr>
                    <w:t>新增生产员工</w:t>
                  </w:r>
                  <w:r>
                    <w:rPr>
                      <w:color w:val="000000"/>
                      <w:szCs w:val="21"/>
                      <w:bdr w:val="none" w:color="auto" w:sz="0" w:space="0"/>
                      <w:lang w:val="en-US"/>
                    </w:rPr>
                    <w:t>15</w:t>
                  </w:r>
                  <w:r>
                    <w:rPr>
                      <w:rFonts w:hint="eastAsia" w:ascii="Times New Roman" w:hAnsi="Times New Roman" w:eastAsia="宋体" w:cs="宋体"/>
                      <w:color w:val="000000"/>
                      <w:szCs w:val="21"/>
                      <w:bdr w:val="none" w:color="auto" w:sz="0" w:space="0"/>
                    </w:rPr>
                    <w:t>人</w:t>
                  </w:r>
                </w:p>
              </w:tc>
            </w:tr>
          </w:tbl>
          <w:p w14:paraId="6E39EAB0">
            <w:pPr>
              <w:keepNext w:val="0"/>
              <w:keepLines w:val="0"/>
              <w:widowControl/>
              <w:suppressLineNumbers w:val="0"/>
              <w:spacing w:before="0" w:beforeAutospacing="0" w:after="0" w:afterAutospacing="0" w:line="440" w:lineRule="exact"/>
              <w:ind w:left="0" w:right="0"/>
              <w:jc w:val="left"/>
              <w:outlineLvl w:val="1"/>
              <w:rPr>
                <w:rFonts w:hint="default" w:ascii="Times New Roman" w:hAnsi="Times New Roman" w:cs="Times New Roman"/>
                <w:b/>
                <w:bCs/>
                <w:color w:val="000000"/>
                <w:sz w:val="24"/>
                <w:szCs w:val="24"/>
                <w:bdr w:val="none" w:color="auto" w:sz="0" w:space="0"/>
                <w:lang w:val="en-US"/>
              </w:rPr>
            </w:pPr>
            <w:r>
              <w:rPr>
                <w:rFonts w:hint="default" w:ascii="Times New Roman" w:hAnsi="Times New Roman" w:eastAsia="宋体" w:cs="Times New Roman"/>
                <w:b/>
                <w:bCs/>
                <w:color w:val="000000"/>
                <w:kern w:val="2"/>
                <w:sz w:val="24"/>
                <w:szCs w:val="24"/>
                <w:bdr w:val="none" w:color="auto" w:sz="0" w:space="0"/>
                <w:lang w:val="en-US" w:eastAsia="zh-CN" w:bidi="ar"/>
              </w:rPr>
              <w:t>2.8</w:t>
            </w:r>
            <w:r>
              <w:rPr>
                <w:rFonts w:hint="eastAsia" w:ascii="Times New Roman" w:hAnsi="Times New Roman" w:eastAsia="宋体" w:cs="宋体"/>
                <w:b/>
                <w:bCs/>
                <w:color w:val="000000"/>
                <w:kern w:val="2"/>
                <w:sz w:val="24"/>
                <w:szCs w:val="24"/>
                <w:bdr w:val="none" w:color="auto" w:sz="0" w:space="0"/>
                <w:lang w:val="en-US" w:eastAsia="zh-CN" w:bidi="ar"/>
              </w:rPr>
              <w:t>公用工程及水平衡</w:t>
            </w:r>
          </w:p>
          <w:p w14:paraId="0326CACF">
            <w:pPr>
              <w:keepNext w:val="0"/>
              <w:keepLines w:val="0"/>
              <w:widowControl/>
              <w:suppressLineNumbers w:val="0"/>
              <w:spacing w:before="0" w:beforeAutospacing="0" w:after="0" w:afterAutospacing="0" w:line="440" w:lineRule="exact"/>
              <w:ind w:left="0" w:right="0" w:firstLine="480"/>
              <w:jc w:val="both"/>
              <w:rPr>
                <w:rFonts w:hint="default" w:ascii="Times New Roman" w:hAnsi="Times New Roman" w:cs="Times New Roman"/>
                <w:bCs/>
                <w:color w:val="000000"/>
                <w:sz w:val="24"/>
                <w:szCs w:val="24"/>
                <w:bdr w:val="none" w:color="auto" w:sz="0" w:space="0"/>
                <w:lang w:val="en-US"/>
              </w:rPr>
            </w:pPr>
            <w:r>
              <w:rPr>
                <w:rFonts w:hint="default" w:ascii="Times New Roman" w:hAnsi="Times New Roman" w:eastAsia="宋体" w:cs="Times New Roman"/>
                <w:bCs/>
                <w:color w:val="000000"/>
                <w:kern w:val="2"/>
                <w:sz w:val="24"/>
                <w:szCs w:val="24"/>
                <w:bdr w:val="none" w:color="auto" w:sz="0" w:space="0"/>
                <w:lang w:val="en-US" w:eastAsia="zh-CN" w:bidi="ar"/>
              </w:rPr>
              <w:t>1</w:t>
            </w:r>
            <w:r>
              <w:rPr>
                <w:rFonts w:hint="eastAsia" w:ascii="Times New Roman" w:hAnsi="Times New Roman" w:eastAsia="宋体" w:cs="宋体"/>
                <w:bCs/>
                <w:color w:val="000000"/>
                <w:kern w:val="2"/>
                <w:sz w:val="24"/>
                <w:szCs w:val="24"/>
                <w:bdr w:val="none" w:color="auto" w:sz="0" w:space="0"/>
                <w:lang w:val="en-US" w:eastAsia="zh-CN" w:bidi="ar"/>
              </w:rPr>
              <w:t>、给水</w:t>
            </w:r>
          </w:p>
          <w:p w14:paraId="4D4BA65C">
            <w:pPr>
              <w:keepNext w:val="0"/>
              <w:keepLines w:val="0"/>
              <w:widowControl/>
              <w:suppressLineNumbers w:val="0"/>
              <w:spacing w:before="0" w:beforeAutospacing="0" w:after="0" w:afterAutospacing="0" w:line="440" w:lineRule="exact"/>
              <w:ind w:left="0" w:right="0" w:firstLine="480"/>
              <w:jc w:val="both"/>
              <w:rPr>
                <w:rFonts w:hint="default" w:ascii="Times New Roman" w:hAnsi="Times New Roman" w:cs="Times New Roman"/>
                <w:bCs/>
                <w:color w:val="000000"/>
                <w:sz w:val="24"/>
                <w:szCs w:val="24"/>
                <w:bdr w:val="none" w:color="auto" w:sz="0" w:space="0"/>
                <w:lang w:val="en-US"/>
              </w:rPr>
            </w:pPr>
            <w:r>
              <w:rPr>
                <w:rFonts w:hint="eastAsia" w:ascii="Times New Roman" w:hAnsi="Times New Roman" w:eastAsia="宋体" w:cs="宋体"/>
                <w:bCs/>
                <w:color w:val="000000"/>
                <w:kern w:val="2"/>
                <w:sz w:val="24"/>
                <w:szCs w:val="24"/>
                <w:bdr w:val="none" w:color="auto" w:sz="0" w:space="0"/>
                <w:lang w:val="en-US" w:eastAsia="zh-CN" w:bidi="ar"/>
              </w:rPr>
              <w:t>扩建项目</w:t>
            </w:r>
            <w:r>
              <w:rPr>
                <w:rFonts w:hint="eastAsia" w:ascii="Times New Roman" w:hAnsi="宋体" w:eastAsia="宋体" w:cs="宋体"/>
                <w:color w:val="000000"/>
                <w:kern w:val="2"/>
                <w:sz w:val="24"/>
                <w:szCs w:val="24"/>
                <w:bdr w:val="none" w:color="auto" w:sz="0" w:space="0"/>
                <w:lang w:val="en-US" w:eastAsia="zh-CN" w:bidi="ar"/>
              </w:rPr>
              <w:t>水源来自市政给水，依托厂区已建成给水管网。</w:t>
            </w:r>
          </w:p>
          <w:p w14:paraId="5FCCBDCB">
            <w:pPr>
              <w:keepNext w:val="0"/>
              <w:keepLines w:val="0"/>
              <w:widowControl/>
              <w:suppressLineNumbers w:val="0"/>
              <w:spacing w:before="0" w:beforeAutospacing="0" w:after="0" w:afterAutospacing="0" w:line="440" w:lineRule="exact"/>
              <w:ind w:left="0" w:right="0" w:firstLine="480"/>
              <w:jc w:val="both"/>
              <w:rPr>
                <w:rFonts w:hint="default" w:ascii="Times New Roman" w:hAnsi="Times New Roman" w:cs="Times New Roman"/>
                <w:bCs/>
                <w:color w:val="000000"/>
                <w:sz w:val="24"/>
                <w:szCs w:val="24"/>
                <w:bdr w:val="none" w:color="auto" w:sz="0" w:space="0"/>
                <w:lang w:val="en-US"/>
              </w:rPr>
            </w:pPr>
            <w:r>
              <w:rPr>
                <w:rFonts w:hint="default" w:ascii="Times New Roman" w:hAnsi="Times New Roman" w:eastAsia="宋体" w:cs="Times New Roman"/>
                <w:bCs/>
                <w:color w:val="000000"/>
                <w:kern w:val="2"/>
                <w:sz w:val="24"/>
                <w:szCs w:val="24"/>
                <w:bdr w:val="none" w:color="auto" w:sz="0" w:space="0"/>
                <w:lang w:val="en-US" w:eastAsia="zh-CN" w:bidi="ar"/>
              </w:rPr>
              <w:t>2</w:t>
            </w:r>
            <w:r>
              <w:rPr>
                <w:rFonts w:hint="eastAsia" w:ascii="Times New Roman" w:hAnsi="Times New Roman" w:eastAsia="宋体" w:cs="宋体"/>
                <w:bCs/>
                <w:color w:val="000000"/>
                <w:kern w:val="2"/>
                <w:sz w:val="24"/>
                <w:szCs w:val="24"/>
                <w:bdr w:val="none" w:color="auto" w:sz="0" w:space="0"/>
                <w:lang w:val="en-US" w:eastAsia="zh-CN" w:bidi="ar"/>
              </w:rPr>
              <w:t>、供电</w:t>
            </w:r>
          </w:p>
          <w:p w14:paraId="2529C45E">
            <w:pPr>
              <w:keepNext w:val="0"/>
              <w:keepLines w:val="0"/>
              <w:widowControl/>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扩建项目由市政供电管网接入，给全厂负荷供电。</w:t>
            </w:r>
          </w:p>
          <w:p w14:paraId="75FA34A0">
            <w:pPr>
              <w:keepNext w:val="0"/>
              <w:keepLines w:val="0"/>
              <w:widowControl/>
              <w:suppressLineNumbers w:val="0"/>
              <w:spacing w:before="0" w:beforeAutospacing="0" w:after="0" w:afterAutospacing="0" w:line="440" w:lineRule="exact"/>
              <w:ind w:left="0" w:right="0" w:firstLine="482"/>
              <w:jc w:val="both"/>
              <w:rPr>
                <w:rFonts w:hint="default" w:ascii="Times New Roman" w:hAnsi="Times New Roman" w:cs="Times New Roman"/>
                <w:bCs/>
                <w:color w:val="000000"/>
                <w:sz w:val="24"/>
                <w:szCs w:val="24"/>
                <w:bdr w:val="none" w:color="auto" w:sz="0" w:space="0"/>
                <w:lang w:val="en-US"/>
              </w:rPr>
            </w:pPr>
            <w:r>
              <w:rPr>
                <w:rFonts w:hint="default" w:ascii="Times New Roman" w:hAnsi="Times New Roman" w:eastAsia="宋体" w:cs="Times New Roman"/>
                <w:bCs/>
                <w:color w:val="000000"/>
                <w:kern w:val="2"/>
                <w:sz w:val="24"/>
                <w:szCs w:val="24"/>
                <w:bdr w:val="none" w:color="auto" w:sz="0" w:space="0"/>
                <w:lang w:val="en-US" w:eastAsia="zh-CN" w:bidi="ar"/>
              </w:rPr>
              <w:t>3</w:t>
            </w:r>
            <w:r>
              <w:rPr>
                <w:rFonts w:hint="eastAsia" w:ascii="Times New Roman" w:hAnsi="Times New Roman" w:eastAsia="宋体" w:cs="宋体"/>
                <w:bCs/>
                <w:color w:val="000000"/>
                <w:kern w:val="2"/>
                <w:sz w:val="24"/>
                <w:szCs w:val="24"/>
                <w:bdr w:val="none" w:color="auto" w:sz="0" w:space="0"/>
                <w:lang w:val="en-US" w:eastAsia="zh-CN" w:bidi="ar"/>
              </w:rPr>
              <w:t>、排水</w:t>
            </w:r>
          </w:p>
          <w:p w14:paraId="257EFDF9">
            <w:pPr>
              <w:keepNext w:val="0"/>
              <w:keepLines w:val="0"/>
              <w:widowControl w:val="0"/>
              <w:suppressLineNumbers w:val="0"/>
              <w:adjustRightInd w:val="0"/>
              <w:snapToGrid w:val="0"/>
              <w:spacing w:before="0" w:beforeAutospacing="0" w:after="0" w:afterAutospacing="0" w:line="440" w:lineRule="exact"/>
              <w:ind w:left="0" w:right="0" w:firstLine="482"/>
              <w:jc w:val="both"/>
              <w:rPr>
                <w:rFonts w:hAnsi="宋体" w:cs="宋体"/>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实行雨污分流制，</w:t>
            </w:r>
            <w:r>
              <w:rPr>
                <w:rFonts w:hint="eastAsia" w:ascii="宋体" w:hAnsi="宋体" w:eastAsia="宋体" w:cs="宋体"/>
                <w:bCs/>
                <w:color w:val="000000"/>
                <w:spacing w:val="-6"/>
                <w:kern w:val="2"/>
                <w:sz w:val="24"/>
                <w:szCs w:val="24"/>
                <w:bdr w:val="none" w:color="auto" w:sz="0" w:space="0"/>
                <w:lang w:val="en-US" w:eastAsia="zh-CN" w:bidi="ar"/>
              </w:rPr>
              <w:t>雨水排入市政雨水管网。</w:t>
            </w:r>
            <w:r>
              <w:rPr>
                <w:rFonts w:hint="eastAsia" w:ascii="Calibri" w:hAnsi="宋体" w:eastAsia="宋体" w:cs="宋体"/>
                <w:color w:val="000000"/>
                <w:kern w:val="2"/>
                <w:sz w:val="24"/>
                <w:szCs w:val="24"/>
                <w:bdr w:val="none" w:color="auto" w:sz="0" w:space="0"/>
                <w:lang w:val="en-US" w:eastAsia="zh-CN" w:bidi="ar"/>
              </w:rPr>
              <w:t>所在厂区已建成雨水收集管网，屋顶及室外雨水排至室外雨水管沟后直接排入园区市政雨水管网。</w:t>
            </w:r>
          </w:p>
          <w:p w14:paraId="356E0EA1">
            <w:pPr>
              <w:pStyle w:val="9"/>
              <w:widowControl/>
              <w:spacing w:line="440" w:lineRule="exact"/>
              <w:ind w:left="-8" w:firstLine="482"/>
              <w:rPr>
                <w:rFonts w:hint="default" w:ascii="Times New Roman" w:hAnsi="Times New Roman" w:cs="Times New Roman"/>
                <w:color w:val="000000"/>
                <w:sz w:val="24"/>
                <w:szCs w:val="24"/>
                <w:bdr w:val="none" w:color="auto" w:sz="0" w:space="0"/>
                <w:lang w:val="en-US"/>
              </w:rPr>
            </w:pPr>
            <w:r>
              <w:rPr>
                <w:rFonts w:ascii="Times New Roman" w:hAnsi="Times New Roman"/>
                <w:color w:val="000000"/>
                <w:sz w:val="24"/>
                <w:szCs w:val="24"/>
                <w:bdr w:val="none" w:color="auto" w:sz="0" w:space="0"/>
              </w:rPr>
              <w:t>扩建项目</w:t>
            </w:r>
            <w:r>
              <w:rPr>
                <w:color w:val="000000"/>
                <w:sz w:val="24"/>
                <w:szCs w:val="20"/>
                <w:bdr w:val="none" w:color="auto" w:sz="0" w:space="0"/>
              </w:rPr>
              <w:t>生产车间地面采用干清扫方式，不使用水</w:t>
            </w:r>
            <w:r>
              <w:rPr>
                <w:rFonts w:ascii="Times New Roman" w:hAnsi="Times New Roman"/>
                <w:color w:val="000000"/>
                <w:sz w:val="24"/>
                <w:szCs w:val="24"/>
                <w:bdr w:val="none" w:color="auto" w:sz="0" w:space="0"/>
              </w:rPr>
              <w:t>清洁，因此无生产废水。扩建项目新增员工</w:t>
            </w:r>
            <w:r>
              <w:rPr>
                <w:rFonts w:hint="default" w:ascii="Times New Roman" w:hAnsi="Times New Roman" w:cs="Times New Roman"/>
                <w:color w:val="000000"/>
                <w:sz w:val="24"/>
                <w:szCs w:val="24"/>
                <w:bdr w:val="none" w:color="auto" w:sz="0" w:space="0"/>
                <w:lang w:val="en-US"/>
              </w:rPr>
              <w:t>15</w:t>
            </w:r>
            <w:r>
              <w:rPr>
                <w:rFonts w:ascii="Times New Roman" w:hAnsi="Times New Roman"/>
                <w:color w:val="000000"/>
                <w:sz w:val="24"/>
                <w:szCs w:val="24"/>
                <w:bdr w:val="none" w:color="auto" w:sz="0" w:space="0"/>
              </w:rPr>
              <w:t>人，全厂员工生活污水依托</w:t>
            </w:r>
            <w:bookmarkStart w:id="26" w:name="OLE_LINK45"/>
            <w:bookmarkStart w:id="27" w:name="OLE_LINK44"/>
            <w:r>
              <w:rPr>
                <w:rFonts w:ascii="Times New Roman" w:hAnsi="Times New Roman"/>
                <w:color w:val="000000"/>
                <w:sz w:val="24"/>
                <w:szCs w:val="24"/>
                <w:bdr w:val="none" w:color="auto" w:sz="0" w:space="0"/>
              </w:rPr>
              <w:t>盈田•合川工谷已建</w:t>
            </w:r>
            <w:bookmarkEnd w:id="26"/>
            <w:bookmarkEnd w:id="27"/>
            <w:r>
              <w:rPr>
                <w:rFonts w:ascii="Times New Roman" w:hAnsi="Times New Roman"/>
                <w:color w:val="000000"/>
                <w:sz w:val="24"/>
                <w:szCs w:val="24"/>
                <w:bdr w:val="none" w:color="auto" w:sz="0" w:space="0"/>
              </w:rPr>
              <w:t>生化池处理达《污水综合排放标准》（</w:t>
            </w:r>
            <w:r>
              <w:rPr>
                <w:rFonts w:hint="default" w:ascii="Times New Roman" w:hAnsi="Times New Roman" w:cs="Times New Roman"/>
                <w:color w:val="000000"/>
                <w:sz w:val="24"/>
                <w:szCs w:val="24"/>
                <w:bdr w:val="none" w:color="auto" w:sz="0" w:space="0"/>
                <w:lang w:val="en-US"/>
              </w:rPr>
              <w:t>GB 8978-1996</w:t>
            </w:r>
            <w:r>
              <w:rPr>
                <w:rFonts w:ascii="Times New Roman" w:hAnsi="Times New Roman"/>
                <w:color w:val="000000"/>
                <w:sz w:val="24"/>
                <w:szCs w:val="24"/>
                <w:bdr w:val="none" w:color="auto" w:sz="0" w:space="0"/>
              </w:rPr>
              <w:t>）三级标准后，排入</w:t>
            </w:r>
            <w:r>
              <w:rPr>
                <w:rFonts w:hAnsi="宋体"/>
                <w:bCs/>
                <w:color w:val="000000"/>
                <w:sz w:val="24"/>
                <w:szCs w:val="20"/>
                <w:bdr w:val="none" w:color="auto" w:sz="0" w:space="0"/>
              </w:rPr>
              <w:t>农创园</w:t>
            </w:r>
            <w:r>
              <w:rPr>
                <w:rFonts w:ascii="Times New Roman" w:hAnsi="Times New Roman"/>
                <w:color w:val="000000"/>
                <w:sz w:val="24"/>
                <w:szCs w:val="24"/>
                <w:bdr w:val="none" w:color="auto" w:sz="0" w:space="0"/>
              </w:rPr>
              <w:t>污水处理厂处理达《城镇污水处理厂污染物排放标准》（</w:t>
            </w:r>
            <w:r>
              <w:rPr>
                <w:rFonts w:hint="default" w:ascii="Times New Roman" w:hAnsi="Times New Roman" w:cs="Times New Roman"/>
                <w:color w:val="000000"/>
                <w:sz w:val="24"/>
                <w:szCs w:val="24"/>
                <w:bdr w:val="none" w:color="auto" w:sz="0" w:space="0"/>
                <w:lang w:val="en-US"/>
              </w:rPr>
              <w:t>GB18918-2002</w:t>
            </w:r>
            <w:r>
              <w:rPr>
                <w:rFonts w:ascii="Times New Roman" w:hAnsi="Times New Roman"/>
                <w:color w:val="000000"/>
                <w:sz w:val="24"/>
                <w:szCs w:val="24"/>
                <w:bdr w:val="none" w:color="auto" w:sz="0" w:space="0"/>
              </w:rPr>
              <w:t>）一级</w:t>
            </w:r>
            <w:r>
              <w:rPr>
                <w:rFonts w:hint="default" w:ascii="Times New Roman" w:hAnsi="Times New Roman" w:cs="Times New Roman"/>
                <w:color w:val="000000"/>
                <w:sz w:val="24"/>
                <w:szCs w:val="24"/>
                <w:bdr w:val="none" w:color="auto" w:sz="0" w:space="0"/>
                <w:lang w:val="en-US"/>
              </w:rPr>
              <w:t>B</w:t>
            </w:r>
            <w:r>
              <w:rPr>
                <w:rFonts w:ascii="Times New Roman" w:hAnsi="Times New Roman"/>
                <w:color w:val="000000"/>
                <w:sz w:val="24"/>
                <w:szCs w:val="24"/>
                <w:bdr w:val="none" w:color="auto" w:sz="0" w:space="0"/>
              </w:rPr>
              <w:t>标准后排入嘉陵江。</w:t>
            </w:r>
          </w:p>
          <w:p w14:paraId="3FEC5D65">
            <w:pPr>
              <w:pStyle w:val="9"/>
              <w:widowControl/>
              <w:spacing w:line="440" w:lineRule="exact"/>
              <w:ind w:left="-8" w:firstLine="480" w:firstLineChars="200"/>
              <w:rPr>
                <w:rFonts w:hint="default" w:ascii="Times New Roman" w:hAnsi="Times New Roman" w:cs="Times New Roman"/>
                <w:color w:val="000000"/>
                <w:sz w:val="24"/>
                <w:szCs w:val="24"/>
                <w:bdr w:val="none" w:color="auto" w:sz="0" w:space="0"/>
                <w:lang w:val="en-US"/>
              </w:rPr>
            </w:pPr>
            <w:r>
              <w:rPr>
                <w:rFonts w:ascii="Times New Roman" w:hAnsi="Times New Roman"/>
                <w:bCs/>
                <w:color w:val="000000"/>
                <w:sz w:val="24"/>
                <w:szCs w:val="24"/>
                <w:bdr w:val="none" w:color="auto" w:sz="0" w:space="0"/>
              </w:rPr>
              <w:t>扩建后全厂用水情况见表</w:t>
            </w:r>
            <w:r>
              <w:rPr>
                <w:rFonts w:hint="default" w:ascii="Times New Roman" w:hAnsi="Times New Roman" w:cs="Times New Roman"/>
                <w:bCs/>
                <w:color w:val="000000"/>
                <w:sz w:val="24"/>
                <w:szCs w:val="24"/>
                <w:bdr w:val="none" w:color="auto" w:sz="0" w:space="0"/>
                <w:lang w:val="en-US"/>
              </w:rPr>
              <w:t>2.8-1</w:t>
            </w:r>
            <w:r>
              <w:rPr>
                <w:rFonts w:ascii="Times New Roman" w:hAnsi="Times New Roman"/>
                <w:bCs/>
                <w:color w:val="000000"/>
                <w:sz w:val="24"/>
                <w:szCs w:val="24"/>
                <w:bdr w:val="none" w:color="auto" w:sz="0" w:space="0"/>
              </w:rPr>
              <w:t>，水平衡见图</w:t>
            </w:r>
            <w:r>
              <w:rPr>
                <w:rFonts w:hint="default" w:ascii="Times New Roman" w:hAnsi="Times New Roman" w:cs="Times New Roman"/>
                <w:bCs/>
                <w:color w:val="000000"/>
                <w:sz w:val="24"/>
                <w:szCs w:val="24"/>
                <w:bdr w:val="none" w:color="auto" w:sz="0" w:space="0"/>
                <w:lang w:val="en-US"/>
              </w:rPr>
              <w:t>2.1</w:t>
            </w:r>
            <w:r>
              <w:rPr>
                <w:rFonts w:ascii="Times New Roman" w:hAnsi="Times New Roman"/>
                <w:bCs/>
                <w:color w:val="000000"/>
                <w:sz w:val="24"/>
                <w:szCs w:val="24"/>
                <w:bdr w:val="none" w:color="auto" w:sz="0" w:space="0"/>
              </w:rPr>
              <w:t>。</w:t>
            </w:r>
          </w:p>
          <w:p w14:paraId="539E857E">
            <w:pPr>
              <w:pStyle w:val="9"/>
              <w:widowControl/>
              <w:spacing w:line="440" w:lineRule="exact"/>
              <w:ind w:left="-8" w:firstLine="480" w:firstLineChars="200"/>
              <w:jc w:val="center"/>
              <w:rPr>
                <w:rFonts w:hint="default" w:ascii="Times New Roman" w:hAnsi="Times New Roman" w:cs="Times New Roman"/>
                <w:color w:val="000000"/>
                <w:sz w:val="24"/>
                <w:szCs w:val="24"/>
                <w:bdr w:val="none" w:color="auto" w:sz="0" w:space="0"/>
                <w:lang w:val="en-US"/>
              </w:rPr>
            </w:pPr>
            <w:r>
              <w:rPr>
                <w:rFonts w:ascii="Times New Roman" w:hAnsi="Times New Roman"/>
                <w:color w:val="000000"/>
                <w:sz w:val="24"/>
                <w:szCs w:val="24"/>
                <w:bdr w:val="none" w:color="auto" w:sz="0" w:space="0"/>
              </w:rPr>
              <w:t>表</w:t>
            </w:r>
            <w:r>
              <w:rPr>
                <w:rFonts w:hint="default" w:ascii="Times New Roman" w:hAnsi="Times New Roman" w:cs="Times New Roman"/>
                <w:color w:val="000000"/>
                <w:sz w:val="24"/>
                <w:szCs w:val="24"/>
                <w:bdr w:val="none" w:color="auto" w:sz="0" w:space="0"/>
                <w:lang w:val="en-US"/>
              </w:rPr>
              <w:t xml:space="preserve">2.8-1  </w:t>
            </w:r>
            <w:r>
              <w:rPr>
                <w:rFonts w:ascii="Times New Roman" w:hAnsi="Times New Roman"/>
                <w:color w:val="000000"/>
                <w:sz w:val="24"/>
                <w:szCs w:val="24"/>
                <w:bdr w:val="none" w:color="auto" w:sz="0" w:space="0"/>
              </w:rPr>
              <w:t>扩建后全厂用水及排水情况核算一览表</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2" w:space="0"/>
                <w:insideV w:val="single" w:color="auto" w:sz="2" w:space="0"/>
              </w:tblBorders>
              <w:shd w:val="clear"/>
              <w:tblLayout w:type="fixed"/>
              <w:tblCellMar>
                <w:top w:w="0" w:type="dxa"/>
                <w:left w:w="108" w:type="dxa"/>
                <w:bottom w:w="0" w:type="dxa"/>
                <w:right w:w="108" w:type="dxa"/>
              </w:tblCellMar>
            </w:tblPr>
            <w:tblGrid>
              <w:gridCol w:w="1167"/>
              <w:gridCol w:w="1135"/>
              <w:gridCol w:w="1727"/>
              <w:gridCol w:w="823"/>
              <w:gridCol w:w="794"/>
              <w:gridCol w:w="807"/>
              <w:gridCol w:w="853"/>
              <w:gridCol w:w="1079"/>
            </w:tblGrid>
            <w:tr w14:paraId="3C5C0A50">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shd w:val="clear"/>
                <w:tblCellMar>
                  <w:top w:w="0" w:type="dxa"/>
                  <w:left w:w="108" w:type="dxa"/>
                  <w:bottom w:w="0" w:type="dxa"/>
                  <w:right w:w="108" w:type="dxa"/>
                </w:tblCellMar>
              </w:tblPrEx>
              <w:trPr>
                <w:trHeight w:val="304" w:hRule="atLeast"/>
                <w:jc w:val="center"/>
              </w:trPr>
              <w:tc>
                <w:tcPr>
                  <w:tcW w:w="1167" w:type="dxa"/>
                  <w:vMerge w:val="restart"/>
                  <w:tcBorders>
                    <w:top w:val="single" w:color="auto" w:sz="12" w:space="0"/>
                    <w:left w:val="nil"/>
                    <w:bottom w:val="single" w:color="auto" w:sz="2" w:space="0"/>
                    <w:right w:val="single" w:color="auto" w:sz="2" w:space="0"/>
                  </w:tcBorders>
                  <w:shd w:val="clear"/>
                  <w:vAlign w:val="center"/>
                </w:tcPr>
                <w:p w14:paraId="10414FA8">
                  <w:pPr>
                    <w:pStyle w:val="92"/>
                    <w:widowControl/>
                    <w:spacing w:line="300" w:lineRule="exact"/>
                    <w:rPr>
                      <w:bCs/>
                      <w:color w:val="000000"/>
                      <w:szCs w:val="21"/>
                      <w:bdr w:val="none" w:color="auto" w:sz="0" w:space="0"/>
                      <w:lang w:val="en-US"/>
                    </w:rPr>
                  </w:pPr>
                  <w:r>
                    <w:rPr>
                      <w:rFonts w:hint="eastAsia" w:ascii="Times New Roman" w:hAnsi="Times New Roman" w:eastAsia="宋体" w:cs="宋体"/>
                      <w:bCs/>
                      <w:color w:val="000000"/>
                      <w:szCs w:val="21"/>
                      <w:bdr w:val="none" w:color="auto" w:sz="0" w:space="0"/>
                    </w:rPr>
                    <w:t>用水工序</w:t>
                  </w:r>
                </w:p>
              </w:tc>
              <w:tc>
                <w:tcPr>
                  <w:tcW w:w="1135" w:type="dxa"/>
                  <w:vMerge w:val="restart"/>
                  <w:tcBorders>
                    <w:top w:val="single" w:color="auto" w:sz="12" w:space="0"/>
                    <w:left w:val="single" w:color="auto" w:sz="2" w:space="0"/>
                    <w:bottom w:val="single" w:color="auto" w:sz="2" w:space="0"/>
                    <w:right w:val="single" w:color="auto" w:sz="2" w:space="0"/>
                  </w:tcBorders>
                  <w:shd w:val="clear"/>
                  <w:vAlign w:val="center"/>
                </w:tcPr>
                <w:p w14:paraId="7EAF8A41">
                  <w:pPr>
                    <w:pStyle w:val="92"/>
                    <w:widowControl/>
                    <w:spacing w:line="300" w:lineRule="exact"/>
                    <w:rPr>
                      <w:bCs/>
                      <w:color w:val="000000"/>
                      <w:szCs w:val="21"/>
                      <w:bdr w:val="none" w:color="auto" w:sz="0" w:space="0"/>
                      <w:lang w:val="en-US"/>
                    </w:rPr>
                  </w:pPr>
                  <w:r>
                    <w:rPr>
                      <w:rFonts w:hint="eastAsia" w:ascii="Times New Roman" w:hAnsi="Times New Roman" w:eastAsia="宋体" w:cs="宋体"/>
                      <w:bCs/>
                      <w:color w:val="000000"/>
                      <w:szCs w:val="21"/>
                      <w:bdr w:val="none" w:color="auto" w:sz="0" w:space="0"/>
                    </w:rPr>
                    <w:t>用水定额</w:t>
                  </w:r>
                </w:p>
              </w:tc>
              <w:tc>
                <w:tcPr>
                  <w:tcW w:w="1727" w:type="dxa"/>
                  <w:vMerge w:val="restart"/>
                  <w:tcBorders>
                    <w:top w:val="single" w:color="auto" w:sz="12" w:space="0"/>
                    <w:left w:val="single" w:color="auto" w:sz="2" w:space="0"/>
                    <w:bottom w:val="single" w:color="auto" w:sz="2" w:space="0"/>
                    <w:right w:val="single" w:color="auto" w:sz="2" w:space="0"/>
                  </w:tcBorders>
                  <w:shd w:val="clear"/>
                  <w:vAlign w:val="center"/>
                </w:tcPr>
                <w:p w14:paraId="18793DAA">
                  <w:pPr>
                    <w:pStyle w:val="92"/>
                    <w:widowControl/>
                    <w:spacing w:line="300" w:lineRule="exact"/>
                    <w:rPr>
                      <w:bCs/>
                      <w:color w:val="000000"/>
                      <w:szCs w:val="21"/>
                      <w:bdr w:val="none" w:color="auto" w:sz="0" w:space="0"/>
                      <w:lang w:val="en-US"/>
                    </w:rPr>
                  </w:pPr>
                  <w:r>
                    <w:rPr>
                      <w:rFonts w:hint="eastAsia" w:ascii="Times New Roman" w:hAnsi="Times New Roman" w:eastAsia="宋体" w:cs="宋体"/>
                      <w:bCs/>
                      <w:color w:val="000000"/>
                      <w:szCs w:val="21"/>
                      <w:bdr w:val="none" w:color="auto" w:sz="0" w:space="0"/>
                    </w:rPr>
                    <w:t>用水规模</w:t>
                  </w:r>
                </w:p>
              </w:tc>
              <w:tc>
                <w:tcPr>
                  <w:tcW w:w="1617" w:type="dxa"/>
                  <w:gridSpan w:val="2"/>
                  <w:tcBorders>
                    <w:top w:val="single" w:color="auto" w:sz="12" w:space="0"/>
                    <w:left w:val="single" w:color="auto" w:sz="2" w:space="0"/>
                    <w:bottom w:val="single" w:color="auto" w:sz="2" w:space="0"/>
                    <w:right w:val="single" w:color="auto" w:sz="2" w:space="0"/>
                  </w:tcBorders>
                  <w:shd w:val="clear"/>
                  <w:vAlign w:val="center"/>
                </w:tcPr>
                <w:p w14:paraId="0CAC9A10">
                  <w:pPr>
                    <w:pStyle w:val="92"/>
                    <w:widowControl/>
                    <w:spacing w:line="300" w:lineRule="exact"/>
                    <w:rPr>
                      <w:bCs/>
                      <w:color w:val="000000"/>
                      <w:szCs w:val="21"/>
                      <w:bdr w:val="none" w:color="auto" w:sz="0" w:space="0"/>
                      <w:lang w:val="en-US"/>
                    </w:rPr>
                  </w:pPr>
                  <w:r>
                    <w:rPr>
                      <w:rFonts w:hint="eastAsia" w:ascii="Times New Roman" w:hAnsi="Times New Roman" w:eastAsia="宋体" w:cs="宋体"/>
                      <w:bCs/>
                      <w:color w:val="000000"/>
                      <w:szCs w:val="21"/>
                      <w:bdr w:val="none" w:color="auto" w:sz="0" w:space="0"/>
                    </w:rPr>
                    <w:t>新鲜用水量</w:t>
                  </w:r>
                </w:p>
              </w:tc>
              <w:tc>
                <w:tcPr>
                  <w:tcW w:w="1661" w:type="dxa"/>
                  <w:gridSpan w:val="2"/>
                  <w:tcBorders>
                    <w:top w:val="single" w:color="auto" w:sz="12" w:space="0"/>
                    <w:left w:val="single" w:color="auto" w:sz="2" w:space="0"/>
                    <w:bottom w:val="single" w:color="auto" w:sz="2" w:space="0"/>
                    <w:right w:val="single" w:color="auto" w:sz="2" w:space="0"/>
                  </w:tcBorders>
                  <w:shd w:val="clear"/>
                  <w:vAlign w:val="center"/>
                </w:tcPr>
                <w:p w14:paraId="346B319C">
                  <w:pPr>
                    <w:pStyle w:val="92"/>
                    <w:widowControl/>
                    <w:spacing w:line="300" w:lineRule="exact"/>
                    <w:rPr>
                      <w:bCs/>
                      <w:color w:val="000000"/>
                      <w:szCs w:val="21"/>
                      <w:bdr w:val="none" w:color="auto" w:sz="0" w:space="0"/>
                      <w:lang w:val="en-US"/>
                    </w:rPr>
                  </w:pPr>
                  <w:r>
                    <w:rPr>
                      <w:rFonts w:hint="eastAsia" w:ascii="Times New Roman" w:hAnsi="Times New Roman" w:eastAsia="宋体" w:cs="宋体"/>
                      <w:bCs/>
                      <w:color w:val="000000"/>
                      <w:szCs w:val="21"/>
                      <w:bdr w:val="none" w:color="auto" w:sz="0" w:space="0"/>
                    </w:rPr>
                    <w:t>排水量</w:t>
                  </w:r>
                </w:p>
              </w:tc>
              <w:tc>
                <w:tcPr>
                  <w:tcW w:w="1079" w:type="dxa"/>
                  <w:vMerge w:val="restart"/>
                  <w:tcBorders>
                    <w:top w:val="single" w:color="auto" w:sz="12" w:space="0"/>
                    <w:left w:val="single" w:color="auto" w:sz="2" w:space="0"/>
                    <w:bottom w:val="single" w:color="auto" w:sz="2" w:space="0"/>
                    <w:right w:val="nil"/>
                  </w:tcBorders>
                  <w:shd w:val="clear"/>
                  <w:vAlign w:val="center"/>
                </w:tcPr>
                <w:p w14:paraId="11C888F7">
                  <w:pPr>
                    <w:pStyle w:val="92"/>
                    <w:widowControl/>
                    <w:spacing w:line="300" w:lineRule="exact"/>
                    <w:rPr>
                      <w:bCs/>
                      <w:color w:val="000000"/>
                      <w:szCs w:val="21"/>
                      <w:bdr w:val="none" w:color="auto" w:sz="0" w:space="0"/>
                      <w:lang w:val="en-US"/>
                    </w:rPr>
                  </w:pPr>
                  <w:r>
                    <w:rPr>
                      <w:rFonts w:hint="eastAsia" w:ascii="Times New Roman" w:hAnsi="Times New Roman" w:eastAsia="宋体" w:cs="宋体"/>
                      <w:color w:val="000000"/>
                      <w:szCs w:val="21"/>
                      <w:bdr w:val="none" w:color="auto" w:sz="0" w:space="0"/>
                    </w:rPr>
                    <w:t>去向</w:t>
                  </w:r>
                </w:p>
              </w:tc>
            </w:tr>
            <w:tr w14:paraId="297BD43A">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261" w:hRule="atLeast"/>
                <w:jc w:val="center"/>
              </w:trPr>
              <w:tc>
                <w:tcPr>
                  <w:tcW w:w="1167" w:type="dxa"/>
                  <w:vMerge w:val="continue"/>
                  <w:tcBorders>
                    <w:top w:val="single" w:color="auto" w:sz="12" w:space="0"/>
                    <w:left w:val="nil"/>
                    <w:bottom w:val="single" w:color="auto" w:sz="2" w:space="0"/>
                    <w:right w:val="single" w:color="auto" w:sz="2" w:space="0"/>
                  </w:tcBorders>
                  <w:shd w:val="clear"/>
                  <w:vAlign w:val="center"/>
                </w:tcPr>
                <w:p w14:paraId="400EB020">
                  <w:pPr>
                    <w:rPr>
                      <w:rFonts w:hint="default" w:ascii="Calibri" w:hAnsi="Calibri" w:cs="Calibri"/>
                      <w:sz w:val="20"/>
                      <w:szCs w:val="20"/>
                    </w:rPr>
                  </w:pPr>
                </w:p>
              </w:tc>
              <w:tc>
                <w:tcPr>
                  <w:tcW w:w="1135" w:type="dxa"/>
                  <w:vMerge w:val="continue"/>
                  <w:tcBorders>
                    <w:top w:val="single" w:color="auto" w:sz="12" w:space="0"/>
                    <w:left w:val="single" w:color="auto" w:sz="2" w:space="0"/>
                    <w:bottom w:val="single" w:color="auto" w:sz="2" w:space="0"/>
                    <w:right w:val="single" w:color="auto" w:sz="2" w:space="0"/>
                  </w:tcBorders>
                  <w:shd w:val="clear"/>
                  <w:vAlign w:val="center"/>
                </w:tcPr>
                <w:p w14:paraId="352105C2">
                  <w:pPr>
                    <w:rPr>
                      <w:rFonts w:hint="default" w:ascii="Calibri" w:hAnsi="Calibri" w:cs="Calibri"/>
                      <w:sz w:val="20"/>
                      <w:szCs w:val="20"/>
                    </w:rPr>
                  </w:pPr>
                </w:p>
              </w:tc>
              <w:tc>
                <w:tcPr>
                  <w:tcW w:w="1727" w:type="dxa"/>
                  <w:vMerge w:val="continue"/>
                  <w:tcBorders>
                    <w:top w:val="single" w:color="auto" w:sz="12" w:space="0"/>
                    <w:left w:val="single" w:color="auto" w:sz="2" w:space="0"/>
                    <w:bottom w:val="single" w:color="auto" w:sz="2" w:space="0"/>
                    <w:right w:val="single" w:color="auto" w:sz="2" w:space="0"/>
                  </w:tcBorders>
                  <w:shd w:val="clear"/>
                  <w:vAlign w:val="center"/>
                </w:tcPr>
                <w:p w14:paraId="11A18B94">
                  <w:pPr>
                    <w:rPr>
                      <w:rFonts w:hint="default" w:ascii="Calibri" w:hAnsi="Calibri" w:cs="Calibri"/>
                      <w:sz w:val="20"/>
                      <w:szCs w:val="20"/>
                    </w:rPr>
                  </w:pPr>
                </w:p>
              </w:tc>
              <w:tc>
                <w:tcPr>
                  <w:tcW w:w="823" w:type="dxa"/>
                  <w:tcBorders>
                    <w:top w:val="single" w:color="auto" w:sz="2" w:space="0"/>
                    <w:left w:val="single" w:color="auto" w:sz="2" w:space="0"/>
                    <w:bottom w:val="single" w:color="auto" w:sz="2" w:space="0"/>
                    <w:right w:val="single" w:color="auto" w:sz="2" w:space="0"/>
                  </w:tcBorders>
                  <w:shd w:val="clear"/>
                  <w:vAlign w:val="center"/>
                </w:tcPr>
                <w:p w14:paraId="64DAB6D0">
                  <w:pPr>
                    <w:pStyle w:val="92"/>
                    <w:widowControl/>
                    <w:spacing w:line="300" w:lineRule="exact"/>
                    <w:rPr>
                      <w:bCs/>
                      <w:color w:val="000000"/>
                      <w:szCs w:val="21"/>
                      <w:bdr w:val="none" w:color="auto" w:sz="0" w:space="0"/>
                      <w:lang w:val="en-US"/>
                    </w:rPr>
                  </w:pPr>
                  <w:r>
                    <w:rPr>
                      <w:bCs/>
                      <w:color w:val="000000"/>
                      <w:szCs w:val="21"/>
                      <w:bdr w:val="none" w:color="auto" w:sz="0" w:space="0"/>
                      <w:lang w:val="en-US"/>
                    </w:rPr>
                    <w:t>m</w:t>
                  </w:r>
                  <w:r>
                    <w:rPr>
                      <w:bCs/>
                      <w:color w:val="000000"/>
                      <w:szCs w:val="21"/>
                      <w:bdr w:val="none" w:color="auto" w:sz="0" w:space="0"/>
                      <w:vertAlign w:val="superscript"/>
                      <w:lang w:val="en-US"/>
                    </w:rPr>
                    <w:t>3</w:t>
                  </w:r>
                  <w:r>
                    <w:rPr>
                      <w:bCs/>
                      <w:color w:val="000000"/>
                      <w:szCs w:val="21"/>
                      <w:bdr w:val="none" w:color="auto" w:sz="0" w:space="0"/>
                      <w:lang w:val="en-US"/>
                    </w:rPr>
                    <w:t>/d</w:t>
                  </w:r>
                </w:p>
              </w:tc>
              <w:tc>
                <w:tcPr>
                  <w:tcW w:w="794" w:type="dxa"/>
                  <w:tcBorders>
                    <w:top w:val="single" w:color="auto" w:sz="2" w:space="0"/>
                    <w:left w:val="single" w:color="auto" w:sz="2" w:space="0"/>
                    <w:bottom w:val="single" w:color="auto" w:sz="2" w:space="0"/>
                    <w:right w:val="single" w:color="auto" w:sz="2" w:space="0"/>
                  </w:tcBorders>
                  <w:shd w:val="clear"/>
                  <w:vAlign w:val="center"/>
                </w:tcPr>
                <w:p w14:paraId="766AC3E4">
                  <w:pPr>
                    <w:pStyle w:val="92"/>
                    <w:widowControl/>
                    <w:spacing w:line="300" w:lineRule="exact"/>
                    <w:rPr>
                      <w:bCs/>
                      <w:color w:val="000000"/>
                      <w:szCs w:val="21"/>
                      <w:bdr w:val="none" w:color="auto" w:sz="0" w:space="0"/>
                      <w:lang w:val="en-US"/>
                    </w:rPr>
                  </w:pPr>
                  <w:r>
                    <w:rPr>
                      <w:bCs/>
                      <w:color w:val="000000"/>
                      <w:szCs w:val="21"/>
                      <w:bdr w:val="none" w:color="auto" w:sz="0" w:space="0"/>
                      <w:lang w:val="en-US"/>
                    </w:rPr>
                    <w:t>m</w:t>
                  </w:r>
                  <w:r>
                    <w:rPr>
                      <w:bCs/>
                      <w:color w:val="000000"/>
                      <w:szCs w:val="21"/>
                      <w:bdr w:val="none" w:color="auto" w:sz="0" w:space="0"/>
                      <w:vertAlign w:val="superscript"/>
                      <w:lang w:val="en-US"/>
                    </w:rPr>
                    <w:t>3</w:t>
                  </w:r>
                  <w:r>
                    <w:rPr>
                      <w:bCs/>
                      <w:color w:val="000000"/>
                      <w:szCs w:val="21"/>
                      <w:bdr w:val="none" w:color="auto" w:sz="0" w:space="0"/>
                      <w:lang w:val="en-US"/>
                    </w:rPr>
                    <w:t>/a</w:t>
                  </w:r>
                </w:p>
              </w:tc>
              <w:tc>
                <w:tcPr>
                  <w:tcW w:w="807" w:type="dxa"/>
                  <w:tcBorders>
                    <w:top w:val="single" w:color="auto" w:sz="2" w:space="0"/>
                    <w:left w:val="single" w:color="auto" w:sz="2" w:space="0"/>
                    <w:bottom w:val="single" w:color="auto" w:sz="2" w:space="0"/>
                    <w:right w:val="single" w:color="auto" w:sz="2" w:space="0"/>
                  </w:tcBorders>
                  <w:shd w:val="clear"/>
                  <w:vAlign w:val="center"/>
                </w:tcPr>
                <w:p w14:paraId="686779A5">
                  <w:pPr>
                    <w:pStyle w:val="92"/>
                    <w:widowControl/>
                    <w:spacing w:line="300" w:lineRule="exact"/>
                    <w:rPr>
                      <w:bCs/>
                      <w:color w:val="000000"/>
                      <w:szCs w:val="21"/>
                      <w:bdr w:val="none" w:color="auto" w:sz="0" w:space="0"/>
                      <w:lang w:val="en-US"/>
                    </w:rPr>
                  </w:pPr>
                  <w:r>
                    <w:rPr>
                      <w:bCs/>
                      <w:color w:val="000000"/>
                      <w:szCs w:val="21"/>
                      <w:bdr w:val="none" w:color="auto" w:sz="0" w:space="0"/>
                      <w:lang w:val="en-US"/>
                    </w:rPr>
                    <w:t>m</w:t>
                  </w:r>
                  <w:r>
                    <w:rPr>
                      <w:bCs/>
                      <w:color w:val="000000"/>
                      <w:szCs w:val="21"/>
                      <w:bdr w:val="none" w:color="auto" w:sz="0" w:space="0"/>
                      <w:vertAlign w:val="superscript"/>
                      <w:lang w:val="en-US"/>
                    </w:rPr>
                    <w:t>3</w:t>
                  </w:r>
                  <w:r>
                    <w:rPr>
                      <w:bCs/>
                      <w:color w:val="000000"/>
                      <w:szCs w:val="21"/>
                      <w:bdr w:val="none" w:color="auto" w:sz="0" w:space="0"/>
                      <w:lang w:val="en-US"/>
                    </w:rPr>
                    <w:t>/d</w:t>
                  </w:r>
                </w:p>
              </w:tc>
              <w:tc>
                <w:tcPr>
                  <w:tcW w:w="854" w:type="dxa"/>
                  <w:tcBorders>
                    <w:top w:val="single" w:color="auto" w:sz="2" w:space="0"/>
                    <w:left w:val="single" w:color="auto" w:sz="2" w:space="0"/>
                    <w:bottom w:val="single" w:color="auto" w:sz="2" w:space="0"/>
                    <w:right w:val="single" w:color="auto" w:sz="2" w:space="0"/>
                  </w:tcBorders>
                  <w:shd w:val="clear"/>
                  <w:vAlign w:val="center"/>
                </w:tcPr>
                <w:p w14:paraId="23E7A6B9">
                  <w:pPr>
                    <w:pStyle w:val="92"/>
                    <w:widowControl/>
                    <w:spacing w:line="300" w:lineRule="exact"/>
                    <w:rPr>
                      <w:bCs/>
                      <w:color w:val="000000"/>
                      <w:szCs w:val="21"/>
                      <w:bdr w:val="none" w:color="auto" w:sz="0" w:space="0"/>
                      <w:lang w:val="en-US"/>
                    </w:rPr>
                  </w:pPr>
                  <w:r>
                    <w:rPr>
                      <w:bCs/>
                      <w:color w:val="000000"/>
                      <w:szCs w:val="21"/>
                      <w:bdr w:val="none" w:color="auto" w:sz="0" w:space="0"/>
                      <w:lang w:val="en-US"/>
                    </w:rPr>
                    <w:t>m</w:t>
                  </w:r>
                  <w:r>
                    <w:rPr>
                      <w:bCs/>
                      <w:color w:val="000000"/>
                      <w:szCs w:val="21"/>
                      <w:bdr w:val="none" w:color="auto" w:sz="0" w:space="0"/>
                      <w:vertAlign w:val="superscript"/>
                      <w:lang w:val="en-US"/>
                    </w:rPr>
                    <w:t>3</w:t>
                  </w:r>
                  <w:r>
                    <w:rPr>
                      <w:bCs/>
                      <w:color w:val="000000"/>
                      <w:szCs w:val="21"/>
                      <w:bdr w:val="none" w:color="auto" w:sz="0" w:space="0"/>
                      <w:lang w:val="en-US"/>
                    </w:rPr>
                    <w:t>/a</w:t>
                  </w:r>
                </w:p>
              </w:tc>
              <w:tc>
                <w:tcPr>
                  <w:tcW w:w="1079" w:type="dxa"/>
                  <w:vMerge w:val="continue"/>
                  <w:tcBorders>
                    <w:top w:val="single" w:color="auto" w:sz="12" w:space="0"/>
                    <w:left w:val="single" w:color="auto" w:sz="2" w:space="0"/>
                    <w:bottom w:val="single" w:color="auto" w:sz="2" w:space="0"/>
                    <w:right w:val="nil"/>
                  </w:tcBorders>
                  <w:shd w:val="clear"/>
                  <w:vAlign w:val="center"/>
                </w:tcPr>
                <w:p w14:paraId="0A1069FD">
                  <w:pPr>
                    <w:rPr>
                      <w:rFonts w:hint="default" w:ascii="Calibri" w:hAnsi="Calibri" w:cs="Calibri"/>
                      <w:sz w:val="20"/>
                      <w:szCs w:val="20"/>
                    </w:rPr>
                  </w:pPr>
                </w:p>
              </w:tc>
            </w:tr>
            <w:tr w14:paraId="63940767">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0" w:hRule="atLeast"/>
                <w:jc w:val="center"/>
              </w:trPr>
              <w:tc>
                <w:tcPr>
                  <w:tcW w:w="1167" w:type="dxa"/>
                  <w:tcBorders>
                    <w:top w:val="single" w:color="auto" w:sz="2" w:space="0"/>
                    <w:left w:val="nil"/>
                    <w:bottom w:val="single" w:color="auto" w:sz="12" w:space="0"/>
                    <w:right w:val="single" w:color="auto" w:sz="2" w:space="0"/>
                  </w:tcBorders>
                  <w:shd w:val="clear"/>
                  <w:vAlign w:val="center"/>
                </w:tcPr>
                <w:p w14:paraId="22D68491">
                  <w:pPr>
                    <w:pStyle w:val="92"/>
                    <w:widowControl/>
                    <w:spacing w:line="300" w:lineRule="exact"/>
                    <w:rPr>
                      <w:bCs/>
                      <w:color w:val="000000"/>
                      <w:szCs w:val="21"/>
                      <w:bdr w:val="none" w:color="auto" w:sz="0" w:space="0"/>
                      <w:lang w:val="en-US"/>
                    </w:rPr>
                  </w:pPr>
                  <w:r>
                    <w:rPr>
                      <w:rFonts w:hint="eastAsia" w:ascii="Times New Roman" w:hAnsi="Times New Roman" w:eastAsia="宋体" w:cs="宋体"/>
                      <w:bCs/>
                      <w:color w:val="000000"/>
                      <w:szCs w:val="21"/>
                      <w:bdr w:val="none" w:color="auto" w:sz="0" w:space="0"/>
                    </w:rPr>
                    <w:t>生活污水</w:t>
                  </w:r>
                </w:p>
              </w:tc>
              <w:tc>
                <w:tcPr>
                  <w:tcW w:w="1135" w:type="dxa"/>
                  <w:tcBorders>
                    <w:top w:val="single" w:color="auto" w:sz="2" w:space="0"/>
                    <w:left w:val="single" w:color="auto" w:sz="2" w:space="0"/>
                    <w:bottom w:val="single" w:color="auto" w:sz="12" w:space="0"/>
                    <w:right w:val="single" w:color="auto" w:sz="2" w:space="0"/>
                  </w:tcBorders>
                  <w:shd w:val="clear"/>
                  <w:vAlign w:val="center"/>
                </w:tcPr>
                <w:p w14:paraId="02E7067E">
                  <w:pPr>
                    <w:pStyle w:val="92"/>
                    <w:widowControl/>
                    <w:spacing w:line="300" w:lineRule="exact"/>
                    <w:rPr>
                      <w:color w:val="000000"/>
                      <w:kern w:val="0"/>
                      <w:szCs w:val="21"/>
                      <w:bdr w:val="none" w:color="auto" w:sz="0" w:space="0"/>
                      <w:lang w:val="en-US"/>
                    </w:rPr>
                  </w:pPr>
                  <w:r>
                    <w:rPr>
                      <w:color w:val="000000"/>
                      <w:kern w:val="0"/>
                      <w:szCs w:val="21"/>
                      <w:bdr w:val="none" w:color="auto" w:sz="0" w:space="0"/>
                      <w:lang w:val="en-US"/>
                    </w:rPr>
                    <w:t>50L/</w:t>
                  </w:r>
                  <w:r>
                    <w:rPr>
                      <w:rFonts w:hint="eastAsia" w:ascii="Times New Roman" w:hAnsi="Times New Roman" w:eastAsia="宋体" w:cs="宋体"/>
                      <w:color w:val="000000"/>
                      <w:kern w:val="0"/>
                      <w:szCs w:val="21"/>
                      <w:bdr w:val="none" w:color="auto" w:sz="0" w:space="0"/>
                    </w:rPr>
                    <w:t>人•</w:t>
                  </w:r>
                  <w:r>
                    <w:rPr>
                      <w:color w:val="000000"/>
                      <w:kern w:val="0"/>
                      <w:szCs w:val="21"/>
                      <w:bdr w:val="none" w:color="auto" w:sz="0" w:space="0"/>
                      <w:lang w:val="en-US"/>
                    </w:rPr>
                    <w:t>d</w:t>
                  </w:r>
                </w:p>
              </w:tc>
              <w:tc>
                <w:tcPr>
                  <w:tcW w:w="1727" w:type="dxa"/>
                  <w:tcBorders>
                    <w:top w:val="single" w:color="auto" w:sz="2" w:space="0"/>
                    <w:left w:val="single" w:color="auto" w:sz="2" w:space="0"/>
                    <w:bottom w:val="single" w:color="auto" w:sz="12" w:space="0"/>
                    <w:right w:val="single" w:color="auto" w:sz="2" w:space="0"/>
                  </w:tcBorders>
                  <w:shd w:val="clear"/>
                  <w:vAlign w:val="center"/>
                </w:tcPr>
                <w:p w14:paraId="3248BB28">
                  <w:pPr>
                    <w:pStyle w:val="92"/>
                    <w:widowControl/>
                    <w:spacing w:line="300" w:lineRule="exact"/>
                    <w:rPr>
                      <w:bCs/>
                      <w:color w:val="000000"/>
                      <w:szCs w:val="21"/>
                      <w:bdr w:val="none" w:color="auto" w:sz="0" w:space="0"/>
                      <w:lang w:val="en-US"/>
                    </w:rPr>
                  </w:pPr>
                  <w:r>
                    <w:rPr>
                      <w:bCs/>
                      <w:color w:val="000000"/>
                      <w:szCs w:val="21"/>
                      <w:bdr w:val="none" w:color="auto" w:sz="0" w:space="0"/>
                      <w:lang w:val="en-US"/>
                    </w:rPr>
                    <w:t>65</w:t>
                  </w:r>
                  <w:r>
                    <w:rPr>
                      <w:rFonts w:hint="eastAsia" w:ascii="Times New Roman" w:hAnsi="Times New Roman" w:eastAsia="宋体" w:cs="宋体"/>
                      <w:bCs/>
                      <w:color w:val="000000"/>
                      <w:szCs w:val="21"/>
                      <w:bdr w:val="none" w:color="auto" w:sz="0" w:space="0"/>
                    </w:rPr>
                    <w:t>人（现有</w:t>
                  </w:r>
                  <w:r>
                    <w:rPr>
                      <w:bCs/>
                      <w:color w:val="000000"/>
                      <w:szCs w:val="21"/>
                      <w:bdr w:val="none" w:color="auto" w:sz="0" w:space="0"/>
                      <w:lang w:val="en-US"/>
                    </w:rPr>
                    <w:t>50</w:t>
                  </w:r>
                  <w:r>
                    <w:rPr>
                      <w:rFonts w:hint="eastAsia" w:ascii="Times New Roman" w:hAnsi="Times New Roman" w:eastAsia="宋体" w:cs="宋体"/>
                      <w:bCs/>
                      <w:color w:val="000000"/>
                      <w:szCs w:val="21"/>
                      <w:bdr w:val="none" w:color="auto" w:sz="0" w:space="0"/>
                    </w:rPr>
                    <w:t>人，新增</w:t>
                  </w:r>
                  <w:r>
                    <w:rPr>
                      <w:bCs/>
                      <w:color w:val="000000"/>
                      <w:szCs w:val="21"/>
                      <w:bdr w:val="none" w:color="auto" w:sz="0" w:space="0"/>
                      <w:lang w:val="en-US"/>
                    </w:rPr>
                    <w:t>15</w:t>
                  </w:r>
                  <w:r>
                    <w:rPr>
                      <w:rFonts w:hint="eastAsia" w:ascii="Times New Roman" w:hAnsi="Times New Roman" w:eastAsia="宋体" w:cs="宋体"/>
                      <w:bCs/>
                      <w:color w:val="000000"/>
                      <w:szCs w:val="21"/>
                      <w:bdr w:val="none" w:color="auto" w:sz="0" w:space="0"/>
                    </w:rPr>
                    <w:t>人），</w:t>
                  </w:r>
                  <w:r>
                    <w:rPr>
                      <w:bCs/>
                      <w:color w:val="000000"/>
                      <w:szCs w:val="21"/>
                      <w:bdr w:val="none" w:color="auto" w:sz="0" w:space="0"/>
                      <w:lang w:val="en-US"/>
                    </w:rPr>
                    <w:t>300d</w:t>
                  </w:r>
                </w:p>
              </w:tc>
              <w:tc>
                <w:tcPr>
                  <w:tcW w:w="823" w:type="dxa"/>
                  <w:tcBorders>
                    <w:top w:val="single" w:color="auto" w:sz="2" w:space="0"/>
                    <w:left w:val="single" w:color="auto" w:sz="2" w:space="0"/>
                    <w:bottom w:val="single" w:color="auto" w:sz="12" w:space="0"/>
                    <w:right w:val="single" w:color="auto" w:sz="2" w:space="0"/>
                  </w:tcBorders>
                  <w:shd w:val="clear"/>
                  <w:vAlign w:val="center"/>
                </w:tcPr>
                <w:p w14:paraId="16B211D6">
                  <w:pPr>
                    <w:pStyle w:val="92"/>
                    <w:widowControl/>
                    <w:spacing w:line="300" w:lineRule="exact"/>
                    <w:rPr>
                      <w:bCs/>
                      <w:color w:val="000000"/>
                      <w:szCs w:val="21"/>
                      <w:bdr w:val="none" w:color="auto" w:sz="0" w:space="0"/>
                      <w:lang w:val="en-US"/>
                    </w:rPr>
                  </w:pPr>
                  <w:r>
                    <w:rPr>
                      <w:bCs/>
                      <w:color w:val="000000"/>
                      <w:szCs w:val="21"/>
                      <w:bdr w:val="none" w:color="auto" w:sz="0" w:space="0"/>
                      <w:lang w:val="en-US"/>
                    </w:rPr>
                    <w:t>3.25</w:t>
                  </w:r>
                </w:p>
              </w:tc>
              <w:tc>
                <w:tcPr>
                  <w:tcW w:w="794" w:type="dxa"/>
                  <w:tcBorders>
                    <w:top w:val="single" w:color="auto" w:sz="2" w:space="0"/>
                    <w:left w:val="single" w:color="auto" w:sz="2" w:space="0"/>
                    <w:bottom w:val="single" w:color="auto" w:sz="12" w:space="0"/>
                    <w:right w:val="single" w:color="auto" w:sz="2" w:space="0"/>
                  </w:tcBorders>
                  <w:shd w:val="clear"/>
                  <w:vAlign w:val="center"/>
                </w:tcPr>
                <w:p w14:paraId="15736CDB">
                  <w:pPr>
                    <w:pStyle w:val="92"/>
                    <w:widowControl/>
                    <w:spacing w:line="300" w:lineRule="exact"/>
                    <w:rPr>
                      <w:bCs/>
                      <w:color w:val="000000"/>
                      <w:szCs w:val="21"/>
                      <w:bdr w:val="none" w:color="auto" w:sz="0" w:space="0"/>
                      <w:lang w:val="en-US"/>
                    </w:rPr>
                  </w:pPr>
                  <w:r>
                    <w:rPr>
                      <w:bCs/>
                      <w:color w:val="000000"/>
                      <w:szCs w:val="21"/>
                      <w:bdr w:val="none" w:color="auto" w:sz="0" w:space="0"/>
                      <w:lang w:val="en-US"/>
                    </w:rPr>
                    <w:t>975</w:t>
                  </w:r>
                </w:p>
              </w:tc>
              <w:tc>
                <w:tcPr>
                  <w:tcW w:w="807" w:type="dxa"/>
                  <w:tcBorders>
                    <w:top w:val="single" w:color="auto" w:sz="2" w:space="0"/>
                    <w:left w:val="single" w:color="auto" w:sz="2" w:space="0"/>
                    <w:bottom w:val="single" w:color="auto" w:sz="12" w:space="0"/>
                    <w:right w:val="single" w:color="auto" w:sz="2" w:space="0"/>
                  </w:tcBorders>
                  <w:shd w:val="clear"/>
                  <w:vAlign w:val="center"/>
                </w:tcPr>
                <w:p w14:paraId="34E21E0D">
                  <w:pPr>
                    <w:pStyle w:val="92"/>
                    <w:widowControl/>
                    <w:spacing w:line="300" w:lineRule="exact"/>
                    <w:rPr>
                      <w:bCs/>
                      <w:color w:val="000000"/>
                      <w:szCs w:val="21"/>
                      <w:bdr w:val="none" w:color="auto" w:sz="0" w:space="0"/>
                      <w:lang w:val="en-US"/>
                    </w:rPr>
                  </w:pPr>
                  <w:r>
                    <w:rPr>
                      <w:bCs/>
                      <w:color w:val="000000"/>
                      <w:szCs w:val="21"/>
                      <w:bdr w:val="none" w:color="auto" w:sz="0" w:space="0"/>
                      <w:lang w:val="en-US"/>
                    </w:rPr>
                    <w:t>2.925</w:t>
                  </w:r>
                </w:p>
              </w:tc>
              <w:tc>
                <w:tcPr>
                  <w:tcW w:w="854" w:type="dxa"/>
                  <w:tcBorders>
                    <w:top w:val="single" w:color="auto" w:sz="2" w:space="0"/>
                    <w:left w:val="single" w:color="auto" w:sz="2" w:space="0"/>
                    <w:bottom w:val="single" w:color="auto" w:sz="12" w:space="0"/>
                    <w:right w:val="single" w:color="auto" w:sz="2" w:space="0"/>
                  </w:tcBorders>
                  <w:shd w:val="clear"/>
                  <w:vAlign w:val="center"/>
                </w:tcPr>
                <w:p w14:paraId="0AEBC87E">
                  <w:pPr>
                    <w:pStyle w:val="92"/>
                    <w:widowControl/>
                    <w:spacing w:line="300" w:lineRule="exact"/>
                    <w:rPr>
                      <w:bCs/>
                      <w:color w:val="000000"/>
                      <w:szCs w:val="21"/>
                      <w:bdr w:val="none" w:color="auto" w:sz="0" w:space="0"/>
                      <w:lang w:val="en-US"/>
                    </w:rPr>
                  </w:pPr>
                  <w:r>
                    <w:rPr>
                      <w:bCs/>
                      <w:color w:val="000000"/>
                      <w:szCs w:val="21"/>
                      <w:bdr w:val="none" w:color="auto" w:sz="0" w:space="0"/>
                      <w:lang w:val="en-US"/>
                    </w:rPr>
                    <w:t>877.5</w:t>
                  </w:r>
                </w:p>
              </w:tc>
              <w:tc>
                <w:tcPr>
                  <w:tcW w:w="1079" w:type="dxa"/>
                  <w:tcBorders>
                    <w:top w:val="single" w:color="auto" w:sz="2" w:space="0"/>
                    <w:left w:val="single" w:color="auto" w:sz="2" w:space="0"/>
                    <w:bottom w:val="single" w:color="auto" w:sz="12" w:space="0"/>
                    <w:right w:val="nil"/>
                  </w:tcBorders>
                  <w:shd w:val="clear"/>
                  <w:vAlign w:val="center"/>
                </w:tcPr>
                <w:p w14:paraId="2DE6358F">
                  <w:pPr>
                    <w:pStyle w:val="92"/>
                    <w:widowControl/>
                    <w:spacing w:line="300" w:lineRule="exact"/>
                    <w:rPr>
                      <w:color w:val="000000"/>
                      <w:szCs w:val="21"/>
                      <w:bdr w:val="none" w:color="auto" w:sz="0" w:space="0"/>
                      <w:lang w:val="en-US"/>
                    </w:rPr>
                  </w:pPr>
                  <w:r>
                    <w:rPr>
                      <w:rFonts w:hint="eastAsia" w:ascii="Times New Roman" w:hAnsi="Times New Roman" w:eastAsia="宋体" w:cs="宋体"/>
                      <w:color w:val="000000"/>
                      <w:szCs w:val="21"/>
                      <w:bdr w:val="none" w:color="auto" w:sz="0" w:space="0"/>
                    </w:rPr>
                    <w:t>盈田•合川工谷已建生化池</w:t>
                  </w:r>
                </w:p>
              </w:tc>
            </w:tr>
          </w:tbl>
          <w:p w14:paraId="2330CABA">
            <w:pPr>
              <w:keepNext w:val="0"/>
              <w:keepLines w:val="0"/>
              <w:widowControl/>
              <w:suppressLineNumbers w:val="0"/>
              <w:spacing w:before="0" w:beforeAutospacing="0" w:after="0" w:afterAutospacing="0" w:line="440" w:lineRule="exact"/>
              <w:ind w:left="0" w:right="0"/>
              <w:jc w:val="center"/>
              <w:rPr>
                <w:rFonts w:hint="default" w:ascii="Times New Roman" w:hAnsi="Times New Roman" w:cs="Times New Roman"/>
                <w:b/>
                <w:bCs/>
                <w:color w:val="000000"/>
                <w:sz w:val="24"/>
                <w:szCs w:val="24"/>
                <w:u w:val="single"/>
                <w:bdr w:val="none" w:color="auto" w:sz="0" w:space="0"/>
                <w:lang w:val="en-US"/>
              </w:rPr>
            </w:pPr>
            <w:r>
              <w:rPr>
                <w:rFonts w:hint="default" w:ascii="Calibri" w:hAnsi="Calibri" w:eastAsia="宋体" w:cs="Times New Roman"/>
                <w:kern w:val="2"/>
                <w:sz w:val="21"/>
                <w:szCs w:val="24"/>
                <w:bdr w:val="none" w:color="auto" w:sz="0" w:space="0"/>
                <w:lang w:val="en-US" w:eastAsia="zh-CN" w:bidi="ar"/>
              </w:rPr>
              <mc:AlternateContent>
                <mc:Choice Requires="wpg">
                  <w:drawing>
                    <wp:anchor distT="0" distB="0" distL="114300" distR="114300" simplePos="0" relativeHeight="251682816" behindDoc="0" locked="0" layoutInCell="1" allowOverlap="1">
                      <wp:simplePos x="0" y="0"/>
                      <wp:positionH relativeFrom="column">
                        <wp:posOffset>236220</wp:posOffset>
                      </wp:positionH>
                      <wp:positionV relativeFrom="paragraph">
                        <wp:posOffset>19685</wp:posOffset>
                      </wp:positionV>
                      <wp:extent cx="4706620" cy="1503680"/>
                      <wp:effectExtent l="4445" t="0" r="0" b="0"/>
                      <wp:wrapNone/>
                      <wp:docPr id="29" name="组合 1553"/>
                      <wp:cNvGraphicFramePr/>
                      <a:graphic xmlns:a="http://schemas.openxmlformats.org/drawingml/2006/main">
                        <a:graphicData uri="http://schemas.microsoft.com/office/word/2010/wordprocessingGroup">
                          <wpg:wgp>
                            <wpg:cNvGrpSpPr/>
                            <wpg:grpSpPr>
                              <a:xfrm>
                                <a:off x="0" y="0"/>
                                <a:ext cx="4706620" cy="1503680"/>
                                <a:chOff x="2594" y="7822"/>
                                <a:chExt cx="7412" cy="2368"/>
                              </a:xfrm>
                            </wpg:grpSpPr>
                            <wps:wsp>
                              <wps:cNvPr id="17" name="自选图形 14986"/>
                              <wps:cNvCnPr/>
                              <wps:spPr>
                                <a:xfrm>
                                  <a:off x="8918" y="8869"/>
                                  <a:ext cx="0" cy="749"/>
                                </a:xfrm>
                                <a:prstGeom prst="straightConnector1">
                                  <a:avLst/>
                                </a:prstGeom>
                                <a:ln w="9525" cap="flat" cmpd="sng">
                                  <a:solidFill>
                                    <a:srgbClr val="000000"/>
                                  </a:solidFill>
                                  <a:prstDash val="dash"/>
                                  <a:headEnd type="none" w="med" len="med"/>
                                  <a:tailEnd type="triangle" w="med" len="med"/>
                                </a:ln>
                              </wps:spPr>
                              <wps:bodyPr/>
                            </wps:wsp>
                            <wps:wsp>
                              <wps:cNvPr id="18" name="文本框 14990"/>
                              <wps:cNvSpPr txBox="1"/>
                              <wps:spPr>
                                <a:xfrm>
                                  <a:off x="2594" y="8423"/>
                                  <a:ext cx="1201" cy="446"/>
                                </a:xfrm>
                                <a:prstGeom prst="rect">
                                  <a:avLst/>
                                </a:prstGeom>
                                <a:noFill/>
                                <a:ln w="9525" cap="flat" cmpd="sng">
                                  <a:solidFill>
                                    <a:srgbClr val="FFFFFF"/>
                                  </a:solidFill>
                                  <a:prstDash val="solid"/>
                                  <a:miter/>
                                  <a:headEnd type="none" w="med" len="med"/>
                                  <a:tailEnd type="none" w="med" len="med"/>
                                </a:ln>
                              </wps:spPr>
                              <wps:txbx>
                                <w:txbxContent>
                                  <w:p w14:paraId="43F3A237">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szCs w:val="21"/>
                                        <w:lang w:val="en-US"/>
                                      </w:rPr>
                                    </w:pPr>
                                    <w:r>
                                      <w:rPr>
                                        <w:rFonts w:hint="eastAsia" w:ascii="Times New Roman" w:hAnsi="Calibri" w:eastAsia="宋体" w:cs="宋体"/>
                                        <w:kern w:val="2"/>
                                        <w:sz w:val="21"/>
                                        <w:szCs w:val="21"/>
                                        <w:lang w:val="en-US" w:eastAsia="zh-CN" w:bidi="ar"/>
                                      </w:rPr>
                                      <w:t>新鲜水</w:t>
                                    </w:r>
                                  </w:p>
                                  <w:p w14:paraId="2419EB1C">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szCs w:val="21"/>
                                        <w:lang w:val="en-US"/>
                                      </w:rPr>
                                    </w:pPr>
                                  </w:p>
                                </w:txbxContent>
                              </wps:txbx>
                              <wps:bodyPr upright="1"/>
                            </wps:wsp>
                            <wps:wsp>
                              <wps:cNvPr id="19" name="自选图形 14991"/>
                              <wps:cNvCnPr/>
                              <wps:spPr>
                                <a:xfrm>
                                  <a:off x="3795" y="8654"/>
                                  <a:ext cx="975" cy="0"/>
                                </a:xfrm>
                                <a:prstGeom prst="straightConnector1">
                                  <a:avLst/>
                                </a:prstGeom>
                                <a:ln w="9525" cap="flat" cmpd="sng">
                                  <a:solidFill>
                                    <a:srgbClr val="000000"/>
                                  </a:solidFill>
                                  <a:prstDash val="solid"/>
                                  <a:headEnd type="none" w="med" len="med"/>
                                  <a:tailEnd type="triangle" w="med" len="med"/>
                                </a:ln>
                              </wps:spPr>
                              <wps:bodyPr/>
                            </wps:wsp>
                            <wps:wsp>
                              <wps:cNvPr id="20" name="文本框 15001"/>
                              <wps:cNvSpPr txBox="1"/>
                              <wps:spPr>
                                <a:xfrm>
                                  <a:off x="4798" y="8444"/>
                                  <a:ext cx="2016" cy="425"/>
                                </a:xfrm>
                                <a:prstGeom prst="rect">
                                  <a:avLst/>
                                </a:prstGeom>
                                <a:noFill/>
                                <a:ln w="9525" cap="flat" cmpd="sng">
                                  <a:solidFill>
                                    <a:srgbClr val="000000"/>
                                  </a:solidFill>
                                  <a:prstDash val="solid"/>
                                  <a:miter/>
                                  <a:headEnd type="none" w="med" len="med"/>
                                  <a:tailEnd type="none" w="med" len="med"/>
                                </a:ln>
                              </wps:spPr>
                              <wps:txbx>
                                <w:txbxContent>
                                  <w:p w14:paraId="034140ED">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szCs w:val="21"/>
                                        <w:lang w:val="en-US"/>
                                      </w:rPr>
                                    </w:pPr>
                                    <w:r>
                                      <w:rPr>
                                        <w:rFonts w:hint="eastAsia" w:ascii="Times New Roman" w:hAnsi="Calibri" w:eastAsia="宋体" w:cs="宋体"/>
                                        <w:kern w:val="2"/>
                                        <w:sz w:val="21"/>
                                        <w:szCs w:val="21"/>
                                        <w:lang w:val="en-US" w:eastAsia="zh-CN" w:bidi="ar"/>
                                      </w:rPr>
                                      <w:t>员工生活用水</w:t>
                                    </w:r>
                                  </w:p>
                                </w:txbxContent>
                              </wps:txbx>
                              <wps:bodyPr upright="1"/>
                            </wps:wsp>
                            <wps:wsp>
                              <wps:cNvPr id="21" name="矩形 15002"/>
                              <wps:cNvSpPr/>
                              <wps:spPr>
                                <a:xfrm>
                                  <a:off x="3795" y="8268"/>
                                  <a:ext cx="855" cy="386"/>
                                </a:xfrm>
                                <a:prstGeom prst="rect">
                                  <a:avLst/>
                                </a:prstGeom>
                                <a:noFill/>
                                <a:ln>
                                  <a:noFill/>
                                </a:ln>
                              </wps:spPr>
                              <wps:txbx>
                                <w:txbxContent>
                                  <w:p w14:paraId="154A5EDE">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3.25</w:t>
                                    </w:r>
                                  </w:p>
                                </w:txbxContent>
                              </wps:txbx>
                              <wps:bodyPr upright="1"/>
                            </wps:wsp>
                            <wps:wsp>
                              <wps:cNvPr id="22" name="自选图形 15017"/>
                              <wps:cNvCnPr/>
                              <wps:spPr>
                                <a:xfrm>
                                  <a:off x="6814" y="8654"/>
                                  <a:ext cx="1548" cy="0"/>
                                </a:xfrm>
                                <a:prstGeom prst="straightConnector1">
                                  <a:avLst/>
                                </a:prstGeom>
                                <a:ln w="9525" cap="flat" cmpd="sng">
                                  <a:solidFill>
                                    <a:srgbClr val="000000"/>
                                  </a:solidFill>
                                  <a:prstDash val="dash"/>
                                  <a:headEnd type="none" w="med" len="med"/>
                                  <a:tailEnd type="triangle" w="med" len="med"/>
                                </a:ln>
                              </wps:spPr>
                              <wps:bodyPr/>
                            </wps:wsp>
                            <wps:wsp>
                              <wps:cNvPr id="23" name="矩形 15023"/>
                              <wps:cNvSpPr/>
                              <wps:spPr>
                                <a:xfrm>
                                  <a:off x="6715" y="7822"/>
                                  <a:ext cx="1401" cy="446"/>
                                </a:xfrm>
                                <a:prstGeom prst="rect">
                                  <a:avLst/>
                                </a:prstGeom>
                                <a:noFill/>
                                <a:ln>
                                  <a:noFill/>
                                </a:ln>
                              </wps:spPr>
                              <wps:txbx>
                                <w:txbxContent>
                                  <w:p w14:paraId="76361DAC">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szCs w:val="21"/>
                                        <w:lang w:val="en-US"/>
                                      </w:rPr>
                                    </w:pPr>
                                    <w:r>
                                      <w:rPr>
                                        <w:rFonts w:hint="eastAsia" w:ascii="Times New Roman" w:hAnsi="Calibri" w:eastAsia="宋体" w:cs="宋体"/>
                                        <w:kern w:val="2"/>
                                        <w:sz w:val="21"/>
                                        <w:szCs w:val="21"/>
                                        <w:lang w:val="en-US" w:eastAsia="zh-CN" w:bidi="ar"/>
                                      </w:rPr>
                                      <w:t>损耗</w:t>
                                    </w:r>
                                    <w:r>
                                      <w:rPr>
                                        <w:rFonts w:hint="default" w:ascii="Times New Roman" w:hAnsi="Times New Roman" w:eastAsia="宋体" w:cs="Times New Roman"/>
                                        <w:kern w:val="2"/>
                                        <w:sz w:val="21"/>
                                        <w:szCs w:val="21"/>
                                        <w:lang w:val="en-US" w:eastAsia="zh-CN" w:bidi="ar"/>
                                      </w:rPr>
                                      <w:t>0.325</w:t>
                                    </w:r>
                                  </w:p>
                                </w:txbxContent>
                              </wps:txbx>
                              <wps:bodyPr upright="1"/>
                            </wps:wsp>
                            <wps:wsp>
                              <wps:cNvPr id="24" name="矩形 15024"/>
                              <wps:cNvSpPr/>
                              <wps:spPr>
                                <a:xfrm>
                                  <a:off x="7080" y="8268"/>
                                  <a:ext cx="1036" cy="386"/>
                                </a:xfrm>
                                <a:prstGeom prst="rect">
                                  <a:avLst/>
                                </a:prstGeom>
                                <a:noFill/>
                                <a:ln>
                                  <a:noFill/>
                                </a:ln>
                              </wps:spPr>
                              <wps:txbx>
                                <w:txbxContent>
                                  <w:p w14:paraId="236D650C">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2.925</w:t>
                                    </w:r>
                                  </w:p>
                                </w:txbxContent>
                              </wps:txbx>
                              <wps:bodyPr upright="1"/>
                            </wps:wsp>
                            <wps:wsp>
                              <wps:cNvPr id="25" name="矩形 14987"/>
                              <wps:cNvSpPr/>
                              <wps:spPr>
                                <a:xfrm>
                                  <a:off x="8918" y="8978"/>
                                  <a:ext cx="922" cy="386"/>
                                </a:xfrm>
                                <a:prstGeom prst="rect">
                                  <a:avLst/>
                                </a:prstGeom>
                                <a:noFill/>
                                <a:ln>
                                  <a:noFill/>
                                </a:ln>
                              </wps:spPr>
                              <wps:txbx>
                                <w:txbxContent>
                                  <w:p w14:paraId="638579F7">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2.925</w:t>
                                    </w:r>
                                  </w:p>
                                </w:txbxContent>
                              </wps:txbx>
                              <wps:bodyPr upright="1"/>
                            </wps:wsp>
                            <wps:wsp>
                              <wps:cNvPr id="26" name="自选图形 15043"/>
                              <wps:cNvCnPr/>
                              <wps:spPr>
                                <a:xfrm flipV="1">
                                  <a:off x="6726" y="8193"/>
                                  <a:ext cx="329" cy="238"/>
                                </a:xfrm>
                                <a:prstGeom prst="curvedConnector3">
                                  <a:avLst>
                                    <a:gd name="adj1" fmla="val 49847"/>
                                  </a:avLst>
                                </a:prstGeom>
                                <a:ln w="9525" cap="flat" cmpd="sng">
                                  <a:solidFill>
                                    <a:srgbClr val="000000"/>
                                  </a:solidFill>
                                  <a:prstDash val="dash"/>
                                  <a:headEnd type="none" w="med" len="med"/>
                                  <a:tailEnd type="triangle" w="med" len="med"/>
                                </a:ln>
                              </wps:spPr>
                              <wps:bodyPr/>
                            </wps:wsp>
                            <wps:wsp>
                              <wps:cNvPr id="27" name="文本框 15044"/>
                              <wps:cNvSpPr txBox="1"/>
                              <wps:spPr>
                                <a:xfrm>
                                  <a:off x="8369" y="8444"/>
                                  <a:ext cx="1134" cy="425"/>
                                </a:xfrm>
                                <a:prstGeom prst="rect">
                                  <a:avLst/>
                                </a:prstGeom>
                                <a:noFill/>
                                <a:ln w="9525" cap="flat" cmpd="sng">
                                  <a:solidFill>
                                    <a:srgbClr val="000000"/>
                                  </a:solidFill>
                                  <a:prstDash val="solid"/>
                                  <a:miter/>
                                  <a:headEnd type="none" w="med" len="med"/>
                                  <a:tailEnd type="none" w="med" len="med"/>
                                </a:ln>
                              </wps:spPr>
                              <wps:txbx>
                                <w:txbxContent>
                                  <w:p w14:paraId="5DE68603">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szCs w:val="21"/>
                                        <w:lang w:val="en-US"/>
                                      </w:rPr>
                                    </w:pPr>
                                    <w:r>
                                      <w:rPr>
                                        <w:rFonts w:hint="eastAsia" w:ascii="Times New Roman" w:hAnsi="Calibri" w:eastAsia="宋体" w:cs="宋体"/>
                                        <w:kern w:val="2"/>
                                        <w:sz w:val="21"/>
                                        <w:szCs w:val="21"/>
                                        <w:lang w:val="en-US" w:eastAsia="zh-CN" w:bidi="ar"/>
                                      </w:rPr>
                                      <w:t>生化池</w:t>
                                    </w:r>
                                  </w:p>
                                </w:txbxContent>
                              </wps:txbx>
                              <wps:bodyPr upright="1"/>
                            </wps:wsp>
                            <wps:wsp>
                              <wps:cNvPr id="28" name="文本框 1187"/>
                              <wps:cNvSpPr txBox="1"/>
                              <wps:spPr>
                                <a:xfrm>
                                  <a:off x="8116" y="9618"/>
                                  <a:ext cx="1890" cy="572"/>
                                </a:xfrm>
                                <a:prstGeom prst="rect">
                                  <a:avLst/>
                                </a:prstGeom>
                                <a:noFill/>
                                <a:ln>
                                  <a:noFill/>
                                </a:ln>
                              </wps:spPr>
                              <wps:txbx>
                                <w:txbxContent>
                                  <w:p w14:paraId="7AFF3E7C">
                                    <w:pPr>
                                      <w:keepNext w:val="0"/>
                                      <w:keepLines w:val="0"/>
                                      <w:widowControl w:val="0"/>
                                      <w:suppressLineNumbers w:val="0"/>
                                      <w:spacing w:before="0" w:beforeAutospacing="0" w:after="0" w:afterAutospacing="0"/>
                                      <w:ind w:left="0" w:right="0"/>
                                      <w:jc w:val="both"/>
                                    </w:pPr>
                                    <w:r>
                                      <w:rPr>
                                        <w:rFonts w:hint="eastAsia" w:ascii="Calibri" w:hAnsi="Calibri" w:eastAsia="宋体" w:cs="宋体"/>
                                        <w:kern w:val="2"/>
                                        <w:sz w:val="21"/>
                                        <w:szCs w:val="24"/>
                                        <w:lang w:val="en-US" w:eastAsia="zh-CN" w:bidi="ar"/>
                                      </w:rPr>
                                      <w:t>园区污水处理厂</w:t>
                                    </w:r>
                                  </w:p>
                                </w:txbxContent>
                              </wps:txbx>
                              <wps:bodyPr upright="1"/>
                            </wps:wsp>
                          </wpg:wgp>
                        </a:graphicData>
                      </a:graphic>
                    </wp:anchor>
                  </w:drawing>
                </mc:Choice>
                <mc:Fallback>
                  <w:pict>
                    <v:group id="组合 1553" o:spid="_x0000_s1026" o:spt="203" style="position:absolute;left:0pt;margin-left:18.6pt;margin-top:1.55pt;height:118.4pt;width:370.6pt;z-index:251682816;mso-width-relative:page;mso-height-relative:page;" coordorigin="2594,7822" coordsize="7412,2368" o:gfxdata="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">
                      <o:lock v:ext="edit" aspectratio="f"/>
                      <v:shape id="自选图形 14986" o:spid="_x0000_s1026" o:spt="32" type="#_x0000_t32" style="position:absolute;left:8918;top:8869;height:749;width:0;" filled="f" stroked="t" coordsize="21600,21600" o:gfxdata="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N9J5ugAAANs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shape id="文本框 14990" o:spid="_x0000_s1026" o:spt="202" type="#_x0000_t202" style="position:absolute;left:2594;top:8423;height:446;width:1201;" filled="f" stroked="t" coordsize="21600,21600" o:gfxdata="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uyCb4A&#10;AADbAAAADwAAAAAAAAABACAAAAAiAAAAZHJzL2Rvd25yZXYueG1sUEsBAhQAFAAAAAgAh07iQDMv&#10;BZ47AAAAOQAAABAAAAAAAAAAAQAgAAAADQEAAGRycy9zaGFwZXhtbC54bWxQSwUGAAAAAAYABgBb&#10;AQAAtwMAAAAA&#10;">
                        <v:fill on="f" focussize="0,0"/>
                        <v:stroke color="#FFFFFF" joinstyle="miter"/>
                        <v:imagedata o:title=""/>
                        <o:lock v:ext="edit" aspectratio="f"/>
                        <v:textbox>
                          <w:txbxContent>
                            <w:p w14:paraId="43F3A237">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szCs w:val="21"/>
                                  <w:lang w:val="en-US"/>
                                </w:rPr>
                              </w:pPr>
                              <w:r>
                                <w:rPr>
                                  <w:rFonts w:hint="eastAsia" w:ascii="Times New Roman" w:hAnsi="Calibri" w:eastAsia="宋体" w:cs="宋体"/>
                                  <w:kern w:val="2"/>
                                  <w:sz w:val="21"/>
                                  <w:szCs w:val="21"/>
                                  <w:lang w:val="en-US" w:eastAsia="zh-CN" w:bidi="ar"/>
                                </w:rPr>
                                <w:t>新鲜水</w:t>
                              </w:r>
                            </w:p>
                            <w:p w14:paraId="2419EB1C">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szCs w:val="21"/>
                                  <w:lang w:val="en-US"/>
                                </w:rPr>
                              </w:pPr>
                            </w:p>
                          </w:txbxContent>
                        </v:textbox>
                      </v:shape>
                      <v:shape id="自选图形 14991" o:spid="_x0000_s1026" o:spt="32" type="#_x0000_t32" style="position:absolute;left:3795;top:8654;height:0;width:975;" filled="f" stroked="t" coordsize="21600,21600" o:gfxdata="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ZAZ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文本框 15001" o:spid="_x0000_s1026" o:spt="202" type="#_x0000_t202" style="position:absolute;left:4798;top:8444;height:425;width:2016;" filled="f" stroked="t" coordsize="21600,21600" o:gfxdata="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72eI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034140ED">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szCs w:val="21"/>
                                  <w:lang w:val="en-US"/>
                                </w:rPr>
                              </w:pPr>
                              <w:r>
                                <w:rPr>
                                  <w:rFonts w:hint="eastAsia" w:ascii="Times New Roman" w:hAnsi="Calibri" w:eastAsia="宋体" w:cs="宋体"/>
                                  <w:kern w:val="2"/>
                                  <w:sz w:val="21"/>
                                  <w:szCs w:val="21"/>
                                  <w:lang w:val="en-US" w:eastAsia="zh-CN" w:bidi="ar"/>
                                </w:rPr>
                                <w:t>员工生活用水</w:t>
                              </w:r>
                            </w:p>
                          </w:txbxContent>
                        </v:textbox>
                      </v:shape>
                      <v:rect id="矩形 15002" o:spid="_x0000_s1026" o:spt="1" style="position:absolute;left:3795;top:8268;height:386;width:855;" filled="f" stroked="f" coordsize="21600,21600" o:gfxdata="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LN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54A5EDE">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3.25</w:t>
                              </w:r>
                            </w:p>
                          </w:txbxContent>
                        </v:textbox>
                      </v:rect>
                      <v:shape id="自选图形 15017" o:spid="_x0000_s1026" o:spt="32" type="#_x0000_t32" style="position:absolute;left:6814;top:8654;height:0;width:1548;" filled="f" stroked="t" coordsize="21600,21600" o:gfxdata="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su1y8AAAA&#10;2w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shape>
                      <v:rect id="矩形 15023" o:spid="_x0000_s1026" o:spt="1" style="position:absolute;left:6715;top:7822;height:446;width:1401;" filled="f" stroked="f" coordsize="21600,21600" o:gfxdata="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gfD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6361DAC">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szCs w:val="21"/>
                                  <w:lang w:val="en-US"/>
                                </w:rPr>
                              </w:pPr>
                              <w:r>
                                <w:rPr>
                                  <w:rFonts w:hint="eastAsia" w:ascii="Times New Roman" w:hAnsi="Calibri" w:eastAsia="宋体" w:cs="宋体"/>
                                  <w:kern w:val="2"/>
                                  <w:sz w:val="21"/>
                                  <w:szCs w:val="21"/>
                                  <w:lang w:val="en-US" w:eastAsia="zh-CN" w:bidi="ar"/>
                                </w:rPr>
                                <w:t>损耗</w:t>
                              </w:r>
                              <w:r>
                                <w:rPr>
                                  <w:rFonts w:hint="default" w:ascii="Times New Roman" w:hAnsi="Times New Roman" w:eastAsia="宋体" w:cs="Times New Roman"/>
                                  <w:kern w:val="2"/>
                                  <w:sz w:val="21"/>
                                  <w:szCs w:val="21"/>
                                  <w:lang w:val="en-US" w:eastAsia="zh-CN" w:bidi="ar"/>
                                </w:rPr>
                                <w:t>0.325</w:t>
                              </w:r>
                            </w:p>
                          </w:txbxContent>
                        </v:textbox>
                      </v:rect>
                      <v:rect id="矩形 15024" o:spid="_x0000_s1026" o:spt="1" style="position:absolute;left:7080;top:8268;height:386;width:1036;" filled="f" stroked="f" coordsize="21600,21600" o:gfxdata="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aGiu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36D650C">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2.925</w:t>
                              </w:r>
                            </w:p>
                          </w:txbxContent>
                        </v:textbox>
                      </v:rect>
                      <v:rect id="矩形 14987" o:spid="_x0000_s1026" o:spt="1" style="position:absolute;left:8918;top:8978;height:386;width:922;" filled="f" stroked="f" coordsize="21600,21600" o:gfxdata="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JM01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38579F7">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2.925</w:t>
                              </w:r>
                            </w:p>
                          </w:txbxContent>
                        </v:textbox>
                      </v:rect>
                      <v:shape id="自选图形 15043" o:spid="_x0000_s1026" o:spt="38" type="#_x0000_t38" style="position:absolute;left:6726;top:8193;flip:y;height:238;width:329;" filled="f" stroked="t" coordsize="21600,21600" o:gfxdata="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SeIPvQAA&#10;ANsAAAAPAAAAAAAAAAEAIAAAACIAAABkcnMvZG93bnJldi54bWxQSwECFAAUAAAACACHTuJAMy8F&#10;njsAAAA5AAAAEAAAAAAAAAABACAAAAAMAQAAZHJzL3NoYXBleG1sLnhtbFBLBQYAAAAABgAGAFsB&#10;AAC2AwAAAAA=&#10;" adj="10767">
                        <v:fill on="f" focussize="0,0"/>
                        <v:stroke color="#000000" joinstyle="round" dashstyle="dash" endarrow="block"/>
                        <v:imagedata o:title=""/>
                        <o:lock v:ext="edit" aspectratio="f"/>
                      </v:shape>
                      <v:shape id="文本框 15044" o:spid="_x0000_s1026" o:spt="202" type="#_x0000_t202" style="position:absolute;left:8369;top:8444;height:425;width:1134;" filled="f" stroked="t" coordsize="21600,21600" o:gfxdata="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b//L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5DE68603">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szCs w:val="21"/>
                                  <w:lang w:val="en-US"/>
                                </w:rPr>
                              </w:pPr>
                              <w:r>
                                <w:rPr>
                                  <w:rFonts w:hint="eastAsia" w:ascii="Times New Roman" w:hAnsi="Calibri" w:eastAsia="宋体" w:cs="宋体"/>
                                  <w:kern w:val="2"/>
                                  <w:sz w:val="21"/>
                                  <w:szCs w:val="21"/>
                                  <w:lang w:val="en-US" w:eastAsia="zh-CN" w:bidi="ar"/>
                                </w:rPr>
                                <w:t>生化池</w:t>
                              </w:r>
                            </w:p>
                          </w:txbxContent>
                        </v:textbox>
                      </v:shape>
                      <v:shape id="文本框 1187" o:spid="_x0000_s1026" o:spt="202" type="#_x0000_t202" style="position:absolute;left:8116;top:9618;height:572;width:1890;" filled="f" stroked="f" coordsize="21600,21600" o:gfxdata="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pQE2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7AFF3E7C">
                              <w:pPr>
                                <w:keepNext w:val="0"/>
                                <w:keepLines w:val="0"/>
                                <w:widowControl w:val="0"/>
                                <w:suppressLineNumbers w:val="0"/>
                                <w:spacing w:before="0" w:beforeAutospacing="0" w:after="0" w:afterAutospacing="0"/>
                                <w:ind w:left="0" w:right="0"/>
                                <w:jc w:val="both"/>
                              </w:pPr>
                              <w:r>
                                <w:rPr>
                                  <w:rFonts w:hint="eastAsia" w:ascii="Calibri" w:hAnsi="Calibri" w:eastAsia="宋体" w:cs="宋体"/>
                                  <w:kern w:val="2"/>
                                  <w:sz w:val="21"/>
                                  <w:szCs w:val="24"/>
                                  <w:lang w:val="en-US" w:eastAsia="zh-CN" w:bidi="ar"/>
                                </w:rPr>
                                <w:t>园区污水处理厂</w:t>
                              </w:r>
                            </w:p>
                          </w:txbxContent>
                        </v:textbox>
                      </v:shape>
                    </v:group>
                  </w:pict>
                </mc:Fallback>
              </mc:AlternateContent>
            </w:r>
          </w:p>
          <w:p w14:paraId="307D1078">
            <w:pPr>
              <w:keepNext w:val="0"/>
              <w:keepLines w:val="0"/>
              <w:widowControl/>
              <w:suppressLineNumbers w:val="0"/>
              <w:spacing w:before="0" w:beforeAutospacing="0" w:after="0" w:afterAutospacing="0" w:line="440" w:lineRule="exact"/>
              <w:ind w:left="0" w:right="0"/>
              <w:jc w:val="center"/>
              <w:rPr>
                <w:rFonts w:hint="default" w:ascii="Times New Roman" w:hAnsi="Times New Roman" w:cs="Times New Roman"/>
                <w:b/>
                <w:bCs/>
                <w:color w:val="000000"/>
                <w:sz w:val="24"/>
                <w:szCs w:val="24"/>
                <w:u w:val="single"/>
                <w:bdr w:val="none" w:color="auto" w:sz="0" w:space="0"/>
                <w:lang w:val="en-US"/>
              </w:rPr>
            </w:pPr>
          </w:p>
          <w:p w14:paraId="2CB698E5">
            <w:pPr>
              <w:keepNext w:val="0"/>
              <w:keepLines w:val="0"/>
              <w:widowControl/>
              <w:suppressLineNumbers w:val="0"/>
              <w:spacing w:before="0" w:beforeAutospacing="0" w:after="0" w:afterAutospacing="0" w:line="440" w:lineRule="exact"/>
              <w:ind w:left="0" w:right="0"/>
              <w:jc w:val="center"/>
              <w:rPr>
                <w:rFonts w:hint="default" w:ascii="Times New Roman" w:hAnsi="Times New Roman" w:cs="Times New Roman"/>
                <w:b/>
                <w:bCs/>
                <w:color w:val="000000"/>
                <w:sz w:val="24"/>
                <w:szCs w:val="24"/>
                <w:u w:val="single"/>
                <w:bdr w:val="none" w:color="auto" w:sz="0" w:space="0"/>
                <w:lang w:val="en-US"/>
              </w:rPr>
            </w:pPr>
          </w:p>
          <w:p w14:paraId="55F21897">
            <w:pPr>
              <w:keepNext w:val="0"/>
              <w:keepLines w:val="0"/>
              <w:widowControl/>
              <w:suppressLineNumbers w:val="0"/>
              <w:spacing w:before="0" w:beforeAutospacing="0" w:after="0" w:afterAutospacing="0" w:line="440" w:lineRule="exact"/>
              <w:ind w:left="0" w:right="0"/>
              <w:jc w:val="center"/>
              <w:rPr>
                <w:rFonts w:hint="default" w:ascii="Times New Roman" w:hAnsi="Times New Roman" w:cs="Times New Roman"/>
                <w:b/>
                <w:bCs/>
                <w:color w:val="000000"/>
                <w:sz w:val="24"/>
                <w:szCs w:val="24"/>
                <w:u w:val="single"/>
                <w:bdr w:val="none" w:color="auto" w:sz="0" w:space="0"/>
                <w:lang w:val="en-US"/>
              </w:rPr>
            </w:pPr>
          </w:p>
          <w:p w14:paraId="1D3E7734">
            <w:pPr>
              <w:keepNext w:val="0"/>
              <w:keepLines w:val="0"/>
              <w:widowControl/>
              <w:suppressLineNumbers w:val="0"/>
              <w:spacing w:before="0" w:beforeAutospacing="0" w:after="0" w:afterAutospacing="0" w:line="440" w:lineRule="exact"/>
              <w:ind w:left="0" w:right="0"/>
              <w:jc w:val="center"/>
              <w:rPr>
                <w:rFonts w:hint="default" w:ascii="Times New Roman" w:hAnsi="Times New Roman" w:cs="Times New Roman"/>
                <w:b/>
                <w:bCs/>
                <w:color w:val="000000"/>
                <w:sz w:val="24"/>
                <w:szCs w:val="24"/>
                <w:u w:val="single"/>
                <w:bdr w:val="none" w:color="auto" w:sz="0" w:space="0"/>
                <w:lang w:val="en-US"/>
              </w:rPr>
            </w:pPr>
          </w:p>
          <w:p w14:paraId="42ADE5A9">
            <w:pPr>
              <w:keepNext w:val="0"/>
              <w:keepLines w:val="0"/>
              <w:widowControl/>
              <w:suppressLineNumbers w:val="0"/>
              <w:spacing w:before="0" w:beforeAutospacing="0" w:after="0" w:afterAutospacing="0" w:line="440" w:lineRule="exact"/>
              <w:ind w:left="0" w:right="0"/>
              <w:jc w:val="center"/>
              <w:rPr>
                <w:rFonts w:hint="default" w:ascii="Times New Roman" w:hAnsi="Times New Roman" w:cs="Times New Roman"/>
                <w:b/>
                <w:bCs/>
                <w:color w:val="000000"/>
                <w:sz w:val="24"/>
                <w:szCs w:val="24"/>
                <w:u w:val="single"/>
                <w:bdr w:val="none" w:color="auto" w:sz="0" w:space="0"/>
                <w:lang w:val="en-US"/>
              </w:rPr>
            </w:pPr>
            <w:r>
              <w:rPr>
                <w:rFonts w:hint="eastAsia" w:ascii="Times New Roman" w:hAnsi="Times New Roman" w:eastAsia="宋体" w:cs="宋体"/>
                <w:b/>
                <w:bCs/>
                <w:color w:val="000000"/>
                <w:kern w:val="2"/>
                <w:sz w:val="24"/>
                <w:szCs w:val="24"/>
                <w:u w:val="single"/>
                <w:bdr w:val="none" w:color="auto" w:sz="0" w:space="0"/>
                <w:lang w:val="en-US" w:eastAsia="zh-CN" w:bidi="ar"/>
              </w:rPr>
              <w:t>图</w:t>
            </w:r>
            <w:r>
              <w:rPr>
                <w:rFonts w:hint="default" w:ascii="Times New Roman" w:hAnsi="Times New Roman" w:eastAsia="宋体" w:cs="Times New Roman"/>
                <w:b/>
                <w:bCs/>
                <w:color w:val="000000"/>
                <w:kern w:val="2"/>
                <w:sz w:val="24"/>
                <w:szCs w:val="24"/>
                <w:u w:val="single"/>
                <w:bdr w:val="none" w:color="auto" w:sz="0" w:space="0"/>
                <w:lang w:val="en-US" w:eastAsia="zh-CN" w:bidi="ar"/>
              </w:rPr>
              <w:t xml:space="preserve">2.1 </w:t>
            </w:r>
            <w:r>
              <w:rPr>
                <w:rFonts w:hint="eastAsia" w:ascii="Times New Roman" w:hAnsi="Times New Roman" w:eastAsia="宋体" w:cs="宋体"/>
                <w:b/>
                <w:bCs/>
                <w:color w:val="000000"/>
                <w:kern w:val="2"/>
                <w:sz w:val="24"/>
                <w:szCs w:val="24"/>
                <w:u w:val="single"/>
                <w:bdr w:val="none" w:color="auto" w:sz="0" w:space="0"/>
                <w:lang w:val="en-US" w:eastAsia="zh-CN" w:bidi="ar"/>
              </w:rPr>
              <w:t>扩建后全厂水平衡图</w:t>
            </w:r>
            <w:r>
              <w:rPr>
                <w:rFonts w:hint="default" w:ascii="Times New Roman" w:hAnsi="Times New Roman" w:eastAsia="宋体" w:cs="Times New Roman"/>
                <w:b/>
                <w:bCs/>
                <w:color w:val="000000"/>
                <w:kern w:val="2"/>
                <w:sz w:val="24"/>
                <w:szCs w:val="24"/>
                <w:u w:val="single"/>
                <w:bdr w:val="none" w:color="auto" w:sz="0" w:space="0"/>
                <w:lang w:val="en-US" w:eastAsia="zh-CN" w:bidi="ar"/>
              </w:rPr>
              <w:t xml:space="preserve">   </w:t>
            </w:r>
            <w:r>
              <w:rPr>
                <w:rFonts w:hint="eastAsia" w:ascii="Times New Roman" w:hAnsi="Times New Roman" w:eastAsia="宋体" w:cs="宋体"/>
                <w:b/>
                <w:bCs/>
                <w:color w:val="000000"/>
                <w:kern w:val="2"/>
                <w:sz w:val="24"/>
                <w:szCs w:val="24"/>
                <w:u w:val="single"/>
                <w:bdr w:val="none" w:color="auto" w:sz="0" w:space="0"/>
                <w:lang w:val="en-US" w:eastAsia="zh-CN" w:bidi="ar"/>
              </w:rPr>
              <w:t>单位</w:t>
            </w:r>
            <w:r>
              <w:rPr>
                <w:rFonts w:hint="default" w:ascii="Times New Roman" w:hAnsi="Times New Roman" w:eastAsia="宋体" w:cs="Times New Roman"/>
                <w:b/>
                <w:bCs/>
                <w:color w:val="000000"/>
                <w:kern w:val="2"/>
                <w:sz w:val="24"/>
                <w:szCs w:val="24"/>
                <w:u w:val="single"/>
                <w:bdr w:val="none" w:color="auto" w:sz="0" w:space="0"/>
                <w:lang w:val="en-US" w:eastAsia="zh-CN" w:bidi="ar"/>
              </w:rPr>
              <w:t>m</w:t>
            </w:r>
            <w:r>
              <w:rPr>
                <w:rFonts w:hint="default" w:ascii="Times New Roman" w:hAnsi="Times New Roman" w:eastAsia="宋体" w:cs="Times New Roman"/>
                <w:b/>
                <w:bCs/>
                <w:color w:val="000000"/>
                <w:kern w:val="2"/>
                <w:sz w:val="24"/>
                <w:szCs w:val="24"/>
                <w:u w:val="single"/>
                <w:bdr w:val="none" w:color="auto" w:sz="0" w:space="0"/>
                <w:vertAlign w:val="superscript"/>
                <w:lang w:val="en-US" w:eastAsia="zh-CN" w:bidi="ar"/>
              </w:rPr>
              <w:t>3</w:t>
            </w:r>
            <w:r>
              <w:rPr>
                <w:rFonts w:hint="default" w:ascii="Times New Roman" w:hAnsi="Times New Roman" w:eastAsia="宋体" w:cs="Times New Roman"/>
                <w:b/>
                <w:bCs/>
                <w:color w:val="000000"/>
                <w:kern w:val="2"/>
                <w:sz w:val="24"/>
                <w:szCs w:val="24"/>
                <w:u w:val="single"/>
                <w:bdr w:val="none" w:color="auto" w:sz="0" w:space="0"/>
                <w:lang w:val="en-US" w:eastAsia="zh-CN" w:bidi="ar"/>
              </w:rPr>
              <w:t>/d</w:t>
            </w:r>
          </w:p>
          <w:p w14:paraId="4C609B3C">
            <w:pPr>
              <w:keepNext w:val="0"/>
              <w:keepLines w:val="0"/>
              <w:widowControl/>
              <w:suppressLineNumbers w:val="0"/>
              <w:spacing w:before="0" w:beforeAutospacing="0" w:after="0" w:afterAutospacing="0" w:line="440" w:lineRule="exact"/>
              <w:ind w:left="0" w:right="0"/>
              <w:jc w:val="left"/>
              <w:outlineLvl w:val="1"/>
              <w:rPr>
                <w:rFonts w:hint="default" w:ascii="Times New Roman" w:hAnsi="Times New Roman" w:cs="Times New Roman"/>
                <w:b/>
                <w:bCs/>
                <w:color w:val="000000"/>
                <w:sz w:val="24"/>
                <w:szCs w:val="24"/>
                <w:bdr w:val="none" w:color="auto" w:sz="0" w:space="0"/>
                <w:lang w:val="en-US"/>
              </w:rPr>
            </w:pPr>
            <w:r>
              <w:rPr>
                <w:rFonts w:hint="default" w:ascii="Times New Roman" w:hAnsi="Times New Roman" w:eastAsia="宋体" w:cs="Times New Roman"/>
                <w:b/>
                <w:bCs/>
                <w:color w:val="000000"/>
                <w:kern w:val="2"/>
                <w:sz w:val="24"/>
                <w:szCs w:val="24"/>
                <w:bdr w:val="none" w:color="auto" w:sz="0" w:space="0"/>
                <w:lang w:val="en-US" w:eastAsia="zh-CN" w:bidi="ar"/>
              </w:rPr>
              <w:t>2.9</w:t>
            </w:r>
            <w:r>
              <w:rPr>
                <w:rFonts w:hint="eastAsia" w:ascii="Times New Roman" w:hAnsi="Times New Roman" w:eastAsia="宋体" w:cs="宋体"/>
                <w:b/>
                <w:bCs/>
                <w:color w:val="000000"/>
                <w:kern w:val="2"/>
                <w:sz w:val="24"/>
                <w:szCs w:val="24"/>
                <w:bdr w:val="none" w:color="auto" w:sz="0" w:space="0"/>
                <w:lang w:val="en-US" w:eastAsia="zh-CN" w:bidi="ar"/>
              </w:rPr>
              <w:t>平面布置</w:t>
            </w:r>
          </w:p>
          <w:p w14:paraId="763A8292">
            <w:pPr>
              <w:keepNext w:val="0"/>
              <w:keepLines w:val="0"/>
              <w:widowControl w:val="0"/>
              <w:suppressLineNumbers w:val="0"/>
              <w:spacing w:before="0" w:beforeAutospacing="0" w:after="0" w:afterAutospacing="0" w:line="440" w:lineRule="exact"/>
              <w:ind w:left="-80" w:leftChars="-38" w:right="0" w:firstLine="489" w:firstLineChars="204"/>
              <w:jc w:val="both"/>
              <w:rPr>
                <w:rFonts w:hint="default" w:ascii="Times New Roman" w:hAnsi="Calibri" w:cs="Times New Roman"/>
                <w:bCs/>
                <w:color w:val="000000"/>
                <w:sz w:val="24"/>
                <w:szCs w:val="24"/>
                <w:bdr w:val="none" w:color="auto" w:sz="0" w:space="0"/>
                <w:lang w:val="en-US"/>
              </w:rPr>
            </w:pPr>
            <w:r>
              <w:rPr>
                <w:rFonts w:hint="eastAsia" w:ascii="Times New Roman" w:hAnsi="Calibri" w:eastAsia="宋体" w:cs="宋体"/>
                <w:bCs/>
                <w:color w:val="000000"/>
                <w:kern w:val="2"/>
                <w:sz w:val="24"/>
                <w:szCs w:val="24"/>
                <w:bdr w:val="none" w:color="auto" w:sz="0" w:space="0"/>
                <w:lang w:val="en-US" w:eastAsia="zh-CN" w:bidi="ar"/>
              </w:rPr>
              <w:t>厂房整体为“凹”字形，上下两层，凹进去的区域位于厂区西侧，为卸货平台，设置有物料出入口，西北侧和西南侧设置有人行楼梯出入口。</w:t>
            </w:r>
          </w:p>
          <w:p w14:paraId="047BC0BB">
            <w:pPr>
              <w:keepNext w:val="0"/>
              <w:keepLines w:val="0"/>
              <w:widowControl w:val="0"/>
              <w:suppressLineNumbers w:val="0"/>
              <w:spacing w:before="0" w:beforeAutospacing="0" w:after="0" w:afterAutospacing="0" w:line="440" w:lineRule="exact"/>
              <w:ind w:left="-80" w:leftChars="-38" w:right="0" w:firstLine="489" w:firstLineChars="204"/>
              <w:jc w:val="both"/>
              <w:rPr>
                <w:rFonts w:hint="default" w:ascii="Times New Roman" w:hAnsi="Calibri" w:cs="Times New Roman"/>
                <w:bCs/>
                <w:color w:val="000000"/>
                <w:sz w:val="24"/>
                <w:szCs w:val="24"/>
                <w:bdr w:val="none" w:color="auto" w:sz="0" w:space="0"/>
                <w:lang w:val="en-US"/>
              </w:rPr>
            </w:pPr>
            <w:r>
              <w:rPr>
                <w:rFonts w:hint="eastAsia" w:ascii="Times New Roman" w:hAnsi="Calibri" w:eastAsia="宋体" w:cs="宋体"/>
                <w:bCs/>
                <w:color w:val="000000"/>
                <w:kern w:val="2"/>
                <w:sz w:val="24"/>
                <w:szCs w:val="24"/>
                <w:bdr w:val="none" w:color="auto" w:sz="0" w:space="0"/>
                <w:lang w:val="en-US" w:eastAsia="zh-CN" w:bidi="ar"/>
              </w:rPr>
              <w:t>厂房</w:t>
            </w:r>
            <w:r>
              <w:rPr>
                <w:rFonts w:hint="default" w:ascii="Times New Roman" w:hAnsi="Calibri" w:eastAsia="宋体" w:cs="Times New Roman"/>
                <w:bCs/>
                <w:color w:val="000000"/>
                <w:kern w:val="2"/>
                <w:sz w:val="24"/>
                <w:szCs w:val="24"/>
                <w:bdr w:val="none" w:color="auto" w:sz="0" w:space="0"/>
                <w:lang w:val="en-US" w:eastAsia="zh-CN" w:bidi="ar"/>
              </w:rPr>
              <w:t>1F</w:t>
            </w:r>
            <w:r>
              <w:rPr>
                <w:rFonts w:hint="eastAsia" w:ascii="Times New Roman" w:hAnsi="Calibri" w:eastAsia="宋体" w:cs="宋体"/>
                <w:bCs/>
                <w:color w:val="000000"/>
                <w:kern w:val="2"/>
                <w:sz w:val="24"/>
                <w:szCs w:val="24"/>
                <w:bdr w:val="none" w:color="auto" w:sz="0" w:space="0"/>
                <w:lang w:val="en-US" w:eastAsia="zh-CN" w:bidi="ar"/>
              </w:rPr>
              <w:t>西北侧为办公区，东南侧为生产区，生产区由北向南依次布置有网格棉生产区、云母板生产区、泡棉制品生产区。厂房</w:t>
            </w:r>
            <w:r>
              <w:rPr>
                <w:rFonts w:hint="default" w:ascii="Times New Roman" w:hAnsi="Calibri" w:eastAsia="宋体" w:cs="Times New Roman"/>
                <w:bCs/>
                <w:color w:val="000000"/>
                <w:kern w:val="2"/>
                <w:sz w:val="24"/>
                <w:szCs w:val="24"/>
                <w:bdr w:val="none" w:color="auto" w:sz="0" w:space="0"/>
                <w:lang w:val="en-US" w:eastAsia="zh-CN" w:bidi="ar"/>
              </w:rPr>
              <w:t>2F</w:t>
            </w:r>
            <w:r>
              <w:rPr>
                <w:rFonts w:hint="eastAsia" w:ascii="Times New Roman" w:hAnsi="Calibri" w:eastAsia="宋体" w:cs="宋体"/>
                <w:bCs/>
                <w:color w:val="000000"/>
                <w:kern w:val="2"/>
                <w:sz w:val="24"/>
                <w:szCs w:val="24"/>
                <w:bdr w:val="none" w:color="auto" w:sz="0" w:space="0"/>
                <w:lang w:val="en-US" w:eastAsia="zh-CN" w:bidi="ar"/>
              </w:rPr>
              <w:t>北侧为生产区，南侧为成品库房，北侧皮革装饰条生产区，西侧为粘接区，东侧为模切区。原材料暂存区位于厂房中部，紧邻两侧生产区，方便原材料的转运。一般工业固废暂存区位于</w:t>
            </w:r>
            <w:r>
              <w:rPr>
                <w:rFonts w:hint="default" w:ascii="Times New Roman" w:hAnsi="Calibri" w:eastAsia="宋体" w:cs="Times New Roman"/>
                <w:bCs/>
                <w:color w:val="000000"/>
                <w:kern w:val="2"/>
                <w:sz w:val="24"/>
                <w:szCs w:val="24"/>
                <w:bdr w:val="none" w:color="auto" w:sz="0" w:space="0"/>
                <w:lang w:val="en-US" w:eastAsia="zh-CN" w:bidi="ar"/>
              </w:rPr>
              <w:t>1F</w:t>
            </w:r>
            <w:r>
              <w:rPr>
                <w:rFonts w:hint="eastAsia" w:ascii="Times New Roman" w:hAnsi="Calibri" w:eastAsia="宋体" w:cs="宋体"/>
                <w:bCs/>
                <w:color w:val="000000"/>
                <w:kern w:val="2"/>
                <w:sz w:val="24"/>
                <w:szCs w:val="24"/>
                <w:bdr w:val="none" w:color="auto" w:sz="0" w:space="0"/>
                <w:lang w:val="en-US" w:eastAsia="zh-CN" w:bidi="ar"/>
              </w:rPr>
              <w:t>西北侧、危废贮存库位于</w:t>
            </w:r>
            <w:r>
              <w:rPr>
                <w:rFonts w:hint="default" w:ascii="Times New Roman" w:hAnsi="Calibri" w:eastAsia="宋体" w:cs="Times New Roman"/>
                <w:bCs/>
                <w:color w:val="000000"/>
                <w:kern w:val="2"/>
                <w:sz w:val="24"/>
                <w:szCs w:val="24"/>
                <w:bdr w:val="none" w:color="auto" w:sz="0" w:space="0"/>
                <w:lang w:val="en-US" w:eastAsia="zh-CN" w:bidi="ar"/>
              </w:rPr>
              <w:t>1F</w:t>
            </w:r>
            <w:r>
              <w:rPr>
                <w:rFonts w:hint="eastAsia" w:ascii="Times New Roman" w:hAnsi="Calibri" w:eastAsia="宋体" w:cs="宋体"/>
                <w:bCs/>
                <w:color w:val="000000"/>
                <w:kern w:val="2"/>
                <w:sz w:val="24"/>
                <w:szCs w:val="24"/>
                <w:bdr w:val="none" w:color="auto" w:sz="0" w:space="0"/>
                <w:lang w:val="en-US" w:eastAsia="zh-CN" w:bidi="ar"/>
              </w:rPr>
              <w:t>西南侧。</w:t>
            </w:r>
          </w:p>
          <w:p w14:paraId="79C79FC0">
            <w:pPr>
              <w:keepNext w:val="0"/>
              <w:keepLines w:val="0"/>
              <w:widowControl w:val="0"/>
              <w:suppressLineNumbers w:val="0"/>
              <w:spacing w:before="0" w:beforeAutospacing="0" w:after="0" w:afterAutospacing="0" w:line="440" w:lineRule="exact"/>
              <w:ind w:left="-80" w:leftChars="-38" w:right="0" w:firstLine="489" w:firstLineChars="204"/>
              <w:jc w:val="both"/>
              <w:rPr>
                <w:rFonts w:hint="default" w:ascii="Times New Roman" w:hAnsi="Calibri" w:cs="Times New Roman"/>
                <w:bCs/>
                <w:color w:val="000000"/>
                <w:sz w:val="24"/>
                <w:szCs w:val="24"/>
                <w:bdr w:val="none" w:color="auto" w:sz="0" w:space="0"/>
                <w:lang w:val="en-US"/>
              </w:rPr>
            </w:pPr>
            <w:r>
              <w:rPr>
                <w:rFonts w:hint="eastAsia" w:ascii="Times New Roman" w:hAnsi="Calibri" w:eastAsia="宋体" w:cs="宋体"/>
                <w:bCs/>
                <w:color w:val="000000"/>
                <w:kern w:val="2"/>
                <w:sz w:val="24"/>
                <w:szCs w:val="24"/>
                <w:bdr w:val="none" w:color="auto" w:sz="0" w:space="0"/>
                <w:lang w:val="en-US" w:eastAsia="zh-CN" w:bidi="ar"/>
              </w:rPr>
              <w:t>厂房内部根据生产工艺环节进行合理布置，走向流畅，生产设施布置兼顾了生产工艺的走向及污染物的收运。综上所述，项目总平面布局总体上功能组织合理、结构清晰，符合生产和环保等要求，总平面布局合理。</w:t>
            </w:r>
          </w:p>
        </w:tc>
      </w:tr>
      <w:tr w14:paraId="7F2945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tblCellMar>
            <w:top w:w="0" w:type="dxa"/>
            <w:left w:w="108" w:type="dxa"/>
            <w:bottom w:w="0" w:type="dxa"/>
            <w:right w:w="108" w:type="dxa"/>
          </w:tblCellMar>
        </w:tblPrEx>
        <w:trPr>
          <w:trHeight w:val="70" w:hRule="atLeast"/>
          <w:jc w:val="center"/>
        </w:trPr>
        <w:tc>
          <w:tcPr>
            <w:tcW w:w="383" w:type="dxa"/>
            <w:tcBorders>
              <w:top w:val="single" w:color="auto" w:sz="4" w:space="0"/>
              <w:left w:val="single" w:color="auto" w:sz="8" w:space="0"/>
              <w:bottom w:val="single" w:color="auto" w:sz="4" w:space="0"/>
              <w:right w:val="single" w:color="auto" w:sz="4" w:space="0"/>
            </w:tcBorders>
            <w:shd w:val="clear"/>
            <w:vAlign w:val="center"/>
          </w:tcPr>
          <w:p w14:paraId="357C5FEA">
            <w:pPr>
              <w:pStyle w:val="14"/>
              <w:widowControl/>
              <w:adjustRightInd w:val="0"/>
              <w:snapToGrid w:val="0"/>
              <w:spacing w:before="0" w:beforeAutospacing="0" w:after="0" w:afterAutospacing="0"/>
              <w:ind w:left="0" w:right="0"/>
              <w:jc w:val="center"/>
              <w:rPr>
                <w:rFonts w:cs="宋体"/>
                <w:color w:val="000000"/>
                <w:szCs w:val="24"/>
                <w:bdr w:val="none" w:color="auto" w:sz="0" w:space="0"/>
                <w:lang w:val="en-US" w:eastAsia="zh-CN"/>
              </w:rPr>
            </w:pPr>
            <w:r>
              <w:rPr>
                <w:rFonts w:cs="宋体"/>
                <w:color w:val="000000"/>
                <w:szCs w:val="24"/>
                <w:bdr w:val="none" w:color="auto" w:sz="0" w:space="0"/>
                <w:lang w:val="en-US" w:eastAsia="zh-CN"/>
              </w:rPr>
              <w:t>工艺流程和产排污环节</w:t>
            </w:r>
          </w:p>
        </w:tc>
        <w:tc>
          <w:tcPr>
            <w:tcW w:w="8601" w:type="dxa"/>
            <w:tcBorders>
              <w:top w:val="single" w:color="auto" w:sz="4" w:space="0"/>
              <w:left w:val="single" w:color="auto" w:sz="4" w:space="0"/>
              <w:bottom w:val="single" w:color="auto" w:sz="4" w:space="0"/>
              <w:right w:val="single" w:color="auto" w:sz="8" w:space="0"/>
            </w:tcBorders>
            <w:shd w:val="clear"/>
            <w:vAlign w:val="top"/>
          </w:tcPr>
          <w:p w14:paraId="526381F4">
            <w:pPr>
              <w:keepNext w:val="0"/>
              <w:keepLines w:val="0"/>
              <w:widowControl/>
              <w:suppressLineNumbers w:val="0"/>
              <w:spacing w:before="0" w:beforeAutospacing="0" w:after="0" w:afterAutospacing="0" w:line="440" w:lineRule="exact"/>
              <w:ind w:left="0" w:right="0"/>
              <w:jc w:val="left"/>
              <w:outlineLvl w:val="1"/>
              <w:rPr>
                <w:rFonts w:hint="default" w:ascii="Times New Roman" w:hAnsi="Times New Roman" w:cs="Times New Roman"/>
                <w:b/>
                <w:bCs/>
                <w:color w:val="000000"/>
                <w:sz w:val="24"/>
                <w:szCs w:val="24"/>
                <w:bdr w:val="none" w:color="auto" w:sz="0" w:space="0"/>
                <w:lang w:val="en-US"/>
              </w:rPr>
            </w:pPr>
            <w:r>
              <w:rPr>
                <w:rFonts w:hint="default" w:ascii="Times New Roman" w:hAnsi="Times New Roman" w:eastAsia="宋体" w:cs="Times New Roman"/>
                <w:b/>
                <w:bCs/>
                <w:color w:val="000000"/>
                <w:kern w:val="2"/>
                <w:sz w:val="24"/>
                <w:szCs w:val="24"/>
                <w:bdr w:val="none" w:color="auto" w:sz="0" w:space="0"/>
                <w:lang w:val="en-US" w:eastAsia="zh-CN" w:bidi="ar"/>
              </w:rPr>
              <w:t>2.10</w:t>
            </w:r>
            <w:r>
              <w:rPr>
                <w:rFonts w:hint="eastAsia" w:ascii="Times New Roman" w:hAnsi="Times New Roman" w:eastAsia="宋体" w:cs="宋体"/>
                <w:b/>
                <w:bCs/>
                <w:color w:val="000000"/>
                <w:kern w:val="2"/>
                <w:sz w:val="24"/>
                <w:szCs w:val="24"/>
                <w:bdr w:val="none" w:color="auto" w:sz="0" w:space="0"/>
                <w:lang w:val="en-US" w:eastAsia="zh-CN" w:bidi="ar"/>
              </w:rPr>
              <w:t>施工期主要工艺流程及产排污环节</w:t>
            </w:r>
          </w:p>
          <w:p w14:paraId="227CEC8F">
            <w:pPr>
              <w:keepNext w:val="0"/>
              <w:keepLines w:val="0"/>
              <w:widowControl w:val="0"/>
              <w:suppressLineNumbers w:val="0"/>
              <w:tabs>
                <w:tab w:val="left" w:leader="middleDot" w:pos="7710"/>
              </w:tabs>
              <w:adjustRightInd w:val="0"/>
              <w:snapToGrid w:val="0"/>
              <w:spacing w:before="0" w:beforeAutospacing="0" w:after="0" w:afterAutospacing="0" w:line="460" w:lineRule="exact"/>
              <w:ind w:left="0" w:right="0" w:firstLine="480" w:firstLineChars="200"/>
              <w:jc w:val="both"/>
              <w:rPr>
                <w:rFonts w:hint="eastAsia" w:ascii="宋体" w:hAnsi="宋体" w:eastAsia="宋体" w:cs="宋体"/>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扩建项目利用现有厂房进行建设，施工期建设内容主要为设备安装，不涉及场地动土、土石方开挖等。</w:t>
            </w:r>
            <w:r>
              <w:rPr>
                <w:rFonts w:hint="eastAsia" w:ascii="Calibri" w:hAnsi="宋体" w:eastAsia="宋体" w:cs="宋体"/>
                <w:color w:val="000000"/>
                <w:kern w:val="2"/>
                <w:sz w:val="24"/>
                <w:szCs w:val="24"/>
                <w:bdr w:val="none" w:color="auto" w:sz="0" w:space="0"/>
                <w:lang w:val="en-US" w:eastAsia="zh-CN" w:bidi="ar"/>
              </w:rPr>
              <w:t>施工期产生的影响主要是设备安装过程产生的噪声和废包装物。</w:t>
            </w:r>
            <w:r>
              <w:rPr>
                <w:rFonts w:hint="eastAsia" w:ascii="宋体" w:hAnsi="宋体" w:eastAsia="宋体" w:cs="宋体"/>
                <w:color w:val="000000"/>
                <w:kern w:val="2"/>
                <w:sz w:val="24"/>
                <w:szCs w:val="24"/>
                <w:bdr w:val="none" w:color="auto" w:sz="0" w:space="0"/>
                <w:lang w:val="en-US" w:eastAsia="zh-CN" w:bidi="ar"/>
              </w:rPr>
              <w:t>施工期</w:t>
            </w:r>
            <w:r>
              <w:rPr>
                <w:rFonts w:hint="eastAsia" w:ascii="Calibri" w:hAnsi="Calibri" w:eastAsia="宋体" w:cs="宋体"/>
                <w:color w:val="000000"/>
                <w:kern w:val="2"/>
                <w:sz w:val="24"/>
                <w:szCs w:val="24"/>
                <w:bdr w:val="none" w:color="auto" w:sz="0" w:space="0"/>
                <w:lang w:val="en-US" w:eastAsia="zh-CN" w:bidi="ar"/>
              </w:rPr>
              <w:t>工程量小，施工周期短，</w:t>
            </w:r>
            <w:r>
              <w:rPr>
                <w:rFonts w:hint="eastAsia" w:ascii="宋体" w:hAnsi="宋体" w:eastAsia="宋体" w:cs="宋体"/>
                <w:color w:val="000000"/>
                <w:kern w:val="2"/>
                <w:sz w:val="24"/>
                <w:szCs w:val="24"/>
                <w:bdr w:val="none" w:color="auto" w:sz="0" w:space="0"/>
                <w:lang w:val="en-US" w:eastAsia="zh-CN" w:bidi="ar"/>
              </w:rPr>
              <w:t>对环境的影响较小。</w:t>
            </w:r>
          </w:p>
          <w:p w14:paraId="7533A485">
            <w:pPr>
              <w:keepNext w:val="0"/>
              <w:keepLines w:val="0"/>
              <w:widowControl w:val="0"/>
              <w:suppressLineNumbers w:val="0"/>
              <w:tabs>
                <w:tab w:val="left" w:leader="middleDot" w:pos="7710"/>
              </w:tabs>
              <w:adjustRightInd w:val="0"/>
              <w:snapToGrid w:val="0"/>
              <w:spacing w:before="0" w:beforeAutospacing="0" w:after="0" w:afterAutospacing="0" w:line="460" w:lineRule="exact"/>
              <w:ind w:left="0" w:right="0" w:firstLine="420" w:firstLineChars="200"/>
              <w:jc w:val="both"/>
              <w:rPr>
                <w:rFonts w:hint="default" w:ascii="Times New Roman" w:hAnsi="Calibri" w:cs="Times New Roman"/>
                <w:color w:val="000000"/>
                <w:sz w:val="24"/>
                <w:szCs w:val="24"/>
                <w:bdr w:val="none" w:color="auto" w:sz="0" w:space="0"/>
                <w:lang w:val="en-US"/>
              </w:rPr>
            </w:pPr>
            <w:r>
              <w:rPr>
                <w:rFonts w:hint="default" w:ascii="Calibri" w:hAnsi="Calibri" w:eastAsia="宋体" w:cs="Times New Roman"/>
                <w:snapToGrid w:val="0"/>
                <w:kern w:val="2"/>
                <w:sz w:val="21"/>
                <w:szCs w:val="24"/>
                <w:bdr w:val="none" w:color="auto" w:sz="0" w:space="0"/>
                <w:lang w:val="en-US" w:eastAsia="zh-CN" w:bidi="ar"/>
              </w:rPr>
              <mc:AlternateContent>
                <mc:Choice Requires="wps">
                  <w:drawing>
                    <wp:anchor distT="0" distB="0" distL="114300" distR="114300" simplePos="0" relativeHeight="251675648" behindDoc="0" locked="0" layoutInCell="1" allowOverlap="1">
                      <wp:simplePos x="0" y="0"/>
                      <wp:positionH relativeFrom="column">
                        <wp:posOffset>1358900</wp:posOffset>
                      </wp:positionH>
                      <wp:positionV relativeFrom="paragraph">
                        <wp:posOffset>490855</wp:posOffset>
                      </wp:positionV>
                      <wp:extent cx="829310" cy="272415"/>
                      <wp:effectExtent l="5080" t="4445" r="22860" b="8890"/>
                      <wp:wrapNone/>
                      <wp:docPr id="7" name="Text Box 146"/>
                      <wp:cNvGraphicFramePr/>
                      <a:graphic xmlns:a="http://schemas.openxmlformats.org/drawingml/2006/main">
                        <a:graphicData uri="http://schemas.microsoft.com/office/word/2010/wordprocessingShape">
                          <wps:wsp>
                            <wps:cNvSpPr txBox="1"/>
                            <wps:spPr>
                              <a:xfrm>
                                <a:off x="0" y="0"/>
                                <a:ext cx="829310" cy="272415"/>
                              </a:xfrm>
                              <a:prstGeom prst="rect">
                                <a:avLst/>
                              </a:prstGeom>
                              <a:noFill/>
                              <a:ln w="9525" cap="flat" cmpd="sng">
                                <a:solidFill>
                                  <a:srgbClr val="000000"/>
                                </a:solidFill>
                                <a:prstDash val="solid"/>
                                <a:miter/>
                                <a:headEnd type="none" w="med" len="med"/>
                                <a:tailEnd type="none" w="med" len="med"/>
                              </a:ln>
                            </wps:spPr>
                            <wps:txbx>
                              <w:txbxContent>
                                <w:p w14:paraId="46F4B3A3">
                                  <w:pPr>
                                    <w:keepNext w:val="0"/>
                                    <w:keepLines w:val="0"/>
                                    <w:widowControl w:val="0"/>
                                    <w:suppressLineNumbers w:val="0"/>
                                    <w:spacing w:before="0" w:beforeAutospacing="0" w:after="0" w:afterAutospacing="0"/>
                                    <w:ind w:left="0" w:right="0"/>
                                    <w:jc w:val="center"/>
                                  </w:pPr>
                                  <w:r>
                                    <w:rPr>
                                      <w:rFonts w:hint="eastAsia" w:ascii="Calibri" w:hAnsi="Calibri" w:eastAsia="宋体" w:cs="宋体"/>
                                      <w:kern w:val="2"/>
                                      <w:sz w:val="21"/>
                                      <w:szCs w:val="24"/>
                                      <w:lang w:val="en-US" w:eastAsia="zh-CN" w:bidi="ar"/>
                                    </w:rPr>
                                    <w:t>设备安装</w:t>
                                  </w:r>
                                </w:p>
                              </w:txbxContent>
                            </wps:txbx>
                            <wps:bodyPr upright="0">
                              <a:spAutoFit/>
                            </wps:bodyPr>
                          </wps:wsp>
                        </a:graphicData>
                      </a:graphic>
                      <wp14:sizeRelH relativeFrom="page">
                        <wp14:pctWidth>0</wp14:pctWidth>
                      </wp14:sizeRelH>
                      <wp14:sizeRelV relativeFrom="margin">
                        <wp14:pctHeight>20000</wp14:pctHeight>
                      </wp14:sizeRelV>
                    </wp:anchor>
                  </w:drawing>
                </mc:Choice>
                <mc:Fallback>
                  <w:pict>
                    <v:shape id="Text Box 146" o:spid="_x0000_s1026" o:spt="202" type="#_x0000_t202" style="position:absolute;left:0pt;margin-left:107pt;margin-top:38.65pt;height:21.45pt;width:65.3pt;z-index:251675648;mso-width-relative:page;mso-height-relative:margin;mso-height-percent:200;" filled="f" coordsize="21600,21600" o:gfxdata="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WuwfdkAAAAKAQAADwAAAAAAAAABACAAAAAiAAAAZHJzL2Rv&#10;d25yZXYueG1sUEsBAhQAFAAAAAgAh07iQOFyr0IAAgAAJwQAAA4AAAAAAAAAAQAgAAAAKAEAAGRy&#10;cy9lMm9Eb2MueG1sUEsFBgAAAAAGAAYAWQEAAJoFAAAAAA==&#10;">
                      <v:path/>
                      <v:fill on="f" focussize="0,0"/>
                      <v:stroke joinstyle="miter"/>
                      <v:imagedata o:title=""/>
                      <o:lock v:ext="edit"/>
                      <v:textbox style="mso-fit-shape-to-text:t;mso-rotate-with-shape:t;">
                        <w:txbxContent>
                          <w:p w14:paraId="46F4B3A3">
                            <w:pPr>
                              <w:keepNext w:val="0"/>
                              <w:keepLines w:val="0"/>
                              <w:widowControl w:val="0"/>
                              <w:suppressLineNumbers w:val="0"/>
                              <w:spacing w:before="0" w:beforeAutospacing="0" w:after="0" w:afterAutospacing="0"/>
                              <w:ind w:left="0" w:right="0"/>
                              <w:jc w:val="center"/>
                            </w:pPr>
                            <w:r>
                              <w:rPr>
                                <w:rFonts w:hint="eastAsia" w:ascii="Calibri" w:hAnsi="Calibri" w:eastAsia="宋体" w:cs="宋体"/>
                                <w:kern w:val="2"/>
                                <w:sz w:val="21"/>
                                <w:szCs w:val="24"/>
                                <w:lang w:val="en-US" w:eastAsia="zh-CN" w:bidi="ar"/>
                              </w:rPr>
                              <w:t>设备安装</w:t>
                            </w:r>
                          </w:p>
                        </w:txbxContent>
                      </v:textbox>
                    </v:shape>
                  </w:pict>
                </mc:Fallback>
              </mc:AlternateContent>
            </w:r>
            <w:r>
              <w:rPr>
                <w:snapToGrid w:val="0"/>
                <w:bdr w:val="none" w:color="auto" w:sz="0" w:space="0"/>
              </w:rPr>
              <mc:AlternateContent>
                <mc:Choice Requires="wps">
                  <w:drawing>
                    <wp:anchor distT="0" distB="0" distL="114300" distR="114300" simplePos="0" relativeHeight="251676672" behindDoc="0" locked="0" layoutInCell="1" allowOverlap="1">
                      <wp:simplePos x="0" y="0"/>
                      <wp:positionH relativeFrom="column">
                        <wp:posOffset>2187575</wp:posOffset>
                      </wp:positionH>
                      <wp:positionV relativeFrom="paragraph">
                        <wp:posOffset>620395</wp:posOffset>
                      </wp:positionV>
                      <wp:extent cx="556260" cy="0"/>
                      <wp:effectExtent l="0" t="38100" r="15240" b="38100"/>
                      <wp:wrapNone/>
                      <wp:docPr id="11" name="AutoShape 147"/>
                      <wp:cNvGraphicFramePr/>
                      <a:graphic xmlns:a="http://schemas.openxmlformats.org/drawingml/2006/main">
                        <a:graphicData uri="http://schemas.microsoft.com/office/word/2010/wordprocessingShape">
                          <wps:wsp>
                            <wps:cNvCnPr/>
                            <wps:spPr>
                              <a:xfrm>
                                <a:off x="0" y="0"/>
                                <a:ext cx="55626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47" o:spid="_x0000_s1026" o:spt="32" type="#_x0000_t32" style="position:absolute;left:0pt;margin-left:172.25pt;margin-top:48.85pt;height:0pt;width:43.8pt;z-index:251676672;mso-width-relative:page;mso-height-relative:page;" filled="f" coordsize="21600,21600" o:gfxdata="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akN&#10;etoAAAAJAQAADwAAAAAAAAABACAAAAAiAAAAZHJzL2Rvd25yZXYueG1sUEsBAhQAFAAAAAgAh07i&#10;QDE3kxfnAQAA5gMAAA4AAAAAAAAAAQAgAAAAKQEAAGRycy9lMm9Eb2MueG1sUEsFBgAAAAAGAAYA&#10;WQEAAIIFAAAAAA==&#10;">
                      <v:path arrowok="t"/>
                      <v:fill on="f" focussize="0,0"/>
                      <v:stroke endarrow="block"/>
                      <v:imagedata o:title=""/>
                      <o:lock v:ext="edit"/>
                    </v:shape>
                  </w:pict>
                </mc:Fallback>
              </mc:AlternateContent>
            </w:r>
            <w:r>
              <w:rPr>
                <w:snapToGrid w:val="0"/>
                <w:bdr w:val="none" w:color="auto" w:sz="0" w:space="0"/>
              </w:rPr>
              <mc:AlternateContent>
                <mc:Choice Requires="wps">
                  <w:drawing>
                    <wp:anchor distT="0" distB="0" distL="114300" distR="114300" simplePos="0" relativeHeight="251677696" behindDoc="0" locked="0" layoutInCell="1" allowOverlap="1">
                      <wp:simplePos x="0" y="0"/>
                      <wp:positionH relativeFrom="column">
                        <wp:posOffset>2749550</wp:posOffset>
                      </wp:positionH>
                      <wp:positionV relativeFrom="paragraph">
                        <wp:posOffset>495935</wp:posOffset>
                      </wp:positionV>
                      <wp:extent cx="778510" cy="272415"/>
                      <wp:effectExtent l="5080" t="4445" r="16510" b="8890"/>
                      <wp:wrapNone/>
                      <wp:docPr id="12" name="Text Box 148"/>
                      <wp:cNvGraphicFramePr/>
                      <a:graphic xmlns:a="http://schemas.openxmlformats.org/drawingml/2006/main">
                        <a:graphicData uri="http://schemas.microsoft.com/office/word/2010/wordprocessingShape">
                          <wps:wsp>
                            <wps:cNvSpPr txBox="1"/>
                            <wps:spPr>
                              <a:xfrm>
                                <a:off x="0" y="0"/>
                                <a:ext cx="778510" cy="272415"/>
                              </a:xfrm>
                              <a:prstGeom prst="rect">
                                <a:avLst/>
                              </a:prstGeom>
                              <a:noFill/>
                              <a:ln w="9525" cap="flat" cmpd="sng">
                                <a:solidFill>
                                  <a:srgbClr val="000000"/>
                                </a:solidFill>
                                <a:prstDash val="solid"/>
                                <a:miter/>
                                <a:headEnd type="none" w="med" len="med"/>
                                <a:tailEnd type="none" w="med" len="med"/>
                              </a:ln>
                            </wps:spPr>
                            <wps:txbx>
                              <w:txbxContent>
                                <w:p w14:paraId="36AE0DE0">
                                  <w:pPr>
                                    <w:keepNext w:val="0"/>
                                    <w:keepLines w:val="0"/>
                                    <w:widowControl w:val="0"/>
                                    <w:suppressLineNumbers w:val="0"/>
                                    <w:spacing w:before="0" w:beforeAutospacing="0" w:after="0" w:afterAutospacing="0"/>
                                    <w:ind w:left="0" w:right="0"/>
                                    <w:jc w:val="both"/>
                                  </w:pPr>
                                  <w:r>
                                    <w:rPr>
                                      <w:rFonts w:hint="eastAsia" w:ascii="Calibri" w:hAnsi="Calibri" w:eastAsia="宋体" w:cs="宋体"/>
                                      <w:kern w:val="2"/>
                                      <w:sz w:val="21"/>
                                      <w:szCs w:val="24"/>
                                      <w:lang w:val="en-US" w:eastAsia="zh-CN" w:bidi="ar"/>
                                    </w:rPr>
                                    <w:t>投入使用</w:t>
                                  </w:r>
                                </w:p>
                              </w:txbxContent>
                            </wps:txbx>
                            <wps:bodyPr upright="0">
                              <a:spAutoFit/>
                            </wps:bodyPr>
                          </wps:wsp>
                        </a:graphicData>
                      </a:graphic>
                      <wp14:sizeRelH relativeFrom="page">
                        <wp14:pctWidth>0</wp14:pctWidth>
                      </wp14:sizeRelH>
                      <wp14:sizeRelV relativeFrom="margin">
                        <wp14:pctHeight>20000</wp14:pctHeight>
                      </wp14:sizeRelV>
                    </wp:anchor>
                  </w:drawing>
                </mc:Choice>
                <mc:Fallback>
                  <w:pict>
                    <v:shape id="Text Box 148" o:spid="_x0000_s1026" o:spt="202" type="#_x0000_t202" style="position:absolute;left:0pt;margin-left:216.5pt;margin-top:39.05pt;height:21.45pt;width:61.3pt;z-index:251677696;mso-width-relative:page;mso-height-relative:margin;mso-height-percent:200;" filled="f" coordsize="21600,21600" o:gfxdata="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4mnldoAAAAKAQAADwAAAAAAAAABACAAAAAiAAAAZHJzL2Rv&#10;d25yZXYueG1sUEsBAhQAFAAAAAgAh07iQFDHLRz/AQAAKAQAAA4AAAAAAAAAAQAgAAAAKQEAAGRy&#10;cy9lMm9Eb2MueG1sUEsFBgAAAAAGAAYAWQEAAJoFAAAAAA==&#10;">
                      <v:path/>
                      <v:fill on="f" focussize="0,0"/>
                      <v:stroke joinstyle="miter"/>
                      <v:imagedata o:title=""/>
                      <o:lock v:ext="edit"/>
                      <v:textbox style="mso-fit-shape-to-text:t;mso-rotate-with-shape:t;">
                        <w:txbxContent>
                          <w:p w14:paraId="36AE0DE0">
                            <w:pPr>
                              <w:keepNext w:val="0"/>
                              <w:keepLines w:val="0"/>
                              <w:widowControl w:val="0"/>
                              <w:suppressLineNumbers w:val="0"/>
                              <w:spacing w:before="0" w:beforeAutospacing="0" w:after="0" w:afterAutospacing="0"/>
                              <w:ind w:left="0" w:right="0"/>
                              <w:jc w:val="both"/>
                            </w:pPr>
                            <w:r>
                              <w:rPr>
                                <w:rFonts w:hint="eastAsia" w:ascii="Calibri" w:hAnsi="Calibri" w:eastAsia="宋体" w:cs="宋体"/>
                                <w:kern w:val="2"/>
                                <w:sz w:val="21"/>
                                <w:szCs w:val="24"/>
                                <w:lang w:val="en-US" w:eastAsia="zh-CN" w:bidi="ar"/>
                              </w:rPr>
                              <w:t>投入使用</w:t>
                            </w:r>
                          </w:p>
                        </w:txbxContent>
                      </v:textbox>
                    </v:shape>
                  </w:pict>
                </mc:Fallback>
              </mc:AlternateContent>
            </w:r>
            <w:r>
              <w:rPr>
                <w:snapToGrid w:val="0"/>
                <w:bdr w:val="none" w:color="auto" w:sz="0" w:space="0"/>
              </w:rPr>
              <mc:AlternateContent>
                <mc:Choice Requires="wps">
                  <w:drawing>
                    <wp:anchor distT="0" distB="0" distL="114300" distR="114300" simplePos="0" relativeHeight="251678720" behindDoc="0" locked="0" layoutInCell="1" allowOverlap="1">
                      <wp:simplePos x="0" y="0"/>
                      <wp:positionH relativeFrom="column">
                        <wp:posOffset>1719580</wp:posOffset>
                      </wp:positionH>
                      <wp:positionV relativeFrom="paragraph">
                        <wp:posOffset>255905</wp:posOffset>
                      </wp:positionV>
                      <wp:extent cx="0" cy="244475"/>
                      <wp:effectExtent l="38100" t="0" r="38100" b="3175"/>
                      <wp:wrapNone/>
                      <wp:docPr id="13" name="AutoShape 151"/>
                      <wp:cNvGraphicFramePr/>
                      <a:graphic xmlns:a="http://schemas.openxmlformats.org/drawingml/2006/main">
                        <a:graphicData uri="http://schemas.microsoft.com/office/word/2010/wordprocessingShape">
                          <wps:wsp>
                            <wps:cNvCnPr/>
                            <wps:spPr>
                              <a:xfrm flipV="1">
                                <a:off x="0" y="0"/>
                                <a:ext cx="0" cy="2444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51" o:spid="_x0000_s1026" o:spt="32" type="#_x0000_t32" style="position:absolute;left:0pt;flip:y;margin-left:135.4pt;margin-top:20.15pt;height:19.25pt;width:0pt;z-index:251678720;mso-width-relative:page;mso-height-relative:page;" filled="f" coordsize="21600,21600" o:gfxdata="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YcwiZtgAAAAJAQAADwAAAAAAAAABACAAAAAiAAAAZHJzL2Rvd25yZXYueG1sUEsBAhQAFAAAAAgA&#10;h07iQDB2kNLsAQAA8AMAAA4AAAAAAAAAAQAgAAAAJwEAAGRycy9lMm9Eb2MueG1sUEsFBgAAAAAG&#10;AAYAWQEAAIUFAAAAAA==&#10;">
                      <v:path arrowok="t"/>
                      <v:fill on="f" focussize="0,0"/>
                      <v:stroke endarrow="block"/>
                      <v:imagedata o:title=""/>
                      <o:lock v:ext="edit"/>
                    </v:shape>
                  </w:pict>
                </mc:Fallback>
              </mc:AlternateContent>
            </w:r>
            <w:r>
              <w:rPr>
                <w:snapToGrid w:val="0"/>
                <w:bdr w:val="none" w:color="auto" w:sz="0" w:space="0"/>
              </w:rPr>
              <mc:AlternateContent>
                <mc:Choice Requires="wps">
                  <w:drawing>
                    <wp:anchor distT="0" distB="0" distL="114300" distR="114300" simplePos="0" relativeHeight="251679744" behindDoc="0" locked="0" layoutInCell="1" allowOverlap="1">
                      <wp:simplePos x="0" y="0"/>
                      <wp:positionH relativeFrom="column">
                        <wp:posOffset>1508125</wp:posOffset>
                      </wp:positionH>
                      <wp:positionV relativeFrom="paragraph">
                        <wp:posOffset>59690</wp:posOffset>
                      </wp:positionV>
                      <wp:extent cx="685165" cy="262890"/>
                      <wp:effectExtent l="0" t="0" r="0" b="0"/>
                      <wp:wrapNone/>
                      <wp:docPr id="14" name="Text Box 152"/>
                      <wp:cNvGraphicFramePr/>
                      <a:graphic xmlns:a="http://schemas.openxmlformats.org/drawingml/2006/main">
                        <a:graphicData uri="http://schemas.microsoft.com/office/word/2010/wordprocessingShape">
                          <wps:wsp>
                            <wps:cNvSpPr txBox="1"/>
                            <wps:spPr>
                              <a:xfrm>
                                <a:off x="0" y="0"/>
                                <a:ext cx="685165" cy="262890"/>
                              </a:xfrm>
                              <a:prstGeom prst="rect">
                                <a:avLst/>
                              </a:prstGeom>
                              <a:noFill/>
                              <a:ln>
                                <a:noFill/>
                              </a:ln>
                            </wps:spPr>
                            <wps:txbx>
                              <w:txbxContent>
                                <w:p w14:paraId="55C10F48">
                                  <w:pPr>
                                    <w:keepNext w:val="0"/>
                                    <w:keepLines w:val="0"/>
                                    <w:widowControl w:val="0"/>
                                    <w:suppressLineNumbers w:val="0"/>
                                    <w:spacing w:before="0" w:beforeAutospacing="0" w:after="0" w:afterAutospacing="0"/>
                                    <w:ind w:left="0" w:right="0"/>
                                    <w:jc w:val="both"/>
                                  </w:pPr>
                                  <w:r>
                                    <w:rPr>
                                      <w:rFonts w:hint="eastAsia" w:ascii="Calibri" w:hAnsi="Calibri" w:eastAsia="宋体" w:cs="宋体"/>
                                      <w:kern w:val="2"/>
                                      <w:sz w:val="21"/>
                                      <w:szCs w:val="24"/>
                                      <w:lang w:val="en-US" w:eastAsia="zh-CN" w:bidi="ar"/>
                                    </w:rPr>
                                    <w:t>噪声</w:t>
                                  </w:r>
                                </w:p>
                              </w:txbxContent>
                            </wps:txbx>
                            <wps:bodyPr upright="0">
                              <a:spAutoFit/>
                            </wps:bodyPr>
                          </wps:wsp>
                        </a:graphicData>
                      </a:graphic>
                      <wp14:sizeRelH relativeFrom="page">
                        <wp14:pctWidth>0</wp14:pctWidth>
                      </wp14:sizeRelH>
                      <wp14:sizeRelV relativeFrom="margin">
                        <wp14:pctHeight>20000</wp14:pctHeight>
                      </wp14:sizeRelV>
                    </wp:anchor>
                  </w:drawing>
                </mc:Choice>
                <mc:Fallback>
                  <w:pict>
                    <v:shape id="Text Box 152" o:spid="_x0000_s1026" o:spt="202" type="#_x0000_t202" style="position:absolute;left:0pt;margin-left:118.75pt;margin-top:4.7pt;height:20.7pt;width:53.95pt;z-index:251679744;mso-width-relative:page;mso-height-relative:margin;mso-height-percent:200;" filled="f" stroked="f" coordsize="21600,21600" o:gfxdata="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BPAL1wAAAAgB&#10;AAAPAAAAAAAAAAEAIAAAACIAAABkcnMvZG93bnJldi54bWxQSwECFAAUAAAACACHTuJA/9gNTaoB&#10;AABpAwAADgAAAAAAAAABACAAAAAmAQAAZHJzL2Uyb0RvYy54bWxQSwUGAAAAAAYABgBZAQAAQgUA&#10;AAAA&#10;">
                      <v:path/>
                      <v:fill on="f" focussize="0,0"/>
                      <v:stroke on="f" joinstyle="miter"/>
                      <v:imagedata o:title=""/>
                      <o:lock v:ext="edit"/>
                      <v:textbox style="mso-fit-shape-to-text:t;mso-rotate-with-shape:t;">
                        <w:txbxContent>
                          <w:p w14:paraId="55C10F48">
                            <w:pPr>
                              <w:keepNext w:val="0"/>
                              <w:keepLines w:val="0"/>
                              <w:widowControl w:val="0"/>
                              <w:suppressLineNumbers w:val="0"/>
                              <w:spacing w:before="0" w:beforeAutospacing="0" w:after="0" w:afterAutospacing="0"/>
                              <w:ind w:left="0" w:right="0"/>
                              <w:jc w:val="both"/>
                            </w:pPr>
                            <w:r>
                              <w:rPr>
                                <w:rFonts w:hint="eastAsia" w:ascii="Calibri" w:hAnsi="Calibri" w:eastAsia="宋体" w:cs="宋体"/>
                                <w:kern w:val="2"/>
                                <w:sz w:val="21"/>
                                <w:szCs w:val="24"/>
                                <w:lang w:val="en-US" w:eastAsia="zh-CN" w:bidi="ar"/>
                              </w:rPr>
                              <w:t>噪声</w:t>
                            </w:r>
                          </w:p>
                        </w:txbxContent>
                      </v:textbox>
                    </v:shape>
                  </w:pict>
                </mc:Fallback>
              </mc:AlternateContent>
            </w:r>
            <w:r>
              <w:rPr>
                <w:snapToGrid w:val="0"/>
                <w:bdr w:val="none" w:color="auto" w:sz="0" w:space="0"/>
              </w:rPr>
              <mc:AlternateContent>
                <mc:Choice Requires="wps">
                  <w:drawing>
                    <wp:anchor distT="0" distB="0" distL="114300" distR="114300" simplePos="0" relativeHeight="251680768" behindDoc="0" locked="0" layoutInCell="1" allowOverlap="1">
                      <wp:simplePos x="0" y="0"/>
                      <wp:positionH relativeFrom="column">
                        <wp:posOffset>1719580</wp:posOffset>
                      </wp:positionH>
                      <wp:positionV relativeFrom="paragraph">
                        <wp:posOffset>777875</wp:posOffset>
                      </wp:positionV>
                      <wp:extent cx="0" cy="259080"/>
                      <wp:effectExtent l="38100" t="0" r="38100" b="7620"/>
                      <wp:wrapNone/>
                      <wp:docPr id="15" name="自选图形 1550"/>
                      <wp:cNvGraphicFramePr/>
                      <a:graphic xmlns:a="http://schemas.openxmlformats.org/drawingml/2006/main">
                        <a:graphicData uri="http://schemas.microsoft.com/office/word/2010/wordprocessingShape">
                          <wps:wsp>
                            <wps:cNvCnPr/>
                            <wps:spPr>
                              <a:xfrm>
                                <a:off x="0" y="0"/>
                                <a:ext cx="0" cy="259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50" o:spid="_x0000_s1026" o:spt="32" type="#_x0000_t32" style="position:absolute;left:0pt;margin-left:135.4pt;margin-top:61.25pt;height:20.4pt;width:0pt;z-index:251680768;mso-width-relative:page;mso-height-relative:page;" o:connectortype="straight" filled="f" coordsize="21600,21600" o:gfxdata="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fqAU2QAAAAsBAAAPAAAAAAAAAAEAIAAAACIAAABkcnMvZG93bnJl&#10;di54bWxQSwECFAAUAAAACACHTuJA2ykCd/wBAADqAwAADgAAAAAAAAABACAAAAAoAQAAZHJzL2Uy&#10;b0RvYy54bWxQSwUGAAAAAAYABgBZAQAAlgUAAAAA&#10;">
                      <v:path arrowok="t"/>
                      <v:fill on="f" focussize="0,0"/>
                      <v:stroke endarrow="block"/>
                      <v:imagedata o:title=""/>
                      <o:lock v:ext="edit"/>
                    </v:shape>
                  </w:pict>
                </mc:Fallback>
              </mc:AlternateContent>
            </w:r>
            <w:r>
              <w:rPr>
                <w:snapToGrid w:val="0"/>
                <w:bdr w:val="none" w:color="auto" w:sz="0" w:space="0"/>
              </w:rPr>
              <mc:AlternateContent>
                <mc:Choice Requires="wps">
                  <w:drawing>
                    <wp:anchor distT="0" distB="0" distL="114300" distR="114300" simplePos="0" relativeHeight="251681792" behindDoc="0" locked="0" layoutInCell="1" allowOverlap="1">
                      <wp:simplePos x="0" y="0"/>
                      <wp:positionH relativeFrom="column">
                        <wp:posOffset>1363980</wp:posOffset>
                      </wp:positionH>
                      <wp:positionV relativeFrom="paragraph">
                        <wp:posOffset>944880</wp:posOffset>
                      </wp:positionV>
                      <wp:extent cx="1083310" cy="262890"/>
                      <wp:effectExtent l="0" t="0" r="0" b="0"/>
                      <wp:wrapNone/>
                      <wp:docPr id="16" name="文本框 21"/>
                      <wp:cNvGraphicFramePr/>
                      <a:graphic xmlns:a="http://schemas.openxmlformats.org/drawingml/2006/main">
                        <a:graphicData uri="http://schemas.microsoft.com/office/word/2010/wordprocessingShape">
                          <wps:wsp>
                            <wps:cNvSpPr txBox="1"/>
                            <wps:spPr>
                              <a:xfrm>
                                <a:off x="0" y="0"/>
                                <a:ext cx="1083310" cy="262890"/>
                              </a:xfrm>
                              <a:prstGeom prst="rect">
                                <a:avLst/>
                              </a:prstGeom>
                              <a:noFill/>
                              <a:ln>
                                <a:noFill/>
                              </a:ln>
                            </wps:spPr>
                            <wps:txbx>
                              <w:txbxContent>
                                <w:p w14:paraId="704959D3">
                                  <w:pPr>
                                    <w:keepNext w:val="0"/>
                                    <w:keepLines w:val="0"/>
                                    <w:widowControl w:val="0"/>
                                    <w:suppressLineNumbers w:val="0"/>
                                    <w:spacing w:before="0" w:beforeAutospacing="0" w:after="0" w:afterAutospacing="0"/>
                                    <w:ind w:left="0" w:right="0"/>
                                    <w:jc w:val="both"/>
                                  </w:pPr>
                                  <w:r>
                                    <w:rPr>
                                      <w:rFonts w:hint="eastAsia" w:ascii="Calibri" w:hAnsi="Calibri" w:eastAsia="宋体" w:cs="宋体"/>
                                      <w:kern w:val="2"/>
                                      <w:sz w:val="21"/>
                                      <w:szCs w:val="24"/>
                                      <w:lang w:val="en-US" w:eastAsia="zh-CN" w:bidi="ar"/>
                                    </w:rPr>
                                    <w:t>废弃包装物</w:t>
                                  </w:r>
                                </w:p>
                              </w:txbxContent>
                            </wps:txbx>
                            <wps:bodyPr upright="0">
                              <a:spAutoFit/>
                            </wps:bodyPr>
                          </wps:wsp>
                        </a:graphicData>
                      </a:graphic>
                      <wp14:sizeRelH relativeFrom="page">
                        <wp14:pctWidth>0</wp14:pctWidth>
                      </wp14:sizeRelH>
                      <wp14:sizeRelV relativeFrom="margin">
                        <wp14:pctHeight>20000</wp14:pctHeight>
                      </wp14:sizeRelV>
                    </wp:anchor>
                  </w:drawing>
                </mc:Choice>
                <mc:Fallback>
                  <w:pict>
                    <v:shape id="文本框 21" o:spid="_x0000_s1026" o:spt="202" type="#_x0000_t202" style="position:absolute;left:0pt;margin-left:107.4pt;margin-top:74.4pt;height:20.7pt;width:85.3pt;z-index:251681792;mso-width-relative:page;mso-height-relative:margin;mso-height-percent:200;" filled="f" stroked="f" coordsize="21600,21600" o:gfxdata="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42Bs02AAAAAsBAAAPAAAAAAAAAAEAIAAAACIAAABkcnMvZG93bnJldi54bWxQSwECFAAU&#10;AAAACACHTuJAHZCB4LgBAABqAwAADgAAAAAAAAABACAAAAAnAQAAZHJzL2Uyb0RvYy54bWxQSwUG&#10;AAAAAAYABgBZAQAAUQUAAAAA&#10;">
                      <v:path/>
                      <v:fill on="f" focussize="0,0"/>
                      <v:stroke on="f" joinstyle="miter"/>
                      <v:imagedata o:title=""/>
                      <o:lock v:ext="edit"/>
                      <v:textbox style="mso-fit-shape-to-text:t;mso-rotate-with-shape:t;">
                        <w:txbxContent>
                          <w:p w14:paraId="704959D3">
                            <w:pPr>
                              <w:keepNext w:val="0"/>
                              <w:keepLines w:val="0"/>
                              <w:widowControl w:val="0"/>
                              <w:suppressLineNumbers w:val="0"/>
                              <w:spacing w:before="0" w:beforeAutospacing="0" w:after="0" w:afterAutospacing="0"/>
                              <w:ind w:left="0" w:right="0"/>
                              <w:jc w:val="both"/>
                            </w:pPr>
                            <w:r>
                              <w:rPr>
                                <w:rFonts w:hint="eastAsia" w:ascii="Calibri" w:hAnsi="Calibri" w:eastAsia="宋体" w:cs="宋体"/>
                                <w:kern w:val="2"/>
                                <w:sz w:val="21"/>
                                <w:szCs w:val="24"/>
                                <w:lang w:val="en-US" w:eastAsia="zh-CN" w:bidi="ar"/>
                              </w:rPr>
                              <w:t>废弃包装物</w:t>
                            </w:r>
                          </w:p>
                        </w:txbxContent>
                      </v:textbox>
                    </v:shape>
                  </w:pict>
                </mc:Fallback>
              </mc:AlternateContent>
            </w:r>
          </w:p>
          <w:p w14:paraId="216D2D3D">
            <w:pPr>
              <w:keepNext w:val="0"/>
              <w:keepLines w:val="0"/>
              <w:widowControl w:val="0"/>
              <w:suppressLineNumbers w:val="0"/>
              <w:tabs>
                <w:tab w:val="left" w:leader="middleDot" w:pos="7710"/>
              </w:tabs>
              <w:adjustRightInd w:val="0"/>
              <w:snapToGrid w:val="0"/>
              <w:spacing w:before="0" w:beforeAutospacing="0" w:after="0" w:afterAutospacing="0" w:line="460" w:lineRule="exact"/>
              <w:ind w:left="0" w:right="0" w:firstLine="480" w:firstLineChars="200"/>
              <w:jc w:val="both"/>
              <w:rPr>
                <w:rFonts w:hint="default" w:ascii="Times New Roman" w:hAnsi="Calibri" w:cs="Times New Roman"/>
                <w:color w:val="000000"/>
                <w:sz w:val="24"/>
                <w:szCs w:val="24"/>
                <w:bdr w:val="none" w:color="auto" w:sz="0" w:space="0"/>
                <w:lang w:val="en-US"/>
              </w:rPr>
            </w:pPr>
          </w:p>
          <w:p w14:paraId="66A0AD4A">
            <w:pPr>
              <w:keepNext w:val="0"/>
              <w:keepLines w:val="0"/>
              <w:widowControl w:val="0"/>
              <w:suppressLineNumbers w:val="0"/>
              <w:tabs>
                <w:tab w:val="left" w:leader="middleDot" w:pos="7710"/>
              </w:tabs>
              <w:adjustRightInd w:val="0"/>
              <w:snapToGrid w:val="0"/>
              <w:spacing w:before="0" w:beforeAutospacing="0" w:after="0" w:afterAutospacing="0" w:line="460" w:lineRule="exact"/>
              <w:ind w:left="0" w:right="0" w:firstLine="480" w:firstLineChars="200"/>
              <w:jc w:val="both"/>
              <w:rPr>
                <w:rFonts w:hint="default" w:ascii="Times New Roman" w:hAnsi="Calibri" w:cs="Times New Roman"/>
                <w:color w:val="000000"/>
                <w:sz w:val="24"/>
                <w:szCs w:val="24"/>
                <w:bdr w:val="none" w:color="auto" w:sz="0" w:space="0"/>
                <w:lang w:val="en-US"/>
              </w:rPr>
            </w:pPr>
          </w:p>
          <w:p w14:paraId="4C77A533">
            <w:pPr>
              <w:keepNext w:val="0"/>
              <w:keepLines w:val="0"/>
              <w:widowControl w:val="0"/>
              <w:suppressLineNumbers w:val="0"/>
              <w:tabs>
                <w:tab w:val="left" w:leader="middleDot" w:pos="7710"/>
              </w:tabs>
              <w:adjustRightInd w:val="0"/>
              <w:snapToGrid w:val="0"/>
              <w:spacing w:before="0" w:beforeAutospacing="0" w:after="0" w:afterAutospacing="0" w:line="460" w:lineRule="exact"/>
              <w:ind w:left="0" w:right="0" w:firstLine="480" w:firstLineChars="200"/>
              <w:jc w:val="both"/>
              <w:rPr>
                <w:rFonts w:hint="default" w:ascii="Times New Roman" w:hAnsi="Calibri" w:cs="Times New Roman"/>
                <w:color w:val="000000"/>
                <w:sz w:val="24"/>
                <w:szCs w:val="24"/>
                <w:bdr w:val="none" w:color="auto" w:sz="0" w:space="0"/>
                <w:lang w:val="en-US"/>
              </w:rPr>
            </w:pPr>
          </w:p>
          <w:p w14:paraId="3FD2A6D3">
            <w:pPr>
              <w:keepNext w:val="0"/>
              <w:keepLines w:val="0"/>
              <w:widowControl w:val="0"/>
              <w:suppressLineNumbers w:val="0"/>
              <w:spacing w:before="0" w:beforeAutospacing="0" w:after="0" w:afterAutospacing="0" w:line="460" w:lineRule="exact"/>
              <w:ind w:left="0" w:right="0"/>
              <w:jc w:val="center"/>
              <w:rPr>
                <w:rFonts w:hint="default" w:ascii="Times New Roman" w:hAnsi="Times New Roman" w:cs="Times New Roman"/>
                <w:b/>
                <w:bCs w:val="0"/>
                <w:color w:val="000000"/>
                <w:sz w:val="24"/>
                <w:szCs w:val="24"/>
                <w:u w:val="single"/>
                <w:bdr w:val="none" w:color="auto" w:sz="0" w:space="0"/>
                <w:lang w:val="en-US"/>
              </w:rPr>
            </w:pPr>
            <w:r>
              <w:rPr>
                <w:rFonts w:hint="eastAsia" w:ascii="Times New Roman" w:hAnsi="Times New Roman" w:eastAsia="宋体" w:cs="宋体"/>
                <w:b/>
                <w:bCs w:val="0"/>
                <w:color w:val="000000"/>
                <w:kern w:val="2"/>
                <w:sz w:val="24"/>
                <w:szCs w:val="24"/>
                <w:u w:val="single"/>
                <w:bdr w:val="none" w:color="auto" w:sz="0" w:space="0"/>
                <w:lang w:val="en-US" w:eastAsia="zh-CN" w:bidi="ar"/>
              </w:rPr>
              <w:t>图</w:t>
            </w:r>
            <w:r>
              <w:rPr>
                <w:rFonts w:hint="default" w:ascii="Times New Roman" w:hAnsi="Times New Roman" w:eastAsia="宋体" w:cs="Times New Roman"/>
                <w:b/>
                <w:bCs w:val="0"/>
                <w:color w:val="000000"/>
                <w:kern w:val="2"/>
                <w:sz w:val="24"/>
                <w:szCs w:val="24"/>
                <w:u w:val="single"/>
                <w:bdr w:val="none" w:color="auto" w:sz="0" w:space="0"/>
                <w:lang w:val="en-US" w:eastAsia="zh-CN" w:bidi="ar"/>
              </w:rPr>
              <w:t xml:space="preserve">2.2  </w:t>
            </w:r>
            <w:r>
              <w:rPr>
                <w:rFonts w:hint="eastAsia" w:ascii="Times New Roman" w:hAnsi="Times New Roman" w:eastAsia="宋体" w:cs="宋体"/>
                <w:b/>
                <w:bCs w:val="0"/>
                <w:color w:val="000000"/>
                <w:kern w:val="2"/>
                <w:sz w:val="24"/>
                <w:szCs w:val="24"/>
                <w:u w:val="single"/>
                <w:bdr w:val="none" w:color="auto" w:sz="0" w:space="0"/>
                <w:lang w:val="en-US" w:eastAsia="zh-CN" w:bidi="ar"/>
              </w:rPr>
              <w:t>施工期工艺流程及产排污环节图</w:t>
            </w:r>
          </w:p>
          <w:p w14:paraId="40718BF2">
            <w:pPr>
              <w:keepNext w:val="0"/>
              <w:keepLines w:val="0"/>
              <w:widowControl/>
              <w:suppressLineNumbers w:val="0"/>
              <w:spacing w:before="0" w:beforeAutospacing="0" w:after="0" w:afterAutospacing="0" w:line="440" w:lineRule="exact"/>
              <w:ind w:left="0" w:right="0"/>
              <w:jc w:val="left"/>
              <w:outlineLvl w:val="1"/>
              <w:rPr>
                <w:rFonts w:hint="default" w:ascii="Times New Roman" w:hAnsi="Times New Roman" w:cs="Times New Roman"/>
                <w:b/>
                <w:bCs/>
                <w:color w:val="000000"/>
                <w:sz w:val="24"/>
                <w:szCs w:val="24"/>
                <w:bdr w:val="none" w:color="auto" w:sz="0" w:space="0"/>
                <w:lang w:val="en-US"/>
              </w:rPr>
            </w:pPr>
            <w:r>
              <w:rPr>
                <w:rFonts w:hint="default" w:ascii="Times New Roman" w:hAnsi="Times New Roman" w:eastAsia="宋体" w:cs="Times New Roman"/>
                <w:b/>
                <w:bCs/>
                <w:color w:val="000000"/>
                <w:kern w:val="2"/>
                <w:sz w:val="24"/>
                <w:szCs w:val="24"/>
                <w:bdr w:val="none" w:color="auto" w:sz="0" w:space="0"/>
                <w:lang w:val="en-US" w:eastAsia="zh-CN" w:bidi="ar"/>
              </w:rPr>
              <w:t>2.11</w:t>
            </w:r>
            <w:r>
              <w:rPr>
                <w:rFonts w:hint="eastAsia" w:ascii="Times New Roman" w:hAnsi="Times New Roman" w:eastAsia="宋体" w:cs="宋体"/>
                <w:b/>
                <w:bCs/>
                <w:color w:val="000000"/>
                <w:kern w:val="2"/>
                <w:sz w:val="24"/>
                <w:szCs w:val="24"/>
                <w:bdr w:val="none" w:color="auto" w:sz="0" w:space="0"/>
                <w:lang w:val="en-US" w:eastAsia="zh-CN" w:bidi="ar"/>
              </w:rPr>
              <w:t>运营期主要工艺流程及产排污环节</w:t>
            </w:r>
          </w:p>
          <w:p w14:paraId="48ABBAFB">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b/>
                <w:bCs w:val="0"/>
                <w:color w:val="000000"/>
                <w:sz w:val="24"/>
                <w:szCs w:val="24"/>
                <w:bdr w:val="none" w:color="auto" w:sz="0" w:space="0"/>
                <w:lang w:val="en-US"/>
              </w:rPr>
            </w:pPr>
            <w:r>
              <w:rPr>
                <w:rFonts w:hint="eastAsia" w:ascii="Calibri" w:hAnsi="Calibri" w:eastAsia="宋体" w:cs="宋体"/>
                <w:bCs/>
                <w:color w:val="000000"/>
                <w:kern w:val="2"/>
                <w:sz w:val="24"/>
                <w:szCs w:val="24"/>
                <w:bdr w:val="none" w:color="auto" w:sz="0" w:space="0"/>
                <w:lang w:val="en-US" w:eastAsia="zh-CN" w:bidi="ar"/>
              </w:rPr>
              <w:t>本项目主要生产皮革装饰条、泡棉制品以及云母板等产品。</w:t>
            </w:r>
          </w:p>
          <w:p w14:paraId="3F1EDA8B">
            <w:pPr>
              <w:keepNext w:val="0"/>
              <w:keepLines w:val="0"/>
              <w:widowControl/>
              <w:suppressLineNumbers w:val="0"/>
              <w:spacing w:before="0" w:beforeAutospacing="0" w:after="0" w:afterAutospacing="0" w:line="440" w:lineRule="exact"/>
              <w:ind w:left="0" w:right="0" w:firstLine="482" w:firstLineChars="200"/>
              <w:jc w:val="both"/>
              <w:rPr>
                <w:rFonts w:hint="default" w:ascii="Times New Roman" w:hAnsi="宋体" w:cs="Times New Roman"/>
                <w:b/>
                <w:bCs w:val="0"/>
                <w:color w:val="000000"/>
                <w:sz w:val="24"/>
                <w:szCs w:val="24"/>
                <w:bdr w:val="none" w:color="auto" w:sz="0" w:space="0"/>
                <w:lang w:val="en-US"/>
              </w:rPr>
            </w:pPr>
            <w:r>
              <w:rPr>
                <w:rFonts w:hint="default" w:ascii="Times New Roman" w:hAnsi="宋体" w:eastAsia="宋体" w:cs="Times New Roman"/>
                <w:b/>
                <w:bCs w:val="0"/>
                <w:color w:val="000000"/>
                <w:kern w:val="2"/>
                <w:sz w:val="24"/>
                <w:szCs w:val="24"/>
                <w:bdr w:val="none" w:color="auto" w:sz="0" w:space="0"/>
                <w:lang w:val="en-US" w:eastAsia="zh-CN" w:bidi="ar"/>
              </w:rPr>
              <w:t>1</w:t>
            </w:r>
            <w:r>
              <w:rPr>
                <w:rFonts w:hint="eastAsia" w:ascii="Times New Roman" w:hAnsi="宋体" w:eastAsia="宋体" w:cs="宋体"/>
                <w:b/>
                <w:bCs w:val="0"/>
                <w:color w:val="000000"/>
                <w:kern w:val="2"/>
                <w:sz w:val="24"/>
                <w:szCs w:val="24"/>
                <w:bdr w:val="none" w:color="auto" w:sz="0" w:space="0"/>
                <w:lang w:val="en-US" w:eastAsia="zh-CN" w:bidi="ar"/>
              </w:rPr>
              <w:t>、皮革装饰条生产工艺流程及产污环节</w:t>
            </w:r>
          </w:p>
          <w:p w14:paraId="2D15A2F0">
            <w:pPr>
              <w:keepNext w:val="0"/>
              <w:keepLines w:val="0"/>
              <w:widowControl w:val="0"/>
              <w:suppressLineNumbers w:val="0"/>
              <w:spacing w:before="0" w:beforeAutospacing="0" w:after="0" w:afterAutospacing="0" w:line="460" w:lineRule="exact"/>
              <w:ind w:left="0" w:right="0"/>
              <w:jc w:val="center"/>
              <w:rPr>
                <w:rFonts w:hint="default" w:ascii="Times New Roman" w:hAnsi="Times New Roman" w:cs="Times New Roman"/>
                <w:b/>
                <w:bCs w:val="0"/>
                <w:color w:val="000000"/>
                <w:sz w:val="24"/>
                <w:szCs w:val="24"/>
                <w:u w:val="single"/>
                <w:bdr w:val="none" w:color="auto" w:sz="0" w:space="0"/>
                <w:lang w:val="en-US"/>
              </w:rPr>
            </w:pPr>
            <w:r>
              <w:rPr>
                <w:rFonts w:hint="default" w:ascii="Calibri" w:hAnsi="Calibri" w:eastAsia="宋体" w:cs="Times New Roman"/>
                <w:kern w:val="2"/>
                <w:sz w:val="21"/>
                <w:szCs w:val="24"/>
                <w:bdr w:val="none" w:color="auto" w:sz="0" w:space="0"/>
                <w:lang w:val="en-US" w:eastAsia="zh-CN" w:bidi="ar"/>
              </w:rPr>
              <w:pict>
                <v:shape id="Object 1538" o:spid="_x0000_s1046" o:spt="75" type="#_x0000_t75" style="position:absolute;left:0pt;margin-left:5.05pt;margin-top:1.25pt;height:111.35pt;width:401.5pt;z-index:251669504;mso-width-relative:page;mso-height-relative:page;" o:ole="t" filled="f" o:preferrelative="t" stroked="f" coordsize="21600,21600">
                  <v:path/>
                  <v:fill on="f" focussize="0,0"/>
                  <v:stroke on="f" joinstyle="miter"/>
                  <v:imagedata r:id="rId8" o:title=""/>
                  <o:lock v:ext="edit" aspectratio="f"/>
                </v:shape>
                <o:OLEObject Type="Embed" ProgID="Visio.Drawing.11" ShapeID="Object 1538" DrawAspect="Content" ObjectID="_1468075725" r:id="rId7">
                  <o:LockedField>false</o:LockedField>
                </o:OLEObject>
              </w:pict>
            </w:r>
          </w:p>
          <w:p w14:paraId="27A4B5F6">
            <w:pPr>
              <w:keepNext w:val="0"/>
              <w:keepLines w:val="0"/>
              <w:widowControl w:val="0"/>
              <w:suppressLineNumbers w:val="0"/>
              <w:spacing w:before="0" w:beforeAutospacing="0" w:after="0" w:afterAutospacing="0" w:line="460" w:lineRule="exact"/>
              <w:ind w:left="0" w:right="0"/>
              <w:jc w:val="center"/>
              <w:rPr>
                <w:rFonts w:hint="default" w:ascii="Times New Roman" w:hAnsi="Times New Roman" w:cs="Times New Roman"/>
                <w:b/>
                <w:bCs w:val="0"/>
                <w:color w:val="000000"/>
                <w:sz w:val="24"/>
                <w:szCs w:val="24"/>
                <w:u w:val="single"/>
                <w:bdr w:val="none" w:color="auto" w:sz="0" w:space="0"/>
                <w:lang w:val="en-US"/>
              </w:rPr>
            </w:pPr>
          </w:p>
          <w:p w14:paraId="30E7DD8A">
            <w:pPr>
              <w:keepNext w:val="0"/>
              <w:keepLines w:val="0"/>
              <w:widowControl w:val="0"/>
              <w:suppressLineNumbers w:val="0"/>
              <w:spacing w:before="0" w:beforeAutospacing="0" w:after="0" w:afterAutospacing="0" w:line="460" w:lineRule="exact"/>
              <w:ind w:left="0" w:right="0"/>
              <w:jc w:val="center"/>
              <w:rPr>
                <w:rFonts w:hint="default" w:ascii="Times New Roman" w:hAnsi="Times New Roman" w:cs="Times New Roman"/>
                <w:b/>
                <w:bCs w:val="0"/>
                <w:color w:val="000000"/>
                <w:sz w:val="24"/>
                <w:szCs w:val="24"/>
                <w:u w:val="single"/>
                <w:bdr w:val="none" w:color="auto" w:sz="0" w:space="0"/>
                <w:lang w:val="en-US"/>
              </w:rPr>
            </w:pPr>
          </w:p>
          <w:p w14:paraId="03DD2446">
            <w:pPr>
              <w:keepNext w:val="0"/>
              <w:keepLines w:val="0"/>
              <w:widowControl w:val="0"/>
              <w:suppressLineNumbers w:val="0"/>
              <w:spacing w:before="0" w:beforeAutospacing="0" w:after="0" w:afterAutospacing="0" w:line="460" w:lineRule="exact"/>
              <w:ind w:left="0" w:right="0"/>
              <w:jc w:val="center"/>
              <w:rPr>
                <w:rFonts w:hint="default" w:ascii="Times New Roman" w:hAnsi="Times New Roman" w:cs="Times New Roman"/>
                <w:b/>
                <w:bCs w:val="0"/>
                <w:color w:val="000000"/>
                <w:sz w:val="24"/>
                <w:szCs w:val="24"/>
                <w:u w:val="single"/>
                <w:bdr w:val="none" w:color="auto" w:sz="0" w:space="0"/>
                <w:lang w:val="en-US"/>
              </w:rPr>
            </w:pPr>
          </w:p>
          <w:p w14:paraId="13A6CA3C">
            <w:pPr>
              <w:keepNext w:val="0"/>
              <w:keepLines w:val="0"/>
              <w:widowControl w:val="0"/>
              <w:suppressLineNumbers w:val="0"/>
              <w:spacing w:before="0" w:beforeAutospacing="0" w:after="0" w:afterAutospacing="0" w:line="460" w:lineRule="exact"/>
              <w:ind w:left="0" w:right="0"/>
              <w:jc w:val="center"/>
              <w:rPr>
                <w:rFonts w:hint="default" w:ascii="Times New Roman" w:hAnsi="Times New Roman" w:cs="Times New Roman"/>
                <w:b/>
                <w:bCs w:val="0"/>
                <w:color w:val="000000"/>
                <w:sz w:val="24"/>
                <w:szCs w:val="24"/>
                <w:u w:val="single"/>
                <w:bdr w:val="none" w:color="auto" w:sz="0" w:space="0"/>
                <w:lang w:val="en-US"/>
              </w:rPr>
            </w:pPr>
          </w:p>
          <w:p w14:paraId="21F0EA72">
            <w:pPr>
              <w:keepNext w:val="0"/>
              <w:keepLines w:val="0"/>
              <w:widowControl w:val="0"/>
              <w:suppressLineNumbers w:val="0"/>
              <w:spacing w:before="0" w:beforeAutospacing="0" w:after="0" w:afterAutospacing="0" w:line="460" w:lineRule="exact"/>
              <w:ind w:left="0" w:right="0"/>
              <w:jc w:val="center"/>
              <w:rPr>
                <w:rFonts w:hint="default" w:ascii="Times New Roman" w:hAnsi="Times New Roman" w:cs="Times New Roman"/>
                <w:b/>
                <w:bCs w:val="0"/>
                <w:color w:val="000000"/>
                <w:sz w:val="24"/>
                <w:szCs w:val="24"/>
                <w:u w:val="single"/>
                <w:bdr w:val="none" w:color="auto" w:sz="0" w:space="0"/>
                <w:lang w:val="en-US"/>
              </w:rPr>
            </w:pPr>
            <w:r>
              <w:rPr>
                <w:rFonts w:hint="eastAsia" w:ascii="Times New Roman" w:hAnsi="Times New Roman" w:eastAsia="宋体" w:cs="宋体"/>
                <w:b/>
                <w:bCs w:val="0"/>
                <w:color w:val="000000"/>
                <w:kern w:val="2"/>
                <w:sz w:val="24"/>
                <w:szCs w:val="24"/>
                <w:u w:val="single"/>
                <w:bdr w:val="none" w:color="auto" w:sz="0" w:space="0"/>
                <w:lang w:val="en-US" w:eastAsia="zh-CN" w:bidi="ar"/>
              </w:rPr>
              <w:t>图</w:t>
            </w:r>
            <w:r>
              <w:rPr>
                <w:rFonts w:hint="default" w:ascii="Times New Roman" w:hAnsi="Times New Roman" w:eastAsia="宋体" w:cs="Times New Roman"/>
                <w:b/>
                <w:bCs w:val="0"/>
                <w:color w:val="000000"/>
                <w:kern w:val="2"/>
                <w:sz w:val="24"/>
                <w:szCs w:val="24"/>
                <w:u w:val="single"/>
                <w:bdr w:val="none" w:color="auto" w:sz="0" w:space="0"/>
                <w:lang w:val="en-US" w:eastAsia="zh-CN" w:bidi="ar"/>
              </w:rPr>
              <w:t xml:space="preserve">2.3  </w:t>
            </w:r>
            <w:r>
              <w:rPr>
                <w:rFonts w:hint="eastAsia" w:ascii="Times New Roman" w:hAnsi="Times New Roman" w:eastAsia="宋体" w:cs="宋体"/>
                <w:b/>
                <w:bCs w:val="0"/>
                <w:color w:val="000000"/>
                <w:kern w:val="2"/>
                <w:sz w:val="24"/>
                <w:szCs w:val="24"/>
                <w:u w:val="single"/>
                <w:bdr w:val="none" w:color="auto" w:sz="0" w:space="0"/>
                <w:lang w:val="en-US" w:eastAsia="zh-CN" w:bidi="ar"/>
              </w:rPr>
              <w:t>皮革装饰条生产工艺流程及产排污环节图</w:t>
            </w:r>
          </w:p>
          <w:p w14:paraId="5C95E40C">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工艺流程简述：</w:t>
            </w:r>
          </w:p>
          <w:p w14:paraId="40CE693C">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w:t>
            </w:r>
            <w:r>
              <w:rPr>
                <w:rFonts w:hint="default" w:ascii="Times New Roman" w:hAnsi="宋体" w:eastAsia="宋体" w:cs="Times New Roman"/>
                <w:color w:val="000000"/>
                <w:kern w:val="2"/>
                <w:sz w:val="24"/>
                <w:szCs w:val="24"/>
                <w:bdr w:val="none" w:color="auto" w:sz="0" w:space="0"/>
                <w:lang w:val="en-US" w:eastAsia="zh-CN" w:bidi="ar"/>
              </w:rPr>
              <w:t>1</w:t>
            </w:r>
            <w:r>
              <w:rPr>
                <w:rFonts w:hint="eastAsia" w:ascii="Times New Roman" w:hAnsi="宋体" w:eastAsia="宋体" w:cs="宋体"/>
                <w:color w:val="000000"/>
                <w:kern w:val="2"/>
                <w:sz w:val="24"/>
                <w:szCs w:val="24"/>
                <w:bdr w:val="none" w:color="auto" w:sz="0" w:space="0"/>
                <w:lang w:val="en-US" w:eastAsia="zh-CN" w:bidi="ar"/>
              </w:rPr>
              <w:t>）分切：根据客户要求，外购的成品皮革采用分切机分切成</w:t>
            </w:r>
            <w:r>
              <w:rPr>
                <w:rFonts w:hint="default" w:ascii="Times New Roman" w:hAnsi="宋体" w:eastAsia="宋体" w:cs="Times New Roman"/>
                <w:color w:val="000000"/>
                <w:kern w:val="2"/>
                <w:sz w:val="24"/>
                <w:szCs w:val="24"/>
                <w:bdr w:val="none" w:color="auto" w:sz="0" w:space="0"/>
                <w:lang w:val="en-US" w:eastAsia="zh-CN" w:bidi="ar"/>
              </w:rPr>
              <w:t>200m</w:t>
            </w:r>
            <w:r>
              <w:rPr>
                <w:rFonts w:hint="eastAsia" w:ascii="Times New Roman" w:hAnsi="宋体" w:eastAsia="宋体" w:cs="宋体"/>
                <w:color w:val="000000"/>
                <w:kern w:val="2"/>
                <w:sz w:val="24"/>
                <w:szCs w:val="24"/>
                <w:bdr w:val="none" w:color="auto" w:sz="0" w:space="0"/>
                <w:lang w:val="en-US" w:eastAsia="zh-CN" w:bidi="ar"/>
              </w:rPr>
              <w:t>长、</w:t>
            </w:r>
            <w:r>
              <w:rPr>
                <w:rFonts w:hint="default" w:ascii="Times New Roman" w:hAnsi="宋体" w:eastAsia="宋体" w:cs="Times New Roman"/>
                <w:color w:val="000000"/>
                <w:kern w:val="2"/>
                <w:sz w:val="24"/>
                <w:szCs w:val="24"/>
                <w:bdr w:val="none" w:color="auto" w:sz="0" w:space="0"/>
                <w:lang w:val="en-US" w:eastAsia="zh-CN" w:bidi="ar"/>
              </w:rPr>
              <w:t>9~12mm</w:t>
            </w:r>
            <w:r>
              <w:rPr>
                <w:rFonts w:hint="eastAsia" w:ascii="Times New Roman" w:hAnsi="宋体" w:eastAsia="宋体" w:cs="宋体"/>
                <w:color w:val="000000"/>
                <w:kern w:val="2"/>
                <w:sz w:val="24"/>
                <w:szCs w:val="24"/>
                <w:bdr w:val="none" w:color="auto" w:sz="0" w:space="0"/>
                <w:lang w:val="en-US" w:eastAsia="zh-CN" w:bidi="ar"/>
              </w:rPr>
              <w:t>宽的条状。</w:t>
            </w:r>
          </w:p>
          <w:p w14:paraId="1023804E">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w:t>
            </w:r>
            <w:r>
              <w:rPr>
                <w:rFonts w:hint="default" w:ascii="Times New Roman" w:hAnsi="宋体" w:eastAsia="宋体" w:cs="Times New Roman"/>
                <w:color w:val="000000"/>
                <w:kern w:val="2"/>
                <w:sz w:val="24"/>
                <w:szCs w:val="24"/>
                <w:bdr w:val="none" w:color="auto" w:sz="0" w:space="0"/>
                <w:lang w:val="en-US" w:eastAsia="zh-CN" w:bidi="ar"/>
              </w:rPr>
              <w:t>2</w:t>
            </w:r>
            <w:r>
              <w:rPr>
                <w:rFonts w:hint="eastAsia" w:ascii="Times New Roman" w:hAnsi="宋体" w:eastAsia="宋体" w:cs="宋体"/>
                <w:color w:val="000000"/>
                <w:kern w:val="2"/>
                <w:sz w:val="24"/>
                <w:szCs w:val="24"/>
                <w:bdr w:val="none" w:color="auto" w:sz="0" w:space="0"/>
                <w:lang w:val="en-US" w:eastAsia="zh-CN" w:bidi="ar"/>
              </w:rPr>
              <w:t>）涂胶压合：将颗粒状的热熔胶加入密闭的热熔胶加热装置，采用电加热至熔融状态，温度约</w:t>
            </w:r>
            <w:r>
              <w:rPr>
                <w:rFonts w:hint="default" w:ascii="Times New Roman" w:hAnsi="宋体" w:eastAsia="宋体" w:cs="Times New Roman"/>
                <w:color w:val="000000"/>
                <w:kern w:val="2"/>
                <w:sz w:val="24"/>
                <w:szCs w:val="24"/>
                <w:bdr w:val="none" w:color="auto" w:sz="0" w:space="0"/>
                <w:lang w:val="en-US" w:eastAsia="zh-CN" w:bidi="ar"/>
              </w:rPr>
              <w:t>140</w:t>
            </w:r>
            <w:r>
              <w:rPr>
                <w:rFonts w:hint="eastAsia" w:ascii="Times New Roman" w:hAnsi="宋体" w:eastAsia="宋体" w:cs="宋体"/>
                <w:color w:val="000000"/>
                <w:kern w:val="2"/>
                <w:sz w:val="24"/>
                <w:szCs w:val="24"/>
                <w:bdr w:val="none" w:color="auto" w:sz="0" w:space="0"/>
                <w:lang w:val="en-US" w:eastAsia="zh-CN" w:bidi="ar"/>
              </w:rPr>
              <w:t>℃，同时将分切成条状的皮革和线轴装入皮革复合线待用。随着皮革和线轴在皮革复合线上向前移动，熔化的热熔胶自动涂在皮革条上，在皮革复合线末端处对皮革进行对折、压合即可，对折时把线包在皮革条折痕处使其美观，整个过程连续进行。此过程热熔胶涂覆压合过程中产生少量有机废气</w:t>
            </w:r>
            <w:r>
              <w:rPr>
                <w:rFonts w:hint="default" w:ascii="Times New Roman" w:hAnsi="宋体" w:eastAsia="宋体" w:cs="Times New Roman"/>
                <w:color w:val="000000"/>
                <w:kern w:val="2"/>
                <w:sz w:val="24"/>
                <w:szCs w:val="24"/>
                <w:bdr w:val="none" w:color="auto" w:sz="0" w:space="0"/>
                <w:lang w:val="en-US" w:eastAsia="zh-CN" w:bidi="ar"/>
              </w:rPr>
              <w:t>G1</w:t>
            </w:r>
            <w:r>
              <w:rPr>
                <w:rFonts w:hint="eastAsia" w:ascii="Times New Roman" w:hAnsi="宋体" w:eastAsia="宋体" w:cs="宋体"/>
                <w:color w:val="000000"/>
                <w:kern w:val="2"/>
                <w:sz w:val="24"/>
                <w:szCs w:val="24"/>
                <w:bdr w:val="none" w:color="auto" w:sz="0" w:space="0"/>
                <w:lang w:val="en-US" w:eastAsia="zh-CN" w:bidi="ar"/>
              </w:rPr>
              <w:t>、热熔胶塑料袋</w:t>
            </w:r>
            <w:r>
              <w:rPr>
                <w:rFonts w:hint="default" w:ascii="Times New Roman" w:hAnsi="宋体" w:eastAsia="宋体" w:cs="Times New Roman"/>
                <w:color w:val="000000"/>
                <w:kern w:val="2"/>
                <w:sz w:val="24"/>
                <w:szCs w:val="24"/>
                <w:bdr w:val="none" w:color="auto" w:sz="0" w:space="0"/>
                <w:lang w:val="en-US" w:eastAsia="zh-CN" w:bidi="ar"/>
              </w:rPr>
              <w:t>S1</w:t>
            </w:r>
            <w:r>
              <w:rPr>
                <w:rFonts w:hint="eastAsia" w:ascii="Times New Roman" w:hAnsi="宋体" w:eastAsia="宋体" w:cs="宋体"/>
                <w:color w:val="000000"/>
                <w:kern w:val="2"/>
                <w:sz w:val="24"/>
                <w:szCs w:val="24"/>
                <w:bdr w:val="none" w:color="auto" w:sz="0" w:space="0"/>
                <w:lang w:val="en-US" w:eastAsia="zh-CN" w:bidi="ar"/>
              </w:rPr>
              <w:t>。</w:t>
            </w:r>
          </w:p>
          <w:p w14:paraId="622D16A6">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w:t>
            </w:r>
            <w:r>
              <w:rPr>
                <w:rFonts w:hint="default" w:ascii="Times New Roman" w:hAnsi="宋体" w:eastAsia="宋体" w:cs="Times New Roman"/>
                <w:color w:val="000000"/>
                <w:kern w:val="2"/>
                <w:sz w:val="24"/>
                <w:szCs w:val="24"/>
                <w:bdr w:val="none" w:color="auto" w:sz="0" w:space="0"/>
                <w:lang w:val="en-US" w:eastAsia="zh-CN" w:bidi="ar"/>
              </w:rPr>
              <w:t>3</w:t>
            </w:r>
            <w:r>
              <w:rPr>
                <w:rFonts w:hint="eastAsia" w:ascii="Times New Roman" w:hAnsi="宋体" w:eastAsia="宋体" w:cs="宋体"/>
                <w:color w:val="000000"/>
                <w:kern w:val="2"/>
                <w:sz w:val="24"/>
                <w:szCs w:val="24"/>
                <w:bdr w:val="none" w:color="auto" w:sz="0" w:space="0"/>
                <w:lang w:val="en-US" w:eastAsia="zh-CN" w:bidi="ar"/>
              </w:rPr>
              <w:t>）检验：人工对皮革装饰条进行检验，对外观有瑕疵的部分剪切，该过程会产生不合格产品</w:t>
            </w:r>
            <w:r>
              <w:rPr>
                <w:rFonts w:hint="default" w:ascii="Times New Roman" w:hAnsi="宋体" w:eastAsia="宋体" w:cs="Times New Roman"/>
                <w:color w:val="000000"/>
                <w:kern w:val="2"/>
                <w:sz w:val="24"/>
                <w:szCs w:val="24"/>
                <w:bdr w:val="none" w:color="auto" w:sz="0" w:space="0"/>
                <w:lang w:val="en-US" w:eastAsia="zh-CN" w:bidi="ar"/>
              </w:rPr>
              <w:t>S2</w:t>
            </w:r>
            <w:r>
              <w:rPr>
                <w:rFonts w:hint="eastAsia" w:ascii="Times New Roman" w:hAnsi="宋体" w:eastAsia="宋体" w:cs="宋体"/>
                <w:color w:val="000000"/>
                <w:kern w:val="2"/>
                <w:sz w:val="24"/>
                <w:szCs w:val="24"/>
                <w:bdr w:val="none" w:color="auto" w:sz="0" w:space="0"/>
                <w:lang w:val="en-US" w:eastAsia="zh-CN" w:bidi="ar"/>
              </w:rPr>
              <w:t>。</w:t>
            </w:r>
          </w:p>
          <w:p w14:paraId="040FE43B">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w:t>
            </w:r>
            <w:r>
              <w:rPr>
                <w:rFonts w:hint="default" w:ascii="Times New Roman" w:hAnsi="宋体" w:eastAsia="宋体" w:cs="Times New Roman"/>
                <w:color w:val="000000"/>
                <w:kern w:val="2"/>
                <w:sz w:val="24"/>
                <w:szCs w:val="24"/>
                <w:bdr w:val="none" w:color="auto" w:sz="0" w:space="0"/>
                <w:lang w:val="en-US" w:eastAsia="zh-CN" w:bidi="ar"/>
              </w:rPr>
              <w:t>4</w:t>
            </w:r>
            <w:r>
              <w:rPr>
                <w:rFonts w:hint="eastAsia" w:ascii="Times New Roman" w:hAnsi="宋体" w:eastAsia="宋体" w:cs="宋体"/>
                <w:color w:val="000000"/>
                <w:kern w:val="2"/>
                <w:sz w:val="24"/>
                <w:szCs w:val="24"/>
                <w:bdr w:val="none" w:color="auto" w:sz="0" w:space="0"/>
                <w:lang w:val="en-US" w:eastAsia="zh-CN" w:bidi="ar"/>
              </w:rPr>
              <w:t>）收卷：经检验合格的皮革装饰条在收卷机上收卷成卷。</w:t>
            </w:r>
          </w:p>
          <w:p w14:paraId="3FD6C546">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w:t>
            </w:r>
            <w:r>
              <w:rPr>
                <w:rFonts w:hint="default" w:ascii="Times New Roman" w:hAnsi="宋体" w:eastAsia="宋体" w:cs="Times New Roman"/>
                <w:color w:val="000000"/>
                <w:kern w:val="2"/>
                <w:sz w:val="24"/>
                <w:szCs w:val="24"/>
                <w:bdr w:val="none" w:color="auto" w:sz="0" w:space="0"/>
                <w:lang w:val="en-US" w:eastAsia="zh-CN" w:bidi="ar"/>
              </w:rPr>
              <w:t>5</w:t>
            </w:r>
            <w:r>
              <w:rPr>
                <w:rFonts w:hint="eastAsia" w:ascii="Times New Roman" w:hAnsi="宋体" w:eastAsia="宋体" w:cs="宋体"/>
                <w:color w:val="000000"/>
                <w:kern w:val="2"/>
                <w:sz w:val="24"/>
                <w:szCs w:val="24"/>
                <w:bdr w:val="none" w:color="auto" w:sz="0" w:space="0"/>
                <w:lang w:val="en-US" w:eastAsia="zh-CN" w:bidi="ar"/>
              </w:rPr>
              <w:t>）包装：产品经塑料薄膜、纸箱包装后入库。</w:t>
            </w:r>
          </w:p>
          <w:p w14:paraId="46EAC4A4">
            <w:pPr>
              <w:keepNext w:val="0"/>
              <w:keepLines w:val="0"/>
              <w:widowControl/>
              <w:suppressLineNumbers w:val="0"/>
              <w:spacing w:before="0" w:beforeAutospacing="0" w:after="0" w:afterAutospacing="0" w:line="440" w:lineRule="exact"/>
              <w:ind w:left="0" w:right="0" w:firstLine="482" w:firstLineChars="200"/>
              <w:jc w:val="both"/>
              <w:rPr>
                <w:rFonts w:hint="default" w:ascii="Times New Roman" w:hAnsi="宋体" w:cs="Times New Roman"/>
                <w:b/>
                <w:bCs w:val="0"/>
                <w:color w:val="000000"/>
                <w:sz w:val="24"/>
                <w:szCs w:val="24"/>
                <w:bdr w:val="none" w:color="auto" w:sz="0" w:space="0"/>
                <w:lang w:val="en-US"/>
              </w:rPr>
            </w:pPr>
            <w:r>
              <w:rPr>
                <w:rFonts w:hint="default" w:ascii="Times New Roman" w:hAnsi="宋体" w:eastAsia="宋体" w:cs="Times New Roman"/>
                <w:b/>
                <w:bCs w:val="0"/>
                <w:color w:val="000000"/>
                <w:kern w:val="2"/>
                <w:sz w:val="24"/>
                <w:szCs w:val="24"/>
                <w:bdr w:val="none" w:color="auto" w:sz="0" w:space="0"/>
                <w:lang w:val="en-US" w:eastAsia="zh-CN" w:bidi="ar"/>
              </w:rPr>
              <w:t>2</w:t>
            </w:r>
            <w:r>
              <w:rPr>
                <w:rFonts w:hint="eastAsia" w:ascii="Times New Roman" w:hAnsi="宋体" w:eastAsia="宋体" w:cs="宋体"/>
                <w:b/>
                <w:bCs w:val="0"/>
                <w:color w:val="000000"/>
                <w:kern w:val="2"/>
                <w:sz w:val="24"/>
                <w:szCs w:val="24"/>
                <w:bdr w:val="none" w:color="auto" w:sz="0" w:space="0"/>
                <w:lang w:val="en-US" w:eastAsia="zh-CN" w:bidi="ar"/>
              </w:rPr>
              <w:t>、泡棉制品工艺流程及产污环节</w:t>
            </w:r>
          </w:p>
          <w:p w14:paraId="289F4700">
            <w:pPr>
              <w:keepNext w:val="0"/>
              <w:keepLines w:val="0"/>
              <w:widowControl/>
              <w:suppressLineNumbers w:val="0"/>
              <w:spacing w:before="0" w:beforeAutospacing="0" w:after="0" w:afterAutospacing="0" w:line="440" w:lineRule="exact"/>
              <w:ind w:left="0" w:right="0" w:firstLine="482" w:firstLineChars="200"/>
              <w:jc w:val="both"/>
              <w:rPr>
                <w:rFonts w:hint="default" w:ascii="Times New Roman" w:hAnsi="宋体" w:cs="Times New Roman"/>
                <w:b/>
                <w:bCs w:val="0"/>
                <w:color w:val="000000"/>
                <w:sz w:val="24"/>
                <w:szCs w:val="24"/>
                <w:bdr w:val="none" w:color="auto" w:sz="0" w:space="0"/>
                <w:lang w:val="en-US"/>
              </w:rPr>
            </w:pPr>
            <w:r>
              <w:rPr>
                <w:rFonts w:hint="eastAsia" w:ascii="Times New Roman" w:hAnsi="宋体" w:eastAsia="宋体" w:cs="宋体"/>
                <w:b/>
                <w:bCs w:val="0"/>
                <w:color w:val="000000"/>
                <w:kern w:val="2"/>
                <w:sz w:val="24"/>
                <w:szCs w:val="24"/>
                <w:bdr w:val="none" w:color="auto" w:sz="0" w:space="0"/>
                <w:lang w:val="en-US" w:eastAsia="zh-CN" w:bidi="ar"/>
              </w:rPr>
              <w:t>（</w:t>
            </w:r>
            <w:r>
              <w:rPr>
                <w:rFonts w:hint="default" w:ascii="Times New Roman" w:hAnsi="宋体" w:eastAsia="宋体" w:cs="Times New Roman"/>
                <w:b/>
                <w:bCs w:val="0"/>
                <w:color w:val="000000"/>
                <w:kern w:val="2"/>
                <w:sz w:val="24"/>
                <w:szCs w:val="24"/>
                <w:bdr w:val="none" w:color="auto" w:sz="0" w:space="0"/>
                <w:lang w:val="en-US" w:eastAsia="zh-CN" w:bidi="ar"/>
              </w:rPr>
              <w:t>1</w:t>
            </w:r>
            <w:r>
              <w:rPr>
                <w:rFonts w:hint="eastAsia" w:ascii="Times New Roman" w:hAnsi="宋体" w:eastAsia="宋体" w:cs="宋体"/>
                <w:b/>
                <w:bCs w:val="0"/>
                <w:color w:val="000000"/>
                <w:kern w:val="2"/>
                <w:sz w:val="24"/>
                <w:szCs w:val="24"/>
                <w:bdr w:val="none" w:color="auto" w:sz="0" w:space="0"/>
                <w:lang w:val="en-US" w:eastAsia="zh-CN" w:bidi="ar"/>
              </w:rPr>
              <w:t>）硅胶泡棉制品生产工艺流程</w:t>
            </w:r>
          </w:p>
          <w:p w14:paraId="2F31F4AA">
            <w:pPr>
              <w:keepNext w:val="0"/>
              <w:keepLines w:val="0"/>
              <w:widowControl w:val="0"/>
              <w:suppressLineNumbers w:val="0"/>
              <w:autoSpaceDE w:val="0"/>
              <w:autoSpaceDN w:val="0"/>
              <w:spacing w:before="0" w:beforeAutospacing="0" w:after="0" w:afterAutospacing="0"/>
              <w:ind w:left="0" w:right="0" w:firstLine="420" w:firstLineChars="200"/>
              <w:jc w:val="both"/>
              <w:rPr>
                <w:b/>
                <w:bCs w:val="0"/>
                <w:color w:val="000000"/>
                <w:bdr w:val="none" w:color="auto" w:sz="0" w:space="0"/>
                <w:lang w:val="en-US"/>
              </w:rPr>
            </w:pPr>
            <w:r>
              <w:rPr>
                <w:rFonts w:hint="default" w:ascii="Calibri" w:hAnsi="Calibri" w:eastAsia="宋体" w:cs="Times New Roman"/>
                <w:kern w:val="2"/>
                <w:sz w:val="21"/>
                <w:szCs w:val="24"/>
                <w:bdr w:val="none" w:color="auto" w:sz="0" w:space="0"/>
                <w:lang w:val="en-US" w:eastAsia="zh-CN" w:bidi="ar"/>
              </w:rPr>
              <w:pict>
                <v:shape id="Object 1539" o:spid="_x0000_s1047" o:spt="75" type="#_x0000_t75" style="position:absolute;left:0pt;margin-left:5.05pt;margin-top:-0.95pt;height:129.8pt;width:420.25pt;z-index:251670528;mso-width-relative:page;mso-height-relative:page;" o:ole="t" filled="f" o:preferrelative="t" stroked="f" coordsize="21600,21600">
                  <v:path/>
                  <v:fill on="f" focussize="0,0"/>
                  <v:stroke on="f" joinstyle="miter"/>
                  <v:imagedata r:id="rId10" o:title=""/>
                  <o:lock v:ext="edit" aspectratio="f"/>
                </v:shape>
                <o:OLEObject Type="Embed" ProgID="Visio.Drawing.11" ShapeID="Object 1539" DrawAspect="Content" ObjectID="_1468075726" r:id="rId9">
                  <o:LockedField>false</o:LockedField>
                </o:OLEObject>
              </w:pict>
            </w:r>
          </w:p>
          <w:p w14:paraId="3F74C7EA">
            <w:pPr>
              <w:keepNext w:val="0"/>
              <w:keepLines w:val="0"/>
              <w:widowControl w:val="0"/>
              <w:suppressLineNumbers w:val="0"/>
              <w:spacing w:before="0" w:beforeAutospacing="0" w:after="0" w:afterAutospacing="0"/>
              <w:ind w:left="0" w:right="0"/>
              <w:jc w:val="both"/>
              <w:rPr>
                <w:color w:val="000000"/>
                <w:bdr w:val="none" w:color="auto" w:sz="0" w:space="0"/>
                <w:lang w:val="en-US"/>
              </w:rPr>
            </w:pPr>
          </w:p>
          <w:p w14:paraId="4EE6D75E">
            <w:pPr>
              <w:keepNext w:val="0"/>
              <w:keepLines w:val="0"/>
              <w:widowControl w:val="0"/>
              <w:suppressLineNumbers w:val="0"/>
              <w:spacing w:before="0" w:beforeAutospacing="0" w:after="0" w:afterAutospacing="0"/>
              <w:ind w:left="0" w:right="0"/>
              <w:jc w:val="both"/>
              <w:rPr>
                <w:color w:val="000000"/>
                <w:bdr w:val="none" w:color="auto" w:sz="0" w:space="0"/>
                <w:lang w:val="en-US"/>
              </w:rPr>
            </w:pPr>
          </w:p>
          <w:p w14:paraId="73C4F06B">
            <w:pPr>
              <w:keepNext w:val="0"/>
              <w:keepLines w:val="0"/>
              <w:widowControl w:val="0"/>
              <w:suppressLineNumbers w:val="0"/>
              <w:spacing w:before="0" w:beforeAutospacing="0" w:after="0" w:afterAutospacing="0"/>
              <w:ind w:left="0" w:right="0"/>
              <w:jc w:val="both"/>
              <w:rPr>
                <w:color w:val="000000"/>
                <w:bdr w:val="none" w:color="auto" w:sz="0" w:space="0"/>
                <w:lang w:val="en-US"/>
              </w:rPr>
            </w:pPr>
          </w:p>
          <w:p w14:paraId="078B31A0">
            <w:pPr>
              <w:keepNext w:val="0"/>
              <w:keepLines w:val="0"/>
              <w:widowControl w:val="0"/>
              <w:suppressLineNumbers w:val="0"/>
              <w:spacing w:before="0" w:beforeAutospacing="0" w:after="0" w:afterAutospacing="0"/>
              <w:ind w:left="0" w:right="0"/>
              <w:jc w:val="both"/>
              <w:rPr>
                <w:color w:val="000000"/>
                <w:bdr w:val="none" w:color="auto" w:sz="0" w:space="0"/>
                <w:lang w:val="en-US"/>
              </w:rPr>
            </w:pPr>
          </w:p>
          <w:p w14:paraId="743B45D5">
            <w:pPr>
              <w:keepNext w:val="0"/>
              <w:keepLines w:val="0"/>
              <w:widowControl w:val="0"/>
              <w:suppressLineNumbers w:val="0"/>
              <w:spacing w:before="0" w:beforeAutospacing="0" w:after="0" w:afterAutospacing="0" w:line="460" w:lineRule="exact"/>
              <w:ind w:left="0" w:right="0"/>
              <w:jc w:val="center"/>
              <w:rPr>
                <w:color w:val="000000"/>
                <w:bdr w:val="none" w:color="auto" w:sz="0" w:space="0"/>
                <w:lang w:val="en-US"/>
              </w:rPr>
            </w:pPr>
            <w:r>
              <w:rPr>
                <w:rFonts w:hint="default" w:ascii="Calibri" w:hAnsi="Calibri" w:eastAsia="宋体" w:cs="Times New Roman"/>
                <w:color w:val="000000"/>
                <w:kern w:val="2"/>
                <w:sz w:val="21"/>
                <w:szCs w:val="24"/>
                <w:bdr w:val="none" w:color="auto" w:sz="0" w:space="0"/>
                <w:lang w:val="en-US" w:eastAsia="zh-CN" w:bidi="ar"/>
              </w:rPr>
              <w:tab/>
            </w:r>
          </w:p>
          <w:p w14:paraId="7D8A0703">
            <w:pPr>
              <w:keepNext w:val="0"/>
              <w:keepLines w:val="0"/>
              <w:widowControl w:val="0"/>
              <w:suppressLineNumbers w:val="0"/>
              <w:spacing w:before="0" w:beforeAutospacing="0" w:after="0" w:afterAutospacing="0" w:line="460" w:lineRule="exact"/>
              <w:ind w:left="0" w:right="0"/>
              <w:jc w:val="center"/>
              <w:rPr>
                <w:color w:val="000000"/>
                <w:bdr w:val="none" w:color="auto" w:sz="0" w:space="0"/>
                <w:lang w:val="en-US"/>
              </w:rPr>
            </w:pPr>
          </w:p>
          <w:p w14:paraId="053B7845">
            <w:pPr>
              <w:keepNext w:val="0"/>
              <w:keepLines w:val="0"/>
              <w:widowControl w:val="0"/>
              <w:suppressLineNumbers w:val="0"/>
              <w:spacing w:before="0" w:beforeAutospacing="0" w:after="0" w:afterAutospacing="0" w:line="460" w:lineRule="exact"/>
              <w:ind w:left="0" w:right="0"/>
              <w:jc w:val="center"/>
              <w:rPr>
                <w:rFonts w:hint="default" w:ascii="Times New Roman" w:hAnsi="Times New Roman" w:cs="Times New Roman"/>
                <w:b/>
                <w:bCs w:val="0"/>
                <w:color w:val="000000"/>
                <w:sz w:val="24"/>
                <w:szCs w:val="24"/>
                <w:u w:val="single"/>
                <w:bdr w:val="none" w:color="auto" w:sz="0" w:space="0"/>
                <w:lang w:val="en-US"/>
              </w:rPr>
            </w:pPr>
            <w:r>
              <w:rPr>
                <w:rFonts w:hint="eastAsia" w:ascii="Times New Roman" w:hAnsi="Times New Roman" w:eastAsia="宋体" w:cs="宋体"/>
                <w:b/>
                <w:bCs w:val="0"/>
                <w:color w:val="000000"/>
                <w:kern w:val="2"/>
                <w:sz w:val="24"/>
                <w:szCs w:val="24"/>
                <w:u w:val="single"/>
                <w:bdr w:val="none" w:color="auto" w:sz="0" w:space="0"/>
                <w:lang w:val="en-US" w:eastAsia="zh-CN" w:bidi="ar"/>
              </w:rPr>
              <w:t>图</w:t>
            </w:r>
            <w:r>
              <w:rPr>
                <w:rFonts w:hint="default" w:ascii="Times New Roman" w:hAnsi="Times New Roman" w:eastAsia="宋体" w:cs="Times New Roman"/>
                <w:b/>
                <w:bCs w:val="0"/>
                <w:color w:val="000000"/>
                <w:kern w:val="2"/>
                <w:sz w:val="24"/>
                <w:szCs w:val="24"/>
                <w:u w:val="single"/>
                <w:bdr w:val="none" w:color="auto" w:sz="0" w:space="0"/>
                <w:lang w:val="en-US" w:eastAsia="zh-CN" w:bidi="ar"/>
              </w:rPr>
              <w:t xml:space="preserve">2.4 </w:t>
            </w:r>
            <w:r>
              <w:rPr>
                <w:rFonts w:hint="eastAsia" w:ascii="Times New Roman" w:hAnsi="Times New Roman" w:eastAsia="宋体" w:cs="宋体"/>
                <w:b/>
                <w:bCs w:val="0"/>
                <w:color w:val="000000"/>
                <w:kern w:val="2"/>
                <w:sz w:val="24"/>
                <w:szCs w:val="24"/>
                <w:u w:val="single"/>
                <w:bdr w:val="none" w:color="auto" w:sz="0" w:space="0"/>
                <w:lang w:val="en-US" w:eastAsia="zh-CN" w:bidi="ar"/>
              </w:rPr>
              <w:t>硅胶泡棉制品生产工艺流程及产排污环节图</w:t>
            </w:r>
          </w:p>
          <w:p w14:paraId="73BB85E8">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工艺流程简述：</w:t>
            </w:r>
          </w:p>
          <w:p w14:paraId="6661D801">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w:t>
            </w:r>
            <w:r>
              <w:rPr>
                <w:rFonts w:hint="default" w:ascii="Times New Roman" w:hAnsi="宋体" w:eastAsia="宋体" w:cs="Times New Roman"/>
                <w:color w:val="000000"/>
                <w:kern w:val="2"/>
                <w:sz w:val="24"/>
                <w:szCs w:val="24"/>
                <w:bdr w:val="none" w:color="auto" w:sz="0" w:space="0"/>
                <w:lang w:val="en-US" w:eastAsia="zh-CN" w:bidi="ar"/>
              </w:rPr>
              <w:t>1</w:t>
            </w:r>
            <w:r>
              <w:rPr>
                <w:rFonts w:hint="eastAsia" w:ascii="Times New Roman" w:hAnsi="宋体" w:eastAsia="宋体" w:cs="宋体"/>
                <w:color w:val="000000"/>
                <w:kern w:val="2"/>
                <w:sz w:val="24"/>
                <w:szCs w:val="24"/>
                <w:bdr w:val="none" w:color="auto" w:sz="0" w:space="0"/>
                <w:lang w:val="en-US" w:eastAsia="zh-CN" w:bidi="ar"/>
              </w:rPr>
              <w:t>）涂胶：背胶处理剂能有效提高硅胶材料的表面活性，提高硅胶与双面胶的粘接性。项目用涂胶分切机在硅胶泡棉上涂一层背胶处理剂（</w:t>
            </w:r>
            <w:r>
              <w:rPr>
                <w:rFonts w:hint="default" w:ascii="Times New Roman" w:hAnsi="宋体" w:eastAsia="宋体" w:cs="Times New Roman"/>
                <w:color w:val="000000"/>
                <w:kern w:val="2"/>
                <w:sz w:val="24"/>
                <w:szCs w:val="24"/>
                <w:bdr w:val="none" w:color="auto" w:sz="0" w:space="0"/>
                <w:lang w:val="en-US" w:eastAsia="zh-CN" w:bidi="ar"/>
              </w:rPr>
              <w:t>TJ-60</w:t>
            </w:r>
            <w:r>
              <w:rPr>
                <w:rFonts w:hint="eastAsia" w:ascii="Times New Roman" w:hAnsi="宋体" w:eastAsia="宋体" w:cs="宋体"/>
                <w:color w:val="000000"/>
                <w:kern w:val="2"/>
                <w:sz w:val="24"/>
                <w:szCs w:val="24"/>
                <w:bdr w:val="none" w:color="auto" w:sz="0" w:space="0"/>
                <w:lang w:val="en-US" w:eastAsia="zh-CN" w:bidi="ar"/>
              </w:rPr>
              <w:t>），该过程会产生有机废气</w:t>
            </w:r>
            <w:r>
              <w:rPr>
                <w:rFonts w:hint="default" w:ascii="Times New Roman" w:hAnsi="宋体" w:eastAsia="宋体" w:cs="Times New Roman"/>
                <w:color w:val="000000"/>
                <w:kern w:val="2"/>
                <w:sz w:val="24"/>
                <w:szCs w:val="24"/>
                <w:bdr w:val="none" w:color="auto" w:sz="0" w:space="0"/>
                <w:lang w:val="en-US" w:eastAsia="zh-CN" w:bidi="ar"/>
              </w:rPr>
              <w:t>G2</w:t>
            </w:r>
            <w:r>
              <w:rPr>
                <w:rFonts w:hint="eastAsia" w:ascii="Times New Roman" w:hAnsi="宋体" w:eastAsia="宋体" w:cs="宋体"/>
                <w:color w:val="000000"/>
                <w:kern w:val="2"/>
                <w:sz w:val="24"/>
                <w:szCs w:val="24"/>
                <w:bdr w:val="none" w:color="auto" w:sz="0" w:space="0"/>
                <w:lang w:val="en-US" w:eastAsia="zh-CN" w:bidi="ar"/>
              </w:rPr>
              <w:t>、背胶处理剂空瓶</w:t>
            </w:r>
            <w:r>
              <w:rPr>
                <w:rFonts w:hint="default" w:ascii="Times New Roman" w:hAnsi="宋体" w:eastAsia="宋体" w:cs="Times New Roman"/>
                <w:color w:val="000000"/>
                <w:kern w:val="2"/>
                <w:sz w:val="24"/>
                <w:szCs w:val="24"/>
                <w:bdr w:val="none" w:color="auto" w:sz="0" w:space="0"/>
                <w:lang w:val="en-US" w:eastAsia="zh-CN" w:bidi="ar"/>
              </w:rPr>
              <w:t>S3</w:t>
            </w:r>
            <w:r>
              <w:rPr>
                <w:rFonts w:hint="eastAsia" w:ascii="Times New Roman" w:hAnsi="宋体" w:eastAsia="宋体" w:cs="宋体"/>
                <w:color w:val="000000"/>
                <w:kern w:val="2"/>
                <w:sz w:val="24"/>
                <w:szCs w:val="24"/>
                <w:bdr w:val="none" w:color="auto" w:sz="0" w:space="0"/>
                <w:lang w:val="en-US" w:eastAsia="zh-CN" w:bidi="ar"/>
              </w:rPr>
              <w:t>。</w:t>
            </w:r>
          </w:p>
          <w:p w14:paraId="019424C0">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w:t>
            </w:r>
            <w:r>
              <w:rPr>
                <w:rFonts w:hint="default" w:ascii="Times New Roman" w:hAnsi="宋体" w:eastAsia="宋体" w:cs="Times New Roman"/>
                <w:color w:val="000000"/>
                <w:kern w:val="2"/>
                <w:sz w:val="24"/>
                <w:szCs w:val="24"/>
                <w:bdr w:val="none" w:color="auto" w:sz="0" w:space="0"/>
                <w:lang w:val="en-US" w:eastAsia="zh-CN" w:bidi="ar"/>
              </w:rPr>
              <w:t>2</w:t>
            </w:r>
            <w:r>
              <w:rPr>
                <w:rFonts w:hint="eastAsia" w:ascii="Times New Roman" w:hAnsi="宋体" w:eastAsia="宋体" w:cs="宋体"/>
                <w:color w:val="000000"/>
                <w:kern w:val="2"/>
                <w:sz w:val="24"/>
                <w:szCs w:val="24"/>
                <w:bdr w:val="none" w:color="auto" w:sz="0" w:space="0"/>
                <w:lang w:val="en-US" w:eastAsia="zh-CN" w:bidi="ar"/>
              </w:rPr>
              <w:t>）贴合：涂上背胶处理剂的硅胶泡棉和成品双面胶带在硅胶贴合机上进行压合（常温），此过程会产生双面胶带的废离型纸</w:t>
            </w:r>
            <w:r>
              <w:rPr>
                <w:rFonts w:hint="default" w:ascii="Times New Roman" w:hAnsi="宋体" w:eastAsia="宋体" w:cs="Times New Roman"/>
                <w:color w:val="000000"/>
                <w:kern w:val="2"/>
                <w:sz w:val="24"/>
                <w:szCs w:val="24"/>
                <w:bdr w:val="none" w:color="auto" w:sz="0" w:space="0"/>
                <w:lang w:val="en-US" w:eastAsia="zh-CN" w:bidi="ar"/>
              </w:rPr>
              <w:t>S4</w:t>
            </w:r>
            <w:r>
              <w:rPr>
                <w:rFonts w:hint="eastAsia" w:ascii="Times New Roman" w:hAnsi="宋体" w:eastAsia="宋体" w:cs="宋体"/>
                <w:color w:val="000000"/>
                <w:kern w:val="2"/>
                <w:sz w:val="24"/>
                <w:szCs w:val="24"/>
                <w:bdr w:val="none" w:color="auto" w:sz="0" w:space="0"/>
                <w:lang w:val="en-US" w:eastAsia="zh-CN" w:bidi="ar"/>
              </w:rPr>
              <w:t>。</w:t>
            </w:r>
          </w:p>
          <w:p w14:paraId="6405B724">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w:t>
            </w:r>
            <w:r>
              <w:rPr>
                <w:rFonts w:hint="default" w:ascii="Times New Roman" w:hAnsi="宋体" w:eastAsia="宋体" w:cs="Times New Roman"/>
                <w:color w:val="000000"/>
                <w:kern w:val="2"/>
                <w:sz w:val="24"/>
                <w:szCs w:val="24"/>
                <w:bdr w:val="none" w:color="auto" w:sz="0" w:space="0"/>
                <w:lang w:val="en-US" w:eastAsia="zh-CN" w:bidi="ar"/>
              </w:rPr>
              <w:t>3</w:t>
            </w:r>
            <w:r>
              <w:rPr>
                <w:rFonts w:hint="eastAsia" w:ascii="Times New Roman" w:hAnsi="宋体" w:eastAsia="宋体" w:cs="宋体"/>
                <w:color w:val="000000"/>
                <w:kern w:val="2"/>
                <w:sz w:val="24"/>
                <w:szCs w:val="24"/>
                <w:bdr w:val="none" w:color="auto" w:sz="0" w:space="0"/>
                <w:lang w:val="en-US" w:eastAsia="zh-CN" w:bidi="ar"/>
              </w:rPr>
              <w:t>）模切：根据客户需求采用模切机将压合后的硅胶泡棉制品模切成所需要的规格，此过程会产生硅胶泡棉边角料</w:t>
            </w:r>
            <w:r>
              <w:rPr>
                <w:rFonts w:hint="default" w:ascii="Times New Roman" w:hAnsi="宋体" w:eastAsia="宋体" w:cs="Times New Roman"/>
                <w:color w:val="000000"/>
                <w:kern w:val="2"/>
                <w:sz w:val="24"/>
                <w:szCs w:val="24"/>
                <w:bdr w:val="none" w:color="auto" w:sz="0" w:space="0"/>
                <w:lang w:val="en-US" w:eastAsia="zh-CN" w:bidi="ar"/>
              </w:rPr>
              <w:t>S5</w:t>
            </w:r>
            <w:r>
              <w:rPr>
                <w:rFonts w:hint="eastAsia" w:ascii="Times New Roman" w:hAnsi="宋体" w:eastAsia="宋体" w:cs="宋体"/>
                <w:color w:val="000000"/>
                <w:kern w:val="2"/>
                <w:sz w:val="24"/>
                <w:szCs w:val="24"/>
                <w:bdr w:val="none" w:color="auto" w:sz="0" w:space="0"/>
                <w:lang w:val="en-US" w:eastAsia="zh-CN" w:bidi="ar"/>
              </w:rPr>
              <w:t>。</w:t>
            </w:r>
          </w:p>
          <w:p w14:paraId="403AAE8F">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w:t>
            </w:r>
            <w:r>
              <w:rPr>
                <w:rFonts w:hint="default" w:ascii="Times New Roman" w:hAnsi="宋体" w:eastAsia="宋体" w:cs="Times New Roman"/>
                <w:color w:val="000000"/>
                <w:kern w:val="2"/>
                <w:sz w:val="24"/>
                <w:szCs w:val="24"/>
                <w:bdr w:val="none" w:color="auto" w:sz="0" w:space="0"/>
                <w:lang w:val="en-US" w:eastAsia="zh-CN" w:bidi="ar"/>
              </w:rPr>
              <w:t>4</w:t>
            </w:r>
            <w:r>
              <w:rPr>
                <w:rFonts w:hint="eastAsia" w:ascii="Times New Roman" w:hAnsi="宋体" w:eastAsia="宋体" w:cs="宋体"/>
                <w:color w:val="000000"/>
                <w:kern w:val="2"/>
                <w:sz w:val="24"/>
                <w:szCs w:val="24"/>
                <w:bdr w:val="none" w:color="auto" w:sz="0" w:space="0"/>
                <w:lang w:val="en-US" w:eastAsia="zh-CN" w:bidi="ar"/>
              </w:rPr>
              <w:t>）检验：对模切后的硅胶泡棉进行外观检查，将外观有破损的硅胶泡棉成品作为不合格产品，厂区暂存后外售处理。检验过程会产生不合格硅胶泡棉产品</w:t>
            </w:r>
            <w:r>
              <w:rPr>
                <w:rFonts w:hint="default" w:ascii="Times New Roman" w:hAnsi="宋体" w:eastAsia="宋体" w:cs="Times New Roman"/>
                <w:color w:val="000000"/>
                <w:kern w:val="2"/>
                <w:sz w:val="24"/>
                <w:szCs w:val="24"/>
                <w:bdr w:val="none" w:color="auto" w:sz="0" w:space="0"/>
                <w:lang w:val="en-US" w:eastAsia="zh-CN" w:bidi="ar"/>
              </w:rPr>
              <w:t>S6</w:t>
            </w:r>
            <w:r>
              <w:rPr>
                <w:rFonts w:hint="eastAsia" w:ascii="Times New Roman" w:hAnsi="宋体" w:eastAsia="宋体" w:cs="宋体"/>
                <w:color w:val="000000"/>
                <w:kern w:val="2"/>
                <w:sz w:val="24"/>
                <w:szCs w:val="24"/>
                <w:bdr w:val="none" w:color="auto" w:sz="0" w:space="0"/>
                <w:lang w:val="en-US" w:eastAsia="zh-CN" w:bidi="ar"/>
              </w:rPr>
              <w:t>。</w:t>
            </w:r>
          </w:p>
          <w:p w14:paraId="2DF6CD1C">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w:t>
            </w:r>
            <w:r>
              <w:rPr>
                <w:rFonts w:hint="default" w:ascii="Times New Roman" w:hAnsi="宋体" w:eastAsia="宋体" w:cs="Times New Roman"/>
                <w:color w:val="000000"/>
                <w:kern w:val="2"/>
                <w:sz w:val="24"/>
                <w:szCs w:val="24"/>
                <w:bdr w:val="none" w:color="auto" w:sz="0" w:space="0"/>
                <w:lang w:val="en-US" w:eastAsia="zh-CN" w:bidi="ar"/>
              </w:rPr>
              <w:t>5</w:t>
            </w:r>
            <w:r>
              <w:rPr>
                <w:rFonts w:hint="eastAsia" w:ascii="Times New Roman" w:hAnsi="宋体" w:eastAsia="宋体" w:cs="宋体"/>
                <w:color w:val="000000"/>
                <w:kern w:val="2"/>
                <w:sz w:val="24"/>
                <w:szCs w:val="24"/>
                <w:bdr w:val="none" w:color="auto" w:sz="0" w:space="0"/>
                <w:lang w:val="en-US" w:eastAsia="zh-CN" w:bidi="ar"/>
              </w:rPr>
              <w:t>）电热熔粘接：根据产品及客户需求，部分模切后的硅胶泡棉条需要粘接在一起作为新能源汽车电池仓的密封圈。扩建项目采用电热熔粘接机，将液体硅橡胶涂抹在硅胶条接头处，采用电加热的方式，将硅胶泡棉条粘接在一起，粘接温度约为</w:t>
            </w:r>
            <w:r>
              <w:rPr>
                <w:rFonts w:hint="default" w:ascii="Times New Roman" w:hAnsi="宋体" w:eastAsia="宋体" w:cs="Times New Roman"/>
                <w:color w:val="000000"/>
                <w:kern w:val="2"/>
                <w:sz w:val="24"/>
                <w:szCs w:val="24"/>
                <w:bdr w:val="none" w:color="auto" w:sz="0" w:space="0"/>
                <w:lang w:val="en-US" w:eastAsia="zh-CN" w:bidi="ar"/>
              </w:rPr>
              <w:t>130</w:t>
            </w:r>
            <w:r>
              <w:rPr>
                <w:rFonts w:hint="eastAsia" w:ascii="Times New Roman" w:hAnsi="宋体" w:eastAsia="宋体" w:cs="宋体"/>
                <w:color w:val="000000"/>
                <w:kern w:val="2"/>
                <w:sz w:val="24"/>
                <w:szCs w:val="24"/>
                <w:bdr w:val="none" w:color="auto" w:sz="0" w:space="0"/>
                <w:lang w:val="en-US" w:eastAsia="zh-CN" w:bidi="ar"/>
              </w:rPr>
              <w:t>℃</w:t>
            </w:r>
            <w:r>
              <w:rPr>
                <w:rFonts w:hint="default" w:ascii="Times New Roman" w:hAnsi="宋体" w:eastAsia="宋体" w:cs="Times New Roman"/>
                <w:color w:val="000000"/>
                <w:kern w:val="2"/>
                <w:sz w:val="24"/>
                <w:szCs w:val="24"/>
                <w:bdr w:val="none" w:color="auto" w:sz="0" w:space="0"/>
                <w:lang w:val="en-US" w:eastAsia="zh-CN" w:bidi="ar"/>
              </w:rPr>
              <w:t>~170</w:t>
            </w:r>
            <w:r>
              <w:rPr>
                <w:rFonts w:hint="eastAsia" w:ascii="Times New Roman" w:hAnsi="宋体" w:eastAsia="宋体" w:cs="宋体"/>
                <w:color w:val="000000"/>
                <w:kern w:val="2"/>
                <w:sz w:val="24"/>
                <w:szCs w:val="24"/>
                <w:bdr w:val="none" w:color="auto" w:sz="0" w:space="0"/>
                <w:lang w:val="en-US" w:eastAsia="zh-CN" w:bidi="ar"/>
              </w:rPr>
              <w:t>℃，时间约为</w:t>
            </w:r>
            <w:r>
              <w:rPr>
                <w:rFonts w:hint="default" w:ascii="Times New Roman" w:hAnsi="宋体" w:eastAsia="宋体" w:cs="Times New Roman"/>
                <w:color w:val="000000"/>
                <w:kern w:val="2"/>
                <w:sz w:val="24"/>
                <w:szCs w:val="24"/>
                <w:bdr w:val="none" w:color="auto" w:sz="0" w:space="0"/>
                <w:lang w:val="en-US" w:eastAsia="zh-CN" w:bidi="ar"/>
              </w:rPr>
              <w:t>5~8s</w:t>
            </w:r>
            <w:r>
              <w:rPr>
                <w:rFonts w:hint="eastAsia" w:ascii="Times New Roman" w:hAnsi="宋体" w:eastAsia="宋体" w:cs="宋体"/>
                <w:color w:val="000000"/>
                <w:kern w:val="2"/>
                <w:sz w:val="24"/>
                <w:szCs w:val="24"/>
                <w:bdr w:val="none" w:color="auto" w:sz="0" w:space="0"/>
                <w:lang w:val="en-US" w:eastAsia="zh-CN" w:bidi="ar"/>
              </w:rPr>
              <w:t>，而液体硅橡胶粘接剂分解温度大于</w:t>
            </w:r>
            <w:r>
              <w:rPr>
                <w:rFonts w:hint="default" w:ascii="Times New Roman" w:hAnsi="宋体" w:eastAsia="宋体" w:cs="Times New Roman"/>
                <w:color w:val="000000"/>
                <w:kern w:val="2"/>
                <w:sz w:val="24"/>
                <w:szCs w:val="24"/>
                <w:bdr w:val="none" w:color="auto" w:sz="0" w:space="0"/>
                <w:lang w:val="en-US" w:eastAsia="zh-CN" w:bidi="ar"/>
              </w:rPr>
              <w:t>250</w:t>
            </w:r>
            <w:r>
              <w:rPr>
                <w:rFonts w:hint="eastAsia" w:ascii="Times New Roman" w:hAnsi="宋体" w:eastAsia="宋体" w:cs="宋体"/>
                <w:color w:val="000000"/>
                <w:kern w:val="2"/>
                <w:sz w:val="24"/>
                <w:szCs w:val="24"/>
                <w:bdr w:val="none" w:color="auto" w:sz="0" w:space="0"/>
                <w:lang w:val="en-US" w:eastAsia="zh-CN" w:bidi="ar"/>
              </w:rPr>
              <w:t>℃。扩建项目采用安全无毒且无挥发的液体硅橡胶粘接剂，粘接过程中无分解，因此，无有机废气产生，此过程会产生液体硅橡胶空桶</w:t>
            </w:r>
            <w:r>
              <w:rPr>
                <w:rFonts w:hint="default" w:ascii="Times New Roman" w:hAnsi="宋体" w:eastAsia="宋体" w:cs="Times New Roman"/>
                <w:color w:val="000000"/>
                <w:kern w:val="2"/>
                <w:sz w:val="24"/>
                <w:szCs w:val="24"/>
                <w:bdr w:val="none" w:color="auto" w:sz="0" w:space="0"/>
                <w:lang w:val="en-US" w:eastAsia="zh-CN" w:bidi="ar"/>
              </w:rPr>
              <w:t>S5</w:t>
            </w:r>
            <w:r>
              <w:rPr>
                <w:rFonts w:hint="eastAsia" w:ascii="Times New Roman" w:hAnsi="宋体" w:eastAsia="宋体" w:cs="宋体"/>
                <w:color w:val="000000"/>
                <w:kern w:val="2"/>
                <w:sz w:val="24"/>
                <w:szCs w:val="24"/>
                <w:bdr w:val="none" w:color="auto" w:sz="0" w:space="0"/>
                <w:lang w:val="en-US" w:eastAsia="zh-CN" w:bidi="ar"/>
              </w:rPr>
              <w:t>。</w:t>
            </w:r>
          </w:p>
          <w:p w14:paraId="13395980">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w:t>
            </w:r>
            <w:r>
              <w:rPr>
                <w:rFonts w:hint="default" w:ascii="Times New Roman" w:hAnsi="宋体" w:eastAsia="宋体" w:cs="Times New Roman"/>
                <w:color w:val="000000"/>
                <w:kern w:val="2"/>
                <w:sz w:val="24"/>
                <w:szCs w:val="24"/>
                <w:bdr w:val="none" w:color="auto" w:sz="0" w:space="0"/>
                <w:lang w:val="en-US" w:eastAsia="zh-CN" w:bidi="ar"/>
              </w:rPr>
              <w:t>6</w:t>
            </w:r>
            <w:r>
              <w:rPr>
                <w:rFonts w:hint="eastAsia" w:ascii="Times New Roman" w:hAnsi="宋体" w:eastAsia="宋体" w:cs="宋体"/>
                <w:color w:val="000000"/>
                <w:kern w:val="2"/>
                <w:sz w:val="24"/>
                <w:szCs w:val="24"/>
                <w:bdr w:val="none" w:color="auto" w:sz="0" w:space="0"/>
                <w:lang w:val="en-US" w:eastAsia="zh-CN" w:bidi="ar"/>
              </w:rPr>
              <w:t>）检验：对粘接后的硅胶泡棉条进行检查，对粘接不完全或粘接不紧密的泡棉条返回电热熔粘接工序，进行重新粘接。</w:t>
            </w:r>
          </w:p>
          <w:p w14:paraId="1912B1C6">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w:t>
            </w:r>
            <w:r>
              <w:rPr>
                <w:rFonts w:hint="default" w:ascii="Times New Roman" w:hAnsi="宋体" w:eastAsia="宋体" w:cs="Times New Roman"/>
                <w:color w:val="000000"/>
                <w:kern w:val="2"/>
                <w:sz w:val="24"/>
                <w:szCs w:val="24"/>
                <w:bdr w:val="none" w:color="auto" w:sz="0" w:space="0"/>
                <w:lang w:val="en-US" w:eastAsia="zh-CN" w:bidi="ar"/>
              </w:rPr>
              <w:t>7</w:t>
            </w:r>
            <w:r>
              <w:rPr>
                <w:rFonts w:hint="eastAsia" w:ascii="Times New Roman" w:hAnsi="宋体" w:eastAsia="宋体" w:cs="宋体"/>
                <w:color w:val="000000"/>
                <w:kern w:val="2"/>
                <w:sz w:val="24"/>
                <w:szCs w:val="24"/>
                <w:bdr w:val="none" w:color="auto" w:sz="0" w:space="0"/>
                <w:lang w:val="en-US" w:eastAsia="zh-CN" w:bidi="ar"/>
              </w:rPr>
              <w:t>）包装：产品经塑料薄膜、纸箱包装后入库。</w:t>
            </w:r>
          </w:p>
          <w:p w14:paraId="2BD906E8">
            <w:pPr>
              <w:keepNext w:val="0"/>
              <w:keepLines w:val="0"/>
              <w:widowControl/>
              <w:suppressLineNumbers w:val="0"/>
              <w:spacing w:before="0" w:beforeAutospacing="0" w:after="0" w:afterAutospacing="0" w:line="440" w:lineRule="exact"/>
              <w:ind w:left="0" w:right="0" w:firstLine="482" w:firstLineChars="200"/>
              <w:jc w:val="both"/>
              <w:rPr>
                <w:rFonts w:hint="default" w:ascii="Times New Roman" w:hAnsi="宋体" w:cs="Times New Roman"/>
                <w:b/>
                <w:bCs w:val="0"/>
                <w:color w:val="000000"/>
                <w:sz w:val="24"/>
                <w:szCs w:val="24"/>
                <w:bdr w:val="none" w:color="auto" w:sz="0" w:space="0"/>
                <w:lang w:val="en-US"/>
              </w:rPr>
            </w:pPr>
            <w:r>
              <w:rPr>
                <w:rFonts w:hint="eastAsia" w:ascii="Times New Roman" w:hAnsi="宋体" w:eastAsia="宋体" w:cs="宋体"/>
                <w:b/>
                <w:bCs w:val="0"/>
                <w:color w:val="000000"/>
                <w:kern w:val="2"/>
                <w:sz w:val="24"/>
                <w:szCs w:val="24"/>
                <w:bdr w:val="none" w:color="auto" w:sz="0" w:space="0"/>
                <w:lang w:val="en-US" w:eastAsia="zh-CN" w:bidi="ar"/>
              </w:rPr>
              <w:t>（</w:t>
            </w:r>
            <w:r>
              <w:rPr>
                <w:rFonts w:hint="default" w:ascii="Times New Roman" w:hAnsi="宋体" w:eastAsia="宋体" w:cs="Times New Roman"/>
                <w:b/>
                <w:bCs w:val="0"/>
                <w:color w:val="000000"/>
                <w:kern w:val="2"/>
                <w:sz w:val="24"/>
                <w:szCs w:val="24"/>
                <w:bdr w:val="none" w:color="auto" w:sz="0" w:space="0"/>
                <w:lang w:val="en-US" w:eastAsia="zh-CN" w:bidi="ar"/>
              </w:rPr>
              <w:t>2</w:t>
            </w:r>
            <w:r>
              <w:rPr>
                <w:rFonts w:hint="eastAsia" w:ascii="Times New Roman" w:hAnsi="宋体" w:eastAsia="宋体" w:cs="宋体"/>
                <w:b/>
                <w:bCs w:val="0"/>
                <w:color w:val="000000"/>
                <w:kern w:val="2"/>
                <w:sz w:val="24"/>
                <w:szCs w:val="24"/>
                <w:bdr w:val="none" w:color="auto" w:sz="0" w:space="0"/>
                <w:lang w:val="en-US" w:eastAsia="zh-CN" w:bidi="ar"/>
              </w:rPr>
              <w:t>）网格通风棉制品生产工艺流程</w:t>
            </w:r>
          </w:p>
          <w:p w14:paraId="16C88E4F">
            <w:pPr>
              <w:keepNext w:val="0"/>
              <w:keepLines w:val="0"/>
              <w:widowControl w:val="0"/>
              <w:suppressLineNumbers w:val="0"/>
              <w:autoSpaceDE w:val="0"/>
              <w:autoSpaceDN w:val="0"/>
              <w:spacing w:before="0" w:beforeAutospacing="0" w:after="0" w:afterAutospacing="0" w:line="400" w:lineRule="exact"/>
              <w:ind w:left="0" w:right="0" w:firstLine="480"/>
              <w:jc w:val="both"/>
              <w:rPr>
                <w:b/>
                <w:bCs w:val="0"/>
                <w:color w:val="000000"/>
                <w:bdr w:val="none" w:color="auto" w:sz="0" w:space="0"/>
                <w:lang w:val="en-US"/>
              </w:rPr>
            </w:pPr>
          </w:p>
          <w:p w14:paraId="2124DAF6">
            <w:pPr>
              <w:keepNext w:val="0"/>
              <w:keepLines w:val="0"/>
              <w:widowControl w:val="0"/>
              <w:suppressLineNumbers w:val="0"/>
              <w:spacing w:before="0" w:beforeAutospacing="0" w:after="0" w:afterAutospacing="0"/>
              <w:ind w:left="0" w:right="0"/>
              <w:jc w:val="both"/>
              <w:rPr>
                <w:color w:val="000000"/>
                <w:bdr w:val="none" w:color="auto" w:sz="0" w:space="0"/>
                <w:lang w:val="en-US"/>
              </w:rPr>
            </w:pPr>
          </w:p>
          <w:p w14:paraId="34F0641B">
            <w:pPr>
              <w:keepNext w:val="0"/>
              <w:keepLines w:val="0"/>
              <w:widowControl w:val="0"/>
              <w:suppressLineNumbers w:val="0"/>
              <w:spacing w:before="0" w:beforeAutospacing="0" w:after="0" w:afterAutospacing="0"/>
              <w:ind w:left="0" w:right="0"/>
              <w:jc w:val="both"/>
              <w:rPr>
                <w:color w:val="000000"/>
                <w:bdr w:val="none" w:color="auto" w:sz="0" w:space="0"/>
                <w:lang w:val="en-US"/>
              </w:rPr>
            </w:pPr>
          </w:p>
          <w:p w14:paraId="17F36864">
            <w:pPr>
              <w:keepNext w:val="0"/>
              <w:keepLines w:val="0"/>
              <w:widowControl w:val="0"/>
              <w:suppressLineNumbers w:val="0"/>
              <w:tabs>
                <w:tab w:val="left" w:pos="1140"/>
              </w:tabs>
              <w:spacing w:before="0" w:beforeAutospacing="0" w:after="0" w:afterAutospacing="0"/>
              <w:ind w:left="0" w:right="0"/>
              <w:jc w:val="center"/>
              <w:rPr>
                <w:b/>
                <w:bCs w:val="0"/>
                <w:color w:val="000000"/>
                <w:bdr w:val="none" w:color="auto" w:sz="0" w:space="0"/>
                <w:lang w:val="en-US"/>
              </w:rPr>
            </w:pPr>
          </w:p>
          <w:p w14:paraId="6041BA67">
            <w:pPr>
              <w:keepNext w:val="0"/>
              <w:keepLines w:val="0"/>
              <w:widowControl w:val="0"/>
              <w:suppressLineNumbers w:val="0"/>
              <w:tabs>
                <w:tab w:val="left" w:pos="1140"/>
              </w:tabs>
              <w:spacing w:before="0" w:beforeAutospacing="0" w:after="0" w:afterAutospacing="0"/>
              <w:ind w:left="0" w:right="0"/>
              <w:jc w:val="center"/>
              <w:rPr>
                <w:b/>
                <w:bCs w:val="0"/>
                <w:color w:val="000000"/>
                <w:bdr w:val="none" w:color="auto" w:sz="0" w:space="0"/>
                <w:lang w:val="en-US"/>
              </w:rPr>
            </w:pPr>
            <w:r>
              <w:rPr>
                <w:rFonts w:hint="default" w:ascii="Calibri" w:hAnsi="Calibri" w:eastAsia="宋体" w:cs="Times New Roman"/>
                <w:kern w:val="2"/>
                <w:sz w:val="21"/>
                <w:szCs w:val="24"/>
                <w:bdr w:val="none" w:color="auto" w:sz="0" w:space="0"/>
                <w:lang w:val="en-US" w:eastAsia="zh-CN" w:bidi="ar"/>
              </w:rPr>
              <w:pict>
                <v:shape id="Object 1540" o:spid="_x0000_s1048" o:spt="75" type="#_x0000_t75" style="position:absolute;left:0pt;margin-left:48.55pt;margin-top:0.6pt;height:87.35pt;width:313.95pt;z-index:251671552;mso-width-relative:page;mso-height-relative:page;" o:ole="t" filled="f" o:preferrelative="t" stroked="f" coordsize="21600,21600">
                  <v:path/>
                  <v:fill on="f" focussize="0,0"/>
                  <v:stroke on="f" joinstyle="miter"/>
                  <v:imagedata r:id="rId12" o:title=""/>
                  <o:lock v:ext="edit" aspectratio="f"/>
                </v:shape>
                <o:OLEObject Type="Embed" ProgID="Visio.Drawing.11" ShapeID="Object 1540" DrawAspect="Content" ObjectID="_1468075727" r:id="rId11">
                  <o:LockedField>false</o:LockedField>
                </o:OLEObject>
              </w:pict>
            </w:r>
          </w:p>
          <w:p w14:paraId="6F9C6DA6">
            <w:pPr>
              <w:keepNext w:val="0"/>
              <w:keepLines w:val="0"/>
              <w:widowControl w:val="0"/>
              <w:suppressLineNumbers w:val="0"/>
              <w:tabs>
                <w:tab w:val="left" w:pos="1140"/>
              </w:tabs>
              <w:spacing w:before="0" w:beforeAutospacing="0" w:after="0" w:afterAutospacing="0"/>
              <w:ind w:left="0" w:right="0"/>
              <w:jc w:val="center"/>
              <w:rPr>
                <w:b/>
                <w:bCs w:val="0"/>
                <w:color w:val="000000"/>
                <w:bdr w:val="none" w:color="auto" w:sz="0" w:space="0"/>
                <w:lang w:val="en-US"/>
              </w:rPr>
            </w:pPr>
          </w:p>
          <w:p w14:paraId="49466721">
            <w:pPr>
              <w:keepNext w:val="0"/>
              <w:keepLines w:val="0"/>
              <w:widowControl w:val="0"/>
              <w:suppressLineNumbers w:val="0"/>
              <w:tabs>
                <w:tab w:val="left" w:pos="1140"/>
              </w:tabs>
              <w:spacing w:before="0" w:beforeAutospacing="0" w:after="0" w:afterAutospacing="0"/>
              <w:ind w:left="0" w:right="0"/>
              <w:jc w:val="center"/>
              <w:rPr>
                <w:b/>
                <w:bCs w:val="0"/>
                <w:color w:val="000000"/>
                <w:bdr w:val="none" w:color="auto" w:sz="0" w:space="0"/>
                <w:lang w:val="en-US"/>
              </w:rPr>
            </w:pPr>
          </w:p>
          <w:p w14:paraId="53AE5F29">
            <w:pPr>
              <w:keepNext w:val="0"/>
              <w:keepLines w:val="0"/>
              <w:widowControl w:val="0"/>
              <w:suppressLineNumbers w:val="0"/>
              <w:tabs>
                <w:tab w:val="left" w:pos="1140"/>
              </w:tabs>
              <w:spacing w:before="0" w:beforeAutospacing="0" w:after="0" w:afterAutospacing="0"/>
              <w:ind w:left="0" w:right="0"/>
              <w:jc w:val="center"/>
              <w:rPr>
                <w:b/>
                <w:bCs w:val="0"/>
                <w:color w:val="000000"/>
                <w:bdr w:val="none" w:color="auto" w:sz="0" w:space="0"/>
                <w:lang w:val="en-US"/>
              </w:rPr>
            </w:pPr>
          </w:p>
          <w:p w14:paraId="00ECB4E5">
            <w:pPr>
              <w:keepNext w:val="0"/>
              <w:keepLines w:val="0"/>
              <w:widowControl w:val="0"/>
              <w:suppressLineNumbers w:val="0"/>
              <w:tabs>
                <w:tab w:val="left" w:pos="1140"/>
              </w:tabs>
              <w:spacing w:before="0" w:beforeAutospacing="0" w:after="0" w:afterAutospacing="0"/>
              <w:ind w:left="0" w:right="0"/>
              <w:jc w:val="center"/>
              <w:rPr>
                <w:b/>
                <w:bCs w:val="0"/>
                <w:color w:val="000000"/>
                <w:bdr w:val="none" w:color="auto" w:sz="0" w:space="0"/>
                <w:lang w:val="en-US"/>
              </w:rPr>
            </w:pPr>
          </w:p>
          <w:p w14:paraId="386D46EB">
            <w:pPr>
              <w:keepNext w:val="0"/>
              <w:keepLines w:val="0"/>
              <w:widowControl w:val="0"/>
              <w:suppressLineNumbers w:val="0"/>
              <w:tabs>
                <w:tab w:val="left" w:pos="1140"/>
              </w:tabs>
              <w:spacing w:before="0" w:beforeAutospacing="0" w:after="0" w:afterAutospacing="0"/>
              <w:ind w:left="0" w:right="0"/>
              <w:jc w:val="center"/>
              <w:rPr>
                <w:b/>
                <w:bCs w:val="0"/>
                <w:color w:val="000000"/>
                <w:bdr w:val="none" w:color="auto" w:sz="0" w:space="0"/>
                <w:lang w:val="en-US"/>
              </w:rPr>
            </w:pPr>
          </w:p>
          <w:p w14:paraId="0B68CEA1">
            <w:pPr>
              <w:keepNext w:val="0"/>
              <w:keepLines w:val="0"/>
              <w:widowControl w:val="0"/>
              <w:suppressLineNumbers w:val="0"/>
              <w:tabs>
                <w:tab w:val="left" w:pos="1140"/>
              </w:tabs>
              <w:spacing w:before="0" w:beforeAutospacing="0" w:after="0" w:afterAutospacing="0"/>
              <w:ind w:left="0" w:right="0"/>
              <w:jc w:val="center"/>
              <w:rPr>
                <w:b/>
                <w:bCs w:val="0"/>
                <w:color w:val="000000"/>
                <w:bdr w:val="none" w:color="auto" w:sz="0" w:space="0"/>
                <w:lang w:val="en-US"/>
              </w:rPr>
            </w:pPr>
          </w:p>
          <w:p w14:paraId="42505719">
            <w:pPr>
              <w:keepNext w:val="0"/>
              <w:keepLines w:val="0"/>
              <w:widowControl w:val="0"/>
              <w:suppressLineNumbers w:val="0"/>
              <w:tabs>
                <w:tab w:val="left" w:pos="1140"/>
              </w:tabs>
              <w:spacing w:before="0" w:beforeAutospacing="0" w:after="0" w:afterAutospacing="0"/>
              <w:ind w:left="0" w:right="0"/>
              <w:jc w:val="center"/>
              <w:rPr>
                <w:rFonts w:hint="default" w:ascii="Times New Roman" w:hAnsi="Times New Roman" w:cs="Times New Roman"/>
                <w:color w:val="000000"/>
                <w:sz w:val="24"/>
                <w:szCs w:val="24"/>
                <w:u w:val="single"/>
                <w:bdr w:val="none" w:color="auto" w:sz="0" w:space="0"/>
                <w:lang w:val="en-US"/>
              </w:rPr>
            </w:pPr>
            <w:r>
              <w:rPr>
                <w:rFonts w:hint="eastAsia" w:ascii="Times New Roman" w:hAnsi="Calibri" w:eastAsia="宋体" w:cs="宋体"/>
                <w:b/>
                <w:bCs w:val="0"/>
                <w:color w:val="000000"/>
                <w:kern w:val="2"/>
                <w:sz w:val="24"/>
                <w:szCs w:val="24"/>
                <w:u w:val="single"/>
                <w:bdr w:val="none" w:color="auto" w:sz="0" w:space="0"/>
                <w:lang w:val="en-US" w:eastAsia="zh-CN" w:bidi="ar"/>
              </w:rPr>
              <w:t>图</w:t>
            </w:r>
            <w:r>
              <w:rPr>
                <w:rFonts w:hint="default" w:ascii="Times New Roman" w:hAnsi="Times New Roman" w:eastAsia="宋体" w:cs="Times New Roman"/>
                <w:b/>
                <w:bCs w:val="0"/>
                <w:color w:val="000000"/>
                <w:kern w:val="2"/>
                <w:sz w:val="24"/>
                <w:szCs w:val="24"/>
                <w:u w:val="single"/>
                <w:bdr w:val="none" w:color="auto" w:sz="0" w:space="0"/>
                <w:lang w:val="en-US" w:eastAsia="zh-CN" w:bidi="ar"/>
              </w:rPr>
              <w:t xml:space="preserve">2.5 </w:t>
            </w:r>
            <w:r>
              <w:rPr>
                <w:rFonts w:hint="eastAsia" w:ascii="Times New Roman" w:hAnsi="Calibri" w:eastAsia="宋体" w:cs="宋体"/>
                <w:b/>
                <w:bCs w:val="0"/>
                <w:color w:val="000000"/>
                <w:kern w:val="2"/>
                <w:sz w:val="24"/>
                <w:szCs w:val="24"/>
                <w:u w:val="single"/>
                <w:bdr w:val="none" w:color="auto" w:sz="0" w:space="0"/>
                <w:lang w:val="en-US" w:eastAsia="zh-CN" w:bidi="ar"/>
              </w:rPr>
              <w:t>网格通风棉生产工艺流程及产排污环节图</w:t>
            </w:r>
          </w:p>
          <w:p w14:paraId="743FED20">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工艺流程简述：</w:t>
            </w:r>
          </w:p>
          <w:p w14:paraId="644BD223">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扩建项目需利用激光切割机（气化切割）将网格通风棉切割成相应的尺寸。激光切割原理是当入射的激光束功率密度超过某一值后，照射处的材料开始蒸发，形成孔洞，而光束周围的材料则被气化；与光束同轴的辅助气流把周围的熔化材料带走，形成烟尘，激光切割温度约为</w:t>
            </w:r>
            <w:r>
              <w:rPr>
                <w:rFonts w:hint="default" w:ascii="Times New Roman" w:hAnsi="宋体" w:eastAsia="宋体" w:cs="Times New Roman"/>
                <w:color w:val="000000"/>
                <w:kern w:val="2"/>
                <w:sz w:val="24"/>
                <w:szCs w:val="24"/>
                <w:bdr w:val="none" w:color="auto" w:sz="0" w:space="0"/>
                <w:lang w:val="en-US" w:eastAsia="zh-CN" w:bidi="ar"/>
              </w:rPr>
              <w:t>1000</w:t>
            </w:r>
            <w:r>
              <w:rPr>
                <w:rFonts w:hint="eastAsia" w:ascii="Times New Roman" w:hAnsi="宋体" w:eastAsia="宋体" w:cs="宋体"/>
                <w:color w:val="000000"/>
                <w:kern w:val="2"/>
                <w:sz w:val="24"/>
                <w:szCs w:val="24"/>
                <w:bdr w:val="none" w:color="auto" w:sz="0" w:space="0"/>
                <w:lang w:val="en-US" w:eastAsia="zh-CN" w:bidi="ar"/>
              </w:rPr>
              <w:t>℃。激光切割后的成品经人工检验后包装入库。因此，激光切割过程会产生烟尘、有机废气</w:t>
            </w:r>
            <w:r>
              <w:rPr>
                <w:rFonts w:hint="default" w:ascii="Times New Roman" w:hAnsi="宋体" w:eastAsia="宋体" w:cs="Times New Roman"/>
                <w:color w:val="000000"/>
                <w:kern w:val="2"/>
                <w:sz w:val="24"/>
                <w:szCs w:val="24"/>
                <w:bdr w:val="none" w:color="auto" w:sz="0" w:space="0"/>
                <w:lang w:val="en-US" w:eastAsia="zh-CN" w:bidi="ar"/>
              </w:rPr>
              <w:t>G3</w:t>
            </w:r>
            <w:r>
              <w:rPr>
                <w:rFonts w:hint="eastAsia" w:ascii="Times New Roman" w:hAnsi="宋体" w:eastAsia="宋体" w:cs="宋体"/>
                <w:color w:val="000000"/>
                <w:kern w:val="2"/>
                <w:sz w:val="24"/>
                <w:szCs w:val="24"/>
                <w:bdr w:val="none" w:color="auto" w:sz="0" w:space="0"/>
                <w:lang w:val="en-US" w:eastAsia="zh-CN" w:bidi="ar"/>
              </w:rPr>
              <w:t>、网格棉边角料</w:t>
            </w:r>
            <w:r>
              <w:rPr>
                <w:rFonts w:hint="default" w:ascii="Times New Roman" w:hAnsi="宋体" w:eastAsia="宋体" w:cs="Times New Roman"/>
                <w:color w:val="000000"/>
                <w:kern w:val="2"/>
                <w:sz w:val="24"/>
                <w:szCs w:val="24"/>
                <w:bdr w:val="none" w:color="auto" w:sz="0" w:space="0"/>
                <w:lang w:val="en-US" w:eastAsia="zh-CN" w:bidi="ar"/>
              </w:rPr>
              <w:t>S6</w:t>
            </w:r>
            <w:r>
              <w:rPr>
                <w:rFonts w:hint="eastAsia" w:ascii="Times New Roman" w:hAnsi="宋体" w:eastAsia="宋体" w:cs="宋体"/>
                <w:color w:val="000000"/>
                <w:kern w:val="2"/>
                <w:sz w:val="24"/>
                <w:szCs w:val="24"/>
                <w:bdr w:val="none" w:color="auto" w:sz="0" w:space="0"/>
                <w:lang w:val="en-US" w:eastAsia="zh-CN" w:bidi="ar"/>
              </w:rPr>
              <w:t>和不合格产品。</w:t>
            </w:r>
          </w:p>
          <w:p w14:paraId="2C133C6D">
            <w:pPr>
              <w:keepNext w:val="0"/>
              <w:keepLines w:val="0"/>
              <w:widowControl/>
              <w:suppressLineNumbers w:val="0"/>
              <w:spacing w:before="0" w:beforeAutospacing="0" w:after="0" w:afterAutospacing="0" w:line="440" w:lineRule="exact"/>
              <w:ind w:left="0" w:right="0" w:firstLine="482" w:firstLineChars="200"/>
              <w:jc w:val="both"/>
              <w:rPr>
                <w:rFonts w:hint="default" w:ascii="Times New Roman" w:hAnsi="宋体" w:cs="Times New Roman"/>
                <w:b/>
                <w:bCs w:val="0"/>
                <w:color w:val="000000"/>
                <w:sz w:val="24"/>
                <w:szCs w:val="24"/>
                <w:bdr w:val="none" w:color="auto" w:sz="0" w:space="0"/>
                <w:lang w:val="en-US"/>
              </w:rPr>
            </w:pPr>
            <w:r>
              <w:rPr>
                <w:rFonts w:hint="eastAsia" w:ascii="Times New Roman" w:hAnsi="宋体" w:eastAsia="宋体" w:cs="宋体"/>
                <w:b/>
                <w:bCs w:val="0"/>
                <w:color w:val="000000"/>
                <w:kern w:val="2"/>
                <w:sz w:val="24"/>
                <w:szCs w:val="24"/>
                <w:bdr w:val="none" w:color="auto" w:sz="0" w:space="0"/>
                <w:lang w:val="en-US" w:eastAsia="zh-CN" w:bidi="ar"/>
              </w:rPr>
              <w:t>（</w:t>
            </w:r>
            <w:r>
              <w:rPr>
                <w:rFonts w:hint="default" w:ascii="Times New Roman" w:hAnsi="宋体" w:eastAsia="宋体" w:cs="Times New Roman"/>
                <w:b/>
                <w:bCs w:val="0"/>
                <w:color w:val="000000"/>
                <w:kern w:val="2"/>
                <w:sz w:val="24"/>
                <w:szCs w:val="24"/>
                <w:bdr w:val="none" w:color="auto" w:sz="0" w:space="0"/>
                <w:lang w:val="en-US" w:eastAsia="zh-CN" w:bidi="ar"/>
              </w:rPr>
              <w:t>3</w:t>
            </w:r>
            <w:r>
              <w:rPr>
                <w:rFonts w:hint="eastAsia" w:ascii="Times New Roman" w:hAnsi="宋体" w:eastAsia="宋体" w:cs="宋体"/>
                <w:b/>
                <w:bCs w:val="0"/>
                <w:color w:val="000000"/>
                <w:kern w:val="2"/>
                <w:sz w:val="24"/>
                <w:szCs w:val="24"/>
                <w:bdr w:val="none" w:color="auto" w:sz="0" w:space="0"/>
                <w:lang w:val="en-US" w:eastAsia="zh-CN" w:bidi="ar"/>
              </w:rPr>
              <w:t>）</w:t>
            </w:r>
            <w:r>
              <w:rPr>
                <w:rFonts w:hint="eastAsia" w:ascii="Calibri" w:hAnsi="Calibri" w:eastAsia="宋体" w:cs="宋体"/>
                <w:b/>
                <w:bCs/>
                <w:color w:val="000000"/>
                <w:kern w:val="2"/>
                <w:sz w:val="24"/>
                <w:szCs w:val="24"/>
                <w:bdr w:val="none" w:color="auto" w:sz="0" w:space="0"/>
                <w:lang w:val="en-US" w:eastAsia="zh-CN" w:bidi="ar"/>
              </w:rPr>
              <w:t>其他泡棉制品生产线工艺流程</w:t>
            </w:r>
          </w:p>
          <w:p w14:paraId="507DD42D">
            <w:pPr>
              <w:keepNext w:val="0"/>
              <w:keepLines w:val="0"/>
              <w:widowControl w:val="0"/>
              <w:suppressLineNumbers w:val="0"/>
              <w:spacing w:before="0" w:beforeAutospacing="0" w:after="0" w:afterAutospacing="0"/>
              <w:ind w:left="0" w:right="0"/>
              <w:jc w:val="both"/>
              <w:rPr>
                <w:color w:val="000000"/>
                <w:bdr w:val="none" w:color="auto" w:sz="0" w:space="0"/>
                <w:lang w:val="en-US"/>
              </w:rPr>
            </w:pPr>
          </w:p>
          <w:p w14:paraId="37D026D1">
            <w:pPr>
              <w:keepNext w:val="0"/>
              <w:keepLines w:val="0"/>
              <w:widowControl w:val="0"/>
              <w:suppressLineNumbers w:val="0"/>
              <w:spacing w:before="0" w:beforeAutospacing="0" w:after="0" w:afterAutospacing="0"/>
              <w:ind w:left="0" w:right="0"/>
              <w:jc w:val="center"/>
              <w:rPr>
                <w:rFonts w:hint="default" w:ascii="Times New Roman" w:hAnsi="Calibri" w:cs="Times New Roman"/>
                <w:b/>
                <w:bCs w:val="0"/>
                <w:color w:val="000000"/>
                <w:sz w:val="24"/>
                <w:szCs w:val="24"/>
                <w:u w:val="single"/>
                <w:bdr w:val="none" w:color="auto" w:sz="0" w:space="0"/>
                <w:lang w:val="en-US"/>
              </w:rPr>
            </w:pPr>
            <w:r>
              <w:rPr>
                <w:rFonts w:hint="default" w:ascii="Calibri" w:hAnsi="Calibri" w:eastAsia="宋体" w:cs="Times New Roman"/>
                <w:kern w:val="2"/>
                <w:sz w:val="21"/>
                <w:szCs w:val="24"/>
                <w:bdr w:val="none" w:color="auto" w:sz="0" w:space="0"/>
                <w:lang w:val="en-US" w:eastAsia="zh-CN" w:bidi="ar"/>
              </w:rPr>
              <w:pict>
                <v:shape id="Object 1541" o:spid="_x0000_s1049" o:spt="75" type="#_x0000_t75" style="position:absolute;left:0pt;margin-left:23.05pt;margin-top:6.65pt;height:71.35pt;width:372pt;z-index:251672576;mso-width-relative:page;mso-height-relative:page;" o:ole="t" filled="f" o:preferrelative="t" stroked="f" coordsize="21600,21600">
                  <v:path/>
                  <v:fill on="f" focussize="0,0"/>
                  <v:stroke on="f" joinstyle="miter"/>
                  <v:imagedata r:id="rId14" o:title=""/>
                  <o:lock v:ext="edit" aspectratio="f"/>
                </v:shape>
                <o:OLEObject Type="Embed" ProgID="Visio.Drawing.11" ShapeID="Object 1541" DrawAspect="Content" ObjectID="_1468075728" r:id="rId13">
                  <o:LockedField>false</o:LockedField>
                </o:OLEObject>
              </w:pict>
            </w:r>
          </w:p>
          <w:p w14:paraId="597E047B">
            <w:pPr>
              <w:keepNext w:val="0"/>
              <w:keepLines w:val="0"/>
              <w:widowControl w:val="0"/>
              <w:suppressLineNumbers w:val="0"/>
              <w:spacing w:before="0" w:beforeAutospacing="0" w:after="0" w:afterAutospacing="0"/>
              <w:ind w:left="0" w:right="0"/>
              <w:jc w:val="center"/>
              <w:rPr>
                <w:rFonts w:hint="default" w:ascii="Times New Roman" w:hAnsi="Calibri" w:cs="Times New Roman"/>
                <w:b/>
                <w:bCs w:val="0"/>
                <w:color w:val="000000"/>
                <w:sz w:val="24"/>
                <w:szCs w:val="24"/>
                <w:u w:val="single"/>
                <w:bdr w:val="none" w:color="auto" w:sz="0" w:space="0"/>
                <w:lang w:val="en-US"/>
              </w:rPr>
            </w:pPr>
          </w:p>
          <w:p w14:paraId="704681E2">
            <w:pPr>
              <w:keepNext w:val="0"/>
              <w:keepLines w:val="0"/>
              <w:widowControl w:val="0"/>
              <w:suppressLineNumbers w:val="0"/>
              <w:spacing w:before="0" w:beforeAutospacing="0" w:after="0" w:afterAutospacing="0"/>
              <w:ind w:left="0" w:right="0"/>
              <w:jc w:val="center"/>
              <w:rPr>
                <w:rFonts w:hint="default" w:ascii="Times New Roman" w:hAnsi="Calibri" w:cs="Times New Roman"/>
                <w:b/>
                <w:bCs w:val="0"/>
                <w:color w:val="000000"/>
                <w:sz w:val="24"/>
                <w:szCs w:val="24"/>
                <w:u w:val="single"/>
                <w:bdr w:val="none" w:color="auto" w:sz="0" w:space="0"/>
                <w:lang w:val="en-US"/>
              </w:rPr>
            </w:pPr>
          </w:p>
          <w:p w14:paraId="1601574D">
            <w:pPr>
              <w:keepNext w:val="0"/>
              <w:keepLines w:val="0"/>
              <w:widowControl w:val="0"/>
              <w:suppressLineNumbers w:val="0"/>
              <w:spacing w:before="0" w:beforeAutospacing="0" w:after="0" w:afterAutospacing="0"/>
              <w:ind w:left="0" w:right="0"/>
              <w:jc w:val="center"/>
              <w:rPr>
                <w:rFonts w:hint="default" w:ascii="Times New Roman" w:hAnsi="Calibri" w:cs="Times New Roman"/>
                <w:b/>
                <w:bCs w:val="0"/>
                <w:color w:val="000000"/>
                <w:sz w:val="24"/>
                <w:szCs w:val="24"/>
                <w:u w:val="single"/>
                <w:bdr w:val="none" w:color="auto" w:sz="0" w:space="0"/>
                <w:lang w:val="en-US"/>
              </w:rPr>
            </w:pPr>
          </w:p>
          <w:p w14:paraId="00656C34">
            <w:pPr>
              <w:keepNext w:val="0"/>
              <w:keepLines w:val="0"/>
              <w:widowControl w:val="0"/>
              <w:suppressLineNumbers w:val="0"/>
              <w:spacing w:before="0" w:beforeAutospacing="0" w:after="0" w:afterAutospacing="0"/>
              <w:ind w:left="0" w:right="0"/>
              <w:jc w:val="center"/>
              <w:rPr>
                <w:rFonts w:hint="default" w:ascii="Times New Roman" w:hAnsi="Calibri" w:cs="Times New Roman"/>
                <w:b/>
                <w:bCs w:val="0"/>
                <w:color w:val="000000"/>
                <w:sz w:val="24"/>
                <w:szCs w:val="24"/>
                <w:u w:val="single"/>
                <w:bdr w:val="none" w:color="auto" w:sz="0" w:space="0"/>
                <w:lang w:val="en-US"/>
              </w:rPr>
            </w:pPr>
          </w:p>
          <w:p w14:paraId="12A6DFDC">
            <w:pPr>
              <w:keepNext w:val="0"/>
              <w:keepLines w:val="0"/>
              <w:widowControl w:val="0"/>
              <w:suppressLineNumbers w:val="0"/>
              <w:spacing w:before="0" w:beforeAutospacing="0" w:after="0" w:afterAutospacing="0"/>
              <w:ind w:left="0" w:right="0"/>
              <w:jc w:val="center"/>
              <w:rPr>
                <w:rFonts w:hint="default" w:ascii="Times New Roman" w:hAnsi="Calibri" w:cs="Times New Roman"/>
                <w:b/>
                <w:bCs w:val="0"/>
                <w:color w:val="000000"/>
                <w:sz w:val="24"/>
                <w:szCs w:val="24"/>
                <w:u w:val="single"/>
                <w:bdr w:val="none" w:color="auto" w:sz="0" w:space="0"/>
                <w:lang w:val="en-US"/>
              </w:rPr>
            </w:pPr>
          </w:p>
          <w:p w14:paraId="552335C3">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color w:val="000000"/>
                <w:sz w:val="24"/>
                <w:szCs w:val="24"/>
                <w:u w:val="single"/>
                <w:bdr w:val="none" w:color="auto" w:sz="0" w:space="0"/>
                <w:lang w:val="en-US"/>
              </w:rPr>
            </w:pPr>
            <w:r>
              <w:rPr>
                <w:rFonts w:hint="eastAsia" w:ascii="Times New Roman" w:hAnsi="Calibri" w:eastAsia="宋体" w:cs="宋体"/>
                <w:b/>
                <w:bCs w:val="0"/>
                <w:color w:val="000000"/>
                <w:kern w:val="2"/>
                <w:sz w:val="24"/>
                <w:szCs w:val="24"/>
                <w:u w:val="single"/>
                <w:bdr w:val="none" w:color="auto" w:sz="0" w:space="0"/>
                <w:lang w:val="en-US" w:eastAsia="zh-CN" w:bidi="ar"/>
              </w:rPr>
              <w:t>图</w:t>
            </w:r>
            <w:r>
              <w:rPr>
                <w:rFonts w:hint="default" w:ascii="Times New Roman" w:hAnsi="Times New Roman" w:eastAsia="宋体" w:cs="Times New Roman"/>
                <w:b/>
                <w:bCs w:val="0"/>
                <w:color w:val="000000"/>
                <w:kern w:val="2"/>
                <w:sz w:val="24"/>
                <w:szCs w:val="24"/>
                <w:u w:val="single"/>
                <w:bdr w:val="none" w:color="auto" w:sz="0" w:space="0"/>
                <w:lang w:val="en-US" w:eastAsia="zh-CN" w:bidi="ar"/>
              </w:rPr>
              <w:t xml:space="preserve">2.6 </w:t>
            </w:r>
            <w:r>
              <w:rPr>
                <w:rFonts w:hint="eastAsia" w:ascii="Times New Roman" w:hAnsi="Calibri" w:eastAsia="宋体" w:cs="宋体"/>
                <w:b/>
                <w:bCs w:val="0"/>
                <w:color w:val="000000"/>
                <w:kern w:val="2"/>
                <w:sz w:val="24"/>
                <w:szCs w:val="24"/>
                <w:u w:val="single"/>
                <w:bdr w:val="none" w:color="auto" w:sz="0" w:space="0"/>
                <w:lang w:val="en-US" w:eastAsia="zh-CN" w:bidi="ar"/>
              </w:rPr>
              <w:t>其他泡棉生产工艺流程及产污环节图</w:t>
            </w:r>
          </w:p>
          <w:p w14:paraId="2B6A8425">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工艺流程简述：</w:t>
            </w:r>
          </w:p>
          <w:p w14:paraId="0C280F07">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外购的各种成品泡棉和成品双面胶带在泡棉贴合机上先进行常温压合，然后根据客户需求按尺寸分切成所需产品，分切后的产品经人工检验后进行收卷，收卷后的泡棉产品经塑料薄膜、纸箱包装后入库。此过程产生双面胶带的废离型纸</w:t>
            </w:r>
            <w:r>
              <w:rPr>
                <w:rFonts w:hint="default" w:ascii="Times New Roman" w:hAnsi="宋体" w:eastAsia="宋体" w:cs="Times New Roman"/>
                <w:color w:val="000000"/>
                <w:kern w:val="2"/>
                <w:sz w:val="24"/>
                <w:szCs w:val="24"/>
                <w:bdr w:val="none" w:color="auto" w:sz="0" w:space="0"/>
                <w:lang w:val="en-US" w:eastAsia="zh-CN" w:bidi="ar"/>
              </w:rPr>
              <w:t>S10</w:t>
            </w:r>
            <w:r>
              <w:rPr>
                <w:rFonts w:hint="eastAsia" w:ascii="Times New Roman" w:hAnsi="宋体" w:eastAsia="宋体" w:cs="宋体"/>
                <w:color w:val="000000"/>
                <w:kern w:val="2"/>
                <w:sz w:val="24"/>
                <w:szCs w:val="24"/>
                <w:bdr w:val="none" w:color="auto" w:sz="0" w:space="0"/>
                <w:lang w:val="en-US" w:eastAsia="zh-CN" w:bidi="ar"/>
              </w:rPr>
              <w:t>、其他泡棉制品边角料</w:t>
            </w:r>
            <w:r>
              <w:rPr>
                <w:rFonts w:hint="default" w:ascii="Times New Roman" w:hAnsi="宋体" w:eastAsia="宋体" w:cs="Times New Roman"/>
                <w:color w:val="000000"/>
                <w:kern w:val="2"/>
                <w:sz w:val="24"/>
                <w:szCs w:val="24"/>
                <w:bdr w:val="none" w:color="auto" w:sz="0" w:space="0"/>
                <w:lang w:val="en-US" w:eastAsia="zh-CN" w:bidi="ar"/>
              </w:rPr>
              <w:t>S11</w:t>
            </w:r>
            <w:r>
              <w:rPr>
                <w:rFonts w:hint="eastAsia" w:ascii="Times New Roman" w:hAnsi="宋体" w:eastAsia="宋体" w:cs="宋体"/>
                <w:color w:val="000000"/>
                <w:kern w:val="2"/>
                <w:sz w:val="24"/>
                <w:szCs w:val="24"/>
                <w:bdr w:val="none" w:color="auto" w:sz="0" w:space="0"/>
                <w:lang w:val="en-US" w:eastAsia="zh-CN" w:bidi="ar"/>
              </w:rPr>
              <w:t>和不合格产品</w:t>
            </w:r>
            <w:r>
              <w:rPr>
                <w:rFonts w:hint="default" w:ascii="Times New Roman" w:hAnsi="宋体" w:eastAsia="宋体" w:cs="Times New Roman"/>
                <w:color w:val="000000"/>
                <w:kern w:val="2"/>
                <w:sz w:val="24"/>
                <w:szCs w:val="24"/>
                <w:bdr w:val="none" w:color="auto" w:sz="0" w:space="0"/>
                <w:lang w:val="en-US" w:eastAsia="zh-CN" w:bidi="ar"/>
              </w:rPr>
              <w:t>S12</w:t>
            </w:r>
            <w:r>
              <w:rPr>
                <w:rFonts w:hint="eastAsia" w:ascii="Times New Roman" w:hAnsi="宋体" w:eastAsia="宋体" w:cs="宋体"/>
                <w:color w:val="000000"/>
                <w:kern w:val="2"/>
                <w:sz w:val="24"/>
                <w:szCs w:val="24"/>
                <w:bdr w:val="none" w:color="auto" w:sz="0" w:space="0"/>
                <w:lang w:val="en-US" w:eastAsia="zh-CN" w:bidi="ar"/>
              </w:rPr>
              <w:t>。</w:t>
            </w:r>
          </w:p>
          <w:p w14:paraId="26074C8E">
            <w:pPr>
              <w:keepNext w:val="0"/>
              <w:keepLines w:val="0"/>
              <w:widowControl/>
              <w:suppressLineNumbers w:val="0"/>
              <w:spacing w:before="0" w:beforeAutospacing="0" w:after="0" w:afterAutospacing="0" w:line="440" w:lineRule="exact"/>
              <w:ind w:left="0" w:right="0" w:firstLine="420" w:firstLineChars="200"/>
              <w:jc w:val="both"/>
              <w:rPr>
                <w:rFonts w:hint="default" w:ascii="Times New Roman" w:hAnsi="宋体" w:cs="Times New Roman"/>
                <w:b/>
                <w:bCs w:val="0"/>
                <w:color w:val="000000"/>
                <w:sz w:val="24"/>
                <w:szCs w:val="24"/>
                <w:bdr w:val="none" w:color="auto" w:sz="0" w:space="0"/>
                <w:lang w:val="en-US"/>
              </w:rPr>
            </w:pPr>
            <w:r>
              <w:rPr>
                <w:rFonts w:hint="default" w:ascii="Calibri" w:hAnsi="Calibri" w:eastAsia="宋体" w:cs="Times New Roman"/>
                <w:kern w:val="2"/>
                <w:sz w:val="21"/>
                <w:szCs w:val="24"/>
                <w:bdr w:val="none" w:color="auto" w:sz="0" w:space="0"/>
                <w:lang w:val="en-US" w:eastAsia="zh-CN" w:bidi="ar"/>
              </w:rPr>
              <w:pict>
                <v:shape id="Object 1543" o:spid="_x0000_s1050" o:spt="75" type="#_x0000_t75" style="position:absolute;left:0pt;margin-left:57.55pt;margin-top:17.45pt;height:88.85pt;width:326.15pt;z-index:251674624;mso-width-relative:page;mso-height-relative:page;" o:ole="t" filled="f" o:preferrelative="t" stroked="f" coordsize="21600,21600">
                  <v:path/>
                  <v:fill on="f" focussize="0,0"/>
                  <v:stroke on="f" joinstyle="miter"/>
                  <v:imagedata r:id="rId16" o:title=""/>
                  <o:lock v:ext="edit" aspectratio="f"/>
                </v:shape>
                <o:OLEObject Type="Embed" ProgID="Visio.Drawing.11" ShapeID="Object 1543" DrawAspect="Content" ObjectID="_1468075729" r:id="rId15">
                  <o:LockedField>false</o:LockedField>
                </o:OLEObject>
              </w:pict>
            </w:r>
            <w:r>
              <w:rPr>
                <w:rFonts w:hint="default" w:ascii="Times New Roman" w:hAnsi="宋体" w:eastAsia="宋体" w:cs="Times New Roman"/>
                <w:b/>
                <w:bCs w:val="0"/>
                <w:color w:val="000000"/>
                <w:kern w:val="2"/>
                <w:sz w:val="24"/>
                <w:szCs w:val="24"/>
                <w:bdr w:val="none" w:color="auto" w:sz="0" w:space="0"/>
                <w:lang w:val="en-US" w:eastAsia="zh-CN" w:bidi="ar"/>
              </w:rPr>
              <w:t>3</w:t>
            </w:r>
            <w:r>
              <w:rPr>
                <w:rFonts w:hint="eastAsia" w:ascii="Times New Roman" w:hAnsi="宋体" w:eastAsia="宋体" w:cs="宋体"/>
                <w:b/>
                <w:bCs w:val="0"/>
                <w:color w:val="000000"/>
                <w:kern w:val="2"/>
                <w:sz w:val="24"/>
                <w:szCs w:val="24"/>
                <w:bdr w:val="none" w:color="auto" w:sz="0" w:space="0"/>
                <w:lang w:val="en-US" w:eastAsia="zh-CN" w:bidi="ar"/>
              </w:rPr>
              <w:t>、云母板生产工艺流程</w:t>
            </w:r>
          </w:p>
          <w:p w14:paraId="320DA857">
            <w:pPr>
              <w:keepNext w:val="0"/>
              <w:keepLines w:val="0"/>
              <w:widowControl w:val="0"/>
              <w:suppressLineNumbers w:val="0"/>
              <w:autoSpaceDE w:val="0"/>
              <w:autoSpaceDN w:val="0"/>
              <w:adjustRightInd w:val="0"/>
              <w:spacing w:before="0" w:beforeAutospacing="0" w:after="0" w:afterAutospacing="0" w:line="360" w:lineRule="auto"/>
              <w:ind w:left="0" w:right="0"/>
              <w:jc w:val="center"/>
              <w:rPr>
                <w:color w:val="000000"/>
                <w:bdr w:val="none" w:color="auto" w:sz="0" w:space="0"/>
                <w:lang w:val="en-US"/>
              </w:rPr>
            </w:pPr>
          </w:p>
          <w:p w14:paraId="11037886">
            <w:pPr>
              <w:keepNext w:val="0"/>
              <w:keepLines w:val="0"/>
              <w:widowControl w:val="0"/>
              <w:suppressLineNumbers w:val="0"/>
              <w:autoSpaceDE w:val="0"/>
              <w:autoSpaceDN w:val="0"/>
              <w:adjustRightInd w:val="0"/>
              <w:spacing w:before="0" w:beforeAutospacing="0" w:after="0" w:afterAutospacing="0" w:line="360" w:lineRule="auto"/>
              <w:ind w:left="0" w:right="0"/>
              <w:jc w:val="center"/>
              <w:rPr>
                <w:color w:val="000000"/>
                <w:bdr w:val="none" w:color="auto" w:sz="0" w:space="0"/>
                <w:lang w:val="en-US"/>
              </w:rPr>
            </w:pPr>
          </w:p>
          <w:p w14:paraId="27763452">
            <w:pPr>
              <w:keepNext w:val="0"/>
              <w:keepLines w:val="0"/>
              <w:widowControl w:val="0"/>
              <w:suppressLineNumbers w:val="0"/>
              <w:autoSpaceDE w:val="0"/>
              <w:autoSpaceDN w:val="0"/>
              <w:adjustRightInd w:val="0"/>
              <w:spacing w:before="0" w:beforeAutospacing="0" w:after="0" w:afterAutospacing="0" w:line="360" w:lineRule="auto"/>
              <w:ind w:left="0" w:right="0"/>
              <w:jc w:val="center"/>
              <w:rPr>
                <w:color w:val="000000"/>
                <w:bdr w:val="none" w:color="auto" w:sz="0" w:space="0"/>
                <w:lang w:val="en-US"/>
              </w:rPr>
            </w:pPr>
          </w:p>
          <w:p w14:paraId="469D34C1">
            <w:pPr>
              <w:keepNext w:val="0"/>
              <w:keepLines w:val="0"/>
              <w:widowControl w:val="0"/>
              <w:suppressLineNumbers w:val="0"/>
              <w:autoSpaceDE w:val="0"/>
              <w:autoSpaceDN w:val="0"/>
              <w:adjustRightInd w:val="0"/>
              <w:spacing w:before="0" w:beforeAutospacing="0" w:after="0" w:afterAutospacing="0" w:line="480" w:lineRule="exact"/>
              <w:ind w:left="0" w:right="0"/>
              <w:jc w:val="center"/>
              <w:rPr>
                <w:b/>
                <w:bCs w:val="0"/>
                <w:color w:val="000000"/>
                <w:sz w:val="24"/>
                <w:szCs w:val="24"/>
                <w:bdr w:val="none" w:color="auto" w:sz="0" w:space="0"/>
                <w:lang w:val="en-US"/>
              </w:rPr>
            </w:pPr>
          </w:p>
          <w:p w14:paraId="6B19E340">
            <w:pPr>
              <w:keepNext w:val="0"/>
              <w:keepLines w:val="0"/>
              <w:widowControl w:val="0"/>
              <w:suppressLineNumbers w:val="0"/>
              <w:autoSpaceDE w:val="0"/>
              <w:autoSpaceDN w:val="0"/>
              <w:adjustRightInd w:val="0"/>
              <w:spacing w:before="0" w:beforeAutospacing="0" w:after="0" w:afterAutospacing="0" w:line="460" w:lineRule="exact"/>
              <w:ind w:left="0" w:right="0"/>
              <w:jc w:val="center"/>
              <w:rPr>
                <w:rFonts w:hint="default" w:ascii="Times New Roman" w:hAnsi="Times New Roman" w:cs="Times New Roman"/>
                <w:color w:val="000000"/>
                <w:sz w:val="24"/>
                <w:szCs w:val="24"/>
                <w:u w:val="single"/>
                <w:bdr w:val="none" w:color="auto" w:sz="0" w:space="0"/>
                <w:lang w:val="en-US"/>
              </w:rPr>
            </w:pPr>
            <w:r>
              <w:rPr>
                <w:rFonts w:hint="eastAsia" w:ascii="Times New Roman" w:hAnsi="Calibri" w:eastAsia="宋体" w:cs="宋体"/>
                <w:b/>
                <w:bCs w:val="0"/>
                <w:color w:val="000000"/>
                <w:kern w:val="2"/>
                <w:sz w:val="24"/>
                <w:szCs w:val="24"/>
                <w:u w:val="single"/>
                <w:bdr w:val="none" w:color="auto" w:sz="0" w:space="0"/>
                <w:lang w:val="en-US" w:eastAsia="zh-CN" w:bidi="ar"/>
              </w:rPr>
              <w:t>图</w:t>
            </w:r>
            <w:r>
              <w:rPr>
                <w:rFonts w:hint="default" w:ascii="Times New Roman" w:hAnsi="Times New Roman" w:eastAsia="宋体" w:cs="Times New Roman"/>
                <w:b/>
                <w:bCs w:val="0"/>
                <w:color w:val="000000"/>
                <w:kern w:val="2"/>
                <w:sz w:val="24"/>
                <w:szCs w:val="24"/>
                <w:u w:val="single"/>
                <w:bdr w:val="none" w:color="auto" w:sz="0" w:space="0"/>
                <w:lang w:val="en-US" w:eastAsia="zh-CN" w:bidi="ar"/>
              </w:rPr>
              <w:t xml:space="preserve">2.7 </w:t>
            </w:r>
            <w:r>
              <w:rPr>
                <w:rFonts w:hint="eastAsia" w:ascii="Times New Roman" w:hAnsi="Calibri" w:eastAsia="宋体" w:cs="宋体"/>
                <w:b/>
                <w:bCs w:val="0"/>
                <w:color w:val="000000"/>
                <w:kern w:val="2"/>
                <w:sz w:val="24"/>
                <w:szCs w:val="24"/>
                <w:u w:val="single"/>
                <w:bdr w:val="none" w:color="auto" w:sz="0" w:space="0"/>
                <w:lang w:val="en-US" w:eastAsia="zh-CN" w:bidi="ar"/>
              </w:rPr>
              <w:t>云母板生产工艺流程及产排污环节图</w:t>
            </w:r>
          </w:p>
          <w:p w14:paraId="4EC42552">
            <w:pPr>
              <w:keepNext w:val="0"/>
              <w:keepLines w:val="0"/>
              <w:widowControl w:val="0"/>
              <w:suppressLineNumbers w:val="0"/>
              <w:spacing w:before="0" w:beforeAutospacing="0" w:after="0" w:afterAutospacing="0" w:line="460" w:lineRule="exact"/>
              <w:ind w:left="0" w:right="0" w:firstLine="480" w:firstLineChars="200"/>
              <w:jc w:val="both"/>
              <w:rPr>
                <w:bCs/>
                <w:color w:val="000000"/>
                <w:sz w:val="24"/>
                <w:szCs w:val="24"/>
                <w:bdr w:val="none" w:color="auto" w:sz="0" w:space="0"/>
                <w:lang w:val="en-US"/>
              </w:rPr>
            </w:pPr>
            <w:r>
              <w:rPr>
                <w:rFonts w:hint="eastAsia" w:ascii="Calibri" w:hAnsi="Calibri" w:eastAsia="宋体" w:cs="宋体"/>
                <w:bCs/>
                <w:color w:val="000000"/>
                <w:kern w:val="2"/>
                <w:sz w:val="24"/>
                <w:szCs w:val="24"/>
                <w:bdr w:val="none" w:color="auto" w:sz="0" w:space="0"/>
                <w:lang w:val="en-US" w:eastAsia="zh-CN" w:bidi="ar"/>
              </w:rPr>
              <w:t>工艺流程简述：</w:t>
            </w:r>
          </w:p>
          <w:p w14:paraId="25BC11F9">
            <w:pPr>
              <w:keepNext w:val="0"/>
              <w:keepLines w:val="0"/>
              <w:widowControl w:val="0"/>
              <w:suppressLineNumbers w:val="0"/>
              <w:spacing w:before="0" w:beforeAutospacing="0" w:after="0" w:afterAutospacing="0" w:line="460" w:lineRule="exact"/>
              <w:ind w:left="0" w:right="0" w:firstLine="480" w:firstLineChars="200"/>
              <w:jc w:val="both"/>
              <w:rPr>
                <w:bCs/>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根据产品需求采用雕刻机将外购云母板雕刻成所需形状，然后将雕刻边缘打磨平整，经人工检验后，大块的不合格云母板后期被重新雕刻制作成小块的云母板产品，小块的不合格云母板产品直接作为一般固废，经检验合格的产品包装入库待售。此过程会产生雕刻粉尘</w:t>
            </w:r>
            <w:r>
              <w:rPr>
                <w:rFonts w:hint="default" w:ascii="Times New Roman" w:hAnsi="Times New Roman" w:eastAsia="宋体" w:cs="Times New Roman"/>
                <w:color w:val="000000"/>
                <w:kern w:val="2"/>
                <w:sz w:val="24"/>
                <w:szCs w:val="24"/>
                <w:bdr w:val="none" w:color="auto" w:sz="0" w:space="0"/>
                <w:lang w:val="en-US" w:eastAsia="zh-CN" w:bidi="ar"/>
              </w:rPr>
              <w:t>G4</w:t>
            </w:r>
            <w:r>
              <w:rPr>
                <w:rFonts w:hint="eastAsia" w:ascii="Times New Roman" w:hAnsi="Calibri" w:eastAsia="宋体" w:cs="宋体"/>
                <w:color w:val="000000"/>
                <w:kern w:val="2"/>
                <w:sz w:val="24"/>
                <w:szCs w:val="24"/>
                <w:bdr w:val="none" w:color="auto" w:sz="0" w:space="0"/>
                <w:lang w:val="en-US" w:eastAsia="zh-CN" w:bidi="ar"/>
              </w:rPr>
              <w:t>、打磨粉尘</w:t>
            </w:r>
            <w:r>
              <w:rPr>
                <w:rFonts w:hint="default" w:ascii="Times New Roman" w:hAnsi="Times New Roman" w:eastAsia="宋体" w:cs="Times New Roman"/>
                <w:color w:val="000000"/>
                <w:kern w:val="2"/>
                <w:sz w:val="24"/>
                <w:szCs w:val="24"/>
                <w:bdr w:val="none" w:color="auto" w:sz="0" w:space="0"/>
                <w:lang w:val="en-US" w:eastAsia="zh-CN" w:bidi="ar"/>
              </w:rPr>
              <w:t>G5</w:t>
            </w:r>
            <w:r>
              <w:rPr>
                <w:rFonts w:hint="eastAsia" w:ascii="Times New Roman" w:hAnsi="Calibri" w:eastAsia="宋体" w:cs="宋体"/>
                <w:color w:val="000000"/>
                <w:kern w:val="2"/>
                <w:sz w:val="24"/>
                <w:szCs w:val="24"/>
                <w:bdr w:val="none" w:color="auto" w:sz="0" w:space="0"/>
                <w:lang w:val="en-US" w:eastAsia="zh-CN" w:bidi="ar"/>
              </w:rPr>
              <w:t>、云母板边角料</w:t>
            </w:r>
            <w:r>
              <w:rPr>
                <w:rFonts w:hint="default" w:ascii="Times New Roman" w:hAnsi="Times New Roman" w:eastAsia="宋体" w:cs="Times New Roman"/>
                <w:color w:val="000000"/>
                <w:kern w:val="2"/>
                <w:sz w:val="24"/>
                <w:szCs w:val="24"/>
                <w:bdr w:val="none" w:color="auto" w:sz="0" w:space="0"/>
                <w:lang w:val="en-US" w:eastAsia="zh-CN" w:bidi="ar"/>
              </w:rPr>
              <w:t>S13</w:t>
            </w:r>
            <w:r>
              <w:rPr>
                <w:rFonts w:hint="eastAsia" w:ascii="Times New Roman" w:hAnsi="Calibri" w:eastAsia="宋体" w:cs="宋体"/>
                <w:color w:val="000000"/>
                <w:kern w:val="2"/>
                <w:sz w:val="24"/>
                <w:szCs w:val="24"/>
                <w:bdr w:val="none" w:color="auto" w:sz="0" w:space="0"/>
                <w:lang w:val="en-US" w:eastAsia="zh-CN" w:bidi="ar"/>
              </w:rPr>
              <w:t>和不合格产品</w:t>
            </w:r>
            <w:r>
              <w:rPr>
                <w:rFonts w:hint="default" w:ascii="Times New Roman" w:hAnsi="Times New Roman" w:eastAsia="宋体" w:cs="Times New Roman"/>
                <w:color w:val="000000"/>
                <w:kern w:val="2"/>
                <w:sz w:val="24"/>
                <w:szCs w:val="24"/>
                <w:bdr w:val="none" w:color="auto" w:sz="0" w:space="0"/>
                <w:lang w:val="en-US" w:eastAsia="zh-CN" w:bidi="ar"/>
              </w:rPr>
              <w:t>S14</w:t>
            </w:r>
            <w:r>
              <w:rPr>
                <w:rFonts w:hint="eastAsia" w:ascii="Times New Roman" w:hAnsi="Calibri" w:eastAsia="宋体" w:cs="宋体"/>
                <w:color w:val="000000"/>
                <w:kern w:val="2"/>
                <w:sz w:val="24"/>
                <w:szCs w:val="24"/>
                <w:bdr w:val="none" w:color="auto" w:sz="0" w:space="0"/>
                <w:lang w:val="en-US" w:eastAsia="zh-CN" w:bidi="ar"/>
              </w:rPr>
              <w:t>。</w:t>
            </w:r>
          </w:p>
        </w:tc>
      </w:tr>
      <w:tr w14:paraId="156B19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tblCellMar>
            <w:top w:w="0" w:type="dxa"/>
            <w:left w:w="108" w:type="dxa"/>
            <w:bottom w:w="0" w:type="dxa"/>
            <w:right w:w="108" w:type="dxa"/>
          </w:tblCellMar>
        </w:tblPrEx>
        <w:trPr>
          <w:trHeight w:val="552" w:hRule="atLeast"/>
          <w:jc w:val="center"/>
        </w:trPr>
        <w:tc>
          <w:tcPr>
            <w:tcW w:w="383" w:type="dxa"/>
            <w:tcBorders>
              <w:top w:val="single" w:color="auto" w:sz="4" w:space="0"/>
              <w:left w:val="single" w:color="auto" w:sz="8" w:space="0"/>
              <w:bottom w:val="single" w:color="auto" w:sz="8" w:space="0"/>
              <w:right w:val="single" w:color="auto" w:sz="4" w:space="0"/>
            </w:tcBorders>
            <w:shd w:val="clear"/>
            <w:vAlign w:val="center"/>
          </w:tcPr>
          <w:p w14:paraId="7532D789">
            <w:pPr>
              <w:pStyle w:val="14"/>
              <w:widowControl/>
              <w:adjustRightInd w:val="0"/>
              <w:snapToGrid w:val="0"/>
              <w:spacing w:before="0" w:beforeAutospacing="0" w:after="0" w:afterAutospacing="0"/>
              <w:ind w:left="0" w:right="0"/>
              <w:jc w:val="center"/>
              <w:rPr>
                <w:color w:val="000000"/>
                <w:szCs w:val="24"/>
                <w:bdr w:val="none" w:color="auto" w:sz="0" w:space="0"/>
              </w:rPr>
            </w:pPr>
            <w:r>
              <w:rPr>
                <w:rFonts w:cs="宋体"/>
                <w:bCs/>
                <w:color w:val="000000"/>
                <w:kern w:val="2"/>
                <w:szCs w:val="24"/>
                <w:bdr w:val="none" w:color="auto" w:sz="0" w:space="0"/>
                <w:lang w:val="en-US" w:eastAsia="zh-CN"/>
              </w:rPr>
              <w:t>与项目有关的原有环境污染问题</w:t>
            </w:r>
          </w:p>
        </w:tc>
        <w:tc>
          <w:tcPr>
            <w:tcW w:w="8601" w:type="dxa"/>
            <w:tcBorders>
              <w:top w:val="single" w:color="auto" w:sz="4" w:space="0"/>
              <w:left w:val="single" w:color="auto" w:sz="4" w:space="0"/>
              <w:bottom w:val="single" w:color="auto" w:sz="8" w:space="0"/>
              <w:right w:val="single" w:color="auto" w:sz="8" w:space="0"/>
            </w:tcBorders>
            <w:shd w:val="clear"/>
            <w:vAlign w:val="top"/>
          </w:tcPr>
          <w:p w14:paraId="6DCF1691">
            <w:pPr>
              <w:keepNext w:val="0"/>
              <w:keepLines w:val="0"/>
              <w:widowControl w:val="0"/>
              <w:suppressLineNumbers w:val="0"/>
              <w:spacing w:before="0" w:beforeAutospacing="0" w:after="0" w:afterAutospacing="0" w:line="440" w:lineRule="exact"/>
              <w:ind w:left="0" w:right="0"/>
              <w:jc w:val="both"/>
              <w:outlineLvl w:val="1"/>
              <w:rPr>
                <w:rFonts w:hint="default" w:ascii="Times New Roman" w:hAnsi="Times New Roman" w:cs="Times New Roman"/>
                <w:b/>
                <w:bCs w:val="0"/>
                <w:color w:val="000000"/>
                <w:kern w:val="0"/>
                <w:szCs w:val="21"/>
                <w:bdr w:val="none" w:color="auto" w:sz="0" w:space="0"/>
                <w:lang w:val="en-US"/>
              </w:rPr>
            </w:pPr>
            <w:r>
              <w:rPr>
                <w:rFonts w:hint="default" w:ascii="Times New Roman" w:hAnsi="Times New Roman" w:eastAsia="宋体" w:cs="Times New Roman"/>
                <w:b/>
                <w:bCs w:val="0"/>
                <w:color w:val="000000"/>
                <w:kern w:val="0"/>
                <w:sz w:val="24"/>
                <w:szCs w:val="24"/>
                <w:bdr w:val="none" w:color="auto" w:sz="0" w:space="0"/>
                <w:lang w:val="en-US" w:eastAsia="zh-CN" w:bidi="ar"/>
              </w:rPr>
              <w:t>2.12</w:t>
            </w:r>
            <w:r>
              <w:rPr>
                <w:rFonts w:hint="eastAsia" w:ascii="Times New Roman" w:hAnsi="Times New Roman" w:eastAsia="宋体" w:cs="宋体"/>
                <w:b/>
                <w:bCs w:val="0"/>
                <w:color w:val="000000"/>
                <w:kern w:val="0"/>
                <w:sz w:val="24"/>
                <w:szCs w:val="24"/>
                <w:bdr w:val="none" w:color="auto" w:sz="0" w:space="0"/>
                <w:lang w:val="en-US" w:eastAsia="zh-CN" w:bidi="ar"/>
              </w:rPr>
              <w:t>企业现有环保手续办理情况</w:t>
            </w:r>
          </w:p>
          <w:p w14:paraId="74F0D817">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default" w:ascii="Times New Roman" w:hAnsi="宋体" w:eastAsia="宋体" w:cs="Times New Roman"/>
                <w:color w:val="000000"/>
                <w:kern w:val="2"/>
                <w:sz w:val="24"/>
                <w:szCs w:val="24"/>
                <w:bdr w:val="none" w:color="auto" w:sz="0" w:space="0"/>
                <w:lang w:val="en-US" w:eastAsia="zh-CN" w:bidi="ar"/>
              </w:rPr>
              <w:t>1</w:t>
            </w:r>
            <w:r>
              <w:rPr>
                <w:rFonts w:hint="eastAsia" w:ascii="Times New Roman" w:hAnsi="宋体" w:eastAsia="宋体" w:cs="宋体"/>
                <w:color w:val="000000"/>
                <w:kern w:val="2"/>
                <w:sz w:val="24"/>
                <w:szCs w:val="24"/>
                <w:bdr w:val="none" w:color="auto" w:sz="0" w:space="0"/>
                <w:lang w:val="en-US" w:eastAsia="zh-CN" w:bidi="ar"/>
              </w:rPr>
              <w:t>、环保手续履行情况</w:t>
            </w:r>
          </w:p>
          <w:p w14:paraId="747E785D">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根据现场调查及历史环保资料收集，厂区现有项目建设内容及环保手续完成情况，具体如下：</w:t>
            </w:r>
          </w:p>
          <w:p w14:paraId="3B1E91D9">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w:t>
            </w:r>
            <w:r>
              <w:rPr>
                <w:rFonts w:hint="default" w:ascii="Times New Roman" w:hAnsi="宋体" w:eastAsia="宋体" w:cs="Times New Roman"/>
                <w:color w:val="000000"/>
                <w:kern w:val="2"/>
                <w:sz w:val="24"/>
                <w:szCs w:val="24"/>
                <w:bdr w:val="none" w:color="auto" w:sz="0" w:space="0"/>
                <w:lang w:val="en-US" w:eastAsia="zh-CN" w:bidi="ar"/>
              </w:rPr>
              <w:t>1</w:t>
            </w:r>
            <w:r>
              <w:rPr>
                <w:rFonts w:hint="eastAsia" w:ascii="Times New Roman" w:hAnsi="宋体" w:eastAsia="宋体" w:cs="宋体"/>
                <w:color w:val="000000"/>
                <w:kern w:val="2"/>
                <w:sz w:val="24"/>
                <w:szCs w:val="24"/>
                <w:bdr w:val="none" w:color="auto" w:sz="0" w:space="0"/>
                <w:lang w:val="en-US" w:eastAsia="zh-CN" w:bidi="ar"/>
              </w:rPr>
              <w:t>）《</w:t>
            </w:r>
            <w:r>
              <w:rPr>
                <w:rStyle w:val="21"/>
                <w:rFonts w:hint="eastAsia" w:ascii="Calibri" w:hAnsi="Calibri" w:eastAsia="宋体" w:cs="宋体"/>
                <w:b w:val="0"/>
                <w:bCs/>
                <w:color w:val="000000"/>
                <w:kern w:val="2"/>
                <w:sz w:val="24"/>
                <w:szCs w:val="24"/>
                <w:bdr w:val="none" w:color="auto" w:sz="0" w:space="0"/>
                <w:lang w:val="en-US" w:eastAsia="zh-CN" w:bidi="ar"/>
              </w:rPr>
              <w:t>重庆永祺胶粘制品有限公司迁建项目环境影响报告表</w:t>
            </w:r>
            <w:r>
              <w:rPr>
                <w:rFonts w:hint="eastAsia" w:ascii="Times New Roman" w:hAnsi="宋体" w:eastAsia="宋体" w:cs="宋体"/>
                <w:color w:val="000000"/>
                <w:kern w:val="2"/>
                <w:sz w:val="24"/>
                <w:szCs w:val="24"/>
                <w:bdr w:val="none" w:color="auto" w:sz="0" w:space="0"/>
                <w:lang w:val="en-US" w:eastAsia="zh-CN" w:bidi="ar"/>
              </w:rPr>
              <w:t>》（</w:t>
            </w:r>
            <w:r>
              <w:rPr>
                <w:rFonts w:hint="eastAsia" w:ascii="Times New Roman" w:hAnsi="Calibri" w:eastAsia="宋体" w:cs="宋体"/>
                <w:color w:val="000000"/>
                <w:kern w:val="2"/>
                <w:sz w:val="24"/>
                <w:szCs w:val="24"/>
                <w:bdr w:val="none" w:color="auto" w:sz="0" w:space="0"/>
                <w:lang w:val="en-US" w:eastAsia="zh-CN" w:bidi="ar"/>
              </w:rPr>
              <w:t>重庆吉麟科技发展有限公司</w:t>
            </w:r>
            <w:r>
              <w:rPr>
                <w:rFonts w:hint="eastAsia" w:ascii="Times New Roman" w:hAnsi="宋体" w:eastAsia="宋体" w:cs="宋体"/>
                <w:color w:val="000000"/>
                <w:kern w:val="2"/>
                <w:sz w:val="24"/>
                <w:szCs w:val="24"/>
                <w:bdr w:val="none" w:color="auto" w:sz="0" w:space="0"/>
                <w:lang w:val="en-US" w:eastAsia="zh-CN" w:bidi="ar"/>
              </w:rPr>
              <w:t>，</w:t>
            </w:r>
            <w:r>
              <w:rPr>
                <w:rFonts w:hint="default" w:ascii="Times New Roman" w:hAnsi="宋体" w:eastAsia="宋体" w:cs="Times New Roman"/>
                <w:color w:val="000000"/>
                <w:kern w:val="2"/>
                <w:sz w:val="24"/>
                <w:szCs w:val="24"/>
                <w:bdr w:val="none" w:color="auto" w:sz="0" w:space="0"/>
                <w:lang w:val="en-US" w:eastAsia="zh-CN" w:bidi="ar"/>
              </w:rPr>
              <w:t>2023</w:t>
            </w:r>
            <w:r>
              <w:rPr>
                <w:rFonts w:hint="eastAsia" w:ascii="Times New Roman" w:hAnsi="宋体" w:eastAsia="宋体" w:cs="宋体"/>
                <w:color w:val="000000"/>
                <w:kern w:val="2"/>
                <w:sz w:val="24"/>
                <w:szCs w:val="24"/>
                <w:bdr w:val="none" w:color="auto" w:sz="0" w:space="0"/>
                <w:lang w:val="en-US" w:eastAsia="zh-CN" w:bidi="ar"/>
              </w:rPr>
              <w:t>年）；</w:t>
            </w:r>
          </w:p>
          <w:p w14:paraId="7C82242A">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w:t>
            </w:r>
            <w:r>
              <w:rPr>
                <w:rFonts w:hint="default" w:ascii="Times New Roman" w:hAnsi="宋体" w:eastAsia="宋体" w:cs="Times New Roman"/>
                <w:color w:val="000000"/>
                <w:kern w:val="2"/>
                <w:sz w:val="24"/>
                <w:szCs w:val="24"/>
                <w:bdr w:val="none" w:color="auto" w:sz="0" w:space="0"/>
                <w:lang w:val="en-US" w:eastAsia="zh-CN" w:bidi="ar"/>
              </w:rPr>
              <w:t>2</w:t>
            </w:r>
            <w:r>
              <w:rPr>
                <w:rFonts w:hint="eastAsia" w:ascii="Times New Roman" w:hAnsi="宋体" w:eastAsia="宋体" w:cs="宋体"/>
                <w:color w:val="000000"/>
                <w:kern w:val="2"/>
                <w:sz w:val="24"/>
                <w:szCs w:val="24"/>
                <w:bdr w:val="none" w:color="auto" w:sz="0" w:space="0"/>
                <w:lang w:val="en-US" w:eastAsia="zh-CN" w:bidi="ar"/>
              </w:rPr>
              <w:t>）《</w:t>
            </w:r>
            <w:r>
              <w:rPr>
                <w:rFonts w:hint="eastAsia" w:ascii="Times New Roman" w:hAnsi="Calibri" w:eastAsia="宋体" w:cs="宋体"/>
                <w:color w:val="000000"/>
                <w:kern w:val="2"/>
                <w:sz w:val="24"/>
                <w:szCs w:val="24"/>
                <w:bdr w:val="none" w:color="auto" w:sz="0" w:space="0"/>
                <w:lang w:val="en-US" w:eastAsia="zh-CN" w:bidi="ar"/>
              </w:rPr>
              <w:t>“渝</w:t>
            </w:r>
            <w:r>
              <w:rPr>
                <w:rFonts w:hint="default" w:ascii="Times New Roman" w:hAnsi="Calibri" w:eastAsia="宋体" w:cs="Times New Roman"/>
                <w:color w:val="000000"/>
                <w:kern w:val="2"/>
                <w:sz w:val="24"/>
                <w:szCs w:val="24"/>
                <w:bdr w:val="none" w:color="auto" w:sz="0" w:space="0"/>
                <w:lang w:val="en-US" w:eastAsia="zh-CN" w:bidi="ar"/>
              </w:rPr>
              <w:t>(</w:t>
            </w:r>
            <w:r>
              <w:rPr>
                <w:rFonts w:hint="eastAsia" w:ascii="Times New Roman" w:hAnsi="Calibri" w:eastAsia="宋体" w:cs="宋体"/>
                <w:color w:val="000000"/>
                <w:kern w:val="2"/>
                <w:sz w:val="24"/>
                <w:szCs w:val="24"/>
                <w:bdr w:val="none" w:color="auto" w:sz="0" w:space="0"/>
                <w:lang w:val="en-US" w:eastAsia="zh-CN" w:bidi="ar"/>
              </w:rPr>
              <w:t>合</w:t>
            </w:r>
            <w:r>
              <w:rPr>
                <w:rFonts w:hint="default" w:ascii="Times New Roman" w:hAnsi="Calibri" w:eastAsia="宋体" w:cs="Times New Roman"/>
                <w:color w:val="000000"/>
                <w:kern w:val="2"/>
                <w:sz w:val="24"/>
                <w:szCs w:val="24"/>
                <w:bdr w:val="none" w:color="auto" w:sz="0" w:space="0"/>
                <w:lang w:val="en-US" w:eastAsia="zh-CN" w:bidi="ar"/>
              </w:rPr>
              <w:t>)</w:t>
            </w:r>
            <w:r>
              <w:rPr>
                <w:rFonts w:hint="eastAsia" w:ascii="Times New Roman" w:hAnsi="Calibri" w:eastAsia="宋体" w:cs="宋体"/>
                <w:color w:val="000000"/>
                <w:kern w:val="2"/>
                <w:sz w:val="24"/>
                <w:szCs w:val="24"/>
                <w:bdr w:val="none" w:color="auto" w:sz="0" w:space="0"/>
                <w:lang w:val="en-US" w:eastAsia="zh-CN" w:bidi="ar"/>
              </w:rPr>
              <w:t>环准</w:t>
            </w:r>
            <w:r>
              <w:rPr>
                <w:rFonts w:hint="default" w:ascii="Times New Roman" w:hAnsi="Calibri" w:eastAsia="宋体" w:cs="Times New Roman"/>
                <w:color w:val="000000"/>
                <w:kern w:val="2"/>
                <w:sz w:val="24"/>
                <w:szCs w:val="24"/>
                <w:bdr w:val="none" w:color="auto" w:sz="0" w:space="0"/>
                <w:lang w:val="en-US" w:eastAsia="zh-CN" w:bidi="ar"/>
              </w:rPr>
              <w:t>[2023]043</w:t>
            </w:r>
            <w:r>
              <w:rPr>
                <w:rFonts w:hint="eastAsia" w:ascii="Times New Roman" w:hAnsi="Calibri" w:eastAsia="宋体" w:cs="宋体"/>
                <w:color w:val="000000"/>
                <w:kern w:val="2"/>
                <w:sz w:val="24"/>
                <w:szCs w:val="24"/>
                <w:bdr w:val="none" w:color="auto" w:sz="0" w:space="0"/>
                <w:lang w:val="en-US" w:eastAsia="zh-CN" w:bidi="ar"/>
              </w:rPr>
              <w:t>号”批准书</w:t>
            </w:r>
            <w:r>
              <w:rPr>
                <w:rFonts w:hint="eastAsia" w:ascii="Times New Roman" w:hAnsi="宋体" w:eastAsia="宋体" w:cs="宋体"/>
                <w:color w:val="000000"/>
                <w:kern w:val="2"/>
                <w:sz w:val="24"/>
                <w:szCs w:val="24"/>
                <w:bdr w:val="none" w:color="auto" w:sz="0" w:space="0"/>
                <w:lang w:val="en-US" w:eastAsia="zh-CN" w:bidi="ar"/>
              </w:rPr>
              <w:t>》</w:t>
            </w:r>
            <w:r>
              <w:rPr>
                <w:rFonts w:hint="default" w:ascii="Times New Roman" w:hAnsi="宋体" w:eastAsia="宋体" w:cs="Times New Roman"/>
                <w:color w:val="000000"/>
                <w:kern w:val="2"/>
                <w:sz w:val="24"/>
                <w:szCs w:val="24"/>
                <w:bdr w:val="none" w:color="auto" w:sz="0" w:space="0"/>
                <w:lang w:val="en-US" w:eastAsia="zh-CN" w:bidi="ar"/>
              </w:rPr>
              <w:t>(</w:t>
            </w:r>
            <w:r>
              <w:rPr>
                <w:rFonts w:hint="eastAsia" w:ascii="Times New Roman" w:hAnsi="Calibri" w:eastAsia="宋体" w:cs="宋体"/>
                <w:color w:val="000000"/>
                <w:kern w:val="2"/>
                <w:sz w:val="24"/>
                <w:szCs w:val="24"/>
                <w:bdr w:val="none" w:color="auto" w:sz="0" w:space="0"/>
                <w:lang w:val="en-US" w:eastAsia="zh-CN" w:bidi="ar"/>
              </w:rPr>
              <w:t>重庆市合川区生态环境局</w:t>
            </w:r>
            <w:r>
              <w:rPr>
                <w:rFonts w:hint="eastAsia" w:ascii="Times New Roman" w:hAnsi="宋体" w:eastAsia="宋体" w:cs="宋体"/>
                <w:color w:val="000000"/>
                <w:kern w:val="2"/>
                <w:sz w:val="24"/>
                <w:szCs w:val="24"/>
                <w:bdr w:val="none" w:color="auto" w:sz="0" w:space="0"/>
                <w:lang w:val="en-US" w:eastAsia="zh-CN" w:bidi="ar"/>
              </w:rPr>
              <w:t>，</w:t>
            </w:r>
            <w:r>
              <w:rPr>
                <w:rFonts w:hint="default" w:ascii="Times New Roman" w:hAnsi="宋体" w:eastAsia="宋体" w:cs="Times New Roman"/>
                <w:color w:val="000000"/>
                <w:kern w:val="2"/>
                <w:sz w:val="24"/>
                <w:szCs w:val="24"/>
                <w:bdr w:val="none" w:color="auto" w:sz="0" w:space="0"/>
                <w:lang w:val="en-US" w:eastAsia="zh-CN" w:bidi="ar"/>
              </w:rPr>
              <w:t>2023</w:t>
            </w:r>
            <w:r>
              <w:rPr>
                <w:rFonts w:hint="eastAsia" w:ascii="Times New Roman" w:hAnsi="宋体" w:eastAsia="宋体" w:cs="宋体"/>
                <w:color w:val="000000"/>
                <w:kern w:val="2"/>
                <w:sz w:val="24"/>
                <w:szCs w:val="24"/>
                <w:bdr w:val="none" w:color="auto" w:sz="0" w:space="0"/>
                <w:lang w:val="en-US" w:eastAsia="zh-CN" w:bidi="ar"/>
              </w:rPr>
              <w:t>年</w:t>
            </w:r>
            <w:r>
              <w:rPr>
                <w:rFonts w:hint="default" w:ascii="Times New Roman" w:hAnsi="宋体" w:eastAsia="宋体" w:cs="Times New Roman"/>
                <w:color w:val="000000"/>
                <w:kern w:val="2"/>
                <w:sz w:val="24"/>
                <w:szCs w:val="24"/>
                <w:bdr w:val="none" w:color="auto" w:sz="0" w:space="0"/>
                <w:lang w:val="en-US" w:eastAsia="zh-CN" w:bidi="ar"/>
              </w:rPr>
              <w:t>8</w:t>
            </w:r>
            <w:r>
              <w:rPr>
                <w:rFonts w:hint="eastAsia" w:ascii="Times New Roman" w:hAnsi="宋体" w:eastAsia="宋体" w:cs="宋体"/>
                <w:color w:val="000000"/>
                <w:kern w:val="2"/>
                <w:sz w:val="24"/>
                <w:szCs w:val="24"/>
                <w:bdr w:val="none" w:color="auto" w:sz="0" w:space="0"/>
                <w:lang w:val="en-US" w:eastAsia="zh-CN" w:bidi="ar"/>
              </w:rPr>
              <w:t>月</w:t>
            </w:r>
            <w:r>
              <w:rPr>
                <w:rFonts w:hint="default" w:ascii="Times New Roman" w:hAnsi="宋体" w:eastAsia="宋体" w:cs="Times New Roman"/>
                <w:color w:val="000000"/>
                <w:kern w:val="2"/>
                <w:sz w:val="24"/>
                <w:szCs w:val="24"/>
                <w:bdr w:val="none" w:color="auto" w:sz="0" w:space="0"/>
                <w:lang w:val="en-US" w:eastAsia="zh-CN" w:bidi="ar"/>
              </w:rPr>
              <w:t>15</w:t>
            </w:r>
            <w:r>
              <w:rPr>
                <w:rFonts w:hint="eastAsia" w:ascii="Times New Roman" w:hAnsi="宋体" w:eastAsia="宋体" w:cs="宋体"/>
                <w:color w:val="000000"/>
                <w:kern w:val="2"/>
                <w:sz w:val="24"/>
                <w:szCs w:val="24"/>
                <w:bdr w:val="none" w:color="auto" w:sz="0" w:space="0"/>
                <w:lang w:val="en-US" w:eastAsia="zh-CN" w:bidi="ar"/>
              </w:rPr>
              <w:t>日）；</w:t>
            </w:r>
          </w:p>
          <w:p w14:paraId="760FD049">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w:t>
            </w:r>
            <w:r>
              <w:rPr>
                <w:rFonts w:hint="default" w:ascii="Times New Roman" w:hAnsi="宋体" w:eastAsia="宋体" w:cs="Times New Roman"/>
                <w:color w:val="000000"/>
                <w:kern w:val="2"/>
                <w:sz w:val="24"/>
                <w:szCs w:val="24"/>
                <w:bdr w:val="none" w:color="auto" w:sz="0" w:space="0"/>
                <w:lang w:val="en-US" w:eastAsia="zh-CN" w:bidi="ar"/>
              </w:rPr>
              <w:t>3</w:t>
            </w:r>
            <w:r>
              <w:rPr>
                <w:rFonts w:hint="eastAsia" w:ascii="Times New Roman" w:hAnsi="宋体" w:eastAsia="宋体" w:cs="宋体"/>
                <w:color w:val="000000"/>
                <w:kern w:val="2"/>
                <w:sz w:val="24"/>
                <w:szCs w:val="24"/>
                <w:bdr w:val="none" w:color="auto" w:sz="0" w:space="0"/>
                <w:lang w:val="en-US" w:eastAsia="zh-CN" w:bidi="ar"/>
              </w:rPr>
              <w:t>）《</w:t>
            </w:r>
            <w:r>
              <w:rPr>
                <w:rStyle w:val="21"/>
                <w:rFonts w:hint="eastAsia" w:ascii="Calibri" w:hAnsi="Calibri" w:eastAsia="宋体" w:cs="宋体"/>
                <w:b w:val="0"/>
                <w:bCs/>
                <w:color w:val="000000"/>
                <w:kern w:val="2"/>
                <w:sz w:val="24"/>
                <w:szCs w:val="24"/>
                <w:bdr w:val="none" w:color="auto" w:sz="0" w:space="0"/>
                <w:lang w:val="en-US" w:eastAsia="zh-CN" w:bidi="ar"/>
              </w:rPr>
              <w:t>固定污染源排污登记回执</w:t>
            </w:r>
            <w:r>
              <w:rPr>
                <w:rFonts w:hint="eastAsia" w:ascii="Times New Roman" w:hAnsi="宋体" w:eastAsia="宋体" w:cs="宋体"/>
                <w:color w:val="000000"/>
                <w:kern w:val="2"/>
                <w:sz w:val="24"/>
                <w:szCs w:val="24"/>
                <w:bdr w:val="none" w:color="auto" w:sz="0" w:space="0"/>
                <w:lang w:val="en-US" w:eastAsia="zh-CN" w:bidi="ar"/>
              </w:rPr>
              <w:t>：</w:t>
            </w:r>
            <w:r>
              <w:rPr>
                <w:rFonts w:hint="default" w:ascii="Times New Roman" w:hAnsi="宋体" w:eastAsia="宋体" w:cs="Times New Roman"/>
                <w:color w:val="000000"/>
                <w:kern w:val="2"/>
                <w:sz w:val="24"/>
                <w:szCs w:val="24"/>
                <w:bdr w:val="none" w:color="auto" w:sz="0" w:space="0"/>
                <w:lang w:val="en-US" w:eastAsia="zh-CN" w:bidi="ar"/>
              </w:rPr>
              <w:t>91500117320410172A002X</w:t>
            </w:r>
            <w:r>
              <w:rPr>
                <w:rFonts w:hint="eastAsia" w:ascii="Times New Roman" w:hAnsi="宋体" w:eastAsia="宋体" w:cs="宋体"/>
                <w:color w:val="000000"/>
                <w:kern w:val="2"/>
                <w:sz w:val="24"/>
                <w:szCs w:val="24"/>
                <w:bdr w:val="none" w:color="auto" w:sz="0" w:space="0"/>
                <w:lang w:val="en-US" w:eastAsia="zh-CN" w:bidi="ar"/>
              </w:rPr>
              <w:t>》（</w:t>
            </w:r>
            <w:r>
              <w:rPr>
                <w:rFonts w:hint="default" w:ascii="Times New Roman" w:hAnsi="宋体" w:eastAsia="宋体" w:cs="Times New Roman"/>
                <w:color w:val="000000"/>
                <w:kern w:val="2"/>
                <w:sz w:val="24"/>
                <w:szCs w:val="24"/>
                <w:bdr w:val="none" w:color="auto" w:sz="0" w:space="0"/>
                <w:lang w:val="en-US" w:eastAsia="zh-CN" w:bidi="ar"/>
              </w:rPr>
              <w:t>2023</w:t>
            </w:r>
            <w:r>
              <w:rPr>
                <w:rFonts w:hint="eastAsia" w:ascii="Times New Roman" w:hAnsi="宋体" w:eastAsia="宋体" w:cs="宋体"/>
                <w:color w:val="000000"/>
                <w:kern w:val="2"/>
                <w:sz w:val="24"/>
                <w:szCs w:val="24"/>
                <w:bdr w:val="none" w:color="auto" w:sz="0" w:space="0"/>
                <w:lang w:val="en-US" w:eastAsia="zh-CN" w:bidi="ar"/>
              </w:rPr>
              <w:t>年</w:t>
            </w:r>
            <w:r>
              <w:rPr>
                <w:rFonts w:hint="default" w:ascii="Times New Roman" w:hAnsi="宋体" w:eastAsia="宋体" w:cs="Times New Roman"/>
                <w:color w:val="000000"/>
                <w:kern w:val="2"/>
                <w:sz w:val="24"/>
                <w:szCs w:val="24"/>
                <w:bdr w:val="none" w:color="auto" w:sz="0" w:space="0"/>
                <w:lang w:val="en-US" w:eastAsia="zh-CN" w:bidi="ar"/>
              </w:rPr>
              <w:t>9</w:t>
            </w:r>
            <w:r>
              <w:rPr>
                <w:rFonts w:hint="eastAsia" w:ascii="Times New Roman" w:hAnsi="宋体" w:eastAsia="宋体" w:cs="宋体"/>
                <w:color w:val="000000"/>
                <w:kern w:val="2"/>
                <w:sz w:val="24"/>
                <w:szCs w:val="24"/>
                <w:bdr w:val="none" w:color="auto" w:sz="0" w:space="0"/>
                <w:lang w:val="en-US" w:eastAsia="zh-CN" w:bidi="ar"/>
              </w:rPr>
              <w:t>月</w:t>
            </w:r>
            <w:r>
              <w:rPr>
                <w:rFonts w:hint="default" w:ascii="Times New Roman" w:hAnsi="宋体" w:eastAsia="宋体" w:cs="Times New Roman"/>
                <w:color w:val="000000"/>
                <w:kern w:val="2"/>
                <w:sz w:val="24"/>
                <w:szCs w:val="24"/>
                <w:bdr w:val="none" w:color="auto" w:sz="0" w:space="0"/>
                <w:lang w:val="en-US" w:eastAsia="zh-CN" w:bidi="ar"/>
              </w:rPr>
              <w:t>20</w:t>
            </w:r>
            <w:r>
              <w:rPr>
                <w:rFonts w:hint="eastAsia" w:ascii="Times New Roman" w:hAnsi="宋体" w:eastAsia="宋体" w:cs="宋体"/>
                <w:color w:val="000000"/>
                <w:kern w:val="2"/>
                <w:sz w:val="24"/>
                <w:szCs w:val="24"/>
                <w:bdr w:val="none" w:color="auto" w:sz="0" w:space="0"/>
                <w:lang w:val="en-US" w:eastAsia="zh-CN" w:bidi="ar"/>
              </w:rPr>
              <w:t>日）；</w:t>
            </w:r>
          </w:p>
          <w:p w14:paraId="3A603699">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w:t>
            </w:r>
            <w:r>
              <w:rPr>
                <w:rFonts w:hint="default" w:ascii="Times New Roman" w:hAnsi="宋体" w:eastAsia="宋体" w:cs="Times New Roman"/>
                <w:color w:val="000000"/>
                <w:kern w:val="2"/>
                <w:sz w:val="24"/>
                <w:szCs w:val="24"/>
                <w:bdr w:val="none" w:color="auto" w:sz="0" w:space="0"/>
                <w:lang w:val="en-US" w:eastAsia="zh-CN" w:bidi="ar"/>
              </w:rPr>
              <w:t>4</w:t>
            </w:r>
            <w:r>
              <w:rPr>
                <w:rFonts w:hint="eastAsia" w:ascii="Times New Roman" w:hAnsi="宋体" w:eastAsia="宋体" w:cs="宋体"/>
                <w:color w:val="000000"/>
                <w:kern w:val="2"/>
                <w:sz w:val="24"/>
                <w:szCs w:val="24"/>
                <w:bdr w:val="none" w:color="auto" w:sz="0" w:space="0"/>
                <w:lang w:val="en-US" w:eastAsia="zh-CN" w:bidi="ar"/>
              </w:rPr>
              <w:t>）《</w:t>
            </w:r>
            <w:r>
              <w:rPr>
                <w:rStyle w:val="21"/>
                <w:rFonts w:hint="eastAsia" w:ascii="Calibri" w:hAnsi="Calibri" w:eastAsia="宋体" w:cs="宋体"/>
                <w:b w:val="0"/>
                <w:bCs/>
                <w:color w:val="000000"/>
                <w:kern w:val="2"/>
                <w:sz w:val="24"/>
                <w:szCs w:val="24"/>
                <w:bdr w:val="none" w:color="auto" w:sz="0" w:space="0"/>
                <w:lang w:val="en-US" w:eastAsia="zh-CN" w:bidi="ar"/>
              </w:rPr>
              <w:t>重庆永祺胶粘制品有限公司迁建</w:t>
            </w:r>
            <w:r>
              <w:rPr>
                <w:rFonts w:hint="eastAsia" w:ascii="Times New Roman" w:hAnsi="Calibri" w:eastAsia="宋体" w:cs="宋体"/>
                <w:color w:val="000000"/>
                <w:kern w:val="2"/>
                <w:sz w:val="24"/>
                <w:szCs w:val="24"/>
                <w:bdr w:val="none" w:color="auto" w:sz="0" w:space="0"/>
                <w:lang w:val="en-US" w:eastAsia="zh-CN" w:bidi="ar"/>
              </w:rPr>
              <w:t>项目</w:t>
            </w:r>
            <w:r>
              <w:rPr>
                <w:rFonts w:hint="eastAsia" w:ascii="Times New Roman" w:hAnsi="宋体" w:eastAsia="宋体" w:cs="宋体"/>
                <w:color w:val="000000"/>
                <w:kern w:val="2"/>
                <w:sz w:val="24"/>
                <w:szCs w:val="24"/>
                <w:bdr w:val="none" w:color="auto" w:sz="0" w:space="0"/>
                <w:lang w:val="en-US" w:eastAsia="zh-CN" w:bidi="ar"/>
              </w:rPr>
              <w:t>竣工验收监测报告表》（重庆吉麟佳美生态环境技术集团有限公司，</w:t>
            </w:r>
            <w:r>
              <w:rPr>
                <w:rFonts w:hint="default" w:ascii="Times New Roman" w:hAnsi="宋体" w:eastAsia="宋体" w:cs="Times New Roman"/>
                <w:color w:val="000000"/>
                <w:kern w:val="2"/>
                <w:sz w:val="24"/>
                <w:szCs w:val="24"/>
                <w:bdr w:val="none" w:color="auto" w:sz="0" w:space="0"/>
                <w:lang w:val="en-US" w:eastAsia="zh-CN" w:bidi="ar"/>
              </w:rPr>
              <w:t>2023</w:t>
            </w:r>
            <w:r>
              <w:rPr>
                <w:rFonts w:hint="eastAsia" w:ascii="Times New Roman" w:hAnsi="宋体" w:eastAsia="宋体" w:cs="宋体"/>
                <w:color w:val="000000"/>
                <w:kern w:val="2"/>
                <w:sz w:val="24"/>
                <w:szCs w:val="24"/>
                <w:bdr w:val="none" w:color="auto" w:sz="0" w:space="0"/>
                <w:lang w:val="en-US" w:eastAsia="zh-CN" w:bidi="ar"/>
              </w:rPr>
              <w:t>年</w:t>
            </w:r>
            <w:r>
              <w:rPr>
                <w:rFonts w:hint="default" w:ascii="Times New Roman" w:hAnsi="宋体" w:eastAsia="宋体" w:cs="Times New Roman"/>
                <w:color w:val="000000"/>
                <w:kern w:val="2"/>
                <w:sz w:val="24"/>
                <w:szCs w:val="24"/>
                <w:bdr w:val="none" w:color="auto" w:sz="0" w:space="0"/>
                <w:lang w:val="en-US" w:eastAsia="zh-CN" w:bidi="ar"/>
              </w:rPr>
              <w:t>12</w:t>
            </w:r>
            <w:r>
              <w:rPr>
                <w:rFonts w:hint="eastAsia" w:ascii="Times New Roman" w:hAnsi="宋体" w:eastAsia="宋体" w:cs="宋体"/>
                <w:color w:val="000000"/>
                <w:kern w:val="2"/>
                <w:sz w:val="24"/>
                <w:szCs w:val="24"/>
                <w:bdr w:val="none" w:color="auto" w:sz="0" w:space="0"/>
                <w:lang w:val="en-US" w:eastAsia="zh-CN" w:bidi="ar"/>
              </w:rPr>
              <w:t>月）。</w:t>
            </w:r>
          </w:p>
          <w:p w14:paraId="3FEFFB39">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default" w:ascii="Times New Roman" w:hAnsi="宋体" w:eastAsia="宋体" w:cs="Times New Roman"/>
                <w:color w:val="000000"/>
                <w:kern w:val="2"/>
                <w:sz w:val="24"/>
                <w:szCs w:val="24"/>
                <w:bdr w:val="none" w:color="auto" w:sz="0" w:space="0"/>
                <w:lang w:val="en-US" w:eastAsia="zh-CN" w:bidi="ar"/>
              </w:rPr>
              <w:t>2</w:t>
            </w:r>
            <w:r>
              <w:rPr>
                <w:rFonts w:hint="eastAsia" w:ascii="Times New Roman" w:hAnsi="宋体" w:eastAsia="宋体" w:cs="宋体"/>
                <w:color w:val="000000"/>
                <w:kern w:val="2"/>
                <w:sz w:val="24"/>
                <w:szCs w:val="24"/>
                <w:bdr w:val="none" w:color="auto" w:sz="0" w:space="0"/>
                <w:lang w:val="en-US" w:eastAsia="zh-CN" w:bidi="ar"/>
              </w:rPr>
              <w:t>、环保投诉及处罚情况</w:t>
            </w:r>
          </w:p>
          <w:p w14:paraId="36AC42CA">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根据调查，企业目前尚无环保投诉及处罚情况。</w:t>
            </w:r>
          </w:p>
          <w:p w14:paraId="22DD6759">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Times New Roman" w:cs="Times New Roman"/>
                <w:b/>
                <w:bCs w:val="0"/>
                <w:color w:val="000000"/>
                <w:kern w:val="0"/>
                <w:sz w:val="24"/>
                <w:szCs w:val="24"/>
                <w:bdr w:val="none" w:color="auto" w:sz="0" w:space="0"/>
                <w:lang w:val="en-US"/>
              </w:rPr>
            </w:pPr>
            <w:r>
              <w:rPr>
                <w:rFonts w:hint="default" w:ascii="Times New Roman" w:hAnsi="Times New Roman" w:eastAsia="宋体" w:cs="Times New Roman"/>
                <w:b/>
                <w:bCs w:val="0"/>
                <w:color w:val="000000"/>
                <w:kern w:val="0"/>
                <w:sz w:val="24"/>
                <w:szCs w:val="24"/>
                <w:bdr w:val="none" w:color="auto" w:sz="0" w:space="0"/>
                <w:lang w:val="en-US" w:eastAsia="zh-CN" w:bidi="ar"/>
              </w:rPr>
              <w:t>2.12.1</w:t>
            </w:r>
            <w:r>
              <w:rPr>
                <w:rFonts w:hint="eastAsia" w:ascii="Times New Roman" w:hAnsi="Times New Roman" w:eastAsia="宋体" w:cs="宋体"/>
                <w:b/>
                <w:bCs w:val="0"/>
                <w:color w:val="000000"/>
                <w:kern w:val="0"/>
                <w:sz w:val="24"/>
                <w:szCs w:val="24"/>
                <w:bdr w:val="none" w:color="auto" w:sz="0" w:space="0"/>
                <w:lang w:val="en-US" w:eastAsia="zh-CN" w:bidi="ar"/>
              </w:rPr>
              <w:t>现有工程产品规模</w:t>
            </w:r>
          </w:p>
          <w:p w14:paraId="3F1D6E80">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现有项目品情况见下表。</w:t>
            </w:r>
          </w:p>
          <w:p w14:paraId="777B48F6">
            <w:pPr>
              <w:keepNext w:val="0"/>
              <w:keepLines w:val="0"/>
              <w:widowControl/>
              <w:suppressLineNumbers w:val="0"/>
              <w:spacing w:before="0" w:beforeAutospacing="0" w:after="0" w:afterAutospacing="0" w:line="440" w:lineRule="exact"/>
              <w:ind w:left="0" w:right="0" w:firstLine="480" w:firstLineChars="200"/>
              <w:jc w:val="center"/>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表</w:t>
            </w:r>
            <w:r>
              <w:rPr>
                <w:rFonts w:hint="default" w:ascii="Times New Roman" w:hAnsi="宋体" w:eastAsia="宋体" w:cs="Times New Roman"/>
                <w:color w:val="000000"/>
                <w:kern w:val="2"/>
                <w:sz w:val="24"/>
                <w:szCs w:val="24"/>
                <w:bdr w:val="none" w:color="auto" w:sz="0" w:space="0"/>
                <w:lang w:val="en-US" w:eastAsia="zh-CN" w:bidi="ar"/>
              </w:rPr>
              <w:t xml:space="preserve">2.12-1 </w:t>
            </w:r>
            <w:r>
              <w:rPr>
                <w:rFonts w:hint="eastAsia" w:ascii="Times New Roman" w:hAnsi="宋体" w:eastAsia="宋体" w:cs="宋体"/>
                <w:color w:val="000000"/>
                <w:kern w:val="2"/>
                <w:sz w:val="24"/>
                <w:szCs w:val="24"/>
                <w:bdr w:val="none" w:color="auto" w:sz="0" w:space="0"/>
                <w:lang w:val="en-US" w:eastAsia="zh-CN" w:bidi="ar"/>
              </w:rPr>
              <w:t>现有项目产品情况</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tblLayout w:type="fixed"/>
              <w:tblCellMar>
                <w:top w:w="0" w:type="dxa"/>
                <w:left w:w="28" w:type="dxa"/>
                <w:bottom w:w="0" w:type="dxa"/>
                <w:right w:w="28" w:type="dxa"/>
              </w:tblCellMar>
            </w:tblPr>
            <w:tblGrid>
              <w:gridCol w:w="750"/>
              <w:gridCol w:w="1551"/>
              <w:gridCol w:w="1276"/>
              <w:gridCol w:w="4809"/>
            </w:tblGrid>
            <w:tr w14:paraId="6A10DF6C">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tblCellMar>
                  <w:top w:w="0" w:type="dxa"/>
                  <w:left w:w="28" w:type="dxa"/>
                  <w:bottom w:w="0" w:type="dxa"/>
                  <w:right w:w="28" w:type="dxa"/>
                </w:tblCellMar>
              </w:tblPrEx>
              <w:trPr>
                <w:trHeight w:val="191" w:hRule="atLeast"/>
                <w:jc w:val="center"/>
              </w:trPr>
              <w:tc>
                <w:tcPr>
                  <w:tcW w:w="750" w:type="dxa"/>
                  <w:tcBorders>
                    <w:top w:val="single" w:color="auto" w:sz="12" w:space="0"/>
                    <w:left w:val="nil"/>
                    <w:bottom w:val="single" w:color="auto" w:sz="6" w:space="0"/>
                    <w:right w:val="single" w:color="auto" w:sz="6" w:space="0"/>
                  </w:tcBorders>
                  <w:shd w:val="clear"/>
                  <w:vAlign w:val="center"/>
                </w:tcPr>
                <w:p w14:paraId="3A2EEBF8">
                  <w:pPr>
                    <w:pStyle w:val="87"/>
                    <w:widowControl/>
                    <w:rPr>
                      <w:color w:val="000000"/>
                      <w:bdr w:val="none" w:color="auto" w:sz="0" w:space="0"/>
                      <w:lang w:val="en-US"/>
                    </w:rPr>
                  </w:pPr>
                  <w:r>
                    <w:rPr>
                      <w:rFonts w:hint="eastAsia" w:ascii="Times New Roman" w:hAnsi="Times New Roman" w:eastAsia="宋体" w:cs="宋体"/>
                      <w:color w:val="000000"/>
                      <w:bdr w:val="none" w:color="auto" w:sz="0" w:space="0"/>
                    </w:rPr>
                    <w:t>序号</w:t>
                  </w:r>
                </w:p>
              </w:tc>
              <w:tc>
                <w:tcPr>
                  <w:tcW w:w="1551" w:type="dxa"/>
                  <w:tcBorders>
                    <w:top w:val="single" w:color="auto" w:sz="12" w:space="0"/>
                    <w:left w:val="single" w:color="auto" w:sz="6" w:space="0"/>
                    <w:bottom w:val="single" w:color="auto" w:sz="6" w:space="0"/>
                    <w:right w:val="single" w:color="auto" w:sz="6" w:space="0"/>
                  </w:tcBorders>
                  <w:shd w:val="clear"/>
                  <w:vAlign w:val="center"/>
                </w:tcPr>
                <w:p w14:paraId="1121A4F9">
                  <w:pPr>
                    <w:pStyle w:val="87"/>
                    <w:widowControl/>
                    <w:rPr>
                      <w:color w:val="000000"/>
                      <w:bdr w:val="none" w:color="auto" w:sz="0" w:space="0"/>
                      <w:lang w:val="en-US"/>
                    </w:rPr>
                  </w:pPr>
                  <w:r>
                    <w:rPr>
                      <w:rFonts w:hint="eastAsia" w:ascii="Times New Roman" w:hAnsi="Times New Roman" w:eastAsia="宋体" w:cs="宋体"/>
                      <w:color w:val="000000"/>
                      <w:bdr w:val="none" w:color="auto" w:sz="0" w:space="0"/>
                    </w:rPr>
                    <w:t>产品类别</w:t>
                  </w:r>
                </w:p>
              </w:tc>
              <w:tc>
                <w:tcPr>
                  <w:tcW w:w="1276" w:type="dxa"/>
                  <w:tcBorders>
                    <w:top w:val="single" w:color="auto" w:sz="12" w:space="0"/>
                    <w:left w:val="single" w:color="auto" w:sz="6" w:space="0"/>
                    <w:bottom w:val="single" w:color="auto" w:sz="6" w:space="0"/>
                    <w:right w:val="single" w:color="auto" w:sz="6" w:space="0"/>
                  </w:tcBorders>
                  <w:shd w:val="clear"/>
                  <w:vAlign w:val="center"/>
                </w:tcPr>
                <w:p w14:paraId="42E9A981">
                  <w:pPr>
                    <w:pStyle w:val="87"/>
                    <w:widowControl/>
                    <w:rPr>
                      <w:color w:val="000000"/>
                      <w:bdr w:val="none" w:color="auto" w:sz="0" w:space="0"/>
                      <w:lang w:val="en-US"/>
                    </w:rPr>
                  </w:pPr>
                  <w:r>
                    <w:rPr>
                      <w:rFonts w:hint="eastAsia" w:ascii="Times New Roman" w:hAnsi="Times New Roman" w:eastAsia="宋体" w:cs="宋体"/>
                      <w:color w:val="000000"/>
                      <w:bdr w:val="none" w:color="auto" w:sz="0" w:space="0"/>
                    </w:rPr>
                    <w:t>规模</w:t>
                  </w:r>
                </w:p>
              </w:tc>
              <w:tc>
                <w:tcPr>
                  <w:tcW w:w="4808" w:type="dxa"/>
                  <w:tcBorders>
                    <w:top w:val="single" w:color="auto" w:sz="12" w:space="0"/>
                    <w:left w:val="single" w:color="auto" w:sz="6" w:space="0"/>
                    <w:bottom w:val="single" w:color="auto" w:sz="6" w:space="0"/>
                    <w:right w:val="nil"/>
                  </w:tcBorders>
                  <w:shd w:val="clear"/>
                  <w:vAlign w:val="center"/>
                </w:tcPr>
                <w:p w14:paraId="2903E2AF">
                  <w:pPr>
                    <w:pStyle w:val="87"/>
                    <w:widowControl/>
                    <w:rPr>
                      <w:color w:val="000000"/>
                      <w:bdr w:val="none" w:color="auto" w:sz="0" w:space="0"/>
                      <w:lang w:val="en-US"/>
                    </w:rPr>
                  </w:pPr>
                  <w:r>
                    <w:rPr>
                      <w:rFonts w:hint="eastAsia" w:ascii="Times New Roman" w:hAnsi="Times New Roman" w:eastAsia="宋体" w:cs="宋体"/>
                      <w:color w:val="000000"/>
                      <w:bdr w:val="none" w:color="auto" w:sz="0" w:space="0"/>
                    </w:rPr>
                    <w:t>备注</w:t>
                  </w:r>
                </w:p>
              </w:tc>
            </w:tr>
            <w:tr w14:paraId="45959A3B">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28" w:type="dxa"/>
                  <w:bottom w:w="0" w:type="dxa"/>
                  <w:right w:w="28" w:type="dxa"/>
                </w:tblCellMar>
              </w:tblPrEx>
              <w:trPr>
                <w:trHeight w:val="182" w:hRule="atLeast"/>
                <w:jc w:val="center"/>
              </w:trPr>
              <w:tc>
                <w:tcPr>
                  <w:tcW w:w="750" w:type="dxa"/>
                  <w:tcBorders>
                    <w:top w:val="single" w:color="auto" w:sz="6" w:space="0"/>
                    <w:left w:val="nil"/>
                    <w:bottom w:val="single" w:color="auto" w:sz="6" w:space="0"/>
                    <w:right w:val="single" w:color="auto" w:sz="6" w:space="0"/>
                  </w:tcBorders>
                  <w:shd w:val="clear"/>
                  <w:vAlign w:val="center"/>
                </w:tcPr>
                <w:p w14:paraId="4BEFE9B8">
                  <w:pPr>
                    <w:pStyle w:val="87"/>
                    <w:widowControl/>
                    <w:rPr>
                      <w:color w:val="000000"/>
                      <w:bdr w:val="none" w:color="auto" w:sz="0" w:space="0"/>
                      <w:lang w:val="en-US"/>
                    </w:rPr>
                  </w:pPr>
                  <w:r>
                    <w:rPr>
                      <w:color w:val="000000"/>
                      <w:bdr w:val="none" w:color="auto" w:sz="0" w:space="0"/>
                      <w:lang w:val="en-US"/>
                    </w:rPr>
                    <w:t>1</w:t>
                  </w:r>
                </w:p>
              </w:tc>
              <w:tc>
                <w:tcPr>
                  <w:tcW w:w="1551" w:type="dxa"/>
                  <w:tcBorders>
                    <w:top w:val="single" w:color="auto" w:sz="6" w:space="0"/>
                    <w:left w:val="single" w:color="auto" w:sz="6" w:space="0"/>
                    <w:bottom w:val="single" w:color="auto" w:sz="6" w:space="0"/>
                    <w:right w:val="single" w:color="auto" w:sz="6" w:space="0"/>
                  </w:tcBorders>
                  <w:shd w:val="clear"/>
                  <w:vAlign w:val="center"/>
                </w:tcPr>
                <w:p w14:paraId="2C6B433E">
                  <w:pPr>
                    <w:pStyle w:val="87"/>
                    <w:widowControl/>
                    <w:rPr>
                      <w:color w:val="000000"/>
                      <w:bdr w:val="none" w:color="auto" w:sz="0" w:space="0"/>
                      <w:lang w:val="en-US"/>
                    </w:rPr>
                  </w:pPr>
                  <w:r>
                    <w:rPr>
                      <w:rFonts w:hint="eastAsia" w:ascii="Times New Roman" w:hAnsi="Times New Roman" w:eastAsia="宋体" w:cs="宋体"/>
                      <w:color w:val="000000"/>
                      <w:bdr w:val="none" w:color="auto" w:sz="0" w:space="0"/>
                    </w:rPr>
                    <w:t>皮革装饰条</w:t>
                  </w:r>
                </w:p>
              </w:tc>
              <w:tc>
                <w:tcPr>
                  <w:tcW w:w="1276" w:type="dxa"/>
                  <w:tcBorders>
                    <w:top w:val="single" w:color="auto" w:sz="6" w:space="0"/>
                    <w:left w:val="single" w:color="auto" w:sz="6" w:space="0"/>
                    <w:bottom w:val="single" w:color="auto" w:sz="6" w:space="0"/>
                    <w:right w:val="single" w:color="auto" w:sz="6" w:space="0"/>
                  </w:tcBorders>
                  <w:shd w:val="clear"/>
                  <w:vAlign w:val="center"/>
                </w:tcPr>
                <w:p w14:paraId="0C7D0864">
                  <w:pPr>
                    <w:pStyle w:val="87"/>
                    <w:widowControl/>
                    <w:rPr>
                      <w:color w:val="000000"/>
                      <w:bdr w:val="none" w:color="auto" w:sz="0" w:space="0"/>
                      <w:lang w:val="en-US"/>
                    </w:rPr>
                  </w:pPr>
                  <w:r>
                    <w:rPr>
                      <w:color w:val="000000"/>
                      <w:szCs w:val="21"/>
                      <w:bdr w:val="none" w:color="auto" w:sz="0" w:space="0"/>
                      <w:lang w:val="en-US"/>
                    </w:rPr>
                    <w:t>1.5</w:t>
                  </w:r>
                  <w:r>
                    <w:rPr>
                      <w:rFonts w:hint="eastAsia" w:ascii="Times New Roman" w:hAnsi="Times New Roman" w:eastAsia="宋体" w:cs="宋体"/>
                      <w:color w:val="000000"/>
                      <w:szCs w:val="21"/>
                      <w:bdr w:val="none" w:color="auto" w:sz="0" w:space="0"/>
                    </w:rPr>
                    <w:t>万</w:t>
                  </w:r>
                  <w:r>
                    <w:rPr>
                      <w:color w:val="000000"/>
                      <w:szCs w:val="21"/>
                      <w:bdr w:val="none" w:color="auto" w:sz="0" w:space="0"/>
                      <w:lang w:val="en-US"/>
                    </w:rPr>
                    <w:t>m</w:t>
                  </w:r>
                  <w:r>
                    <w:rPr>
                      <w:color w:val="000000"/>
                      <w:szCs w:val="21"/>
                      <w:bdr w:val="none" w:color="auto" w:sz="0" w:space="0"/>
                      <w:vertAlign w:val="superscript"/>
                      <w:lang w:val="en-US"/>
                    </w:rPr>
                    <w:t>2</w:t>
                  </w:r>
                  <w:r>
                    <w:rPr>
                      <w:color w:val="000000"/>
                      <w:szCs w:val="21"/>
                      <w:bdr w:val="none" w:color="auto" w:sz="0" w:space="0"/>
                      <w:lang w:val="en-US"/>
                    </w:rPr>
                    <w:t>/a</w:t>
                  </w:r>
                </w:p>
              </w:tc>
              <w:tc>
                <w:tcPr>
                  <w:tcW w:w="4808" w:type="dxa"/>
                  <w:tcBorders>
                    <w:top w:val="single" w:color="auto" w:sz="6" w:space="0"/>
                    <w:left w:val="single" w:color="auto" w:sz="6" w:space="0"/>
                    <w:bottom w:val="single" w:color="auto" w:sz="6" w:space="0"/>
                    <w:right w:val="nil"/>
                  </w:tcBorders>
                  <w:shd w:val="clear"/>
                  <w:vAlign w:val="center"/>
                </w:tcPr>
                <w:p w14:paraId="02721CE8">
                  <w:pPr>
                    <w:pStyle w:val="87"/>
                    <w:widowControl/>
                    <w:rPr>
                      <w:color w:val="000000"/>
                      <w:szCs w:val="21"/>
                      <w:bdr w:val="none" w:color="auto" w:sz="0" w:space="0"/>
                      <w:lang w:val="en-US"/>
                    </w:rPr>
                  </w:pPr>
                  <w:r>
                    <w:rPr>
                      <w:rFonts w:hint="eastAsia" w:ascii="Times New Roman" w:hAnsi="Times New Roman" w:eastAsia="宋体" w:cs="宋体"/>
                      <w:color w:val="000000"/>
                      <w:szCs w:val="21"/>
                      <w:bdr w:val="none" w:color="auto" w:sz="0" w:space="0"/>
                    </w:rPr>
                    <w:t>用于汽车座椅皮垫生产</w:t>
                  </w:r>
                </w:p>
              </w:tc>
            </w:tr>
            <w:tr w14:paraId="53315F88">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28" w:type="dxa"/>
                  <w:bottom w:w="0" w:type="dxa"/>
                  <w:right w:w="28" w:type="dxa"/>
                </w:tblCellMar>
              </w:tblPrEx>
              <w:trPr>
                <w:trHeight w:val="182" w:hRule="atLeast"/>
                <w:jc w:val="center"/>
              </w:trPr>
              <w:tc>
                <w:tcPr>
                  <w:tcW w:w="750" w:type="dxa"/>
                  <w:tcBorders>
                    <w:top w:val="single" w:color="auto" w:sz="6" w:space="0"/>
                    <w:left w:val="nil"/>
                    <w:bottom w:val="single" w:color="auto" w:sz="6" w:space="0"/>
                    <w:right w:val="single" w:color="auto" w:sz="6" w:space="0"/>
                  </w:tcBorders>
                  <w:shd w:val="clear"/>
                  <w:vAlign w:val="center"/>
                </w:tcPr>
                <w:p w14:paraId="6F540319">
                  <w:pPr>
                    <w:pStyle w:val="87"/>
                    <w:widowControl/>
                    <w:rPr>
                      <w:color w:val="000000"/>
                      <w:bdr w:val="none" w:color="auto" w:sz="0" w:space="0"/>
                      <w:lang w:val="en-US"/>
                    </w:rPr>
                  </w:pPr>
                  <w:r>
                    <w:rPr>
                      <w:color w:val="000000"/>
                      <w:bdr w:val="none" w:color="auto" w:sz="0" w:space="0"/>
                      <w:lang w:val="en-US"/>
                    </w:rPr>
                    <w:t>2</w:t>
                  </w:r>
                </w:p>
              </w:tc>
              <w:tc>
                <w:tcPr>
                  <w:tcW w:w="1551" w:type="dxa"/>
                  <w:tcBorders>
                    <w:top w:val="single" w:color="auto" w:sz="6" w:space="0"/>
                    <w:left w:val="single" w:color="auto" w:sz="6" w:space="0"/>
                    <w:bottom w:val="single" w:color="auto" w:sz="6" w:space="0"/>
                    <w:right w:val="single" w:color="auto" w:sz="6" w:space="0"/>
                  </w:tcBorders>
                  <w:shd w:val="clear"/>
                  <w:vAlign w:val="center"/>
                </w:tcPr>
                <w:p w14:paraId="446E2443">
                  <w:pPr>
                    <w:pStyle w:val="87"/>
                    <w:widowControl/>
                    <w:rPr>
                      <w:color w:val="000000"/>
                      <w:bdr w:val="none" w:color="auto" w:sz="0" w:space="0"/>
                      <w:lang w:val="en-US"/>
                    </w:rPr>
                  </w:pPr>
                  <w:r>
                    <w:rPr>
                      <w:rFonts w:hint="eastAsia" w:ascii="Times New Roman" w:hAnsi="Times New Roman" w:eastAsia="宋体" w:cs="宋体"/>
                      <w:color w:val="000000"/>
                      <w:bdr w:val="none" w:color="auto" w:sz="0" w:space="0"/>
                    </w:rPr>
                    <w:t>云母片</w:t>
                  </w:r>
                </w:p>
              </w:tc>
              <w:tc>
                <w:tcPr>
                  <w:tcW w:w="1276" w:type="dxa"/>
                  <w:tcBorders>
                    <w:top w:val="single" w:color="auto" w:sz="6" w:space="0"/>
                    <w:left w:val="single" w:color="auto" w:sz="6" w:space="0"/>
                    <w:bottom w:val="single" w:color="auto" w:sz="6" w:space="0"/>
                    <w:right w:val="single" w:color="auto" w:sz="6" w:space="0"/>
                  </w:tcBorders>
                  <w:shd w:val="clear"/>
                  <w:vAlign w:val="center"/>
                </w:tcPr>
                <w:p w14:paraId="76B79A85">
                  <w:pPr>
                    <w:pStyle w:val="87"/>
                    <w:widowControl/>
                    <w:rPr>
                      <w:color w:val="000000"/>
                      <w:bdr w:val="none" w:color="auto" w:sz="0" w:space="0"/>
                      <w:lang w:val="en-US"/>
                    </w:rPr>
                  </w:pPr>
                  <w:r>
                    <w:rPr>
                      <w:color w:val="000000"/>
                      <w:szCs w:val="21"/>
                      <w:bdr w:val="none" w:color="auto" w:sz="0" w:space="0"/>
                      <w:lang w:val="en-US"/>
                    </w:rPr>
                    <w:t>1.2</w:t>
                  </w:r>
                  <w:r>
                    <w:rPr>
                      <w:rFonts w:hint="eastAsia" w:ascii="Times New Roman" w:hAnsi="Times New Roman" w:eastAsia="宋体" w:cs="宋体"/>
                      <w:color w:val="000000"/>
                      <w:szCs w:val="21"/>
                      <w:bdr w:val="none" w:color="auto" w:sz="0" w:space="0"/>
                    </w:rPr>
                    <w:t>万片</w:t>
                  </w:r>
                  <w:r>
                    <w:rPr>
                      <w:color w:val="000000"/>
                      <w:szCs w:val="21"/>
                      <w:bdr w:val="none" w:color="auto" w:sz="0" w:space="0"/>
                      <w:lang w:val="en-US"/>
                    </w:rPr>
                    <w:t>/a</w:t>
                  </w:r>
                </w:p>
              </w:tc>
              <w:tc>
                <w:tcPr>
                  <w:tcW w:w="4808" w:type="dxa"/>
                  <w:tcBorders>
                    <w:top w:val="single" w:color="auto" w:sz="6" w:space="0"/>
                    <w:left w:val="single" w:color="auto" w:sz="6" w:space="0"/>
                    <w:bottom w:val="single" w:color="auto" w:sz="6" w:space="0"/>
                    <w:right w:val="nil"/>
                  </w:tcBorders>
                  <w:shd w:val="clear"/>
                  <w:vAlign w:val="center"/>
                </w:tcPr>
                <w:p w14:paraId="799313A4">
                  <w:pPr>
                    <w:pStyle w:val="87"/>
                    <w:widowControl/>
                    <w:rPr>
                      <w:color w:val="000000"/>
                      <w:szCs w:val="21"/>
                      <w:bdr w:val="none" w:color="auto" w:sz="0" w:space="0"/>
                      <w:lang w:val="en-US"/>
                    </w:rPr>
                  </w:pPr>
                  <w:r>
                    <w:rPr>
                      <w:rFonts w:hint="eastAsia" w:ascii="Times New Roman" w:hAnsi="Times New Roman" w:eastAsia="宋体" w:cs="宋体"/>
                      <w:color w:val="000000"/>
                      <w:szCs w:val="21"/>
                      <w:bdr w:val="none" w:color="auto" w:sz="0" w:space="0"/>
                    </w:rPr>
                    <w:t>用于新能源车用电池，具有绝缘、隔热功效</w:t>
                  </w:r>
                </w:p>
              </w:tc>
            </w:tr>
            <w:tr w14:paraId="1C15DDE8">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28" w:type="dxa"/>
                  <w:bottom w:w="0" w:type="dxa"/>
                  <w:right w:w="28" w:type="dxa"/>
                </w:tblCellMar>
              </w:tblPrEx>
              <w:trPr>
                <w:trHeight w:val="182" w:hRule="atLeast"/>
                <w:jc w:val="center"/>
              </w:trPr>
              <w:tc>
                <w:tcPr>
                  <w:tcW w:w="750" w:type="dxa"/>
                  <w:tcBorders>
                    <w:top w:val="single" w:color="auto" w:sz="6" w:space="0"/>
                    <w:left w:val="nil"/>
                    <w:bottom w:val="single" w:color="auto" w:sz="12" w:space="0"/>
                    <w:right w:val="single" w:color="auto" w:sz="6" w:space="0"/>
                  </w:tcBorders>
                  <w:shd w:val="clear"/>
                  <w:vAlign w:val="center"/>
                </w:tcPr>
                <w:p w14:paraId="02D9DAB8">
                  <w:pPr>
                    <w:pStyle w:val="87"/>
                    <w:widowControl/>
                    <w:rPr>
                      <w:color w:val="000000"/>
                      <w:bdr w:val="none" w:color="auto" w:sz="0" w:space="0"/>
                      <w:lang w:val="en-US"/>
                    </w:rPr>
                  </w:pPr>
                  <w:r>
                    <w:rPr>
                      <w:color w:val="000000"/>
                      <w:bdr w:val="none" w:color="auto" w:sz="0" w:space="0"/>
                      <w:lang w:val="en-US"/>
                    </w:rPr>
                    <w:t>3</w:t>
                  </w:r>
                </w:p>
              </w:tc>
              <w:tc>
                <w:tcPr>
                  <w:tcW w:w="1551" w:type="dxa"/>
                  <w:tcBorders>
                    <w:top w:val="single" w:color="auto" w:sz="6" w:space="0"/>
                    <w:left w:val="single" w:color="auto" w:sz="6" w:space="0"/>
                    <w:bottom w:val="single" w:color="auto" w:sz="12" w:space="0"/>
                    <w:right w:val="single" w:color="auto" w:sz="6" w:space="0"/>
                  </w:tcBorders>
                  <w:shd w:val="clear"/>
                  <w:vAlign w:val="center"/>
                </w:tcPr>
                <w:p w14:paraId="7AC3DD65">
                  <w:pPr>
                    <w:pStyle w:val="87"/>
                    <w:widowControl/>
                    <w:rPr>
                      <w:color w:val="000000"/>
                      <w:bdr w:val="none" w:color="auto" w:sz="0" w:space="0"/>
                      <w:lang w:val="en-US"/>
                    </w:rPr>
                  </w:pPr>
                  <w:r>
                    <w:rPr>
                      <w:rFonts w:hint="eastAsia" w:ascii="Times New Roman" w:hAnsi="Times New Roman" w:eastAsia="宋体" w:cs="宋体"/>
                      <w:color w:val="000000"/>
                      <w:bdr w:val="none" w:color="auto" w:sz="0" w:space="0"/>
                    </w:rPr>
                    <w:t>泡棉制品</w:t>
                  </w:r>
                </w:p>
              </w:tc>
              <w:tc>
                <w:tcPr>
                  <w:tcW w:w="1276" w:type="dxa"/>
                  <w:tcBorders>
                    <w:top w:val="single" w:color="auto" w:sz="6" w:space="0"/>
                    <w:left w:val="single" w:color="auto" w:sz="6" w:space="0"/>
                    <w:bottom w:val="single" w:color="auto" w:sz="12" w:space="0"/>
                    <w:right w:val="single" w:color="auto" w:sz="6" w:space="0"/>
                  </w:tcBorders>
                  <w:shd w:val="clear"/>
                  <w:vAlign w:val="center"/>
                </w:tcPr>
                <w:p w14:paraId="13950562">
                  <w:pPr>
                    <w:pStyle w:val="87"/>
                    <w:widowControl/>
                    <w:rPr>
                      <w:color w:val="000000"/>
                      <w:szCs w:val="21"/>
                      <w:bdr w:val="none" w:color="auto" w:sz="0" w:space="0"/>
                      <w:lang w:val="en-US"/>
                    </w:rPr>
                  </w:pPr>
                  <w:r>
                    <w:rPr>
                      <w:color w:val="000000"/>
                      <w:szCs w:val="21"/>
                      <w:bdr w:val="none" w:color="auto" w:sz="0" w:space="0"/>
                      <w:lang w:val="en-US"/>
                    </w:rPr>
                    <w:t>1.5</w:t>
                  </w:r>
                  <w:r>
                    <w:rPr>
                      <w:rFonts w:hint="eastAsia" w:ascii="Times New Roman" w:hAnsi="Times New Roman" w:eastAsia="宋体" w:cs="宋体"/>
                      <w:color w:val="000000"/>
                      <w:szCs w:val="21"/>
                      <w:bdr w:val="none" w:color="auto" w:sz="0" w:space="0"/>
                    </w:rPr>
                    <w:t>万</w:t>
                  </w:r>
                  <w:r>
                    <w:rPr>
                      <w:color w:val="000000"/>
                      <w:szCs w:val="21"/>
                      <w:bdr w:val="none" w:color="auto" w:sz="0" w:space="0"/>
                      <w:lang w:val="en-US"/>
                    </w:rPr>
                    <w:t>m</w:t>
                  </w:r>
                  <w:r>
                    <w:rPr>
                      <w:color w:val="000000"/>
                      <w:szCs w:val="21"/>
                      <w:bdr w:val="none" w:color="auto" w:sz="0" w:space="0"/>
                      <w:vertAlign w:val="superscript"/>
                      <w:lang w:val="en-US"/>
                    </w:rPr>
                    <w:t>2</w:t>
                  </w:r>
                  <w:r>
                    <w:rPr>
                      <w:color w:val="000000"/>
                      <w:szCs w:val="21"/>
                      <w:bdr w:val="none" w:color="auto" w:sz="0" w:space="0"/>
                      <w:lang w:val="en-US"/>
                    </w:rPr>
                    <w:t>/a</w:t>
                  </w:r>
                </w:p>
              </w:tc>
              <w:tc>
                <w:tcPr>
                  <w:tcW w:w="4808" w:type="dxa"/>
                  <w:tcBorders>
                    <w:top w:val="single" w:color="auto" w:sz="6" w:space="0"/>
                    <w:left w:val="single" w:color="auto" w:sz="6" w:space="0"/>
                    <w:bottom w:val="single" w:color="auto" w:sz="12" w:space="0"/>
                    <w:right w:val="nil"/>
                  </w:tcBorders>
                  <w:shd w:val="clear"/>
                  <w:vAlign w:val="center"/>
                </w:tcPr>
                <w:p w14:paraId="182D4D5F">
                  <w:pPr>
                    <w:pStyle w:val="87"/>
                    <w:widowControl/>
                    <w:rPr>
                      <w:color w:val="000000"/>
                      <w:szCs w:val="21"/>
                      <w:bdr w:val="none" w:color="auto" w:sz="0" w:space="0"/>
                      <w:lang w:val="en-US"/>
                    </w:rPr>
                  </w:pPr>
                  <w:r>
                    <w:rPr>
                      <w:rFonts w:hint="eastAsia" w:ascii="Times New Roman" w:hAnsi="Times New Roman" w:eastAsia="宋体" w:cs="宋体"/>
                      <w:color w:val="000000"/>
                      <w:szCs w:val="21"/>
                      <w:bdr w:val="none" w:color="auto" w:sz="0" w:space="0"/>
                    </w:rPr>
                    <w:t>应用于新能源汽车等领域密封、缓冲、压紧。分为硅胶泡棉制品、网格通风棉制品和其他泡棉制品</w:t>
                  </w:r>
                </w:p>
              </w:tc>
            </w:tr>
          </w:tbl>
          <w:p w14:paraId="32EB1E0B">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Times New Roman" w:cs="Times New Roman"/>
                <w:b/>
                <w:bCs w:val="0"/>
                <w:color w:val="000000"/>
                <w:kern w:val="0"/>
                <w:sz w:val="24"/>
                <w:szCs w:val="24"/>
                <w:bdr w:val="none" w:color="auto" w:sz="0" w:space="0"/>
                <w:lang w:val="en-US"/>
              </w:rPr>
            </w:pPr>
            <w:r>
              <w:rPr>
                <w:rFonts w:hint="default" w:ascii="Times New Roman" w:hAnsi="Times New Roman" w:eastAsia="宋体" w:cs="Times New Roman"/>
                <w:b/>
                <w:bCs w:val="0"/>
                <w:color w:val="000000"/>
                <w:kern w:val="0"/>
                <w:sz w:val="24"/>
                <w:szCs w:val="24"/>
                <w:bdr w:val="none" w:color="auto" w:sz="0" w:space="0"/>
                <w:lang w:val="en-US" w:eastAsia="zh-CN" w:bidi="ar"/>
              </w:rPr>
              <w:t>2.12.2</w:t>
            </w:r>
            <w:r>
              <w:rPr>
                <w:rFonts w:hint="eastAsia" w:ascii="Times New Roman" w:hAnsi="Times New Roman" w:eastAsia="宋体" w:cs="宋体"/>
                <w:b/>
                <w:bCs w:val="0"/>
                <w:color w:val="000000"/>
                <w:kern w:val="0"/>
                <w:sz w:val="24"/>
                <w:szCs w:val="24"/>
                <w:bdr w:val="none" w:color="auto" w:sz="0" w:space="0"/>
                <w:lang w:val="en-US" w:eastAsia="zh-CN" w:bidi="ar"/>
              </w:rPr>
              <w:t>现有项目组成情况</w:t>
            </w:r>
          </w:p>
          <w:p w14:paraId="73462064">
            <w:pPr>
              <w:keepNext w:val="0"/>
              <w:keepLines w:val="0"/>
              <w:widowControl/>
              <w:suppressLineNumbers w:val="0"/>
              <w:spacing w:before="0" w:beforeAutospacing="0" w:after="0" w:afterAutospacing="0" w:line="440" w:lineRule="exact"/>
              <w:ind w:left="0" w:right="0" w:firstLine="480" w:firstLineChars="200"/>
              <w:jc w:val="center"/>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表</w:t>
            </w:r>
            <w:r>
              <w:rPr>
                <w:rFonts w:hint="default" w:ascii="Times New Roman" w:hAnsi="宋体" w:eastAsia="宋体" w:cs="Times New Roman"/>
                <w:color w:val="000000"/>
                <w:kern w:val="2"/>
                <w:sz w:val="24"/>
                <w:szCs w:val="24"/>
                <w:bdr w:val="none" w:color="auto" w:sz="0" w:space="0"/>
                <w:lang w:val="en-US" w:eastAsia="zh-CN" w:bidi="ar"/>
              </w:rPr>
              <w:t xml:space="preserve">2.12-2 </w:t>
            </w:r>
            <w:r>
              <w:rPr>
                <w:rFonts w:hint="eastAsia" w:ascii="Times New Roman" w:hAnsi="宋体" w:eastAsia="宋体" w:cs="宋体"/>
                <w:color w:val="000000"/>
                <w:kern w:val="2"/>
                <w:sz w:val="24"/>
                <w:szCs w:val="24"/>
                <w:bdr w:val="none" w:color="auto" w:sz="0" w:space="0"/>
                <w:lang w:val="en-US" w:eastAsia="zh-CN" w:bidi="ar"/>
              </w:rPr>
              <w:t>现有项目组成情况表</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Layout w:type="fixed"/>
              <w:tblCellMar>
                <w:top w:w="0" w:type="dxa"/>
                <w:left w:w="108" w:type="dxa"/>
                <w:bottom w:w="0" w:type="dxa"/>
                <w:right w:w="108" w:type="dxa"/>
              </w:tblCellMar>
            </w:tblPr>
            <w:tblGrid>
              <w:gridCol w:w="849"/>
              <w:gridCol w:w="969"/>
              <w:gridCol w:w="6566"/>
            </w:tblGrid>
            <w:tr w14:paraId="049DD09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CellMar>
                  <w:top w:w="0" w:type="dxa"/>
                  <w:left w:w="108" w:type="dxa"/>
                  <w:bottom w:w="0" w:type="dxa"/>
                  <w:right w:w="108" w:type="dxa"/>
                </w:tblCellMar>
              </w:tblPrEx>
              <w:trPr>
                <w:trHeight w:val="50" w:hRule="atLeast"/>
                <w:jc w:val="center"/>
              </w:trPr>
              <w:tc>
                <w:tcPr>
                  <w:tcW w:w="1820" w:type="dxa"/>
                  <w:gridSpan w:val="2"/>
                  <w:tcBorders>
                    <w:top w:val="single" w:color="auto" w:sz="12" w:space="0"/>
                    <w:left w:val="nil"/>
                    <w:bottom w:val="single" w:color="auto" w:sz="4" w:space="0"/>
                    <w:right w:val="single" w:color="auto" w:sz="4" w:space="0"/>
                  </w:tcBorders>
                  <w:shd w:val="clear"/>
                  <w:vAlign w:val="center"/>
                </w:tcPr>
                <w:p w14:paraId="12AC61F3">
                  <w:pPr>
                    <w:pStyle w:val="69"/>
                    <w:widowControl/>
                    <w:spacing w:line="300" w:lineRule="exact"/>
                    <w:rPr>
                      <w:color w:val="000000"/>
                      <w:bdr w:val="none" w:color="auto" w:sz="0" w:space="0"/>
                      <w:lang w:val="en-US"/>
                    </w:rPr>
                  </w:pPr>
                  <w:r>
                    <w:rPr>
                      <w:rFonts w:hint="eastAsia" w:ascii="Calibri" w:hAnsi="Calibri" w:eastAsia="宋体" w:cs="宋体"/>
                      <w:color w:val="000000"/>
                      <w:bdr w:val="none" w:color="auto" w:sz="0" w:space="0"/>
                    </w:rPr>
                    <w:t>项目组成</w:t>
                  </w:r>
                </w:p>
              </w:tc>
              <w:tc>
                <w:tcPr>
                  <w:tcW w:w="6565" w:type="dxa"/>
                  <w:tcBorders>
                    <w:top w:val="single" w:color="auto" w:sz="12" w:space="0"/>
                    <w:left w:val="single" w:color="auto" w:sz="4" w:space="0"/>
                    <w:bottom w:val="single" w:color="auto" w:sz="4" w:space="0"/>
                    <w:right w:val="nil"/>
                  </w:tcBorders>
                  <w:shd w:val="clear"/>
                  <w:vAlign w:val="center"/>
                </w:tcPr>
                <w:p w14:paraId="09948A5D">
                  <w:pPr>
                    <w:pStyle w:val="69"/>
                    <w:widowControl/>
                    <w:spacing w:line="300" w:lineRule="exact"/>
                    <w:rPr>
                      <w:color w:val="000000"/>
                      <w:bdr w:val="none" w:color="auto" w:sz="0" w:space="0"/>
                      <w:lang w:val="en-US"/>
                    </w:rPr>
                  </w:pPr>
                  <w:r>
                    <w:rPr>
                      <w:rFonts w:hint="eastAsia" w:ascii="宋体" w:hAnsi="宋体" w:eastAsia="宋体" w:cs="宋体"/>
                      <w:color w:val="000000"/>
                      <w:szCs w:val="21"/>
                      <w:bdr w:val="none" w:color="auto" w:sz="0" w:space="0"/>
                    </w:rPr>
                    <w:t>现有建设内容</w:t>
                  </w:r>
                </w:p>
              </w:tc>
            </w:tr>
            <w:tr w14:paraId="529A8B1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850" w:type="dxa"/>
                  <w:tcBorders>
                    <w:top w:val="single" w:color="auto" w:sz="4" w:space="0"/>
                    <w:left w:val="nil"/>
                    <w:bottom w:val="single" w:color="auto" w:sz="4" w:space="0"/>
                    <w:right w:val="single" w:color="auto" w:sz="4" w:space="0"/>
                  </w:tcBorders>
                  <w:shd w:val="clear"/>
                  <w:vAlign w:val="center"/>
                </w:tcPr>
                <w:p w14:paraId="3830352E">
                  <w:pPr>
                    <w:keepNext w:val="0"/>
                    <w:keepLines w:val="0"/>
                    <w:widowControl w:val="0"/>
                    <w:suppressLineNumbers w:val="0"/>
                    <w:spacing w:before="0" w:beforeAutospacing="0" w:after="0" w:afterAutospacing="0" w:line="300" w:lineRule="exact"/>
                    <w:ind w:left="0" w:right="0"/>
                    <w:jc w:val="center"/>
                    <w:rPr>
                      <w:rFonts w:hAnsi="宋体"/>
                      <w:color w:val="000000"/>
                      <w:szCs w:val="21"/>
                      <w:bdr w:val="none" w:color="auto" w:sz="0" w:space="0"/>
                      <w:lang w:val="en-US"/>
                    </w:rPr>
                  </w:pPr>
                  <w:r>
                    <w:rPr>
                      <w:rFonts w:hint="eastAsia" w:ascii="Calibri" w:hAnsi="宋体" w:eastAsia="宋体" w:cs="宋体"/>
                      <w:color w:val="000000"/>
                      <w:kern w:val="2"/>
                      <w:sz w:val="21"/>
                      <w:szCs w:val="21"/>
                      <w:bdr w:val="none" w:color="auto" w:sz="0" w:space="0"/>
                      <w:lang w:val="en-US" w:eastAsia="zh-CN" w:bidi="ar"/>
                    </w:rPr>
                    <w:t>主体</w:t>
                  </w:r>
                </w:p>
                <w:p w14:paraId="12165329">
                  <w:pPr>
                    <w:keepNext w:val="0"/>
                    <w:keepLines w:val="0"/>
                    <w:widowControl w:val="0"/>
                    <w:suppressLineNumbers w:val="0"/>
                    <w:spacing w:before="0" w:beforeAutospacing="0" w:after="0" w:afterAutospacing="0" w:line="300" w:lineRule="exact"/>
                    <w:ind w:left="0" w:right="0"/>
                    <w:jc w:val="center"/>
                    <w:rPr>
                      <w:color w:val="000000"/>
                      <w:szCs w:val="21"/>
                      <w:bdr w:val="none" w:color="auto" w:sz="0" w:space="0"/>
                      <w:lang w:val="en-US"/>
                    </w:rPr>
                  </w:pPr>
                  <w:r>
                    <w:rPr>
                      <w:rFonts w:hint="eastAsia" w:ascii="Calibri" w:hAnsi="宋体" w:eastAsia="宋体" w:cs="宋体"/>
                      <w:color w:val="000000"/>
                      <w:kern w:val="2"/>
                      <w:sz w:val="21"/>
                      <w:szCs w:val="21"/>
                      <w:bdr w:val="none" w:color="auto" w:sz="0" w:space="0"/>
                      <w:lang w:val="en-US" w:eastAsia="zh-CN" w:bidi="ar"/>
                    </w:rPr>
                    <w:t>工程</w:t>
                  </w:r>
                </w:p>
              </w:tc>
              <w:tc>
                <w:tcPr>
                  <w:tcW w:w="970" w:type="dxa"/>
                  <w:tcBorders>
                    <w:top w:val="single" w:color="auto" w:sz="4" w:space="0"/>
                    <w:left w:val="single" w:color="auto" w:sz="4" w:space="0"/>
                    <w:bottom w:val="single" w:color="auto" w:sz="4" w:space="0"/>
                    <w:right w:val="single" w:color="auto" w:sz="4" w:space="0"/>
                  </w:tcBorders>
                  <w:shd w:val="clear"/>
                  <w:vAlign w:val="center"/>
                </w:tcPr>
                <w:p w14:paraId="2A56B5B0">
                  <w:pPr>
                    <w:keepNext w:val="0"/>
                    <w:keepLines w:val="0"/>
                    <w:widowControl w:val="0"/>
                    <w:suppressLineNumbers w:val="0"/>
                    <w:spacing w:before="0" w:beforeAutospacing="0" w:after="0" w:afterAutospacing="0" w:line="300" w:lineRule="exact"/>
                    <w:ind w:left="0" w:right="0"/>
                    <w:jc w:val="center"/>
                    <w:rPr>
                      <w:rFonts w:hAnsi="宋体"/>
                      <w:color w:val="000000"/>
                      <w:szCs w:val="21"/>
                      <w:bdr w:val="none" w:color="auto" w:sz="0" w:space="0"/>
                      <w:lang w:val="en-US"/>
                    </w:rPr>
                  </w:pPr>
                  <w:r>
                    <w:rPr>
                      <w:rFonts w:hint="eastAsia" w:ascii="Calibri" w:hAnsi="宋体" w:eastAsia="宋体" w:cs="宋体"/>
                      <w:color w:val="000000"/>
                      <w:kern w:val="2"/>
                      <w:sz w:val="21"/>
                      <w:szCs w:val="21"/>
                      <w:bdr w:val="none" w:color="auto" w:sz="0" w:space="0"/>
                      <w:lang w:val="en-US" w:eastAsia="zh-CN" w:bidi="ar"/>
                    </w:rPr>
                    <w:t>生产</w:t>
                  </w:r>
                </w:p>
                <w:p w14:paraId="655BE107">
                  <w:pPr>
                    <w:keepNext w:val="0"/>
                    <w:keepLines w:val="0"/>
                    <w:widowControl w:val="0"/>
                    <w:suppressLineNumbers w:val="0"/>
                    <w:spacing w:before="0" w:beforeAutospacing="0" w:after="0" w:afterAutospacing="0" w:line="300" w:lineRule="exact"/>
                    <w:ind w:left="0" w:right="0"/>
                    <w:jc w:val="center"/>
                    <w:rPr>
                      <w:color w:val="000000"/>
                      <w:szCs w:val="21"/>
                      <w:bdr w:val="none" w:color="auto" w:sz="0" w:space="0"/>
                      <w:lang w:val="en-US"/>
                    </w:rPr>
                  </w:pPr>
                  <w:r>
                    <w:rPr>
                      <w:rFonts w:hint="eastAsia" w:ascii="Calibri" w:hAnsi="宋体" w:eastAsia="宋体" w:cs="宋体"/>
                      <w:color w:val="000000"/>
                      <w:kern w:val="2"/>
                      <w:sz w:val="21"/>
                      <w:szCs w:val="21"/>
                      <w:bdr w:val="none" w:color="auto" w:sz="0" w:space="0"/>
                      <w:lang w:val="en-US" w:eastAsia="zh-CN" w:bidi="ar"/>
                    </w:rPr>
                    <w:t>厂房</w:t>
                  </w:r>
                </w:p>
              </w:tc>
              <w:tc>
                <w:tcPr>
                  <w:tcW w:w="6565" w:type="dxa"/>
                  <w:tcBorders>
                    <w:top w:val="single" w:color="auto" w:sz="4" w:space="0"/>
                    <w:left w:val="single" w:color="auto" w:sz="4" w:space="0"/>
                    <w:bottom w:val="single" w:color="auto" w:sz="4" w:space="0"/>
                    <w:right w:val="nil"/>
                  </w:tcBorders>
                  <w:shd w:val="clear"/>
                  <w:vAlign w:val="center"/>
                </w:tcPr>
                <w:p w14:paraId="54AC851D">
                  <w:pPr>
                    <w:pStyle w:val="45"/>
                    <w:widowControl/>
                    <w:adjustRightInd w:val="0"/>
                    <w:snapToGrid w:val="0"/>
                    <w:spacing w:line="300" w:lineRule="exact"/>
                    <w:ind w:left="0" w:firstLine="0" w:firstLineChars="0"/>
                    <w:jc w:val="left"/>
                    <w:rPr>
                      <w:color w:val="000000"/>
                      <w:szCs w:val="21"/>
                      <w:bdr w:val="none" w:color="auto" w:sz="0" w:space="0"/>
                      <w:lang w:val="en-US" w:eastAsia="zh-CN"/>
                    </w:rPr>
                  </w:pPr>
                  <w:r>
                    <w:rPr>
                      <w:color w:val="000000"/>
                      <w:szCs w:val="21"/>
                      <w:bdr w:val="none" w:color="auto" w:sz="0" w:space="0"/>
                      <w:lang w:val="en-US" w:eastAsia="zh-CN"/>
                    </w:rPr>
                    <w:t>①</w:t>
                  </w:r>
                  <w:r>
                    <w:rPr>
                      <w:rFonts w:hint="eastAsia" w:ascii="Times New Roman" w:hAnsi="Times New Roman" w:eastAsia="宋体" w:cs="宋体"/>
                      <w:color w:val="000000"/>
                      <w:szCs w:val="21"/>
                      <w:bdr w:val="none" w:color="auto" w:sz="0" w:space="0"/>
                      <w:lang w:val="en-US" w:eastAsia="zh-CN"/>
                    </w:rPr>
                    <w:t>上下共两层，总建筑面积约</w:t>
                  </w:r>
                  <w:r>
                    <w:rPr>
                      <w:color w:val="000000"/>
                      <w:szCs w:val="21"/>
                      <w:bdr w:val="none" w:color="auto" w:sz="0" w:space="0"/>
                      <w:lang w:val="en-US" w:eastAsia="zh-CN"/>
                    </w:rPr>
                    <w:t>4887.02</w:t>
                  </w:r>
                  <w:r>
                    <w:rPr>
                      <w:bCs/>
                      <w:color w:val="000000"/>
                      <w:szCs w:val="21"/>
                      <w:bdr w:val="none" w:color="auto" w:sz="0" w:space="0"/>
                      <w:lang w:val="en-US" w:eastAsia="zh-CN"/>
                    </w:rPr>
                    <w:t>m</w:t>
                  </w:r>
                  <w:r>
                    <w:rPr>
                      <w:bCs/>
                      <w:color w:val="000000"/>
                      <w:szCs w:val="21"/>
                      <w:bdr w:val="none" w:color="auto" w:sz="0" w:space="0"/>
                      <w:vertAlign w:val="superscript"/>
                      <w:lang w:val="en-US" w:eastAsia="zh-CN"/>
                    </w:rPr>
                    <w:t>2</w:t>
                  </w:r>
                  <w:r>
                    <w:rPr>
                      <w:rFonts w:hint="eastAsia" w:ascii="Times New Roman" w:hAnsi="Times New Roman" w:eastAsia="宋体" w:cs="宋体"/>
                      <w:color w:val="000000"/>
                      <w:szCs w:val="21"/>
                      <w:bdr w:val="none" w:color="auto" w:sz="0" w:space="0"/>
                      <w:lang w:val="en-US" w:eastAsia="zh-CN"/>
                    </w:rPr>
                    <w:t>。</w:t>
                  </w:r>
                </w:p>
                <w:p w14:paraId="716B5C21">
                  <w:pPr>
                    <w:pStyle w:val="45"/>
                    <w:widowControl/>
                    <w:adjustRightInd w:val="0"/>
                    <w:snapToGrid w:val="0"/>
                    <w:spacing w:line="300" w:lineRule="exact"/>
                    <w:ind w:left="0" w:firstLine="0" w:firstLineChars="0"/>
                    <w:jc w:val="left"/>
                    <w:rPr>
                      <w:color w:val="000000"/>
                      <w:szCs w:val="21"/>
                      <w:bdr w:val="none" w:color="auto" w:sz="0" w:space="0"/>
                      <w:lang w:val="en-US" w:eastAsia="zh-CN"/>
                    </w:rPr>
                  </w:pPr>
                  <w:r>
                    <w:rPr>
                      <w:color w:val="000000"/>
                      <w:szCs w:val="21"/>
                      <w:bdr w:val="none" w:color="auto" w:sz="0" w:space="0"/>
                      <w:lang w:val="en-US" w:eastAsia="zh-CN"/>
                    </w:rPr>
                    <w:t>②1F</w:t>
                  </w:r>
                  <w:r>
                    <w:rPr>
                      <w:rFonts w:hint="eastAsia" w:ascii="Times New Roman" w:hAnsi="Times New Roman" w:eastAsia="宋体" w:cs="宋体"/>
                      <w:color w:val="000000"/>
                      <w:szCs w:val="21"/>
                      <w:bdr w:val="none" w:color="auto" w:sz="0" w:space="0"/>
                      <w:lang w:val="en-US" w:eastAsia="zh-CN"/>
                    </w:rPr>
                    <w:t>，</w:t>
                  </w:r>
                  <w:r>
                    <w:rPr>
                      <w:color w:val="000000"/>
                      <w:szCs w:val="21"/>
                      <w:bdr w:val="none" w:color="auto" w:sz="0" w:space="0"/>
                      <w:lang w:val="en-US" w:eastAsia="zh-CN"/>
                    </w:rPr>
                    <w:t>H=4.5m</w:t>
                  </w:r>
                  <w:r>
                    <w:rPr>
                      <w:rFonts w:hint="eastAsia" w:ascii="Times New Roman" w:hAnsi="Times New Roman" w:eastAsia="宋体" w:cs="宋体"/>
                      <w:color w:val="000000"/>
                      <w:szCs w:val="21"/>
                      <w:bdr w:val="none" w:color="auto" w:sz="0" w:space="0"/>
                      <w:lang w:val="en-US" w:eastAsia="zh-CN"/>
                    </w:rPr>
                    <w:t>，面积约</w:t>
                  </w:r>
                  <w:r>
                    <w:rPr>
                      <w:color w:val="000000"/>
                      <w:szCs w:val="21"/>
                      <w:bdr w:val="none" w:color="auto" w:sz="0" w:space="0"/>
                      <w:lang w:val="en-US" w:eastAsia="zh-CN"/>
                    </w:rPr>
                    <w:t>2443.51</w:t>
                  </w:r>
                  <w:r>
                    <w:rPr>
                      <w:bCs/>
                      <w:color w:val="000000"/>
                      <w:szCs w:val="21"/>
                      <w:bdr w:val="none" w:color="auto" w:sz="0" w:space="0"/>
                      <w:lang w:val="en-US" w:eastAsia="zh-CN"/>
                    </w:rPr>
                    <w:t xml:space="preserve"> m</w:t>
                  </w:r>
                  <w:r>
                    <w:rPr>
                      <w:bCs/>
                      <w:color w:val="000000"/>
                      <w:szCs w:val="21"/>
                      <w:bdr w:val="none" w:color="auto" w:sz="0" w:space="0"/>
                      <w:vertAlign w:val="superscript"/>
                      <w:lang w:val="en-US" w:eastAsia="zh-CN"/>
                    </w:rPr>
                    <w:t>2</w:t>
                  </w:r>
                  <w:r>
                    <w:rPr>
                      <w:rFonts w:hint="eastAsia" w:ascii="Times New Roman" w:hAnsi="Times New Roman" w:eastAsia="宋体" w:cs="宋体"/>
                      <w:color w:val="000000"/>
                      <w:szCs w:val="21"/>
                      <w:bdr w:val="none" w:color="auto" w:sz="0" w:space="0"/>
                      <w:lang w:val="en-US" w:eastAsia="zh-CN"/>
                    </w:rPr>
                    <w:t>，</w:t>
                  </w:r>
                  <w:r>
                    <w:rPr>
                      <w:color w:val="000000"/>
                      <w:szCs w:val="21"/>
                      <w:bdr w:val="none" w:color="auto" w:sz="0" w:space="0"/>
                      <w:lang w:val="en-US" w:eastAsia="zh-CN"/>
                    </w:rPr>
                    <w:t>1F</w:t>
                  </w:r>
                  <w:r>
                    <w:rPr>
                      <w:rFonts w:hint="eastAsia" w:ascii="Times New Roman" w:hAnsi="Times New Roman" w:eastAsia="宋体" w:cs="宋体"/>
                      <w:color w:val="000000"/>
                      <w:szCs w:val="21"/>
                      <w:bdr w:val="none" w:color="auto" w:sz="0" w:space="0"/>
                      <w:lang w:val="en-US" w:eastAsia="zh-CN"/>
                    </w:rPr>
                    <w:t>北侧为办公区，南侧为生产区。生产区布置有网格棉生产区、云母板生产区、泡棉制品生产区，配套设置激光切割机、雕刻机、涂胶分切机、立切机、压痕机、四柱压机等。</w:t>
                  </w:r>
                </w:p>
                <w:p w14:paraId="3C5AFE60">
                  <w:pPr>
                    <w:pStyle w:val="45"/>
                    <w:widowControl/>
                    <w:adjustRightInd w:val="0"/>
                    <w:snapToGrid w:val="0"/>
                    <w:spacing w:line="300" w:lineRule="exact"/>
                    <w:ind w:left="0" w:firstLine="0" w:firstLineChars="0"/>
                    <w:jc w:val="left"/>
                    <w:rPr>
                      <w:color w:val="000000"/>
                      <w:szCs w:val="21"/>
                      <w:bdr w:val="none" w:color="auto" w:sz="0" w:space="0"/>
                      <w:lang w:val="en-US" w:eastAsia="zh-CN"/>
                    </w:rPr>
                  </w:pPr>
                  <w:r>
                    <w:rPr>
                      <w:rFonts w:hint="eastAsia" w:ascii="宋体" w:hAnsi="宋体" w:eastAsia="宋体" w:cs="宋体"/>
                      <w:color w:val="000000"/>
                      <w:szCs w:val="21"/>
                      <w:bdr w:val="none" w:color="auto" w:sz="0" w:space="0"/>
                      <w:lang w:val="en-US" w:eastAsia="zh-CN"/>
                    </w:rPr>
                    <w:t>③</w:t>
                  </w:r>
                  <w:r>
                    <w:rPr>
                      <w:color w:val="000000"/>
                      <w:szCs w:val="21"/>
                      <w:bdr w:val="none" w:color="auto" w:sz="0" w:space="0"/>
                      <w:lang w:val="en-US" w:eastAsia="zh-CN"/>
                    </w:rPr>
                    <w:t>2F</w:t>
                  </w:r>
                  <w:r>
                    <w:rPr>
                      <w:rFonts w:hint="eastAsia" w:ascii="Times New Roman" w:hAnsi="Times New Roman" w:eastAsia="宋体" w:cs="宋体"/>
                      <w:color w:val="000000"/>
                      <w:szCs w:val="21"/>
                      <w:bdr w:val="none" w:color="auto" w:sz="0" w:space="0"/>
                      <w:lang w:val="en-US" w:eastAsia="zh-CN"/>
                    </w:rPr>
                    <w:t>，</w:t>
                  </w:r>
                  <w:r>
                    <w:rPr>
                      <w:color w:val="000000"/>
                      <w:szCs w:val="21"/>
                      <w:bdr w:val="none" w:color="auto" w:sz="0" w:space="0"/>
                      <w:lang w:val="en-US" w:eastAsia="zh-CN"/>
                    </w:rPr>
                    <w:t>H=3.5m</w:t>
                  </w:r>
                  <w:r>
                    <w:rPr>
                      <w:rFonts w:hint="eastAsia" w:ascii="Times New Roman" w:hAnsi="Times New Roman" w:eastAsia="宋体" w:cs="宋体"/>
                      <w:color w:val="000000"/>
                      <w:szCs w:val="21"/>
                      <w:bdr w:val="none" w:color="auto" w:sz="0" w:space="0"/>
                      <w:lang w:val="en-US" w:eastAsia="zh-CN"/>
                    </w:rPr>
                    <w:t>面积约</w:t>
                  </w:r>
                  <w:r>
                    <w:rPr>
                      <w:color w:val="000000"/>
                      <w:szCs w:val="21"/>
                      <w:bdr w:val="none" w:color="auto" w:sz="0" w:space="0"/>
                      <w:lang w:val="en-US" w:eastAsia="zh-CN"/>
                    </w:rPr>
                    <w:t>2443.51</w:t>
                  </w:r>
                  <w:r>
                    <w:rPr>
                      <w:bCs/>
                      <w:color w:val="000000"/>
                      <w:szCs w:val="21"/>
                      <w:bdr w:val="none" w:color="auto" w:sz="0" w:space="0"/>
                      <w:lang w:val="en-US" w:eastAsia="zh-CN"/>
                    </w:rPr>
                    <w:t xml:space="preserve"> m</w:t>
                  </w:r>
                  <w:r>
                    <w:rPr>
                      <w:bCs/>
                      <w:color w:val="000000"/>
                      <w:szCs w:val="21"/>
                      <w:bdr w:val="none" w:color="auto" w:sz="0" w:space="0"/>
                      <w:vertAlign w:val="superscript"/>
                      <w:lang w:val="en-US" w:eastAsia="zh-CN"/>
                    </w:rPr>
                    <w:t>2</w:t>
                  </w:r>
                  <w:r>
                    <w:rPr>
                      <w:rFonts w:hint="eastAsia" w:ascii="Times New Roman" w:hAnsi="Times New Roman" w:eastAsia="宋体" w:cs="宋体"/>
                      <w:color w:val="000000"/>
                      <w:szCs w:val="21"/>
                      <w:bdr w:val="none" w:color="auto" w:sz="0" w:space="0"/>
                      <w:lang w:val="en-US" w:eastAsia="zh-CN"/>
                    </w:rPr>
                    <w:t>，</w:t>
                  </w:r>
                  <w:r>
                    <w:rPr>
                      <w:color w:val="000000"/>
                      <w:szCs w:val="21"/>
                      <w:bdr w:val="none" w:color="auto" w:sz="0" w:space="0"/>
                      <w:lang w:val="en-US" w:eastAsia="zh-CN"/>
                    </w:rPr>
                    <w:t>2F</w:t>
                  </w:r>
                  <w:r>
                    <w:rPr>
                      <w:rFonts w:hint="eastAsia" w:ascii="Times New Roman" w:hAnsi="Times New Roman" w:eastAsia="宋体" w:cs="宋体"/>
                      <w:color w:val="000000"/>
                      <w:szCs w:val="21"/>
                      <w:bdr w:val="none" w:color="auto" w:sz="0" w:space="0"/>
                      <w:lang w:val="en-US" w:eastAsia="zh-CN"/>
                    </w:rPr>
                    <w:t>北侧为办公区，南侧为生产区，生产区布置有皮革装饰条生产区、粘接区，配套设置有皮革装饰条生产线、分条机、圆刀机、粘接机等。</w:t>
                  </w:r>
                </w:p>
              </w:tc>
            </w:tr>
            <w:tr w14:paraId="63676D0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850" w:type="dxa"/>
                  <w:tcBorders>
                    <w:top w:val="single" w:color="auto" w:sz="4" w:space="0"/>
                    <w:left w:val="nil"/>
                    <w:bottom w:val="single" w:color="auto" w:sz="4" w:space="0"/>
                    <w:right w:val="single" w:color="auto" w:sz="4" w:space="0"/>
                  </w:tcBorders>
                  <w:shd w:val="clear"/>
                  <w:vAlign w:val="center"/>
                </w:tcPr>
                <w:p w14:paraId="4ED57073">
                  <w:pPr>
                    <w:keepNext w:val="0"/>
                    <w:keepLines w:val="0"/>
                    <w:widowControl w:val="0"/>
                    <w:suppressLineNumbers w:val="0"/>
                    <w:spacing w:before="0" w:beforeAutospacing="0" w:after="0" w:afterAutospacing="0" w:line="300" w:lineRule="exact"/>
                    <w:ind w:left="0" w:right="0"/>
                    <w:jc w:val="center"/>
                    <w:rPr>
                      <w:rFonts w:hAnsi="宋体"/>
                      <w:color w:val="000000"/>
                      <w:szCs w:val="21"/>
                      <w:bdr w:val="none" w:color="auto" w:sz="0" w:space="0"/>
                      <w:lang w:val="en-US"/>
                    </w:rPr>
                  </w:pPr>
                  <w:r>
                    <w:rPr>
                      <w:rFonts w:hint="eastAsia" w:ascii="Calibri" w:hAnsi="宋体" w:eastAsia="宋体" w:cs="宋体"/>
                      <w:color w:val="000000"/>
                      <w:kern w:val="2"/>
                      <w:sz w:val="21"/>
                      <w:szCs w:val="21"/>
                      <w:bdr w:val="none" w:color="auto" w:sz="0" w:space="0"/>
                      <w:lang w:val="en-US" w:eastAsia="zh-CN" w:bidi="ar"/>
                    </w:rPr>
                    <w:t>辅助</w:t>
                  </w:r>
                </w:p>
                <w:p w14:paraId="66C826C5">
                  <w:pPr>
                    <w:keepNext w:val="0"/>
                    <w:keepLines w:val="0"/>
                    <w:widowControl w:val="0"/>
                    <w:suppressLineNumbers w:val="0"/>
                    <w:spacing w:before="0" w:beforeAutospacing="0" w:after="0" w:afterAutospacing="0" w:line="300" w:lineRule="exact"/>
                    <w:ind w:left="0" w:right="0"/>
                    <w:jc w:val="center"/>
                    <w:rPr>
                      <w:color w:val="000000"/>
                      <w:szCs w:val="21"/>
                      <w:bdr w:val="none" w:color="auto" w:sz="0" w:space="0"/>
                      <w:lang w:val="en-US"/>
                    </w:rPr>
                  </w:pPr>
                  <w:r>
                    <w:rPr>
                      <w:rFonts w:hint="eastAsia" w:ascii="Calibri" w:hAnsi="宋体" w:eastAsia="宋体" w:cs="宋体"/>
                      <w:color w:val="000000"/>
                      <w:kern w:val="2"/>
                      <w:sz w:val="21"/>
                      <w:szCs w:val="21"/>
                      <w:bdr w:val="none" w:color="auto" w:sz="0" w:space="0"/>
                      <w:lang w:val="en-US" w:eastAsia="zh-CN" w:bidi="ar"/>
                    </w:rPr>
                    <w:t>工程</w:t>
                  </w:r>
                </w:p>
              </w:tc>
              <w:tc>
                <w:tcPr>
                  <w:tcW w:w="970" w:type="dxa"/>
                  <w:tcBorders>
                    <w:top w:val="single" w:color="auto" w:sz="4" w:space="0"/>
                    <w:left w:val="single" w:color="auto" w:sz="4" w:space="0"/>
                    <w:bottom w:val="single" w:color="auto" w:sz="4" w:space="0"/>
                    <w:right w:val="single" w:color="auto" w:sz="4" w:space="0"/>
                  </w:tcBorders>
                  <w:shd w:val="clear"/>
                  <w:vAlign w:val="center"/>
                </w:tcPr>
                <w:p w14:paraId="26330C14">
                  <w:pPr>
                    <w:keepNext w:val="0"/>
                    <w:keepLines w:val="0"/>
                    <w:widowControl w:val="0"/>
                    <w:suppressLineNumbers w:val="0"/>
                    <w:spacing w:before="0" w:beforeAutospacing="0" w:after="0" w:afterAutospacing="0" w:line="300" w:lineRule="exact"/>
                    <w:ind w:left="0" w:right="0"/>
                    <w:jc w:val="center"/>
                    <w:rPr>
                      <w:color w:val="000000"/>
                      <w:szCs w:val="21"/>
                      <w:bdr w:val="none" w:color="auto" w:sz="0" w:space="0"/>
                      <w:lang w:val="en-US"/>
                    </w:rPr>
                  </w:pPr>
                  <w:r>
                    <w:rPr>
                      <w:rFonts w:hint="eastAsia" w:ascii="Calibri" w:hAnsi="宋体" w:eastAsia="宋体" w:cs="宋体"/>
                      <w:color w:val="000000"/>
                      <w:kern w:val="2"/>
                      <w:sz w:val="21"/>
                      <w:szCs w:val="21"/>
                      <w:bdr w:val="none" w:color="auto" w:sz="0" w:space="0"/>
                      <w:lang w:val="en-US" w:eastAsia="zh-CN" w:bidi="ar"/>
                    </w:rPr>
                    <w:t>办公区</w:t>
                  </w:r>
                </w:p>
              </w:tc>
              <w:tc>
                <w:tcPr>
                  <w:tcW w:w="6565" w:type="dxa"/>
                  <w:tcBorders>
                    <w:top w:val="single" w:color="auto" w:sz="4" w:space="0"/>
                    <w:left w:val="single" w:color="auto" w:sz="4" w:space="0"/>
                    <w:bottom w:val="single" w:color="auto" w:sz="4" w:space="0"/>
                    <w:right w:val="nil"/>
                  </w:tcBorders>
                  <w:shd w:val="clear"/>
                  <w:vAlign w:val="center"/>
                </w:tcPr>
                <w:p w14:paraId="26161DD1">
                  <w:pPr>
                    <w:keepNext w:val="0"/>
                    <w:keepLines w:val="0"/>
                    <w:widowControl w:val="0"/>
                    <w:suppressLineNumbers w:val="0"/>
                    <w:spacing w:before="0" w:beforeAutospacing="0" w:after="0" w:afterAutospacing="0" w:line="300" w:lineRule="exact"/>
                    <w:ind w:left="0" w:right="0"/>
                    <w:jc w:val="both"/>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位于</w:t>
                  </w:r>
                  <w:r>
                    <w:rPr>
                      <w:rFonts w:hint="default" w:ascii="Times New Roman" w:hAnsi="Times New Roman" w:eastAsia="宋体" w:cs="Times New Roman"/>
                      <w:color w:val="000000"/>
                      <w:kern w:val="2"/>
                      <w:sz w:val="21"/>
                      <w:szCs w:val="21"/>
                      <w:bdr w:val="none" w:color="auto" w:sz="0" w:space="0"/>
                      <w:lang w:val="en-US" w:eastAsia="zh-CN" w:bidi="ar"/>
                    </w:rPr>
                    <w:t>1F</w:t>
                  </w:r>
                  <w:r>
                    <w:rPr>
                      <w:rFonts w:hint="eastAsia" w:ascii="Times New Roman" w:hAnsi="Times New Roman" w:eastAsia="宋体" w:cs="宋体"/>
                      <w:color w:val="000000"/>
                      <w:kern w:val="2"/>
                      <w:sz w:val="21"/>
                      <w:szCs w:val="21"/>
                      <w:bdr w:val="none" w:color="auto" w:sz="0" w:space="0"/>
                      <w:lang w:val="en-US" w:eastAsia="zh-CN" w:bidi="ar"/>
                    </w:rPr>
                    <w:t>、</w:t>
                  </w:r>
                  <w:r>
                    <w:rPr>
                      <w:rFonts w:hint="default" w:ascii="Times New Roman" w:hAnsi="Times New Roman" w:eastAsia="宋体" w:cs="Times New Roman"/>
                      <w:color w:val="000000"/>
                      <w:kern w:val="2"/>
                      <w:sz w:val="21"/>
                      <w:szCs w:val="21"/>
                      <w:bdr w:val="none" w:color="auto" w:sz="0" w:space="0"/>
                      <w:lang w:val="en-US" w:eastAsia="zh-CN" w:bidi="ar"/>
                    </w:rPr>
                    <w:t>2F</w:t>
                  </w:r>
                  <w:r>
                    <w:rPr>
                      <w:rFonts w:hint="eastAsia" w:ascii="Times New Roman" w:hAnsi="Times New Roman" w:eastAsia="宋体" w:cs="宋体"/>
                      <w:color w:val="000000"/>
                      <w:kern w:val="2"/>
                      <w:sz w:val="21"/>
                      <w:szCs w:val="21"/>
                      <w:bdr w:val="none" w:color="auto" w:sz="0" w:space="0"/>
                      <w:lang w:val="en-US" w:eastAsia="zh-CN" w:bidi="ar"/>
                    </w:rPr>
                    <w:t>北侧，面积约</w:t>
                  </w:r>
                  <w:r>
                    <w:rPr>
                      <w:rFonts w:hint="default" w:ascii="Times New Roman" w:hAnsi="Times New Roman" w:eastAsia="宋体" w:cs="Times New Roman"/>
                      <w:color w:val="000000"/>
                      <w:kern w:val="2"/>
                      <w:sz w:val="21"/>
                      <w:szCs w:val="21"/>
                      <w:bdr w:val="none" w:color="auto" w:sz="0" w:space="0"/>
                      <w:lang w:val="en-US" w:eastAsia="zh-CN" w:bidi="ar"/>
                    </w:rPr>
                    <w:t>400</w:t>
                  </w:r>
                  <w:r>
                    <w:rPr>
                      <w:rFonts w:hint="default" w:ascii="Times New Roman" w:hAnsi="Times New Roman" w:eastAsia="宋体" w:cs="Times New Roman"/>
                      <w:bCs/>
                      <w:color w:val="000000"/>
                      <w:kern w:val="2"/>
                      <w:sz w:val="21"/>
                      <w:szCs w:val="21"/>
                      <w:bdr w:val="none" w:color="auto" w:sz="0" w:space="0"/>
                      <w:lang w:val="en-US" w:eastAsia="zh-CN" w:bidi="ar"/>
                    </w:rPr>
                    <w:t xml:space="preserve"> m</w:t>
                  </w:r>
                  <w:r>
                    <w:rPr>
                      <w:rFonts w:hint="default" w:ascii="Times New Roman" w:hAnsi="Times New Roman" w:eastAsia="宋体" w:cs="Times New Roman"/>
                      <w:bCs/>
                      <w:color w:val="000000"/>
                      <w:kern w:val="2"/>
                      <w:sz w:val="21"/>
                      <w:szCs w:val="21"/>
                      <w:bdr w:val="none" w:color="auto" w:sz="0" w:space="0"/>
                      <w:vertAlign w:val="superscript"/>
                      <w:lang w:val="en-US" w:eastAsia="zh-CN" w:bidi="ar"/>
                    </w:rPr>
                    <w:t>2</w:t>
                  </w:r>
                  <w:r>
                    <w:rPr>
                      <w:rFonts w:hint="eastAsia" w:ascii="Times New Roman" w:hAnsi="Times New Roman" w:eastAsia="宋体" w:cs="宋体"/>
                      <w:color w:val="000000"/>
                      <w:kern w:val="2"/>
                      <w:sz w:val="21"/>
                      <w:szCs w:val="21"/>
                      <w:bdr w:val="none" w:color="auto" w:sz="0" w:space="0"/>
                      <w:lang w:val="en-US" w:eastAsia="zh-CN" w:bidi="ar"/>
                    </w:rPr>
                    <w:t>，分别布置有综合办公室、财务部、会议室、总经理办公室等。</w:t>
                  </w:r>
                </w:p>
              </w:tc>
            </w:tr>
            <w:tr w14:paraId="0E3D9EE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50" w:type="dxa"/>
                  <w:vMerge w:val="restart"/>
                  <w:tcBorders>
                    <w:top w:val="single" w:color="auto" w:sz="4" w:space="0"/>
                    <w:left w:val="nil"/>
                    <w:bottom w:val="single" w:color="auto" w:sz="4" w:space="0"/>
                    <w:right w:val="single" w:color="auto" w:sz="4" w:space="0"/>
                  </w:tcBorders>
                  <w:shd w:val="clear"/>
                  <w:vAlign w:val="center"/>
                </w:tcPr>
                <w:p w14:paraId="46510062">
                  <w:pPr>
                    <w:keepNext w:val="0"/>
                    <w:keepLines w:val="0"/>
                    <w:widowControl w:val="0"/>
                    <w:suppressLineNumbers w:val="0"/>
                    <w:spacing w:before="0" w:beforeAutospacing="0" w:after="0" w:afterAutospacing="0" w:line="300" w:lineRule="exact"/>
                    <w:ind w:left="0" w:right="0"/>
                    <w:jc w:val="center"/>
                    <w:rPr>
                      <w:rFonts w:hAnsi="宋体"/>
                      <w:color w:val="000000"/>
                      <w:szCs w:val="21"/>
                      <w:bdr w:val="none" w:color="auto" w:sz="0" w:space="0"/>
                      <w:lang w:val="en-US"/>
                    </w:rPr>
                  </w:pPr>
                  <w:r>
                    <w:rPr>
                      <w:rFonts w:hint="eastAsia" w:ascii="Calibri" w:hAnsi="宋体" w:eastAsia="宋体" w:cs="宋体"/>
                      <w:color w:val="000000"/>
                      <w:kern w:val="2"/>
                      <w:sz w:val="21"/>
                      <w:szCs w:val="21"/>
                      <w:bdr w:val="none" w:color="auto" w:sz="0" w:space="0"/>
                      <w:lang w:val="en-US" w:eastAsia="zh-CN" w:bidi="ar"/>
                    </w:rPr>
                    <w:t>储运</w:t>
                  </w:r>
                </w:p>
                <w:p w14:paraId="44505C25">
                  <w:pPr>
                    <w:keepNext w:val="0"/>
                    <w:keepLines w:val="0"/>
                    <w:widowControl w:val="0"/>
                    <w:suppressLineNumbers w:val="0"/>
                    <w:spacing w:before="0" w:beforeAutospacing="0" w:after="0" w:afterAutospacing="0" w:line="300" w:lineRule="exact"/>
                    <w:ind w:left="0" w:right="0"/>
                    <w:jc w:val="center"/>
                    <w:rPr>
                      <w:color w:val="000000"/>
                      <w:szCs w:val="21"/>
                      <w:bdr w:val="none" w:color="auto" w:sz="0" w:space="0"/>
                      <w:lang w:val="en-US"/>
                    </w:rPr>
                  </w:pPr>
                  <w:r>
                    <w:rPr>
                      <w:rFonts w:hint="eastAsia" w:ascii="Calibri" w:hAnsi="宋体" w:eastAsia="宋体" w:cs="宋体"/>
                      <w:color w:val="000000"/>
                      <w:kern w:val="2"/>
                      <w:sz w:val="21"/>
                      <w:szCs w:val="21"/>
                      <w:bdr w:val="none" w:color="auto" w:sz="0" w:space="0"/>
                      <w:lang w:val="en-US" w:eastAsia="zh-CN" w:bidi="ar"/>
                    </w:rPr>
                    <w:t>工程</w:t>
                  </w:r>
                </w:p>
              </w:tc>
              <w:tc>
                <w:tcPr>
                  <w:tcW w:w="970" w:type="dxa"/>
                  <w:tcBorders>
                    <w:top w:val="single" w:color="auto" w:sz="4" w:space="0"/>
                    <w:left w:val="single" w:color="auto" w:sz="4" w:space="0"/>
                    <w:bottom w:val="single" w:color="auto" w:sz="4" w:space="0"/>
                    <w:right w:val="single" w:color="auto" w:sz="4" w:space="0"/>
                  </w:tcBorders>
                  <w:shd w:val="clear"/>
                  <w:vAlign w:val="center"/>
                </w:tcPr>
                <w:p w14:paraId="58BD0A7A">
                  <w:pPr>
                    <w:keepNext w:val="0"/>
                    <w:keepLines w:val="0"/>
                    <w:widowControl w:val="0"/>
                    <w:suppressLineNumbers w:val="0"/>
                    <w:spacing w:before="0" w:beforeAutospacing="0" w:after="0" w:afterAutospacing="0" w:line="300" w:lineRule="exact"/>
                    <w:ind w:left="0" w:right="0"/>
                    <w:jc w:val="center"/>
                    <w:rPr>
                      <w:color w:val="000000"/>
                      <w:szCs w:val="21"/>
                      <w:bdr w:val="none" w:color="auto" w:sz="0" w:space="0"/>
                      <w:lang w:val="en-US"/>
                    </w:rPr>
                  </w:pPr>
                  <w:r>
                    <w:rPr>
                      <w:rFonts w:hint="eastAsia" w:ascii="Calibri" w:hAnsi="宋体" w:eastAsia="宋体" w:cs="宋体"/>
                      <w:color w:val="000000"/>
                      <w:kern w:val="2"/>
                      <w:sz w:val="21"/>
                      <w:szCs w:val="21"/>
                      <w:bdr w:val="none" w:color="auto" w:sz="0" w:space="0"/>
                      <w:lang w:val="en-US" w:eastAsia="zh-CN" w:bidi="ar"/>
                    </w:rPr>
                    <w:t>原材料</w:t>
                  </w:r>
                </w:p>
                <w:p w14:paraId="1B413949">
                  <w:pPr>
                    <w:keepNext w:val="0"/>
                    <w:keepLines w:val="0"/>
                    <w:widowControl w:val="0"/>
                    <w:suppressLineNumbers w:val="0"/>
                    <w:spacing w:before="0" w:beforeAutospacing="0" w:after="0" w:afterAutospacing="0" w:line="300" w:lineRule="exact"/>
                    <w:ind w:left="0" w:right="0"/>
                    <w:jc w:val="center"/>
                    <w:rPr>
                      <w:color w:val="000000"/>
                      <w:szCs w:val="21"/>
                      <w:bdr w:val="none" w:color="auto" w:sz="0" w:space="0"/>
                      <w:lang w:val="en-US"/>
                    </w:rPr>
                  </w:pPr>
                  <w:r>
                    <w:rPr>
                      <w:rFonts w:hint="eastAsia" w:ascii="Calibri" w:hAnsi="宋体" w:eastAsia="宋体" w:cs="宋体"/>
                      <w:color w:val="000000"/>
                      <w:kern w:val="2"/>
                      <w:sz w:val="21"/>
                      <w:szCs w:val="21"/>
                      <w:bdr w:val="none" w:color="auto" w:sz="0" w:space="0"/>
                      <w:lang w:val="en-US" w:eastAsia="zh-CN" w:bidi="ar"/>
                    </w:rPr>
                    <w:t>库房</w:t>
                  </w:r>
                </w:p>
              </w:tc>
              <w:tc>
                <w:tcPr>
                  <w:tcW w:w="6565" w:type="dxa"/>
                  <w:tcBorders>
                    <w:top w:val="single" w:color="auto" w:sz="4" w:space="0"/>
                    <w:left w:val="single" w:color="auto" w:sz="4" w:space="0"/>
                    <w:bottom w:val="single" w:color="auto" w:sz="4" w:space="0"/>
                    <w:right w:val="nil"/>
                  </w:tcBorders>
                  <w:shd w:val="clear"/>
                  <w:vAlign w:val="center"/>
                </w:tcPr>
                <w:p w14:paraId="5DED53E9">
                  <w:pPr>
                    <w:keepNext w:val="0"/>
                    <w:keepLines w:val="0"/>
                    <w:widowControl w:val="0"/>
                    <w:suppressLineNumbers w:val="0"/>
                    <w:spacing w:before="0" w:beforeAutospacing="0" w:after="0" w:afterAutospacing="0" w:line="300" w:lineRule="exact"/>
                    <w:ind w:left="0" w:right="0"/>
                    <w:jc w:val="both"/>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1F</w:t>
                  </w:r>
                  <w:r>
                    <w:rPr>
                      <w:rFonts w:hint="eastAsia" w:ascii="Times New Roman" w:hAnsi="Times New Roman" w:eastAsia="宋体" w:cs="宋体"/>
                      <w:color w:val="000000"/>
                      <w:kern w:val="2"/>
                      <w:sz w:val="21"/>
                      <w:szCs w:val="21"/>
                      <w:bdr w:val="none" w:color="auto" w:sz="0" w:space="0"/>
                      <w:lang w:val="en-US" w:eastAsia="zh-CN" w:bidi="ar"/>
                    </w:rPr>
                    <w:t>北侧布置原材料库房，占地面积约</w:t>
                  </w:r>
                  <w:r>
                    <w:rPr>
                      <w:rFonts w:hint="default" w:ascii="Times New Roman" w:hAnsi="Times New Roman" w:eastAsia="宋体" w:cs="Times New Roman"/>
                      <w:color w:val="000000"/>
                      <w:kern w:val="2"/>
                      <w:sz w:val="21"/>
                      <w:szCs w:val="21"/>
                      <w:bdr w:val="none" w:color="auto" w:sz="0" w:space="0"/>
                      <w:lang w:val="en-US" w:eastAsia="zh-CN" w:bidi="ar"/>
                    </w:rPr>
                    <w:t>230</w:t>
                  </w:r>
                  <w:r>
                    <w:rPr>
                      <w:rFonts w:hint="default" w:ascii="Times New Roman" w:hAnsi="Times New Roman" w:eastAsia="宋体" w:cs="Times New Roman"/>
                      <w:bCs/>
                      <w:color w:val="000000"/>
                      <w:kern w:val="2"/>
                      <w:sz w:val="21"/>
                      <w:szCs w:val="21"/>
                      <w:bdr w:val="none" w:color="auto" w:sz="0" w:space="0"/>
                      <w:lang w:val="en-US" w:eastAsia="zh-CN" w:bidi="ar"/>
                    </w:rPr>
                    <w:t>m</w:t>
                  </w:r>
                  <w:r>
                    <w:rPr>
                      <w:rFonts w:hint="default" w:ascii="Times New Roman" w:hAnsi="Times New Roman" w:eastAsia="宋体" w:cs="Times New Roman"/>
                      <w:bCs/>
                      <w:color w:val="000000"/>
                      <w:kern w:val="2"/>
                      <w:sz w:val="21"/>
                      <w:szCs w:val="21"/>
                      <w:bdr w:val="none" w:color="auto" w:sz="0" w:space="0"/>
                      <w:vertAlign w:val="superscript"/>
                      <w:lang w:val="en-US" w:eastAsia="zh-CN" w:bidi="ar"/>
                    </w:rPr>
                    <w:t>2</w:t>
                  </w:r>
                  <w:r>
                    <w:rPr>
                      <w:rFonts w:hint="eastAsia" w:ascii="Times New Roman" w:hAnsi="Times New Roman" w:eastAsia="宋体" w:cs="宋体"/>
                      <w:bCs/>
                      <w:color w:val="000000"/>
                      <w:kern w:val="2"/>
                      <w:sz w:val="21"/>
                      <w:szCs w:val="21"/>
                      <w:bdr w:val="none" w:color="auto" w:sz="0" w:space="0"/>
                      <w:lang w:val="en-US" w:eastAsia="zh-CN" w:bidi="ar"/>
                    </w:rPr>
                    <w:t>，用于存放硅胶泡棉、</w:t>
                  </w:r>
                  <w:r>
                    <w:rPr>
                      <w:rFonts w:hint="default" w:ascii="Times New Roman" w:hAnsi="Times New Roman" w:eastAsia="宋体" w:cs="Times New Roman"/>
                      <w:bCs/>
                      <w:color w:val="000000"/>
                      <w:kern w:val="2"/>
                      <w:sz w:val="21"/>
                      <w:szCs w:val="21"/>
                      <w:bdr w:val="none" w:color="auto" w:sz="0" w:space="0"/>
                      <w:lang w:val="en-US" w:eastAsia="zh-CN" w:bidi="ar"/>
                    </w:rPr>
                    <w:t>PU</w:t>
                  </w:r>
                  <w:r>
                    <w:rPr>
                      <w:rFonts w:hint="eastAsia" w:ascii="Times New Roman" w:hAnsi="Times New Roman" w:eastAsia="宋体" w:cs="宋体"/>
                      <w:bCs/>
                      <w:color w:val="000000"/>
                      <w:kern w:val="2"/>
                      <w:sz w:val="21"/>
                      <w:szCs w:val="21"/>
                      <w:bdr w:val="none" w:color="auto" w:sz="0" w:space="0"/>
                      <w:lang w:val="en-US" w:eastAsia="zh-CN" w:bidi="ar"/>
                    </w:rPr>
                    <w:t>泡棉、网格棉、云母板等原材料。</w:t>
                  </w:r>
                  <w:r>
                    <w:rPr>
                      <w:rFonts w:hint="default" w:ascii="Times New Roman" w:hAnsi="Times New Roman" w:eastAsia="宋体" w:cs="Times New Roman"/>
                      <w:bCs/>
                      <w:color w:val="000000"/>
                      <w:kern w:val="2"/>
                      <w:sz w:val="21"/>
                      <w:szCs w:val="21"/>
                      <w:bdr w:val="none" w:color="auto" w:sz="0" w:space="0"/>
                      <w:lang w:val="en-US" w:eastAsia="zh-CN" w:bidi="ar"/>
                    </w:rPr>
                    <w:t>2F</w:t>
                  </w:r>
                  <w:r>
                    <w:rPr>
                      <w:rFonts w:hint="eastAsia" w:ascii="Times New Roman" w:hAnsi="Times New Roman" w:eastAsia="宋体" w:cs="宋体"/>
                      <w:bCs/>
                      <w:color w:val="000000"/>
                      <w:kern w:val="2"/>
                      <w:sz w:val="21"/>
                      <w:szCs w:val="21"/>
                      <w:bdr w:val="none" w:color="auto" w:sz="0" w:space="0"/>
                      <w:lang w:val="en-US" w:eastAsia="zh-CN" w:bidi="ar"/>
                    </w:rPr>
                    <w:t>北侧布置有原材料库房</w:t>
                  </w:r>
                  <w:r>
                    <w:rPr>
                      <w:rFonts w:hint="eastAsia" w:ascii="Times New Roman" w:hAnsi="Times New Roman" w:eastAsia="宋体" w:cs="宋体"/>
                      <w:color w:val="000000"/>
                      <w:kern w:val="2"/>
                      <w:sz w:val="21"/>
                      <w:szCs w:val="21"/>
                      <w:bdr w:val="none" w:color="auto" w:sz="0" w:space="0"/>
                      <w:lang w:val="en-US" w:eastAsia="zh-CN" w:bidi="ar"/>
                    </w:rPr>
                    <w:t>，占地面积约</w:t>
                  </w:r>
                  <w:r>
                    <w:rPr>
                      <w:rFonts w:hint="default" w:ascii="Times New Roman" w:hAnsi="Times New Roman" w:eastAsia="宋体" w:cs="Times New Roman"/>
                      <w:color w:val="000000"/>
                      <w:kern w:val="2"/>
                      <w:sz w:val="21"/>
                      <w:szCs w:val="21"/>
                      <w:bdr w:val="none" w:color="auto" w:sz="0" w:space="0"/>
                      <w:lang w:val="en-US" w:eastAsia="zh-CN" w:bidi="ar"/>
                    </w:rPr>
                    <w:t>120</w:t>
                  </w:r>
                  <w:r>
                    <w:rPr>
                      <w:rFonts w:hint="default" w:ascii="Times New Roman" w:hAnsi="Times New Roman" w:eastAsia="宋体" w:cs="Times New Roman"/>
                      <w:bCs/>
                      <w:color w:val="000000"/>
                      <w:kern w:val="2"/>
                      <w:sz w:val="21"/>
                      <w:szCs w:val="21"/>
                      <w:bdr w:val="none" w:color="auto" w:sz="0" w:space="0"/>
                      <w:lang w:val="en-US" w:eastAsia="zh-CN" w:bidi="ar"/>
                    </w:rPr>
                    <w:t>m</w:t>
                  </w:r>
                  <w:r>
                    <w:rPr>
                      <w:rFonts w:hint="default" w:ascii="Times New Roman" w:hAnsi="Times New Roman" w:eastAsia="宋体" w:cs="Times New Roman"/>
                      <w:bCs/>
                      <w:color w:val="000000"/>
                      <w:kern w:val="2"/>
                      <w:sz w:val="21"/>
                      <w:szCs w:val="21"/>
                      <w:bdr w:val="none" w:color="auto" w:sz="0" w:space="0"/>
                      <w:vertAlign w:val="superscript"/>
                      <w:lang w:val="en-US" w:eastAsia="zh-CN" w:bidi="ar"/>
                    </w:rPr>
                    <w:t>2</w:t>
                  </w:r>
                  <w:r>
                    <w:rPr>
                      <w:rFonts w:hint="eastAsia" w:ascii="Times New Roman" w:hAnsi="Times New Roman" w:eastAsia="宋体" w:cs="宋体"/>
                      <w:bCs/>
                      <w:color w:val="000000"/>
                      <w:kern w:val="2"/>
                      <w:sz w:val="21"/>
                      <w:szCs w:val="21"/>
                      <w:bdr w:val="none" w:color="auto" w:sz="0" w:space="0"/>
                      <w:lang w:val="en-US" w:eastAsia="zh-CN" w:bidi="ar"/>
                    </w:rPr>
                    <w:t>，用于存放皮革材料、线盘、双面胶等原料。</w:t>
                  </w:r>
                </w:p>
              </w:tc>
            </w:tr>
            <w:tr w14:paraId="5AAA072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50" w:type="dxa"/>
                  <w:vMerge w:val="continue"/>
                  <w:tcBorders>
                    <w:top w:val="single" w:color="auto" w:sz="4" w:space="0"/>
                    <w:left w:val="nil"/>
                    <w:bottom w:val="single" w:color="auto" w:sz="4" w:space="0"/>
                    <w:right w:val="single" w:color="auto" w:sz="4" w:space="0"/>
                  </w:tcBorders>
                  <w:shd w:val="clear"/>
                  <w:vAlign w:val="center"/>
                </w:tcPr>
                <w:p w14:paraId="27016864">
                  <w:pPr>
                    <w:rPr>
                      <w:rFonts w:hint="default" w:ascii="Calibri" w:hAnsi="Calibri" w:cs="Calibri"/>
                      <w:sz w:val="20"/>
                      <w:szCs w:val="20"/>
                    </w:rPr>
                  </w:pPr>
                </w:p>
              </w:tc>
              <w:tc>
                <w:tcPr>
                  <w:tcW w:w="970" w:type="dxa"/>
                  <w:tcBorders>
                    <w:top w:val="single" w:color="auto" w:sz="4" w:space="0"/>
                    <w:left w:val="single" w:color="auto" w:sz="4" w:space="0"/>
                    <w:bottom w:val="single" w:color="auto" w:sz="4" w:space="0"/>
                    <w:right w:val="single" w:color="auto" w:sz="4" w:space="0"/>
                  </w:tcBorders>
                  <w:shd w:val="clear"/>
                  <w:vAlign w:val="center"/>
                </w:tcPr>
                <w:p w14:paraId="27BF09BF">
                  <w:pPr>
                    <w:keepNext w:val="0"/>
                    <w:keepLines w:val="0"/>
                    <w:widowControl w:val="0"/>
                    <w:suppressLineNumbers w:val="0"/>
                    <w:spacing w:before="0" w:beforeAutospacing="0" w:after="0" w:afterAutospacing="0" w:line="300" w:lineRule="exact"/>
                    <w:ind w:left="0" w:right="0"/>
                    <w:jc w:val="center"/>
                    <w:rPr>
                      <w:color w:val="000000"/>
                      <w:szCs w:val="21"/>
                      <w:bdr w:val="none" w:color="auto" w:sz="0" w:space="0"/>
                      <w:lang w:val="en-US"/>
                    </w:rPr>
                  </w:pPr>
                  <w:r>
                    <w:rPr>
                      <w:rFonts w:hint="eastAsia" w:ascii="Calibri" w:hAnsi="宋体" w:eastAsia="宋体" w:cs="宋体"/>
                      <w:color w:val="000000"/>
                      <w:kern w:val="2"/>
                      <w:sz w:val="21"/>
                      <w:szCs w:val="21"/>
                      <w:bdr w:val="none" w:color="auto" w:sz="0" w:space="0"/>
                      <w:lang w:val="en-US" w:eastAsia="zh-CN" w:bidi="ar"/>
                    </w:rPr>
                    <w:t>辅料室</w:t>
                  </w:r>
                </w:p>
              </w:tc>
              <w:tc>
                <w:tcPr>
                  <w:tcW w:w="6565" w:type="dxa"/>
                  <w:tcBorders>
                    <w:top w:val="single" w:color="auto" w:sz="4" w:space="0"/>
                    <w:left w:val="single" w:color="auto" w:sz="4" w:space="0"/>
                    <w:bottom w:val="single" w:color="auto" w:sz="4" w:space="0"/>
                    <w:right w:val="nil"/>
                  </w:tcBorders>
                  <w:shd w:val="clear"/>
                  <w:vAlign w:val="center"/>
                </w:tcPr>
                <w:p w14:paraId="63B7384F">
                  <w:pPr>
                    <w:keepNext w:val="0"/>
                    <w:keepLines w:val="0"/>
                    <w:widowControl w:val="0"/>
                    <w:suppressLineNumbers w:val="0"/>
                    <w:spacing w:before="0" w:beforeAutospacing="0" w:after="0" w:afterAutospacing="0" w:line="300" w:lineRule="exact"/>
                    <w:ind w:left="0" w:right="0"/>
                    <w:jc w:val="both"/>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位于</w:t>
                  </w:r>
                  <w:r>
                    <w:rPr>
                      <w:rFonts w:hint="default" w:ascii="Times New Roman" w:hAnsi="Times New Roman" w:eastAsia="宋体" w:cs="Times New Roman"/>
                      <w:color w:val="000000"/>
                      <w:kern w:val="2"/>
                      <w:sz w:val="21"/>
                      <w:szCs w:val="21"/>
                      <w:bdr w:val="none" w:color="auto" w:sz="0" w:space="0"/>
                      <w:lang w:val="en-US" w:eastAsia="zh-CN" w:bidi="ar"/>
                    </w:rPr>
                    <w:t>1F</w:t>
                  </w:r>
                  <w:r>
                    <w:rPr>
                      <w:rFonts w:hint="eastAsia" w:ascii="Times New Roman" w:hAnsi="Times New Roman" w:eastAsia="宋体" w:cs="宋体"/>
                      <w:color w:val="000000"/>
                      <w:kern w:val="2"/>
                      <w:sz w:val="21"/>
                      <w:szCs w:val="21"/>
                      <w:bdr w:val="none" w:color="auto" w:sz="0" w:space="0"/>
                      <w:lang w:val="en-US" w:eastAsia="zh-CN" w:bidi="ar"/>
                    </w:rPr>
                    <w:t>西南侧，占地面积约</w:t>
                  </w:r>
                  <w:r>
                    <w:rPr>
                      <w:rFonts w:hint="default" w:ascii="Times New Roman" w:hAnsi="Times New Roman" w:eastAsia="宋体" w:cs="Times New Roman"/>
                      <w:color w:val="000000"/>
                      <w:kern w:val="2"/>
                      <w:sz w:val="21"/>
                      <w:szCs w:val="21"/>
                      <w:bdr w:val="none" w:color="auto" w:sz="0" w:space="0"/>
                      <w:lang w:val="en-US" w:eastAsia="zh-CN" w:bidi="ar"/>
                    </w:rPr>
                    <w:t>25</w:t>
                  </w:r>
                  <w:r>
                    <w:rPr>
                      <w:rFonts w:hint="default" w:ascii="Times New Roman" w:hAnsi="Times New Roman" w:eastAsia="宋体" w:cs="Times New Roman"/>
                      <w:bCs/>
                      <w:color w:val="000000"/>
                      <w:kern w:val="2"/>
                      <w:sz w:val="21"/>
                      <w:szCs w:val="21"/>
                      <w:bdr w:val="none" w:color="auto" w:sz="0" w:space="0"/>
                      <w:lang w:val="en-US" w:eastAsia="zh-CN" w:bidi="ar"/>
                    </w:rPr>
                    <w:t>m</w:t>
                  </w:r>
                  <w:r>
                    <w:rPr>
                      <w:rFonts w:hint="default" w:ascii="Times New Roman" w:hAnsi="Times New Roman" w:eastAsia="宋体" w:cs="Times New Roman"/>
                      <w:bCs/>
                      <w:color w:val="000000"/>
                      <w:kern w:val="2"/>
                      <w:sz w:val="21"/>
                      <w:szCs w:val="21"/>
                      <w:bdr w:val="none" w:color="auto" w:sz="0" w:space="0"/>
                      <w:vertAlign w:val="superscript"/>
                      <w:lang w:val="en-US" w:eastAsia="zh-CN" w:bidi="ar"/>
                    </w:rPr>
                    <w:t>2</w:t>
                  </w:r>
                  <w:r>
                    <w:rPr>
                      <w:rFonts w:hint="eastAsia" w:ascii="Times New Roman" w:hAnsi="Times New Roman" w:eastAsia="宋体" w:cs="宋体"/>
                      <w:bCs/>
                      <w:color w:val="000000"/>
                      <w:kern w:val="2"/>
                      <w:sz w:val="21"/>
                      <w:szCs w:val="21"/>
                      <w:bdr w:val="none" w:color="auto" w:sz="0" w:space="0"/>
                      <w:lang w:val="en-US" w:eastAsia="zh-CN" w:bidi="ar"/>
                    </w:rPr>
                    <w:t>，暂存有热熔胶、</w:t>
                  </w:r>
                  <w:r>
                    <w:rPr>
                      <w:rFonts w:hint="eastAsia" w:ascii="Times New Roman" w:hAnsi="Times New Roman" w:eastAsia="宋体" w:cs="宋体"/>
                      <w:color w:val="000000"/>
                      <w:kern w:val="2"/>
                      <w:sz w:val="21"/>
                      <w:szCs w:val="21"/>
                      <w:bdr w:val="none" w:color="auto" w:sz="0" w:space="0"/>
                      <w:lang w:val="en-US" w:eastAsia="zh-CN" w:bidi="ar"/>
                    </w:rPr>
                    <w:t>背胶处理剂、液体硅橡胶等辅料</w:t>
                  </w:r>
                </w:p>
              </w:tc>
            </w:tr>
            <w:tr w14:paraId="3D62F53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316" w:hRule="atLeast"/>
                <w:jc w:val="center"/>
              </w:trPr>
              <w:tc>
                <w:tcPr>
                  <w:tcW w:w="850" w:type="dxa"/>
                  <w:vMerge w:val="continue"/>
                  <w:tcBorders>
                    <w:top w:val="single" w:color="auto" w:sz="4" w:space="0"/>
                    <w:left w:val="nil"/>
                    <w:bottom w:val="single" w:color="auto" w:sz="4" w:space="0"/>
                    <w:right w:val="single" w:color="auto" w:sz="4" w:space="0"/>
                  </w:tcBorders>
                  <w:shd w:val="clear"/>
                  <w:vAlign w:val="center"/>
                </w:tcPr>
                <w:p w14:paraId="502FA1E2">
                  <w:pPr>
                    <w:rPr>
                      <w:rFonts w:hint="default" w:ascii="Calibri" w:hAnsi="Calibri" w:cs="Calibri"/>
                      <w:sz w:val="20"/>
                      <w:szCs w:val="20"/>
                    </w:rPr>
                  </w:pPr>
                </w:p>
              </w:tc>
              <w:tc>
                <w:tcPr>
                  <w:tcW w:w="970" w:type="dxa"/>
                  <w:tcBorders>
                    <w:top w:val="single" w:color="auto" w:sz="4" w:space="0"/>
                    <w:left w:val="single" w:color="auto" w:sz="4" w:space="0"/>
                    <w:bottom w:val="single" w:color="auto" w:sz="4" w:space="0"/>
                    <w:right w:val="single" w:color="auto" w:sz="4" w:space="0"/>
                  </w:tcBorders>
                  <w:shd w:val="clear"/>
                  <w:vAlign w:val="center"/>
                </w:tcPr>
                <w:p w14:paraId="2E12B77F">
                  <w:pPr>
                    <w:keepNext w:val="0"/>
                    <w:keepLines w:val="0"/>
                    <w:widowControl w:val="0"/>
                    <w:suppressLineNumbers w:val="0"/>
                    <w:spacing w:before="0" w:beforeAutospacing="0" w:after="0" w:afterAutospacing="0" w:line="300" w:lineRule="exact"/>
                    <w:ind w:left="0" w:right="0"/>
                    <w:jc w:val="center"/>
                    <w:rPr>
                      <w:color w:val="000000"/>
                      <w:szCs w:val="21"/>
                      <w:bdr w:val="none" w:color="auto" w:sz="0" w:space="0"/>
                      <w:lang w:val="en-US"/>
                    </w:rPr>
                  </w:pPr>
                  <w:r>
                    <w:rPr>
                      <w:rFonts w:hint="eastAsia" w:ascii="Calibri" w:hAnsi="宋体" w:eastAsia="宋体" w:cs="宋体"/>
                      <w:color w:val="000000"/>
                      <w:kern w:val="2"/>
                      <w:sz w:val="21"/>
                      <w:szCs w:val="21"/>
                      <w:bdr w:val="none" w:color="auto" w:sz="0" w:space="0"/>
                      <w:lang w:val="en-US" w:eastAsia="zh-CN" w:bidi="ar"/>
                    </w:rPr>
                    <w:t>成品</w:t>
                  </w:r>
                </w:p>
                <w:p w14:paraId="25946A88">
                  <w:pPr>
                    <w:keepNext w:val="0"/>
                    <w:keepLines w:val="0"/>
                    <w:widowControl w:val="0"/>
                    <w:suppressLineNumbers w:val="0"/>
                    <w:spacing w:before="0" w:beforeAutospacing="0" w:after="0" w:afterAutospacing="0" w:line="300" w:lineRule="exact"/>
                    <w:ind w:left="0" w:right="0"/>
                    <w:jc w:val="center"/>
                    <w:rPr>
                      <w:color w:val="000000"/>
                      <w:szCs w:val="21"/>
                      <w:bdr w:val="none" w:color="auto" w:sz="0" w:space="0"/>
                      <w:lang w:val="en-US"/>
                    </w:rPr>
                  </w:pPr>
                  <w:r>
                    <w:rPr>
                      <w:rFonts w:hint="eastAsia" w:ascii="Calibri" w:hAnsi="宋体" w:eastAsia="宋体" w:cs="宋体"/>
                      <w:color w:val="000000"/>
                      <w:kern w:val="2"/>
                      <w:sz w:val="21"/>
                      <w:szCs w:val="21"/>
                      <w:bdr w:val="none" w:color="auto" w:sz="0" w:space="0"/>
                      <w:lang w:val="en-US" w:eastAsia="zh-CN" w:bidi="ar"/>
                    </w:rPr>
                    <w:t>库房</w:t>
                  </w:r>
                </w:p>
              </w:tc>
              <w:tc>
                <w:tcPr>
                  <w:tcW w:w="6565" w:type="dxa"/>
                  <w:tcBorders>
                    <w:top w:val="single" w:color="auto" w:sz="4" w:space="0"/>
                    <w:left w:val="single" w:color="auto" w:sz="4" w:space="0"/>
                    <w:bottom w:val="single" w:color="auto" w:sz="4" w:space="0"/>
                    <w:right w:val="nil"/>
                  </w:tcBorders>
                  <w:shd w:val="clear"/>
                  <w:vAlign w:val="center"/>
                </w:tcPr>
                <w:p w14:paraId="1D758AE7">
                  <w:pPr>
                    <w:keepNext w:val="0"/>
                    <w:keepLines w:val="0"/>
                    <w:widowControl w:val="0"/>
                    <w:suppressLineNumbers w:val="0"/>
                    <w:spacing w:before="0" w:beforeAutospacing="0" w:after="0" w:afterAutospacing="0" w:line="300" w:lineRule="exact"/>
                    <w:ind w:left="0" w:right="0"/>
                    <w:jc w:val="both"/>
                    <w:rPr>
                      <w:rFonts w:hint="default" w:ascii="Times New Roman" w:hAnsi="Times New Roman" w:cs="Times New Roman"/>
                      <w:bCs/>
                      <w:color w:val="000000"/>
                      <w:szCs w:val="21"/>
                      <w:highlight w:val="yellow"/>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1F</w:t>
                  </w:r>
                  <w:r>
                    <w:rPr>
                      <w:rFonts w:hint="eastAsia" w:ascii="Times New Roman" w:hAnsi="Times New Roman" w:eastAsia="宋体" w:cs="宋体"/>
                      <w:color w:val="000000"/>
                      <w:kern w:val="2"/>
                      <w:sz w:val="21"/>
                      <w:szCs w:val="21"/>
                      <w:bdr w:val="none" w:color="auto" w:sz="0" w:space="0"/>
                      <w:lang w:val="en-US" w:eastAsia="zh-CN" w:bidi="ar"/>
                    </w:rPr>
                    <w:t>北侧布置成品库房，占地面积约</w:t>
                  </w:r>
                  <w:r>
                    <w:rPr>
                      <w:rFonts w:hint="default" w:ascii="Times New Roman" w:hAnsi="Times New Roman" w:eastAsia="宋体" w:cs="Times New Roman"/>
                      <w:color w:val="000000"/>
                      <w:kern w:val="2"/>
                      <w:sz w:val="21"/>
                      <w:szCs w:val="21"/>
                      <w:bdr w:val="none" w:color="auto" w:sz="0" w:space="0"/>
                      <w:lang w:val="en-US" w:eastAsia="zh-CN" w:bidi="ar"/>
                    </w:rPr>
                    <w:t>160</w:t>
                  </w:r>
                  <w:r>
                    <w:rPr>
                      <w:rFonts w:hint="default" w:ascii="Times New Roman" w:hAnsi="Times New Roman" w:eastAsia="宋体" w:cs="Times New Roman"/>
                      <w:bCs/>
                      <w:color w:val="000000"/>
                      <w:kern w:val="2"/>
                      <w:sz w:val="21"/>
                      <w:szCs w:val="21"/>
                      <w:bdr w:val="none" w:color="auto" w:sz="0" w:space="0"/>
                      <w:lang w:val="en-US" w:eastAsia="zh-CN" w:bidi="ar"/>
                    </w:rPr>
                    <w:t>m</w:t>
                  </w:r>
                  <w:r>
                    <w:rPr>
                      <w:rFonts w:hint="default" w:ascii="Times New Roman" w:hAnsi="Times New Roman" w:eastAsia="宋体" w:cs="Times New Roman"/>
                      <w:bCs/>
                      <w:color w:val="000000"/>
                      <w:kern w:val="2"/>
                      <w:sz w:val="21"/>
                      <w:szCs w:val="21"/>
                      <w:bdr w:val="none" w:color="auto" w:sz="0" w:space="0"/>
                      <w:vertAlign w:val="superscript"/>
                      <w:lang w:val="en-US" w:eastAsia="zh-CN" w:bidi="ar"/>
                    </w:rPr>
                    <w:t>2</w:t>
                  </w:r>
                  <w:r>
                    <w:rPr>
                      <w:rFonts w:hint="eastAsia" w:ascii="Times New Roman" w:hAnsi="Times New Roman" w:eastAsia="宋体" w:cs="宋体"/>
                      <w:bCs/>
                      <w:color w:val="000000"/>
                      <w:kern w:val="2"/>
                      <w:sz w:val="21"/>
                      <w:szCs w:val="21"/>
                      <w:bdr w:val="none" w:color="auto" w:sz="0" w:space="0"/>
                      <w:lang w:val="en-US" w:eastAsia="zh-CN" w:bidi="ar"/>
                    </w:rPr>
                    <w:t>，用于存放硅胶泡棉制品、</w:t>
                  </w:r>
                  <w:r>
                    <w:rPr>
                      <w:rFonts w:hint="default" w:ascii="Times New Roman" w:hAnsi="Times New Roman" w:eastAsia="宋体" w:cs="Times New Roman"/>
                      <w:bCs/>
                      <w:color w:val="000000"/>
                      <w:kern w:val="2"/>
                      <w:sz w:val="21"/>
                      <w:szCs w:val="21"/>
                      <w:bdr w:val="none" w:color="auto" w:sz="0" w:space="0"/>
                      <w:lang w:val="en-US" w:eastAsia="zh-CN" w:bidi="ar"/>
                    </w:rPr>
                    <w:t>PU</w:t>
                  </w:r>
                  <w:r>
                    <w:rPr>
                      <w:rFonts w:hint="eastAsia" w:ascii="Times New Roman" w:hAnsi="Times New Roman" w:eastAsia="宋体" w:cs="宋体"/>
                      <w:bCs/>
                      <w:color w:val="000000"/>
                      <w:kern w:val="2"/>
                      <w:sz w:val="21"/>
                      <w:szCs w:val="21"/>
                      <w:bdr w:val="none" w:color="auto" w:sz="0" w:space="0"/>
                      <w:lang w:val="en-US" w:eastAsia="zh-CN" w:bidi="ar"/>
                    </w:rPr>
                    <w:t>泡棉制品、网格棉制品、云母板等成品。</w:t>
                  </w:r>
                  <w:r>
                    <w:rPr>
                      <w:rFonts w:hint="default" w:ascii="Times New Roman" w:hAnsi="Times New Roman" w:eastAsia="宋体" w:cs="Times New Roman"/>
                      <w:bCs/>
                      <w:color w:val="000000"/>
                      <w:kern w:val="2"/>
                      <w:sz w:val="21"/>
                      <w:szCs w:val="21"/>
                      <w:bdr w:val="none" w:color="auto" w:sz="0" w:space="0"/>
                      <w:lang w:val="en-US" w:eastAsia="zh-CN" w:bidi="ar"/>
                    </w:rPr>
                    <w:t>2F</w:t>
                  </w:r>
                  <w:r>
                    <w:rPr>
                      <w:rFonts w:hint="eastAsia" w:ascii="Times New Roman" w:hAnsi="Times New Roman" w:eastAsia="宋体" w:cs="宋体"/>
                      <w:bCs/>
                      <w:color w:val="000000"/>
                      <w:kern w:val="2"/>
                      <w:sz w:val="21"/>
                      <w:szCs w:val="21"/>
                      <w:bdr w:val="none" w:color="auto" w:sz="0" w:space="0"/>
                      <w:lang w:val="en-US" w:eastAsia="zh-CN" w:bidi="ar"/>
                    </w:rPr>
                    <w:t>北侧布置有成品库房</w:t>
                  </w:r>
                  <w:r>
                    <w:rPr>
                      <w:rFonts w:hint="eastAsia" w:ascii="Times New Roman" w:hAnsi="Times New Roman" w:eastAsia="宋体" w:cs="宋体"/>
                      <w:color w:val="000000"/>
                      <w:kern w:val="2"/>
                      <w:sz w:val="21"/>
                      <w:szCs w:val="21"/>
                      <w:bdr w:val="none" w:color="auto" w:sz="0" w:space="0"/>
                      <w:lang w:val="en-US" w:eastAsia="zh-CN" w:bidi="ar"/>
                    </w:rPr>
                    <w:t>，占地面积约</w:t>
                  </w:r>
                  <w:r>
                    <w:rPr>
                      <w:rFonts w:hint="default" w:ascii="Times New Roman" w:hAnsi="Times New Roman" w:eastAsia="宋体" w:cs="Times New Roman"/>
                      <w:color w:val="000000"/>
                      <w:kern w:val="2"/>
                      <w:sz w:val="21"/>
                      <w:szCs w:val="21"/>
                      <w:bdr w:val="none" w:color="auto" w:sz="0" w:space="0"/>
                      <w:lang w:val="en-US" w:eastAsia="zh-CN" w:bidi="ar"/>
                    </w:rPr>
                    <w:t>280</w:t>
                  </w:r>
                  <w:r>
                    <w:rPr>
                      <w:rFonts w:hint="default" w:ascii="Times New Roman" w:hAnsi="Times New Roman" w:eastAsia="宋体" w:cs="Times New Roman"/>
                      <w:bCs/>
                      <w:color w:val="000000"/>
                      <w:kern w:val="2"/>
                      <w:sz w:val="21"/>
                      <w:szCs w:val="21"/>
                      <w:bdr w:val="none" w:color="auto" w:sz="0" w:space="0"/>
                      <w:lang w:val="en-US" w:eastAsia="zh-CN" w:bidi="ar"/>
                    </w:rPr>
                    <w:t>m</w:t>
                  </w:r>
                  <w:r>
                    <w:rPr>
                      <w:rFonts w:hint="default" w:ascii="Times New Roman" w:hAnsi="Times New Roman" w:eastAsia="宋体" w:cs="Times New Roman"/>
                      <w:bCs/>
                      <w:color w:val="000000"/>
                      <w:kern w:val="2"/>
                      <w:sz w:val="21"/>
                      <w:szCs w:val="21"/>
                      <w:bdr w:val="none" w:color="auto" w:sz="0" w:space="0"/>
                      <w:vertAlign w:val="superscript"/>
                      <w:lang w:val="en-US" w:eastAsia="zh-CN" w:bidi="ar"/>
                    </w:rPr>
                    <w:t>2</w:t>
                  </w:r>
                  <w:r>
                    <w:rPr>
                      <w:rFonts w:hint="eastAsia" w:ascii="Times New Roman" w:hAnsi="Times New Roman" w:eastAsia="宋体" w:cs="宋体"/>
                      <w:bCs/>
                      <w:color w:val="000000"/>
                      <w:kern w:val="2"/>
                      <w:sz w:val="21"/>
                      <w:szCs w:val="21"/>
                      <w:bdr w:val="none" w:color="auto" w:sz="0" w:space="0"/>
                      <w:lang w:val="en-US" w:eastAsia="zh-CN" w:bidi="ar"/>
                    </w:rPr>
                    <w:t>，用于存放皮革装饰条、硅胶泡棉制品、</w:t>
                  </w:r>
                  <w:r>
                    <w:rPr>
                      <w:rFonts w:hint="default" w:ascii="Times New Roman" w:hAnsi="Times New Roman" w:eastAsia="宋体" w:cs="Times New Roman"/>
                      <w:bCs/>
                      <w:color w:val="000000"/>
                      <w:kern w:val="2"/>
                      <w:sz w:val="21"/>
                      <w:szCs w:val="21"/>
                      <w:bdr w:val="none" w:color="auto" w:sz="0" w:space="0"/>
                      <w:lang w:val="en-US" w:eastAsia="zh-CN" w:bidi="ar"/>
                    </w:rPr>
                    <w:t>PU</w:t>
                  </w:r>
                  <w:r>
                    <w:rPr>
                      <w:rFonts w:hint="eastAsia" w:ascii="Times New Roman" w:hAnsi="Times New Roman" w:eastAsia="宋体" w:cs="宋体"/>
                      <w:bCs/>
                      <w:color w:val="000000"/>
                      <w:kern w:val="2"/>
                      <w:sz w:val="21"/>
                      <w:szCs w:val="21"/>
                      <w:bdr w:val="none" w:color="auto" w:sz="0" w:space="0"/>
                      <w:lang w:val="en-US" w:eastAsia="zh-CN" w:bidi="ar"/>
                    </w:rPr>
                    <w:t>泡棉制品、网格棉制品、云母板等成品。</w:t>
                  </w:r>
                </w:p>
              </w:tc>
            </w:tr>
            <w:tr w14:paraId="773C2F9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Merge w:val="restart"/>
                  <w:tcBorders>
                    <w:top w:val="single" w:color="auto" w:sz="4" w:space="0"/>
                    <w:left w:val="nil"/>
                    <w:bottom w:val="single" w:color="auto" w:sz="4" w:space="0"/>
                    <w:right w:val="single" w:color="auto" w:sz="4" w:space="0"/>
                  </w:tcBorders>
                  <w:shd w:val="clear"/>
                  <w:vAlign w:val="center"/>
                </w:tcPr>
                <w:p w14:paraId="6A5482D8">
                  <w:pPr>
                    <w:keepNext w:val="0"/>
                    <w:keepLines w:val="0"/>
                    <w:widowControl w:val="0"/>
                    <w:suppressLineNumbers w:val="0"/>
                    <w:spacing w:before="0" w:beforeAutospacing="0" w:after="0" w:afterAutospacing="0" w:line="300" w:lineRule="exact"/>
                    <w:ind w:left="0" w:right="0"/>
                    <w:jc w:val="center"/>
                    <w:rPr>
                      <w:rFonts w:hAnsi="宋体"/>
                      <w:color w:val="000000"/>
                      <w:szCs w:val="21"/>
                      <w:bdr w:val="none" w:color="auto" w:sz="0" w:space="0"/>
                      <w:lang w:val="en-US"/>
                    </w:rPr>
                  </w:pPr>
                  <w:r>
                    <w:rPr>
                      <w:rFonts w:hint="eastAsia" w:ascii="Calibri" w:hAnsi="宋体" w:eastAsia="宋体" w:cs="宋体"/>
                      <w:color w:val="000000"/>
                      <w:kern w:val="2"/>
                      <w:sz w:val="21"/>
                      <w:szCs w:val="21"/>
                      <w:bdr w:val="none" w:color="auto" w:sz="0" w:space="0"/>
                      <w:lang w:val="en-US" w:eastAsia="zh-CN" w:bidi="ar"/>
                    </w:rPr>
                    <w:t>公用</w:t>
                  </w:r>
                </w:p>
                <w:p w14:paraId="0D5C5F31">
                  <w:pPr>
                    <w:keepNext w:val="0"/>
                    <w:keepLines w:val="0"/>
                    <w:widowControl w:val="0"/>
                    <w:suppressLineNumbers w:val="0"/>
                    <w:spacing w:before="0" w:beforeAutospacing="0" w:after="0" w:afterAutospacing="0" w:line="300" w:lineRule="exact"/>
                    <w:ind w:left="0" w:right="0"/>
                    <w:jc w:val="center"/>
                    <w:rPr>
                      <w:color w:val="000000"/>
                      <w:szCs w:val="21"/>
                      <w:bdr w:val="none" w:color="auto" w:sz="0" w:space="0"/>
                      <w:lang w:val="en-US"/>
                    </w:rPr>
                  </w:pPr>
                  <w:r>
                    <w:rPr>
                      <w:rFonts w:hint="eastAsia" w:ascii="Calibri" w:hAnsi="宋体" w:eastAsia="宋体" w:cs="宋体"/>
                      <w:color w:val="000000"/>
                      <w:kern w:val="2"/>
                      <w:sz w:val="21"/>
                      <w:szCs w:val="21"/>
                      <w:bdr w:val="none" w:color="auto" w:sz="0" w:space="0"/>
                      <w:lang w:val="en-US" w:eastAsia="zh-CN" w:bidi="ar"/>
                    </w:rPr>
                    <w:t>工程</w:t>
                  </w:r>
                </w:p>
              </w:tc>
              <w:tc>
                <w:tcPr>
                  <w:tcW w:w="970" w:type="dxa"/>
                  <w:tcBorders>
                    <w:top w:val="single" w:color="auto" w:sz="4" w:space="0"/>
                    <w:left w:val="single" w:color="auto" w:sz="4" w:space="0"/>
                    <w:bottom w:val="single" w:color="auto" w:sz="4" w:space="0"/>
                    <w:right w:val="single" w:color="auto" w:sz="4" w:space="0"/>
                  </w:tcBorders>
                  <w:shd w:val="clear"/>
                  <w:vAlign w:val="center"/>
                </w:tcPr>
                <w:p w14:paraId="7481B09A">
                  <w:pPr>
                    <w:keepNext w:val="0"/>
                    <w:keepLines w:val="0"/>
                    <w:widowControl w:val="0"/>
                    <w:suppressLineNumbers w:val="0"/>
                    <w:spacing w:before="0" w:beforeAutospacing="0" w:after="0" w:afterAutospacing="0" w:line="300" w:lineRule="exact"/>
                    <w:ind w:left="0" w:right="0"/>
                    <w:jc w:val="center"/>
                    <w:rPr>
                      <w:color w:val="000000"/>
                      <w:szCs w:val="21"/>
                      <w:bdr w:val="none" w:color="auto" w:sz="0" w:space="0"/>
                      <w:lang w:val="en-US"/>
                    </w:rPr>
                  </w:pPr>
                  <w:r>
                    <w:rPr>
                      <w:rFonts w:hint="eastAsia" w:ascii="Calibri" w:hAnsi="宋体" w:eastAsia="宋体" w:cs="宋体"/>
                      <w:color w:val="000000"/>
                      <w:kern w:val="2"/>
                      <w:sz w:val="21"/>
                      <w:szCs w:val="21"/>
                      <w:bdr w:val="none" w:color="auto" w:sz="0" w:space="0"/>
                      <w:lang w:val="en-US" w:eastAsia="zh-CN" w:bidi="ar"/>
                    </w:rPr>
                    <w:t>供电</w:t>
                  </w:r>
                </w:p>
              </w:tc>
              <w:tc>
                <w:tcPr>
                  <w:tcW w:w="6565" w:type="dxa"/>
                  <w:tcBorders>
                    <w:top w:val="single" w:color="auto" w:sz="4" w:space="0"/>
                    <w:left w:val="single" w:color="auto" w:sz="4" w:space="0"/>
                    <w:bottom w:val="single" w:color="auto" w:sz="4" w:space="0"/>
                    <w:right w:val="nil"/>
                  </w:tcBorders>
                  <w:shd w:val="clear"/>
                  <w:vAlign w:val="center"/>
                </w:tcPr>
                <w:p w14:paraId="502466D8">
                  <w:pPr>
                    <w:keepNext w:val="0"/>
                    <w:keepLines w:val="0"/>
                    <w:widowControl w:val="0"/>
                    <w:suppressLineNumbers w:val="0"/>
                    <w:spacing w:before="0" w:beforeAutospacing="0" w:after="0" w:afterAutospacing="0" w:line="300" w:lineRule="exact"/>
                    <w:ind w:left="0" w:right="0"/>
                    <w:jc w:val="both"/>
                    <w:rPr>
                      <w:color w:val="000000"/>
                      <w:szCs w:val="21"/>
                      <w:bdr w:val="none" w:color="auto" w:sz="0" w:space="0"/>
                      <w:lang w:val="en-US"/>
                    </w:rPr>
                  </w:pPr>
                  <w:r>
                    <w:rPr>
                      <w:rFonts w:hint="eastAsia" w:ascii="Calibri" w:hAnsi="宋体" w:eastAsia="宋体" w:cs="宋体"/>
                      <w:color w:val="000000"/>
                      <w:kern w:val="2"/>
                      <w:sz w:val="21"/>
                      <w:szCs w:val="21"/>
                      <w:bdr w:val="none" w:color="auto" w:sz="0" w:space="0"/>
                      <w:lang w:val="en-US" w:eastAsia="zh-CN" w:bidi="ar"/>
                    </w:rPr>
                    <w:t>依托租赁厂房现有供电系统。</w:t>
                  </w:r>
                </w:p>
              </w:tc>
            </w:tr>
            <w:tr w14:paraId="1DEDF8E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Merge w:val="continue"/>
                  <w:tcBorders>
                    <w:top w:val="single" w:color="auto" w:sz="4" w:space="0"/>
                    <w:left w:val="nil"/>
                    <w:bottom w:val="single" w:color="auto" w:sz="4" w:space="0"/>
                    <w:right w:val="single" w:color="auto" w:sz="4" w:space="0"/>
                  </w:tcBorders>
                  <w:shd w:val="clear"/>
                  <w:vAlign w:val="center"/>
                </w:tcPr>
                <w:p w14:paraId="2E12D64C">
                  <w:pPr>
                    <w:rPr>
                      <w:rFonts w:hint="default" w:ascii="Calibri" w:hAnsi="Calibri" w:cs="Calibri"/>
                      <w:sz w:val="20"/>
                      <w:szCs w:val="20"/>
                    </w:rPr>
                  </w:pPr>
                </w:p>
              </w:tc>
              <w:tc>
                <w:tcPr>
                  <w:tcW w:w="970" w:type="dxa"/>
                  <w:tcBorders>
                    <w:top w:val="single" w:color="auto" w:sz="4" w:space="0"/>
                    <w:left w:val="single" w:color="auto" w:sz="4" w:space="0"/>
                    <w:bottom w:val="single" w:color="auto" w:sz="4" w:space="0"/>
                    <w:right w:val="single" w:color="auto" w:sz="4" w:space="0"/>
                  </w:tcBorders>
                  <w:shd w:val="clear"/>
                  <w:vAlign w:val="center"/>
                </w:tcPr>
                <w:p w14:paraId="73959CD9">
                  <w:pPr>
                    <w:keepNext w:val="0"/>
                    <w:keepLines w:val="0"/>
                    <w:widowControl w:val="0"/>
                    <w:suppressLineNumbers w:val="0"/>
                    <w:spacing w:before="0" w:beforeAutospacing="0" w:after="0" w:afterAutospacing="0" w:line="300" w:lineRule="exact"/>
                    <w:ind w:left="0" w:right="0"/>
                    <w:jc w:val="center"/>
                    <w:rPr>
                      <w:color w:val="000000"/>
                      <w:szCs w:val="21"/>
                      <w:bdr w:val="none" w:color="auto" w:sz="0" w:space="0"/>
                      <w:lang w:val="en-US"/>
                    </w:rPr>
                  </w:pPr>
                  <w:r>
                    <w:rPr>
                      <w:rFonts w:hint="eastAsia" w:ascii="Calibri" w:hAnsi="宋体" w:eastAsia="宋体" w:cs="宋体"/>
                      <w:color w:val="000000"/>
                      <w:kern w:val="2"/>
                      <w:sz w:val="21"/>
                      <w:szCs w:val="21"/>
                      <w:bdr w:val="none" w:color="auto" w:sz="0" w:space="0"/>
                      <w:lang w:val="en-US" w:eastAsia="zh-CN" w:bidi="ar"/>
                    </w:rPr>
                    <w:t>供水</w:t>
                  </w:r>
                </w:p>
              </w:tc>
              <w:tc>
                <w:tcPr>
                  <w:tcW w:w="6565" w:type="dxa"/>
                  <w:tcBorders>
                    <w:top w:val="single" w:color="auto" w:sz="4" w:space="0"/>
                    <w:left w:val="single" w:color="auto" w:sz="4" w:space="0"/>
                    <w:bottom w:val="single" w:color="auto" w:sz="4" w:space="0"/>
                    <w:right w:val="nil"/>
                  </w:tcBorders>
                  <w:shd w:val="clear"/>
                  <w:vAlign w:val="center"/>
                </w:tcPr>
                <w:p w14:paraId="060445D6">
                  <w:pPr>
                    <w:keepNext w:val="0"/>
                    <w:keepLines w:val="0"/>
                    <w:widowControl w:val="0"/>
                    <w:suppressLineNumbers w:val="0"/>
                    <w:spacing w:before="0" w:beforeAutospacing="0" w:after="0" w:afterAutospacing="0" w:line="300" w:lineRule="exact"/>
                    <w:ind w:left="0" w:right="0"/>
                    <w:jc w:val="both"/>
                    <w:rPr>
                      <w:color w:val="000000"/>
                      <w:szCs w:val="21"/>
                      <w:bdr w:val="none" w:color="auto" w:sz="0" w:space="0"/>
                      <w:lang w:val="en-US"/>
                    </w:rPr>
                  </w:pPr>
                  <w:r>
                    <w:rPr>
                      <w:rFonts w:hint="eastAsia" w:ascii="Calibri" w:hAnsi="宋体" w:eastAsia="宋体" w:cs="宋体"/>
                      <w:color w:val="000000"/>
                      <w:spacing w:val="6"/>
                      <w:kern w:val="2"/>
                      <w:sz w:val="21"/>
                      <w:szCs w:val="21"/>
                      <w:bdr w:val="none" w:color="auto" w:sz="0" w:space="0"/>
                      <w:lang w:val="en-US" w:eastAsia="zh-CN" w:bidi="ar"/>
                    </w:rPr>
                    <w:t>依托租赁厂房现有给水系统。</w:t>
                  </w:r>
                </w:p>
              </w:tc>
            </w:tr>
            <w:tr w14:paraId="6F98792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Merge w:val="continue"/>
                  <w:tcBorders>
                    <w:top w:val="single" w:color="auto" w:sz="4" w:space="0"/>
                    <w:left w:val="nil"/>
                    <w:bottom w:val="single" w:color="auto" w:sz="4" w:space="0"/>
                    <w:right w:val="single" w:color="auto" w:sz="4" w:space="0"/>
                  </w:tcBorders>
                  <w:shd w:val="clear"/>
                  <w:vAlign w:val="center"/>
                </w:tcPr>
                <w:p w14:paraId="65CFF205">
                  <w:pPr>
                    <w:rPr>
                      <w:rFonts w:hint="default" w:ascii="Calibri" w:hAnsi="Calibri" w:cs="Calibri"/>
                      <w:sz w:val="20"/>
                      <w:szCs w:val="20"/>
                    </w:rPr>
                  </w:pPr>
                </w:p>
              </w:tc>
              <w:tc>
                <w:tcPr>
                  <w:tcW w:w="970" w:type="dxa"/>
                  <w:tcBorders>
                    <w:top w:val="single" w:color="auto" w:sz="4" w:space="0"/>
                    <w:left w:val="single" w:color="auto" w:sz="4" w:space="0"/>
                    <w:bottom w:val="single" w:color="auto" w:sz="4" w:space="0"/>
                    <w:right w:val="single" w:color="auto" w:sz="4" w:space="0"/>
                  </w:tcBorders>
                  <w:shd w:val="clear"/>
                  <w:vAlign w:val="center"/>
                </w:tcPr>
                <w:p w14:paraId="0F730B77">
                  <w:pPr>
                    <w:keepNext w:val="0"/>
                    <w:keepLines w:val="0"/>
                    <w:widowControl w:val="0"/>
                    <w:suppressLineNumbers w:val="0"/>
                    <w:spacing w:before="0" w:beforeAutospacing="0" w:after="0" w:afterAutospacing="0" w:line="300" w:lineRule="exact"/>
                    <w:ind w:left="0" w:right="0"/>
                    <w:jc w:val="center"/>
                    <w:rPr>
                      <w:color w:val="000000"/>
                      <w:szCs w:val="21"/>
                      <w:highlight w:val="yellow"/>
                      <w:bdr w:val="none" w:color="auto" w:sz="0" w:space="0"/>
                      <w:lang w:val="en-US"/>
                    </w:rPr>
                  </w:pPr>
                  <w:r>
                    <w:rPr>
                      <w:rFonts w:hint="eastAsia" w:ascii="Calibri" w:hAnsi="宋体" w:eastAsia="宋体" w:cs="宋体"/>
                      <w:color w:val="000000"/>
                      <w:kern w:val="2"/>
                      <w:sz w:val="21"/>
                      <w:szCs w:val="21"/>
                      <w:bdr w:val="none" w:color="auto" w:sz="0" w:space="0"/>
                      <w:lang w:val="en-US" w:eastAsia="zh-CN" w:bidi="ar"/>
                    </w:rPr>
                    <w:t>排水</w:t>
                  </w:r>
                </w:p>
              </w:tc>
              <w:tc>
                <w:tcPr>
                  <w:tcW w:w="6565" w:type="dxa"/>
                  <w:tcBorders>
                    <w:top w:val="single" w:color="auto" w:sz="4" w:space="0"/>
                    <w:left w:val="single" w:color="auto" w:sz="4" w:space="0"/>
                    <w:bottom w:val="single" w:color="auto" w:sz="4" w:space="0"/>
                    <w:right w:val="nil"/>
                  </w:tcBorders>
                  <w:shd w:val="clear"/>
                  <w:vAlign w:val="center"/>
                </w:tcPr>
                <w:p w14:paraId="5906C269">
                  <w:pPr>
                    <w:keepNext w:val="0"/>
                    <w:keepLines w:val="0"/>
                    <w:widowControl w:val="0"/>
                    <w:suppressLineNumbers w:val="0"/>
                    <w:spacing w:before="0" w:beforeAutospacing="0" w:after="0" w:afterAutospacing="0" w:line="300" w:lineRule="exact"/>
                    <w:ind w:left="0" w:right="0"/>
                    <w:jc w:val="both"/>
                    <w:rPr>
                      <w:color w:val="000000"/>
                      <w:szCs w:val="21"/>
                      <w:highlight w:val="yellow"/>
                      <w:bdr w:val="none" w:color="auto" w:sz="0" w:space="0"/>
                      <w:lang w:val="en-US"/>
                    </w:rPr>
                  </w:pPr>
                  <w:r>
                    <w:rPr>
                      <w:rFonts w:hint="eastAsia" w:ascii="Calibri" w:hAnsi="宋体" w:eastAsia="宋体" w:cs="宋体"/>
                      <w:color w:val="000000"/>
                      <w:kern w:val="2"/>
                      <w:sz w:val="21"/>
                      <w:szCs w:val="21"/>
                      <w:bdr w:val="none" w:color="auto" w:sz="0" w:space="0"/>
                      <w:lang w:val="en-US" w:eastAsia="zh-CN" w:bidi="ar"/>
                    </w:rPr>
                    <w:t>依托租赁厂房现有排水管网，采用雨、污分流。</w:t>
                  </w:r>
                </w:p>
              </w:tc>
            </w:tr>
            <w:tr w14:paraId="4555E32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850" w:type="dxa"/>
                  <w:vMerge w:val="restart"/>
                  <w:tcBorders>
                    <w:top w:val="single" w:color="auto" w:sz="4" w:space="0"/>
                    <w:left w:val="nil"/>
                    <w:bottom w:val="single" w:color="auto" w:sz="12" w:space="0"/>
                    <w:right w:val="single" w:color="auto" w:sz="4" w:space="0"/>
                  </w:tcBorders>
                  <w:shd w:val="clear"/>
                  <w:vAlign w:val="center"/>
                </w:tcPr>
                <w:p w14:paraId="52F3397D">
                  <w:pPr>
                    <w:keepNext w:val="0"/>
                    <w:keepLines w:val="0"/>
                    <w:widowControl w:val="0"/>
                    <w:suppressLineNumbers w:val="0"/>
                    <w:spacing w:before="0" w:beforeAutospacing="0" w:after="0" w:afterAutospacing="0" w:line="300" w:lineRule="exact"/>
                    <w:ind w:left="0" w:right="0"/>
                    <w:jc w:val="center"/>
                    <w:rPr>
                      <w:rFonts w:hAnsi="宋体"/>
                      <w:color w:val="000000"/>
                      <w:szCs w:val="21"/>
                      <w:bdr w:val="none" w:color="auto" w:sz="0" w:space="0"/>
                      <w:lang w:val="en-US"/>
                    </w:rPr>
                  </w:pPr>
                  <w:r>
                    <w:rPr>
                      <w:rFonts w:hint="eastAsia" w:ascii="Calibri" w:hAnsi="宋体" w:eastAsia="宋体" w:cs="宋体"/>
                      <w:color w:val="000000"/>
                      <w:kern w:val="2"/>
                      <w:sz w:val="21"/>
                      <w:szCs w:val="21"/>
                      <w:bdr w:val="none" w:color="auto" w:sz="0" w:space="0"/>
                      <w:lang w:val="en-US" w:eastAsia="zh-CN" w:bidi="ar"/>
                    </w:rPr>
                    <w:t>环保</w:t>
                  </w:r>
                </w:p>
                <w:p w14:paraId="6E58B59D">
                  <w:pPr>
                    <w:keepNext w:val="0"/>
                    <w:keepLines w:val="0"/>
                    <w:widowControl w:val="0"/>
                    <w:suppressLineNumbers w:val="0"/>
                    <w:spacing w:before="0" w:beforeAutospacing="0" w:after="0" w:afterAutospacing="0" w:line="300" w:lineRule="exact"/>
                    <w:ind w:left="0" w:right="0"/>
                    <w:jc w:val="center"/>
                    <w:rPr>
                      <w:color w:val="000000"/>
                      <w:szCs w:val="21"/>
                      <w:bdr w:val="none" w:color="auto" w:sz="0" w:space="0"/>
                      <w:lang w:val="en-US"/>
                    </w:rPr>
                  </w:pPr>
                  <w:r>
                    <w:rPr>
                      <w:rFonts w:hint="eastAsia" w:ascii="Calibri" w:hAnsi="宋体" w:eastAsia="宋体" w:cs="宋体"/>
                      <w:color w:val="000000"/>
                      <w:kern w:val="2"/>
                      <w:sz w:val="21"/>
                      <w:szCs w:val="21"/>
                      <w:bdr w:val="none" w:color="auto" w:sz="0" w:space="0"/>
                      <w:lang w:val="en-US" w:eastAsia="zh-CN" w:bidi="ar"/>
                    </w:rPr>
                    <w:t>工程</w:t>
                  </w:r>
                </w:p>
              </w:tc>
              <w:tc>
                <w:tcPr>
                  <w:tcW w:w="970" w:type="dxa"/>
                  <w:tcBorders>
                    <w:top w:val="single" w:color="auto" w:sz="4" w:space="0"/>
                    <w:left w:val="single" w:color="auto" w:sz="4" w:space="0"/>
                    <w:bottom w:val="single" w:color="auto" w:sz="4" w:space="0"/>
                    <w:right w:val="single" w:color="auto" w:sz="4" w:space="0"/>
                  </w:tcBorders>
                  <w:shd w:val="clear"/>
                  <w:vAlign w:val="center"/>
                </w:tcPr>
                <w:p w14:paraId="0A93923D">
                  <w:pPr>
                    <w:keepNext w:val="0"/>
                    <w:keepLines w:val="0"/>
                    <w:widowControl w:val="0"/>
                    <w:suppressLineNumbers w:val="0"/>
                    <w:spacing w:before="0" w:beforeAutospacing="0" w:after="0" w:afterAutospacing="0" w:line="300" w:lineRule="exact"/>
                    <w:ind w:left="0" w:right="0"/>
                    <w:jc w:val="center"/>
                    <w:rPr>
                      <w:color w:val="000000"/>
                      <w:szCs w:val="21"/>
                      <w:bdr w:val="none" w:color="auto" w:sz="0" w:space="0"/>
                      <w:lang w:val="en-US"/>
                    </w:rPr>
                  </w:pPr>
                  <w:r>
                    <w:rPr>
                      <w:rFonts w:hint="eastAsia" w:ascii="Calibri" w:hAnsi="宋体" w:eastAsia="宋体" w:cs="宋体"/>
                      <w:color w:val="000000"/>
                      <w:kern w:val="2"/>
                      <w:sz w:val="21"/>
                      <w:szCs w:val="21"/>
                      <w:bdr w:val="none" w:color="auto" w:sz="0" w:space="0"/>
                      <w:lang w:val="en-US" w:eastAsia="zh-CN" w:bidi="ar"/>
                    </w:rPr>
                    <w:t>废气</w:t>
                  </w:r>
                </w:p>
              </w:tc>
              <w:tc>
                <w:tcPr>
                  <w:tcW w:w="6565" w:type="dxa"/>
                  <w:tcBorders>
                    <w:top w:val="single" w:color="auto" w:sz="4" w:space="0"/>
                    <w:left w:val="single" w:color="auto" w:sz="4" w:space="0"/>
                    <w:bottom w:val="single" w:color="auto" w:sz="4" w:space="0"/>
                    <w:right w:val="nil"/>
                  </w:tcBorders>
                  <w:shd w:val="clear"/>
                  <w:vAlign w:val="center"/>
                </w:tcPr>
                <w:p w14:paraId="54659289">
                  <w:pPr>
                    <w:pStyle w:val="9"/>
                    <w:widowControl/>
                    <w:spacing w:line="300" w:lineRule="exact"/>
                    <w:rPr>
                      <w:rFonts w:hint="default" w:ascii="Times New Roman" w:hAnsi="Times New Roman" w:cs="Times New Roman"/>
                      <w:color w:val="000000"/>
                      <w:szCs w:val="21"/>
                      <w:bdr w:val="none" w:color="auto" w:sz="0" w:space="0"/>
                      <w:lang w:val="en-US"/>
                    </w:rPr>
                  </w:pPr>
                  <w:bookmarkStart w:id="28" w:name="OLE_LINK29"/>
                  <w:bookmarkStart w:id="29" w:name="OLE_LINK28"/>
                  <w:r>
                    <w:rPr>
                      <w:rFonts w:ascii="Times New Roman" w:hAnsi="宋体"/>
                      <w:color w:val="000000"/>
                      <w:szCs w:val="21"/>
                      <w:bdr w:val="none" w:color="auto" w:sz="0" w:space="0"/>
                      <w:lang w:val="en-US"/>
                    </w:rPr>
                    <w:t>①</w:t>
                  </w:r>
                  <w:r>
                    <w:rPr>
                      <w:rFonts w:ascii="Times New Roman" w:hAnsi="宋体"/>
                      <w:color w:val="000000"/>
                      <w:szCs w:val="21"/>
                      <w:bdr w:val="none" w:color="auto" w:sz="0" w:space="0"/>
                    </w:rPr>
                    <w:t>涂胶及激光切割废气经收集后引入</w:t>
                  </w:r>
                  <w:r>
                    <w:rPr>
                      <w:rFonts w:hint="default" w:ascii="Times New Roman" w:hAnsi="Times New Roman" w:cs="Times New Roman"/>
                      <w:color w:val="000000"/>
                      <w:szCs w:val="21"/>
                      <w:bdr w:val="none" w:color="auto" w:sz="0" w:space="0"/>
                      <w:lang w:val="en-US"/>
                    </w:rPr>
                    <w:t>1</w:t>
                  </w:r>
                  <w:r>
                    <w:rPr>
                      <w:rFonts w:ascii="Times New Roman" w:hAnsi="宋体"/>
                      <w:color w:val="000000"/>
                      <w:szCs w:val="21"/>
                      <w:bdr w:val="none" w:color="auto" w:sz="0" w:space="0"/>
                    </w:rPr>
                    <w:t>套</w:t>
                  </w:r>
                  <w:r>
                    <w:rPr>
                      <w:rFonts w:hAnsi="宋体"/>
                      <w:color w:val="000000"/>
                      <w:szCs w:val="21"/>
                      <w:bdr w:val="none" w:color="auto" w:sz="0" w:space="0"/>
                      <w:lang w:val="en-US"/>
                    </w:rPr>
                    <w:t>“</w:t>
                  </w:r>
                  <w:r>
                    <w:rPr>
                      <w:rFonts w:hAnsi="宋体"/>
                      <w:color w:val="000000"/>
                      <w:szCs w:val="21"/>
                      <w:bdr w:val="none" w:color="auto" w:sz="0" w:space="0"/>
                    </w:rPr>
                    <w:t>布袋</w:t>
                  </w:r>
                  <w:r>
                    <w:rPr>
                      <w:rFonts w:hAnsi="宋体"/>
                      <w:color w:val="000000"/>
                      <w:szCs w:val="21"/>
                      <w:bdr w:val="none" w:color="auto" w:sz="0" w:space="0"/>
                      <w:lang w:val="en-US"/>
                    </w:rPr>
                    <w:t>+</w:t>
                  </w:r>
                  <w:r>
                    <w:rPr>
                      <w:rFonts w:hint="default" w:ascii="Times New Roman" w:hAnsi="Times New Roman" w:cs="Times New Roman"/>
                      <w:color w:val="000000"/>
                      <w:szCs w:val="21"/>
                      <w:bdr w:val="none" w:color="auto" w:sz="0" w:space="0"/>
                      <w:lang w:val="en-US"/>
                    </w:rPr>
                    <w:t>UV</w:t>
                  </w:r>
                  <w:r>
                    <w:rPr>
                      <w:rFonts w:hAnsi="宋体"/>
                      <w:color w:val="000000"/>
                      <w:szCs w:val="21"/>
                      <w:bdr w:val="none" w:color="auto" w:sz="0" w:space="0"/>
                    </w:rPr>
                    <w:t>光解</w:t>
                  </w:r>
                  <w:r>
                    <w:rPr>
                      <w:rFonts w:hAnsi="宋体"/>
                      <w:color w:val="000000"/>
                      <w:szCs w:val="21"/>
                      <w:bdr w:val="none" w:color="auto" w:sz="0" w:space="0"/>
                      <w:lang w:val="en-US"/>
                    </w:rPr>
                    <w:t>+</w:t>
                  </w:r>
                  <w:r>
                    <w:rPr>
                      <w:rFonts w:hAnsi="宋体"/>
                      <w:color w:val="000000"/>
                      <w:szCs w:val="21"/>
                      <w:bdr w:val="none" w:color="auto" w:sz="0" w:space="0"/>
                    </w:rPr>
                    <w:t>二级活性炭</w:t>
                  </w:r>
                  <w:r>
                    <w:rPr>
                      <w:rFonts w:hAnsi="宋体"/>
                      <w:color w:val="000000"/>
                      <w:szCs w:val="21"/>
                      <w:bdr w:val="none" w:color="auto" w:sz="0" w:space="0"/>
                      <w:lang w:val="en-US"/>
                    </w:rPr>
                    <w:t>”</w:t>
                  </w:r>
                  <w:r>
                    <w:rPr>
                      <w:rFonts w:hAnsi="宋体"/>
                      <w:color w:val="000000"/>
                      <w:szCs w:val="21"/>
                      <w:bdr w:val="none" w:color="auto" w:sz="0" w:space="0"/>
                    </w:rPr>
                    <w:t>吸</w:t>
                  </w:r>
                  <w:r>
                    <w:rPr>
                      <w:rFonts w:ascii="Times New Roman" w:hAnsi="宋体"/>
                      <w:color w:val="000000"/>
                      <w:szCs w:val="21"/>
                      <w:bdr w:val="none" w:color="auto" w:sz="0" w:space="0"/>
                    </w:rPr>
                    <w:t>附装置处理，通过</w:t>
                  </w:r>
                  <w:r>
                    <w:rPr>
                      <w:rFonts w:hint="default" w:ascii="Times New Roman" w:hAnsi="Times New Roman" w:cs="Times New Roman"/>
                      <w:color w:val="000000"/>
                      <w:szCs w:val="21"/>
                      <w:bdr w:val="none" w:color="auto" w:sz="0" w:space="0"/>
                      <w:lang w:val="en-US"/>
                    </w:rPr>
                    <w:t>1</w:t>
                  </w:r>
                  <w:r>
                    <w:rPr>
                      <w:rFonts w:ascii="Times New Roman" w:hAnsi="宋体"/>
                      <w:color w:val="000000"/>
                      <w:szCs w:val="21"/>
                      <w:bdr w:val="none" w:color="auto" w:sz="0" w:space="0"/>
                    </w:rPr>
                    <w:t>根</w:t>
                  </w:r>
                  <w:r>
                    <w:rPr>
                      <w:rFonts w:hint="default" w:ascii="Times New Roman" w:hAnsi="Times New Roman" w:cs="Times New Roman"/>
                      <w:color w:val="000000"/>
                      <w:szCs w:val="21"/>
                      <w:bdr w:val="none" w:color="auto" w:sz="0" w:space="0"/>
                      <w:lang w:val="en-US"/>
                    </w:rPr>
                    <w:t>20m</w:t>
                  </w:r>
                  <w:r>
                    <w:rPr>
                      <w:rFonts w:ascii="Times New Roman" w:hAnsi="宋体"/>
                      <w:color w:val="000000"/>
                      <w:szCs w:val="21"/>
                      <w:bdr w:val="none" w:color="auto" w:sz="0" w:space="0"/>
                    </w:rPr>
                    <w:t>高排气筒（</w:t>
                  </w:r>
                  <w:r>
                    <w:rPr>
                      <w:rFonts w:hint="default" w:ascii="Times New Roman" w:hAnsi="Times New Roman" w:cs="Times New Roman"/>
                      <w:color w:val="000000"/>
                      <w:szCs w:val="21"/>
                      <w:bdr w:val="none" w:color="auto" w:sz="0" w:space="0"/>
                      <w:lang w:val="en-US"/>
                    </w:rPr>
                    <w:t>DA001</w:t>
                  </w:r>
                  <w:r>
                    <w:rPr>
                      <w:rFonts w:ascii="Times New Roman" w:hAnsi="宋体"/>
                      <w:color w:val="000000"/>
                      <w:szCs w:val="21"/>
                      <w:bdr w:val="none" w:color="auto" w:sz="0" w:space="0"/>
                    </w:rPr>
                    <w:t>）排放；</w:t>
                  </w:r>
                </w:p>
                <w:p w14:paraId="6009AA0B">
                  <w:pPr>
                    <w:pStyle w:val="9"/>
                    <w:widowControl/>
                    <w:spacing w:line="300" w:lineRule="exact"/>
                    <w:rPr>
                      <w:rFonts w:hint="default" w:ascii="Times New Roman" w:hAnsi="Times New Roman" w:cs="Times New Roman"/>
                      <w:color w:val="000000"/>
                      <w:szCs w:val="21"/>
                      <w:bdr w:val="none" w:color="auto" w:sz="0" w:space="0"/>
                      <w:lang w:val="en-US"/>
                    </w:rPr>
                  </w:pPr>
                  <w:r>
                    <w:rPr>
                      <w:rFonts w:ascii="Times New Roman" w:hAnsi="宋体"/>
                      <w:color w:val="000000"/>
                      <w:szCs w:val="21"/>
                      <w:bdr w:val="none" w:color="auto" w:sz="0" w:space="0"/>
                      <w:lang w:val="en-US"/>
                    </w:rPr>
                    <w:t>②</w:t>
                  </w:r>
                  <w:r>
                    <w:rPr>
                      <w:rFonts w:ascii="Times New Roman" w:hAnsi="宋体"/>
                      <w:color w:val="000000"/>
                      <w:szCs w:val="21"/>
                      <w:bdr w:val="none" w:color="auto" w:sz="0" w:space="0"/>
                    </w:rPr>
                    <w:t>云母板雕刻、打磨粉尘经收集后引入</w:t>
                  </w:r>
                  <w:r>
                    <w:rPr>
                      <w:rFonts w:hint="default" w:ascii="Times New Roman" w:hAnsi="Times New Roman" w:cs="Times New Roman"/>
                      <w:color w:val="000000"/>
                      <w:szCs w:val="21"/>
                      <w:bdr w:val="none" w:color="auto" w:sz="0" w:space="0"/>
                      <w:lang w:val="en-US"/>
                    </w:rPr>
                    <w:t>1</w:t>
                  </w:r>
                  <w:r>
                    <w:rPr>
                      <w:rFonts w:ascii="Times New Roman" w:hAnsi="宋体"/>
                      <w:color w:val="000000"/>
                      <w:szCs w:val="21"/>
                      <w:bdr w:val="none" w:color="auto" w:sz="0" w:space="0"/>
                    </w:rPr>
                    <w:t>套</w:t>
                  </w:r>
                  <w:r>
                    <w:rPr>
                      <w:rFonts w:hAnsi="宋体"/>
                      <w:color w:val="000000"/>
                      <w:szCs w:val="21"/>
                      <w:bdr w:val="none" w:color="auto" w:sz="0" w:space="0"/>
                      <w:lang w:val="en-US"/>
                    </w:rPr>
                    <w:t>“</w:t>
                  </w:r>
                  <w:r>
                    <w:rPr>
                      <w:rFonts w:ascii="Times New Roman" w:hAnsi="宋体"/>
                      <w:color w:val="000000"/>
                      <w:szCs w:val="21"/>
                      <w:bdr w:val="none" w:color="auto" w:sz="0" w:space="0"/>
                    </w:rPr>
                    <w:t>旋风除尘</w:t>
                  </w:r>
                  <w:r>
                    <w:rPr>
                      <w:rFonts w:hint="default" w:ascii="Times New Roman" w:hAnsi="Times New Roman" w:cs="Times New Roman"/>
                      <w:color w:val="000000"/>
                      <w:szCs w:val="21"/>
                      <w:bdr w:val="none" w:color="auto" w:sz="0" w:space="0"/>
                      <w:lang w:val="en-US"/>
                    </w:rPr>
                    <w:t>+</w:t>
                  </w:r>
                  <w:r>
                    <w:rPr>
                      <w:rFonts w:ascii="Times New Roman" w:hAnsi="宋体"/>
                      <w:color w:val="000000"/>
                      <w:szCs w:val="21"/>
                      <w:bdr w:val="none" w:color="auto" w:sz="0" w:space="0"/>
                    </w:rPr>
                    <w:t>布袋除尘</w:t>
                  </w:r>
                  <w:r>
                    <w:rPr>
                      <w:rFonts w:hAnsi="宋体"/>
                      <w:color w:val="000000"/>
                      <w:szCs w:val="21"/>
                      <w:bdr w:val="none" w:color="auto" w:sz="0" w:space="0"/>
                      <w:lang w:val="en-US"/>
                    </w:rPr>
                    <w:t>”</w:t>
                  </w:r>
                  <w:r>
                    <w:rPr>
                      <w:rFonts w:ascii="Times New Roman" w:hAnsi="宋体"/>
                      <w:color w:val="000000"/>
                      <w:szCs w:val="21"/>
                      <w:bdr w:val="none" w:color="auto" w:sz="0" w:space="0"/>
                    </w:rPr>
                    <w:t>装置处理后通过</w:t>
                  </w:r>
                  <w:r>
                    <w:rPr>
                      <w:rFonts w:hint="default" w:ascii="Times New Roman" w:hAnsi="Times New Roman" w:cs="Times New Roman"/>
                      <w:color w:val="000000"/>
                      <w:szCs w:val="21"/>
                      <w:bdr w:val="none" w:color="auto" w:sz="0" w:space="0"/>
                      <w:lang w:val="en-US"/>
                    </w:rPr>
                    <w:t>1</w:t>
                  </w:r>
                  <w:r>
                    <w:rPr>
                      <w:rFonts w:ascii="Times New Roman" w:hAnsi="宋体"/>
                      <w:color w:val="000000"/>
                      <w:szCs w:val="21"/>
                      <w:bdr w:val="none" w:color="auto" w:sz="0" w:space="0"/>
                    </w:rPr>
                    <w:t>根</w:t>
                  </w:r>
                  <w:r>
                    <w:rPr>
                      <w:rFonts w:hint="default" w:ascii="Times New Roman" w:hAnsi="Times New Roman" w:cs="Times New Roman"/>
                      <w:color w:val="000000"/>
                      <w:szCs w:val="21"/>
                      <w:bdr w:val="none" w:color="auto" w:sz="0" w:space="0"/>
                      <w:lang w:val="en-US"/>
                    </w:rPr>
                    <w:t>20m</w:t>
                  </w:r>
                  <w:r>
                    <w:rPr>
                      <w:rFonts w:ascii="Times New Roman" w:hAnsi="宋体"/>
                      <w:color w:val="000000"/>
                      <w:szCs w:val="21"/>
                      <w:bdr w:val="none" w:color="auto" w:sz="0" w:space="0"/>
                    </w:rPr>
                    <w:t>高排气筒（</w:t>
                  </w:r>
                  <w:r>
                    <w:rPr>
                      <w:rFonts w:hint="default" w:ascii="Times New Roman" w:hAnsi="Times New Roman" w:cs="Times New Roman"/>
                      <w:color w:val="000000"/>
                      <w:szCs w:val="21"/>
                      <w:bdr w:val="none" w:color="auto" w:sz="0" w:space="0"/>
                      <w:lang w:val="en-US"/>
                    </w:rPr>
                    <w:t>DA002</w:t>
                  </w:r>
                  <w:r>
                    <w:rPr>
                      <w:rFonts w:ascii="Times New Roman" w:hAnsi="宋体"/>
                      <w:color w:val="000000"/>
                      <w:szCs w:val="21"/>
                      <w:bdr w:val="none" w:color="auto" w:sz="0" w:space="0"/>
                    </w:rPr>
                    <w:t>）排放。</w:t>
                  </w:r>
                  <w:bookmarkEnd w:id="28"/>
                  <w:bookmarkEnd w:id="29"/>
                </w:p>
              </w:tc>
            </w:tr>
            <w:tr w14:paraId="475D7AF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850" w:type="dxa"/>
                  <w:vMerge w:val="continue"/>
                  <w:tcBorders>
                    <w:top w:val="single" w:color="auto" w:sz="4" w:space="0"/>
                    <w:left w:val="nil"/>
                    <w:bottom w:val="single" w:color="auto" w:sz="12" w:space="0"/>
                    <w:right w:val="single" w:color="auto" w:sz="4" w:space="0"/>
                  </w:tcBorders>
                  <w:shd w:val="clear"/>
                  <w:vAlign w:val="center"/>
                </w:tcPr>
                <w:p w14:paraId="303DB9D0">
                  <w:pPr>
                    <w:rPr>
                      <w:rFonts w:hint="default" w:ascii="Calibri" w:hAnsi="Calibri" w:cs="Calibri"/>
                      <w:sz w:val="20"/>
                      <w:szCs w:val="20"/>
                    </w:rPr>
                  </w:pPr>
                </w:p>
              </w:tc>
              <w:tc>
                <w:tcPr>
                  <w:tcW w:w="970" w:type="dxa"/>
                  <w:tcBorders>
                    <w:top w:val="single" w:color="auto" w:sz="4" w:space="0"/>
                    <w:left w:val="single" w:color="auto" w:sz="4" w:space="0"/>
                    <w:bottom w:val="single" w:color="auto" w:sz="4" w:space="0"/>
                    <w:right w:val="single" w:color="auto" w:sz="4" w:space="0"/>
                  </w:tcBorders>
                  <w:shd w:val="clear"/>
                  <w:vAlign w:val="center"/>
                </w:tcPr>
                <w:p w14:paraId="1AF1B233">
                  <w:pPr>
                    <w:keepNext w:val="0"/>
                    <w:keepLines w:val="0"/>
                    <w:widowControl w:val="0"/>
                    <w:suppressLineNumbers w:val="0"/>
                    <w:spacing w:before="0" w:beforeAutospacing="0" w:after="0" w:afterAutospacing="0" w:line="300" w:lineRule="exact"/>
                    <w:ind w:left="0" w:right="0"/>
                    <w:jc w:val="center"/>
                    <w:rPr>
                      <w:color w:val="000000"/>
                      <w:szCs w:val="21"/>
                      <w:highlight w:val="yellow"/>
                      <w:bdr w:val="none" w:color="auto" w:sz="0" w:space="0"/>
                      <w:lang w:val="en-US"/>
                    </w:rPr>
                  </w:pPr>
                  <w:r>
                    <w:rPr>
                      <w:rFonts w:hint="eastAsia" w:ascii="Calibri" w:hAnsi="宋体" w:eastAsia="宋体" w:cs="宋体"/>
                      <w:color w:val="000000"/>
                      <w:kern w:val="2"/>
                      <w:sz w:val="21"/>
                      <w:szCs w:val="21"/>
                      <w:bdr w:val="none" w:color="auto" w:sz="0" w:space="0"/>
                      <w:lang w:val="en-US" w:eastAsia="zh-CN" w:bidi="ar"/>
                    </w:rPr>
                    <w:t>废水</w:t>
                  </w:r>
                </w:p>
              </w:tc>
              <w:tc>
                <w:tcPr>
                  <w:tcW w:w="6565" w:type="dxa"/>
                  <w:tcBorders>
                    <w:top w:val="single" w:color="auto" w:sz="4" w:space="0"/>
                    <w:left w:val="single" w:color="auto" w:sz="4" w:space="0"/>
                    <w:bottom w:val="single" w:color="auto" w:sz="4" w:space="0"/>
                    <w:right w:val="nil"/>
                  </w:tcBorders>
                  <w:shd w:val="clear"/>
                  <w:vAlign w:val="center"/>
                </w:tcPr>
                <w:p w14:paraId="335CD54F">
                  <w:pPr>
                    <w:keepNext w:val="0"/>
                    <w:keepLines w:val="0"/>
                    <w:widowControl w:val="0"/>
                    <w:suppressLineNumbers w:val="0"/>
                    <w:spacing w:before="0" w:beforeAutospacing="0" w:after="0" w:afterAutospacing="0" w:line="300" w:lineRule="exact"/>
                    <w:ind w:left="0" w:right="0"/>
                    <w:jc w:val="both"/>
                    <w:rPr>
                      <w:color w:val="000000"/>
                      <w:szCs w:val="21"/>
                      <w:highlight w:val="yellow"/>
                      <w:bdr w:val="none" w:color="auto" w:sz="0" w:space="0"/>
                      <w:lang w:val="en-US"/>
                    </w:rPr>
                  </w:pPr>
                  <w:r>
                    <w:rPr>
                      <w:rFonts w:hint="eastAsia" w:ascii="Calibri" w:hAnsi="宋体" w:eastAsia="宋体" w:cs="宋体"/>
                      <w:color w:val="000000"/>
                      <w:kern w:val="2"/>
                      <w:sz w:val="21"/>
                      <w:szCs w:val="21"/>
                      <w:bdr w:val="none" w:color="auto" w:sz="0" w:space="0"/>
                      <w:lang w:val="en-US" w:eastAsia="zh-CN" w:bidi="ar"/>
                    </w:rPr>
                    <w:t>员工生活污水依托盈田</w:t>
                  </w:r>
                  <w:r>
                    <w:rPr>
                      <w:rFonts w:hint="default" w:ascii="Calibri" w:hAnsi="Calibri" w:eastAsia="宋体" w:cs="Times New Roman"/>
                      <w:color w:val="000000"/>
                      <w:kern w:val="2"/>
                      <w:sz w:val="21"/>
                      <w:szCs w:val="21"/>
                      <w:bdr w:val="none" w:color="auto" w:sz="0" w:space="0"/>
                      <w:lang w:val="en-US" w:eastAsia="zh-CN" w:bidi="ar"/>
                    </w:rPr>
                    <w:t>·</w:t>
                  </w:r>
                  <w:r>
                    <w:rPr>
                      <w:rFonts w:hint="eastAsia" w:ascii="Calibri" w:hAnsi="宋体" w:eastAsia="宋体" w:cs="宋体"/>
                      <w:color w:val="000000"/>
                      <w:kern w:val="2"/>
                      <w:sz w:val="21"/>
                      <w:szCs w:val="21"/>
                      <w:bdr w:val="none" w:color="auto" w:sz="0" w:space="0"/>
                      <w:lang w:val="en-US" w:eastAsia="zh-CN" w:bidi="ar"/>
                    </w:rPr>
                    <w:t>合川工谷已建污水处理设施处理达《污水综合排放标准》</w:t>
                  </w:r>
                  <w:r>
                    <w:rPr>
                      <w:rFonts w:hint="eastAsia" w:ascii="Times New Roman" w:hAnsi="Times New Roman" w:eastAsia="宋体" w:cs="宋体"/>
                      <w:color w:val="000000"/>
                      <w:kern w:val="2"/>
                      <w:sz w:val="21"/>
                      <w:szCs w:val="21"/>
                      <w:bdr w:val="none" w:color="auto" w:sz="0" w:space="0"/>
                      <w:lang w:val="en-US" w:eastAsia="zh-CN" w:bidi="ar"/>
                    </w:rPr>
                    <w:t>（</w:t>
                  </w:r>
                  <w:r>
                    <w:rPr>
                      <w:rFonts w:hint="default" w:ascii="Times New Roman" w:hAnsi="Times New Roman" w:eastAsia="宋体" w:cs="Times New Roman"/>
                      <w:color w:val="000000"/>
                      <w:kern w:val="2"/>
                      <w:sz w:val="21"/>
                      <w:szCs w:val="21"/>
                      <w:bdr w:val="none" w:color="auto" w:sz="0" w:space="0"/>
                      <w:lang w:val="en-US" w:eastAsia="zh-CN" w:bidi="ar"/>
                    </w:rPr>
                    <w:t>GB8978-1996</w:t>
                  </w:r>
                  <w:r>
                    <w:rPr>
                      <w:rFonts w:hint="eastAsia" w:ascii="Times New Roman" w:hAnsi="Times New Roman" w:eastAsia="宋体" w:cs="宋体"/>
                      <w:color w:val="000000"/>
                      <w:kern w:val="2"/>
                      <w:sz w:val="21"/>
                      <w:szCs w:val="21"/>
                      <w:bdr w:val="none" w:color="auto" w:sz="0" w:space="0"/>
                      <w:lang w:val="en-US" w:eastAsia="zh-CN" w:bidi="ar"/>
                    </w:rPr>
                    <w:t>）</w:t>
                  </w:r>
                  <w:r>
                    <w:rPr>
                      <w:rFonts w:hint="eastAsia" w:ascii="Calibri" w:hAnsi="宋体" w:eastAsia="宋体" w:cs="宋体"/>
                      <w:color w:val="000000"/>
                      <w:kern w:val="2"/>
                      <w:sz w:val="21"/>
                      <w:szCs w:val="21"/>
                      <w:bdr w:val="none" w:color="auto" w:sz="0" w:space="0"/>
                      <w:lang w:val="en-US" w:eastAsia="zh-CN" w:bidi="ar"/>
                    </w:rPr>
                    <w:t>三级</w:t>
                  </w:r>
                  <w:r>
                    <w:rPr>
                      <w:rFonts w:hint="eastAsia" w:ascii="Times New Roman" w:hAnsi="Times New Roman" w:eastAsia="宋体" w:cs="宋体"/>
                      <w:color w:val="000000"/>
                      <w:kern w:val="2"/>
                      <w:sz w:val="21"/>
                      <w:szCs w:val="21"/>
                      <w:bdr w:val="none" w:color="auto" w:sz="0" w:space="0"/>
                      <w:lang w:val="en-US" w:eastAsia="zh-CN" w:bidi="ar"/>
                    </w:rPr>
                    <w:t>标准后，经市政污水管网排入</w:t>
                  </w:r>
                  <w:r>
                    <w:rPr>
                      <w:rFonts w:hint="eastAsia" w:ascii="Times New Roman" w:hAnsi="Times New Roman" w:eastAsia="宋体" w:cs="宋体"/>
                      <w:bCs/>
                      <w:color w:val="000000"/>
                      <w:kern w:val="2"/>
                      <w:sz w:val="21"/>
                      <w:szCs w:val="21"/>
                      <w:bdr w:val="none" w:color="auto" w:sz="0" w:space="0"/>
                      <w:lang w:val="en-US" w:eastAsia="zh-CN" w:bidi="ar"/>
                    </w:rPr>
                    <w:t>农创园污水处理厂进一步处理达《城镇污水处理厂污染物排放标准》（</w:t>
                  </w:r>
                  <w:r>
                    <w:rPr>
                      <w:rFonts w:hint="default" w:ascii="Times New Roman" w:hAnsi="Times New Roman" w:eastAsia="宋体" w:cs="Times New Roman"/>
                      <w:bCs/>
                      <w:color w:val="000000"/>
                      <w:kern w:val="2"/>
                      <w:sz w:val="21"/>
                      <w:szCs w:val="21"/>
                      <w:bdr w:val="none" w:color="auto" w:sz="0" w:space="0"/>
                      <w:lang w:val="en-US" w:eastAsia="zh-CN" w:bidi="ar"/>
                    </w:rPr>
                    <w:t>GB18918-2002</w:t>
                  </w:r>
                  <w:r>
                    <w:rPr>
                      <w:rFonts w:hint="eastAsia" w:ascii="Times New Roman" w:hAnsi="Times New Roman" w:eastAsia="宋体" w:cs="宋体"/>
                      <w:bCs/>
                      <w:color w:val="000000"/>
                      <w:kern w:val="2"/>
                      <w:sz w:val="21"/>
                      <w:szCs w:val="21"/>
                      <w:bdr w:val="none" w:color="auto" w:sz="0" w:space="0"/>
                      <w:lang w:val="en-US" w:eastAsia="zh-CN" w:bidi="ar"/>
                    </w:rPr>
                    <w:t>）一级</w:t>
                  </w:r>
                  <w:r>
                    <w:rPr>
                      <w:rFonts w:hint="default" w:ascii="Times New Roman" w:hAnsi="Times New Roman" w:eastAsia="宋体" w:cs="Times New Roman"/>
                      <w:bCs/>
                      <w:color w:val="000000"/>
                      <w:kern w:val="2"/>
                      <w:sz w:val="21"/>
                      <w:szCs w:val="21"/>
                      <w:bdr w:val="none" w:color="auto" w:sz="0" w:space="0"/>
                      <w:lang w:val="en-US" w:eastAsia="zh-CN" w:bidi="ar"/>
                    </w:rPr>
                    <w:t>B</w:t>
                  </w:r>
                  <w:r>
                    <w:rPr>
                      <w:rFonts w:hint="eastAsia" w:ascii="Times New Roman" w:hAnsi="Times New Roman" w:eastAsia="宋体" w:cs="宋体"/>
                      <w:bCs/>
                      <w:color w:val="000000"/>
                      <w:kern w:val="2"/>
                      <w:sz w:val="21"/>
                      <w:szCs w:val="21"/>
                      <w:bdr w:val="none" w:color="auto" w:sz="0" w:space="0"/>
                      <w:lang w:val="en-US" w:eastAsia="zh-CN" w:bidi="ar"/>
                    </w:rPr>
                    <w:t>标准后排入嘉陵江。</w:t>
                  </w:r>
                </w:p>
              </w:tc>
            </w:tr>
            <w:tr w14:paraId="7B06EC0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850" w:type="dxa"/>
                  <w:vMerge w:val="continue"/>
                  <w:tcBorders>
                    <w:top w:val="single" w:color="auto" w:sz="4" w:space="0"/>
                    <w:left w:val="nil"/>
                    <w:bottom w:val="single" w:color="auto" w:sz="12" w:space="0"/>
                    <w:right w:val="single" w:color="auto" w:sz="4" w:space="0"/>
                  </w:tcBorders>
                  <w:shd w:val="clear"/>
                  <w:vAlign w:val="center"/>
                </w:tcPr>
                <w:p w14:paraId="15197E7A">
                  <w:pPr>
                    <w:rPr>
                      <w:rFonts w:hint="default" w:ascii="Calibri" w:hAnsi="Calibri" w:cs="Calibri"/>
                      <w:sz w:val="20"/>
                      <w:szCs w:val="20"/>
                    </w:rPr>
                  </w:pPr>
                </w:p>
              </w:tc>
              <w:tc>
                <w:tcPr>
                  <w:tcW w:w="970" w:type="dxa"/>
                  <w:tcBorders>
                    <w:top w:val="single" w:color="auto" w:sz="4" w:space="0"/>
                    <w:left w:val="single" w:color="auto" w:sz="4" w:space="0"/>
                    <w:bottom w:val="single" w:color="auto" w:sz="4" w:space="0"/>
                    <w:right w:val="single" w:color="auto" w:sz="4" w:space="0"/>
                  </w:tcBorders>
                  <w:shd w:val="clear"/>
                  <w:vAlign w:val="center"/>
                </w:tcPr>
                <w:p w14:paraId="6D1A1334">
                  <w:pPr>
                    <w:keepNext w:val="0"/>
                    <w:keepLines w:val="0"/>
                    <w:widowControl w:val="0"/>
                    <w:suppressLineNumbers w:val="0"/>
                    <w:spacing w:before="0" w:beforeAutospacing="0" w:after="0" w:afterAutospacing="0" w:line="300" w:lineRule="exact"/>
                    <w:ind w:left="0" w:right="0"/>
                    <w:jc w:val="center"/>
                    <w:rPr>
                      <w:rFonts w:hAnsi="宋体"/>
                      <w:color w:val="000000"/>
                      <w:szCs w:val="21"/>
                      <w:bdr w:val="none" w:color="auto" w:sz="0" w:space="0"/>
                      <w:lang w:val="en-US"/>
                    </w:rPr>
                  </w:pPr>
                  <w:r>
                    <w:rPr>
                      <w:rFonts w:hint="eastAsia" w:ascii="Calibri" w:hAnsi="宋体" w:eastAsia="宋体" w:cs="宋体"/>
                      <w:color w:val="000000"/>
                      <w:kern w:val="2"/>
                      <w:sz w:val="21"/>
                      <w:szCs w:val="21"/>
                      <w:bdr w:val="none" w:color="auto" w:sz="0" w:space="0"/>
                      <w:lang w:val="en-US" w:eastAsia="zh-CN" w:bidi="ar"/>
                    </w:rPr>
                    <w:t>噪声</w:t>
                  </w:r>
                </w:p>
              </w:tc>
              <w:tc>
                <w:tcPr>
                  <w:tcW w:w="6565" w:type="dxa"/>
                  <w:tcBorders>
                    <w:top w:val="single" w:color="auto" w:sz="4" w:space="0"/>
                    <w:left w:val="single" w:color="auto" w:sz="4" w:space="0"/>
                    <w:bottom w:val="single" w:color="auto" w:sz="4" w:space="0"/>
                    <w:right w:val="nil"/>
                  </w:tcBorders>
                  <w:shd w:val="clear"/>
                  <w:vAlign w:val="center"/>
                </w:tcPr>
                <w:p w14:paraId="0A651F3D">
                  <w:pPr>
                    <w:keepNext w:val="0"/>
                    <w:keepLines w:val="0"/>
                    <w:widowControl w:val="0"/>
                    <w:suppressLineNumbers w:val="0"/>
                    <w:spacing w:before="0" w:beforeAutospacing="0" w:after="0" w:afterAutospacing="0" w:line="300" w:lineRule="exact"/>
                    <w:ind w:left="0" w:right="0"/>
                    <w:jc w:val="both"/>
                    <w:rPr>
                      <w:rFonts w:hAnsi="宋体"/>
                      <w:color w:val="000000"/>
                      <w:szCs w:val="21"/>
                      <w:bdr w:val="none" w:color="auto" w:sz="0" w:space="0"/>
                      <w:lang w:val="en-US"/>
                    </w:rPr>
                  </w:pPr>
                  <w:r>
                    <w:rPr>
                      <w:rFonts w:hint="eastAsia" w:ascii="Calibri" w:hAnsi="Calibri" w:eastAsia="宋体" w:cs="宋体"/>
                      <w:color w:val="000000"/>
                      <w:kern w:val="2"/>
                      <w:sz w:val="21"/>
                      <w:szCs w:val="24"/>
                      <w:bdr w:val="none" w:color="auto" w:sz="0" w:space="0"/>
                      <w:lang w:val="en-US" w:eastAsia="zh-CN" w:bidi="ar"/>
                    </w:rPr>
                    <w:t>设备基础隔振减震。</w:t>
                  </w:r>
                </w:p>
              </w:tc>
            </w:tr>
            <w:tr w14:paraId="169A51A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850" w:type="dxa"/>
                  <w:vMerge w:val="continue"/>
                  <w:tcBorders>
                    <w:top w:val="single" w:color="auto" w:sz="4" w:space="0"/>
                    <w:left w:val="nil"/>
                    <w:bottom w:val="single" w:color="auto" w:sz="12" w:space="0"/>
                    <w:right w:val="single" w:color="auto" w:sz="4" w:space="0"/>
                  </w:tcBorders>
                  <w:shd w:val="clear"/>
                  <w:vAlign w:val="center"/>
                </w:tcPr>
                <w:p w14:paraId="10E2E3D7">
                  <w:pPr>
                    <w:rPr>
                      <w:rFonts w:hint="default" w:ascii="Calibri" w:hAnsi="Calibri" w:cs="Calibri"/>
                      <w:sz w:val="20"/>
                      <w:szCs w:val="20"/>
                    </w:rPr>
                  </w:pPr>
                </w:p>
              </w:tc>
              <w:tc>
                <w:tcPr>
                  <w:tcW w:w="970" w:type="dxa"/>
                  <w:vMerge w:val="restart"/>
                  <w:tcBorders>
                    <w:top w:val="single" w:color="auto" w:sz="4" w:space="0"/>
                    <w:left w:val="single" w:color="auto" w:sz="4" w:space="0"/>
                    <w:bottom w:val="single" w:color="auto" w:sz="4" w:space="0"/>
                    <w:right w:val="single" w:color="auto" w:sz="4" w:space="0"/>
                  </w:tcBorders>
                  <w:shd w:val="clear"/>
                  <w:vAlign w:val="center"/>
                </w:tcPr>
                <w:p w14:paraId="0EF8CACD">
                  <w:pPr>
                    <w:keepNext w:val="0"/>
                    <w:keepLines w:val="0"/>
                    <w:widowControl w:val="0"/>
                    <w:suppressLineNumbers w:val="0"/>
                    <w:spacing w:before="0" w:beforeAutospacing="0" w:after="0" w:afterAutospacing="0" w:line="300" w:lineRule="exact"/>
                    <w:ind w:left="0" w:right="0"/>
                    <w:jc w:val="center"/>
                    <w:rPr>
                      <w:color w:val="000000"/>
                      <w:szCs w:val="21"/>
                      <w:bdr w:val="none" w:color="auto" w:sz="0" w:space="0"/>
                      <w:lang w:val="en-US"/>
                    </w:rPr>
                  </w:pPr>
                  <w:r>
                    <w:rPr>
                      <w:rFonts w:hint="eastAsia" w:ascii="Calibri" w:hAnsi="宋体" w:eastAsia="宋体" w:cs="宋体"/>
                      <w:color w:val="000000"/>
                      <w:kern w:val="2"/>
                      <w:sz w:val="21"/>
                      <w:szCs w:val="21"/>
                      <w:bdr w:val="none" w:color="auto" w:sz="0" w:space="0"/>
                      <w:lang w:val="en-US" w:eastAsia="zh-CN" w:bidi="ar"/>
                    </w:rPr>
                    <w:t>固废</w:t>
                  </w:r>
                </w:p>
              </w:tc>
              <w:tc>
                <w:tcPr>
                  <w:tcW w:w="6565" w:type="dxa"/>
                  <w:tcBorders>
                    <w:top w:val="single" w:color="auto" w:sz="4" w:space="0"/>
                    <w:left w:val="single" w:color="auto" w:sz="4" w:space="0"/>
                    <w:bottom w:val="single" w:color="auto" w:sz="4" w:space="0"/>
                    <w:right w:val="nil"/>
                  </w:tcBorders>
                  <w:shd w:val="clear"/>
                  <w:vAlign w:val="center"/>
                </w:tcPr>
                <w:p w14:paraId="389F3F72">
                  <w:pPr>
                    <w:keepNext w:val="0"/>
                    <w:keepLines w:val="0"/>
                    <w:widowControl w:val="0"/>
                    <w:suppressLineNumbers w:val="0"/>
                    <w:spacing w:before="0" w:beforeAutospacing="0" w:after="0" w:afterAutospacing="0" w:line="300" w:lineRule="exact"/>
                    <w:ind w:left="0" w:right="0"/>
                    <w:jc w:val="both"/>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bCs/>
                      <w:color w:val="000000"/>
                      <w:kern w:val="2"/>
                      <w:sz w:val="21"/>
                      <w:szCs w:val="21"/>
                      <w:bdr w:val="none" w:color="auto" w:sz="0" w:space="0"/>
                      <w:lang w:val="en-US" w:eastAsia="zh-CN" w:bidi="ar"/>
                    </w:rPr>
                    <w:t>一般固废暂存区设置于</w:t>
                  </w:r>
                  <w:r>
                    <w:rPr>
                      <w:rFonts w:hint="default" w:ascii="Times New Roman" w:hAnsi="Times New Roman" w:eastAsia="宋体" w:cs="Times New Roman"/>
                      <w:color w:val="000000"/>
                      <w:kern w:val="2"/>
                      <w:sz w:val="21"/>
                      <w:szCs w:val="21"/>
                      <w:bdr w:val="none" w:color="auto" w:sz="0" w:space="0"/>
                      <w:lang w:val="en-US" w:eastAsia="zh-CN" w:bidi="ar"/>
                    </w:rPr>
                    <w:t>1F</w:t>
                  </w:r>
                  <w:r>
                    <w:rPr>
                      <w:rFonts w:hint="eastAsia" w:ascii="Times New Roman" w:hAnsi="Times New Roman" w:eastAsia="宋体" w:cs="宋体"/>
                      <w:color w:val="000000"/>
                      <w:kern w:val="2"/>
                      <w:sz w:val="21"/>
                      <w:szCs w:val="21"/>
                      <w:bdr w:val="none" w:color="auto" w:sz="0" w:space="0"/>
                      <w:lang w:val="en-US" w:eastAsia="zh-CN" w:bidi="ar"/>
                    </w:rPr>
                    <w:t>北侧</w:t>
                  </w:r>
                  <w:r>
                    <w:rPr>
                      <w:rFonts w:hint="eastAsia" w:ascii="Times New Roman" w:hAnsi="Times New Roman" w:eastAsia="宋体" w:cs="宋体"/>
                      <w:bCs/>
                      <w:color w:val="000000"/>
                      <w:kern w:val="2"/>
                      <w:sz w:val="21"/>
                      <w:szCs w:val="21"/>
                      <w:bdr w:val="none" w:color="auto" w:sz="0" w:space="0"/>
                      <w:lang w:val="en-US" w:eastAsia="zh-CN" w:bidi="ar"/>
                    </w:rPr>
                    <w:t>，占地面积约为</w:t>
                  </w:r>
                  <w:r>
                    <w:rPr>
                      <w:rFonts w:hint="default" w:ascii="Times New Roman" w:hAnsi="Times New Roman" w:eastAsia="宋体" w:cs="Times New Roman"/>
                      <w:bCs/>
                      <w:color w:val="000000"/>
                      <w:kern w:val="2"/>
                      <w:sz w:val="21"/>
                      <w:szCs w:val="21"/>
                      <w:bdr w:val="none" w:color="auto" w:sz="0" w:space="0"/>
                      <w:lang w:val="en-US" w:eastAsia="zh-CN" w:bidi="ar"/>
                    </w:rPr>
                    <w:t>20m</w:t>
                  </w:r>
                  <w:r>
                    <w:rPr>
                      <w:rFonts w:hint="default" w:ascii="Times New Roman" w:hAnsi="Times New Roman" w:eastAsia="宋体" w:cs="Times New Roman"/>
                      <w:bCs/>
                      <w:color w:val="000000"/>
                      <w:kern w:val="2"/>
                      <w:sz w:val="21"/>
                      <w:szCs w:val="21"/>
                      <w:bdr w:val="none" w:color="auto" w:sz="0" w:space="0"/>
                      <w:vertAlign w:val="superscript"/>
                      <w:lang w:val="en-US" w:eastAsia="zh-CN" w:bidi="ar"/>
                    </w:rPr>
                    <w:t>2</w:t>
                  </w:r>
                  <w:r>
                    <w:rPr>
                      <w:rFonts w:hint="eastAsia" w:ascii="Times New Roman" w:hAnsi="Times New Roman" w:eastAsia="宋体" w:cs="宋体"/>
                      <w:bCs/>
                      <w:color w:val="000000"/>
                      <w:kern w:val="2"/>
                      <w:sz w:val="21"/>
                      <w:szCs w:val="21"/>
                      <w:bdr w:val="none" w:color="auto" w:sz="0" w:space="0"/>
                      <w:lang w:val="en-US" w:eastAsia="zh-CN" w:bidi="ar"/>
                    </w:rPr>
                    <w:t>。</w:t>
                  </w:r>
                </w:p>
              </w:tc>
            </w:tr>
            <w:tr w14:paraId="58F3FCC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Merge w:val="continue"/>
                  <w:tcBorders>
                    <w:top w:val="single" w:color="auto" w:sz="4" w:space="0"/>
                    <w:left w:val="nil"/>
                    <w:bottom w:val="single" w:color="auto" w:sz="12" w:space="0"/>
                    <w:right w:val="single" w:color="auto" w:sz="4" w:space="0"/>
                  </w:tcBorders>
                  <w:shd w:val="clear"/>
                  <w:vAlign w:val="center"/>
                </w:tcPr>
                <w:p w14:paraId="6BD89AD6">
                  <w:pPr>
                    <w:rPr>
                      <w:rFonts w:hint="default" w:ascii="Calibri" w:hAnsi="Calibri" w:cs="Calibri"/>
                      <w:sz w:val="20"/>
                      <w:szCs w:val="20"/>
                    </w:rPr>
                  </w:pPr>
                </w:p>
              </w:tc>
              <w:tc>
                <w:tcPr>
                  <w:tcW w:w="970" w:type="dxa"/>
                  <w:vMerge w:val="continue"/>
                  <w:tcBorders>
                    <w:top w:val="single" w:color="auto" w:sz="4" w:space="0"/>
                    <w:left w:val="single" w:color="auto" w:sz="4" w:space="0"/>
                    <w:bottom w:val="single" w:color="auto" w:sz="4" w:space="0"/>
                    <w:right w:val="single" w:color="auto" w:sz="4" w:space="0"/>
                  </w:tcBorders>
                  <w:shd w:val="clear"/>
                  <w:vAlign w:val="center"/>
                </w:tcPr>
                <w:p w14:paraId="67851340">
                  <w:pPr>
                    <w:rPr>
                      <w:rFonts w:hint="default" w:ascii="Calibri" w:hAnsi="Calibri" w:cs="Calibri"/>
                      <w:sz w:val="20"/>
                      <w:szCs w:val="20"/>
                    </w:rPr>
                  </w:pPr>
                </w:p>
              </w:tc>
              <w:tc>
                <w:tcPr>
                  <w:tcW w:w="6565" w:type="dxa"/>
                  <w:tcBorders>
                    <w:top w:val="single" w:color="auto" w:sz="4" w:space="0"/>
                    <w:left w:val="single" w:color="auto" w:sz="4" w:space="0"/>
                    <w:bottom w:val="single" w:color="auto" w:sz="4" w:space="0"/>
                    <w:right w:val="nil"/>
                  </w:tcBorders>
                  <w:shd w:val="clear"/>
                  <w:vAlign w:val="center"/>
                </w:tcPr>
                <w:p w14:paraId="3CBBF175">
                  <w:pPr>
                    <w:keepNext w:val="0"/>
                    <w:keepLines w:val="0"/>
                    <w:widowControl w:val="0"/>
                    <w:suppressLineNumbers w:val="0"/>
                    <w:spacing w:before="0" w:beforeAutospacing="0" w:after="0" w:afterAutospacing="0" w:line="300" w:lineRule="exact"/>
                    <w:ind w:left="0" w:right="0"/>
                    <w:jc w:val="both"/>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危险废物暂存间位于一楼厂房西南侧，占地面积约为</w:t>
                  </w:r>
                  <w:r>
                    <w:rPr>
                      <w:rFonts w:hint="default" w:ascii="Times New Roman" w:hAnsi="Times New Roman" w:eastAsia="宋体" w:cs="Times New Roman"/>
                      <w:color w:val="000000"/>
                      <w:kern w:val="2"/>
                      <w:sz w:val="21"/>
                      <w:szCs w:val="21"/>
                      <w:bdr w:val="none" w:color="auto" w:sz="0" w:space="0"/>
                      <w:lang w:val="en-US" w:eastAsia="zh-CN" w:bidi="ar"/>
                    </w:rPr>
                    <w:t>12m</w:t>
                  </w:r>
                  <w:r>
                    <w:rPr>
                      <w:rFonts w:hint="default" w:ascii="Times New Roman" w:hAnsi="Times New Roman" w:eastAsia="宋体" w:cs="Times New Roman"/>
                      <w:color w:val="000000"/>
                      <w:kern w:val="2"/>
                      <w:sz w:val="21"/>
                      <w:szCs w:val="21"/>
                      <w:bdr w:val="none" w:color="auto" w:sz="0" w:space="0"/>
                      <w:vertAlign w:val="superscript"/>
                      <w:lang w:val="en-US" w:eastAsia="zh-CN" w:bidi="ar"/>
                    </w:rPr>
                    <w:t>2</w:t>
                  </w:r>
                  <w:r>
                    <w:rPr>
                      <w:rFonts w:hint="eastAsia" w:ascii="Times New Roman" w:hAnsi="Times New Roman" w:eastAsia="宋体" w:cs="宋体"/>
                      <w:color w:val="000000"/>
                      <w:kern w:val="2"/>
                      <w:sz w:val="21"/>
                      <w:szCs w:val="21"/>
                      <w:bdr w:val="none" w:color="auto" w:sz="0" w:space="0"/>
                      <w:lang w:val="en-US" w:eastAsia="zh-CN" w:bidi="ar"/>
                    </w:rPr>
                    <w:t>，并采取防风、防雨、防漏等措施。</w:t>
                  </w:r>
                </w:p>
              </w:tc>
            </w:tr>
            <w:tr w14:paraId="78940C3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Merge w:val="continue"/>
                  <w:tcBorders>
                    <w:top w:val="single" w:color="auto" w:sz="4" w:space="0"/>
                    <w:left w:val="nil"/>
                    <w:bottom w:val="single" w:color="auto" w:sz="12" w:space="0"/>
                    <w:right w:val="single" w:color="auto" w:sz="4" w:space="0"/>
                  </w:tcBorders>
                  <w:shd w:val="clear"/>
                  <w:vAlign w:val="center"/>
                </w:tcPr>
                <w:p w14:paraId="6E4A5F89">
                  <w:pPr>
                    <w:rPr>
                      <w:rFonts w:hint="default" w:ascii="Calibri" w:hAnsi="Calibri" w:cs="Calibri"/>
                      <w:sz w:val="20"/>
                      <w:szCs w:val="20"/>
                    </w:rPr>
                  </w:pPr>
                </w:p>
              </w:tc>
              <w:tc>
                <w:tcPr>
                  <w:tcW w:w="970" w:type="dxa"/>
                  <w:tcBorders>
                    <w:top w:val="single" w:color="auto" w:sz="4" w:space="0"/>
                    <w:left w:val="single" w:color="auto" w:sz="4" w:space="0"/>
                    <w:bottom w:val="single" w:color="auto" w:sz="12" w:space="0"/>
                    <w:right w:val="single" w:color="auto" w:sz="4" w:space="0"/>
                  </w:tcBorders>
                  <w:shd w:val="clear"/>
                  <w:vAlign w:val="center"/>
                </w:tcPr>
                <w:p w14:paraId="5A0651EB">
                  <w:pPr>
                    <w:keepNext w:val="0"/>
                    <w:keepLines w:val="0"/>
                    <w:widowControl w:val="0"/>
                    <w:suppressLineNumbers w:val="0"/>
                    <w:spacing w:before="0" w:beforeAutospacing="0" w:after="0" w:afterAutospacing="0" w:line="300" w:lineRule="exact"/>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环境风险</w:t>
                  </w:r>
                </w:p>
              </w:tc>
              <w:tc>
                <w:tcPr>
                  <w:tcW w:w="6565" w:type="dxa"/>
                  <w:tcBorders>
                    <w:top w:val="single" w:color="auto" w:sz="4" w:space="0"/>
                    <w:left w:val="single" w:color="auto" w:sz="4" w:space="0"/>
                    <w:bottom w:val="single" w:color="auto" w:sz="12" w:space="0"/>
                    <w:right w:val="nil"/>
                  </w:tcBorders>
                  <w:shd w:val="clear"/>
                  <w:vAlign w:val="center"/>
                </w:tcPr>
                <w:p w14:paraId="2117B1E4">
                  <w:pPr>
                    <w:keepNext w:val="0"/>
                    <w:keepLines w:val="0"/>
                    <w:widowControl w:val="0"/>
                    <w:suppressLineNumbers w:val="0"/>
                    <w:autoSpaceDE w:val="0"/>
                    <w:autoSpaceDN w:val="0"/>
                    <w:spacing w:before="0" w:beforeAutospacing="0" w:after="0" w:afterAutospacing="0" w:line="300" w:lineRule="exact"/>
                    <w:ind w:left="0" w:right="0"/>
                    <w:jc w:val="both"/>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w:t>
                  </w:r>
                  <w:r>
                    <w:rPr>
                      <w:rFonts w:hint="eastAsia" w:ascii="Times New Roman" w:hAnsi="Times New Roman" w:eastAsia="宋体" w:cs="宋体"/>
                      <w:color w:val="000000"/>
                      <w:kern w:val="2"/>
                      <w:sz w:val="21"/>
                      <w:szCs w:val="21"/>
                      <w:bdr w:val="none" w:color="auto" w:sz="0" w:space="0"/>
                      <w:lang w:val="en-US" w:eastAsia="zh-CN" w:bidi="ar"/>
                    </w:rPr>
                    <w:t>、辅料室：辅料室中存放有背胶处理剂，底部设置防渗托盘，便于对泄露液体物料的收集和转移。同时辅料室内储备足量消防沙、收集桶等应急物资，当出现背胶处理剂泄漏事故时及时用消防沙处理。</w:t>
                  </w:r>
                </w:p>
                <w:p w14:paraId="57BC2443">
                  <w:pPr>
                    <w:keepNext w:val="0"/>
                    <w:keepLines w:val="0"/>
                    <w:widowControl w:val="0"/>
                    <w:suppressLineNumbers w:val="0"/>
                    <w:autoSpaceDE w:val="0"/>
                    <w:autoSpaceDN w:val="0"/>
                    <w:spacing w:before="0" w:beforeAutospacing="0" w:after="0" w:afterAutospacing="0" w:line="300" w:lineRule="exact"/>
                    <w:ind w:left="0" w:right="0"/>
                    <w:jc w:val="both"/>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2</w:t>
                  </w:r>
                  <w:r>
                    <w:rPr>
                      <w:rFonts w:hint="eastAsia" w:ascii="Times New Roman" w:hAnsi="Times New Roman" w:eastAsia="宋体" w:cs="宋体"/>
                      <w:color w:val="000000"/>
                      <w:kern w:val="2"/>
                      <w:sz w:val="21"/>
                      <w:szCs w:val="21"/>
                      <w:bdr w:val="none" w:color="auto" w:sz="0" w:space="0"/>
                      <w:lang w:val="en-US" w:eastAsia="zh-CN" w:bidi="ar"/>
                    </w:rPr>
                    <w:t>、危废贮存库：危废贮存库地面防渗，容器底部设置防渗托盘；危险废物分类收集，避免不相容的危险品混放，防止泄漏、流失。</w:t>
                  </w:r>
                  <w:r>
                    <w:rPr>
                      <w:rFonts w:hint="default" w:ascii="Times New Roman" w:hAnsi="Times New Roman" w:eastAsia="宋体" w:cs="Times New Roman"/>
                      <w:color w:val="000000"/>
                      <w:kern w:val="2"/>
                      <w:sz w:val="21"/>
                      <w:szCs w:val="21"/>
                      <w:bdr w:val="none" w:color="auto" w:sz="0" w:space="0"/>
                      <w:lang w:val="en-US" w:eastAsia="zh-CN" w:bidi="ar"/>
                    </w:rPr>
                    <w:t xml:space="preserve"> </w:t>
                  </w:r>
                </w:p>
                <w:p w14:paraId="11E07629">
                  <w:pPr>
                    <w:keepNext w:val="0"/>
                    <w:keepLines w:val="0"/>
                    <w:widowControl w:val="0"/>
                    <w:suppressLineNumbers w:val="0"/>
                    <w:autoSpaceDE w:val="0"/>
                    <w:autoSpaceDN w:val="0"/>
                    <w:spacing w:before="0" w:beforeAutospacing="0" w:after="0" w:afterAutospacing="0" w:line="300" w:lineRule="exact"/>
                    <w:ind w:left="0" w:right="0"/>
                    <w:jc w:val="both"/>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3</w:t>
                  </w:r>
                  <w:r>
                    <w:rPr>
                      <w:rFonts w:hint="eastAsia" w:ascii="Times New Roman" w:hAnsi="Times New Roman" w:eastAsia="宋体" w:cs="宋体"/>
                      <w:color w:val="000000"/>
                      <w:kern w:val="2"/>
                      <w:sz w:val="21"/>
                      <w:szCs w:val="21"/>
                      <w:bdr w:val="none" w:color="auto" w:sz="0" w:space="0"/>
                      <w:lang w:val="en-US" w:eastAsia="zh-CN" w:bidi="ar"/>
                    </w:rPr>
                    <w:t>、</w:t>
                  </w:r>
                  <w:r>
                    <w:rPr>
                      <w:rFonts w:hint="default" w:ascii="Times New Roman" w:hAnsi="Times New Roman" w:eastAsia="宋体" w:cs="Times New Roman"/>
                      <w:color w:val="000000"/>
                      <w:kern w:val="2"/>
                      <w:sz w:val="21"/>
                      <w:szCs w:val="21"/>
                      <w:bdr w:val="none" w:color="auto" w:sz="0" w:space="0"/>
                      <w:lang w:val="en-US" w:eastAsia="zh-CN" w:bidi="ar"/>
                    </w:rPr>
                    <w:t>UV</w:t>
                  </w:r>
                  <w:r>
                    <w:rPr>
                      <w:rFonts w:hint="eastAsia" w:ascii="Times New Roman" w:hAnsi="Times New Roman" w:eastAsia="宋体" w:cs="宋体"/>
                      <w:color w:val="000000"/>
                      <w:kern w:val="2"/>
                      <w:sz w:val="21"/>
                      <w:szCs w:val="21"/>
                      <w:bdr w:val="none" w:color="auto" w:sz="0" w:space="0"/>
                      <w:lang w:val="en-US" w:eastAsia="zh-CN" w:bidi="ar"/>
                    </w:rPr>
                    <w:t>光解装置管理措施为：每天关机冷却后，应对</w:t>
                  </w:r>
                  <w:r>
                    <w:rPr>
                      <w:rFonts w:hint="default" w:ascii="Times New Roman" w:hAnsi="Times New Roman" w:eastAsia="宋体" w:cs="Times New Roman"/>
                      <w:color w:val="000000"/>
                      <w:kern w:val="2"/>
                      <w:sz w:val="21"/>
                      <w:szCs w:val="21"/>
                      <w:bdr w:val="none" w:color="auto" w:sz="0" w:space="0"/>
                      <w:lang w:val="en-US" w:eastAsia="zh-CN" w:bidi="ar"/>
                    </w:rPr>
                    <w:t>UV</w:t>
                  </w:r>
                  <w:r>
                    <w:rPr>
                      <w:rFonts w:hint="eastAsia" w:ascii="Times New Roman" w:hAnsi="Times New Roman" w:eastAsia="宋体" w:cs="宋体"/>
                      <w:color w:val="000000"/>
                      <w:kern w:val="2"/>
                      <w:sz w:val="21"/>
                      <w:szCs w:val="21"/>
                      <w:bdr w:val="none" w:color="auto" w:sz="0" w:space="0"/>
                      <w:lang w:val="en-US" w:eastAsia="zh-CN" w:bidi="ar"/>
                    </w:rPr>
                    <w:t>灯管表面进行吹扫和擦拭，防止积灰导致受热不均而发生爆炸和火灾。</w:t>
                  </w:r>
                </w:p>
              </w:tc>
            </w:tr>
          </w:tbl>
          <w:p w14:paraId="2543FF52">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Times New Roman" w:cs="Times New Roman"/>
                <w:b/>
                <w:bCs w:val="0"/>
                <w:color w:val="000000"/>
                <w:kern w:val="0"/>
                <w:sz w:val="24"/>
                <w:szCs w:val="24"/>
                <w:bdr w:val="none" w:color="auto" w:sz="0" w:space="0"/>
                <w:lang w:val="en-US"/>
              </w:rPr>
            </w:pPr>
            <w:r>
              <w:rPr>
                <w:rFonts w:hint="default" w:ascii="Times New Roman" w:hAnsi="Times New Roman" w:eastAsia="宋体" w:cs="Times New Roman"/>
                <w:b/>
                <w:bCs w:val="0"/>
                <w:color w:val="000000"/>
                <w:kern w:val="0"/>
                <w:sz w:val="24"/>
                <w:szCs w:val="24"/>
                <w:bdr w:val="none" w:color="auto" w:sz="0" w:space="0"/>
                <w:lang w:val="en-US" w:eastAsia="zh-CN" w:bidi="ar"/>
              </w:rPr>
              <w:t>2.12.3</w:t>
            </w:r>
            <w:r>
              <w:rPr>
                <w:rFonts w:hint="eastAsia" w:ascii="Times New Roman" w:hAnsi="Times New Roman" w:eastAsia="宋体" w:cs="宋体"/>
                <w:b/>
                <w:bCs w:val="0"/>
                <w:color w:val="000000"/>
                <w:kern w:val="0"/>
                <w:sz w:val="24"/>
                <w:szCs w:val="24"/>
                <w:bdr w:val="none" w:color="auto" w:sz="0" w:space="0"/>
                <w:lang w:val="en-US" w:eastAsia="zh-CN" w:bidi="ar"/>
              </w:rPr>
              <w:t>现有项目原辅材料及主要生产设备</w:t>
            </w:r>
          </w:p>
          <w:p w14:paraId="31ADA567">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现有项目原辅材料见表</w:t>
            </w:r>
            <w:r>
              <w:rPr>
                <w:rFonts w:hint="default" w:ascii="Times New Roman" w:hAnsi="宋体" w:eastAsia="宋体" w:cs="Times New Roman"/>
                <w:color w:val="000000"/>
                <w:kern w:val="2"/>
                <w:sz w:val="24"/>
                <w:szCs w:val="24"/>
                <w:bdr w:val="none" w:color="auto" w:sz="0" w:space="0"/>
                <w:lang w:val="en-US" w:eastAsia="zh-CN" w:bidi="ar"/>
              </w:rPr>
              <w:t>2.12-3</w:t>
            </w:r>
            <w:r>
              <w:rPr>
                <w:rFonts w:hint="eastAsia" w:ascii="Times New Roman" w:hAnsi="宋体" w:eastAsia="宋体" w:cs="宋体"/>
                <w:color w:val="000000"/>
                <w:kern w:val="2"/>
                <w:sz w:val="24"/>
                <w:szCs w:val="24"/>
                <w:bdr w:val="none" w:color="auto" w:sz="0" w:space="0"/>
                <w:lang w:val="en-US" w:eastAsia="zh-CN" w:bidi="ar"/>
              </w:rPr>
              <w:t>，主要生产设备见表</w:t>
            </w:r>
            <w:r>
              <w:rPr>
                <w:rFonts w:hint="default" w:ascii="Times New Roman" w:hAnsi="宋体" w:eastAsia="宋体" w:cs="Times New Roman"/>
                <w:color w:val="000000"/>
                <w:kern w:val="2"/>
                <w:sz w:val="24"/>
                <w:szCs w:val="24"/>
                <w:bdr w:val="none" w:color="auto" w:sz="0" w:space="0"/>
                <w:lang w:val="en-US" w:eastAsia="zh-CN" w:bidi="ar"/>
              </w:rPr>
              <w:t>2.12-4</w:t>
            </w:r>
            <w:r>
              <w:rPr>
                <w:rFonts w:hint="eastAsia" w:ascii="Times New Roman" w:hAnsi="宋体" w:eastAsia="宋体" w:cs="宋体"/>
                <w:color w:val="000000"/>
                <w:kern w:val="2"/>
                <w:sz w:val="24"/>
                <w:szCs w:val="24"/>
                <w:bdr w:val="none" w:color="auto" w:sz="0" w:space="0"/>
                <w:lang w:val="en-US" w:eastAsia="zh-CN" w:bidi="ar"/>
              </w:rPr>
              <w:t>。</w:t>
            </w:r>
          </w:p>
          <w:p w14:paraId="6D25EB3C">
            <w:pPr>
              <w:keepNext w:val="0"/>
              <w:keepLines w:val="0"/>
              <w:widowControl/>
              <w:suppressLineNumbers w:val="0"/>
              <w:spacing w:before="0" w:beforeAutospacing="0" w:after="0" w:afterAutospacing="0" w:line="440" w:lineRule="exact"/>
              <w:ind w:left="0" w:right="0" w:firstLine="480" w:firstLineChars="200"/>
              <w:jc w:val="center"/>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表</w:t>
            </w:r>
            <w:r>
              <w:rPr>
                <w:rFonts w:hint="default" w:ascii="Times New Roman" w:hAnsi="宋体" w:eastAsia="宋体" w:cs="Times New Roman"/>
                <w:color w:val="000000"/>
                <w:kern w:val="2"/>
                <w:sz w:val="24"/>
                <w:szCs w:val="24"/>
                <w:bdr w:val="none" w:color="auto" w:sz="0" w:space="0"/>
                <w:lang w:val="en-US" w:eastAsia="zh-CN" w:bidi="ar"/>
              </w:rPr>
              <w:t xml:space="preserve">2.12-3 </w:t>
            </w:r>
            <w:r>
              <w:rPr>
                <w:rFonts w:hint="eastAsia" w:ascii="Times New Roman" w:hAnsi="宋体" w:eastAsia="宋体" w:cs="宋体"/>
                <w:color w:val="000000"/>
                <w:kern w:val="2"/>
                <w:sz w:val="24"/>
                <w:szCs w:val="24"/>
                <w:bdr w:val="none" w:color="auto" w:sz="0" w:space="0"/>
                <w:lang w:val="en-US" w:eastAsia="zh-CN" w:bidi="ar"/>
              </w:rPr>
              <w:t>现有项目原辅料材料</w:t>
            </w:r>
          </w:p>
          <w:tbl>
            <w:tblPr>
              <w:tblStyle w:val="18"/>
              <w:tblW w:w="5000" w:type="pct"/>
              <w:tblInd w:w="8"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Layout w:type="fixed"/>
              <w:tblCellMar>
                <w:top w:w="0" w:type="dxa"/>
                <w:left w:w="108" w:type="dxa"/>
                <w:bottom w:w="0" w:type="dxa"/>
                <w:right w:w="108" w:type="dxa"/>
              </w:tblCellMar>
            </w:tblPr>
            <w:tblGrid>
              <w:gridCol w:w="3151"/>
              <w:gridCol w:w="2836"/>
              <w:gridCol w:w="2398"/>
            </w:tblGrid>
            <w:tr w14:paraId="59A3319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CellMar>
                  <w:top w:w="0" w:type="dxa"/>
                  <w:left w:w="108" w:type="dxa"/>
                  <w:bottom w:w="0" w:type="dxa"/>
                  <w:right w:w="108" w:type="dxa"/>
                </w:tblCellMar>
              </w:tblPrEx>
              <w:trPr>
                <w:trHeight w:val="154" w:hRule="atLeast"/>
              </w:trPr>
              <w:tc>
                <w:tcPr>
                  <w:tcW w:w="3152" w:type="dxa"/>
                  <w:tcBorders>
                    <w:top w:val="single" w:color="auto" w:sz="12" w:space="0"/>
                    <w:left w:val="nil"/>
                    <w:bottom w:val="single" w:color="auto" w:sz="4" w:space="0"/>
                    <w:right w:val="single" w:color="auto" w:sz="4" w:space="0"/>
                  </w:tcBorders>
                  <w:shd w:val="clear"/>
                  <w:vAlign w:val="center"/>
                </w:tcPr>
                <w:p w14:paraId="685CF8DF">
                  <w:pPr>
                    <w:keepNext w:val="0"/>
                    <w:keepLines w:val="0"/>
                    <w:widowControl w:val="0"/>
                    <w:suppressLineNumbers w:val="0"/>
                    <w:spacing w:before="0" w:beforeAutospacing="0" w:after="0" w:afterAutospacing="0" w:line="300" w:lineRule="exact"/>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原辅料名称</w:t>
                  </w:r>
                </w:p>
              </w:tc>
              <w:tc>
                <w:tcPr>
                  <w:tcW w:w="2837" w:type="dxa"/>
                  <w:tcBorders>
                    <w:top w:val="single" w:color="auto" w:sz="12" w:space="0"/>
                    <w:left w:val="single" w:color="auto" w:sz="4" w:space="0"/>
                    <w:bottom w:val="single" w:color="auto" w:sz="4" w:space="0"/>
                    <w:right w:val="single" w:color="auto" w:sz="4" w:space="0"/>
                  </w:tcBorders>
                  <w:shd w:val="clear"/>
                  <w:vAlign w:val="center"/>
                </w:tcPr>
                <w:p w14:paraId="28BBD077">
                  <w:pPr>
                    <w:keepNext w:val="0"/>
                    <w:keepLines w:val="0"/>
                    <w:widowControl w:val="0"/>
                    <w:suppressLineNumbers w:val="0"/>
                    <w:spacing w:before="0" w:beforeAutospacing="0" w:after="0" w:afterAutospacing="0" w:line="300" w:lineRule="exact"/>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使用量</w:t>
                  </w:r>
                </w:p>
              </w:tc>
              <w:tc>
                <w:tcPr>
                  <w:tcW w:w="2398" w:type="dxa"/>
                  <w:tcBorders>
                    <w:top w:val="single" w:color="auto" w:sz="12" w:space="0"/>
                    <w:left w:val="single" w:color="auto" w:sz="4" w:space="0"/>
                    <w:bottom w:val="single" w:color="auto" w:sz="4" w:space="0"/>
                    <w:right w:val="nil"/>
                  </w:tcBorders>
                  <w:shd w:val="clear"/>
                  <w:vAlign w:val="center"/>
                </w:tcPr>
                <w:p w14:paraId="51D734A0">
                  <w:pPr>
                    <w:keepNext w:val="0"/>
                    <w:keepLines w:val="0"/>
                    <w:widowControl w:val="0"/>
                    <w:suppressLineNumbers w:val="0"/>
                    <w:spacing w:before="0" w:beforeAutospacing="0" w:after="0" w:afterAutospacing="0" w:line="300" w:lineRule="exact"/>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储存位置</w:t>
                  </w:r>
                </w:p>
              </w:tc>
            </w:tr>
            <w:tr w14:paraId="6AC7497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3152" w:type="dxa"/>
                  <w:tcBorders>
                    <w:top w:val="single" w:color="auto" w:sz="4" w:space="0"/>
                    <w:left w:val="nil"/>
                    <w:bottom w:val="single" w:color="auto" w:sz="4" w:space="0"/>
                    <w:right w:val="single" w:color="auto" w:sz="4" w:space="0"/>
                  </w:tcBorders>
                  <w:shd w:val="clear"/>
                  <w:vAlign w:val="center"/>
                </w:tcPr>
                <w:p w14:paraId="31A37E28">
                  <w:pPr>
                    <w:pStyle w:val="69"/>
                    <w:widowControl/>
                    <w:spacing w:line="300" w:lineRule="exact"/>
                    <w:rPr>
                      <w:color w:val="000000"/>
                      <w:bdr w:val="none" w:color="auto" w:sz="0" w:space="0"/>
                      <w:lang w:val="en-US"/>
                    </w:rPr>
                  </w:pPr>
                  <w:r>
                    <w:rPr>
                      <w:rFonts w:hint="eastAsia" w:ascii="Calibri" w:hAnsi="Calibri" w:eastAsia="宋体" w:cs="宋体"/>
                      <w:color w:val="000000"/>
                      <w:bdr w:val="none" w:color="auto" w:sz="0" w:space="0"/>
                    </w:rPr>
                    <w:t>成品皮革材料</w:t>
                  </w:r>
                </w:p>
              </w:tc>
              <w:tc>
                <w:tcPr>
                  <w:tcW w:w="2837" w:type="dxa"/>
                  <w:tcBorders>
                    <w:top w:val="single" w:color="auto" w:sz="4" w:space="0"/>
                    <w:left w:val="single" w:color="auto" w:sz="4" w:space="0"/>
                    <w:bottom w:val="single" w:color="auto" w:sz="4" w:space="0"/>
                    <w:right w:val="single" w:color="auto" w:sz="4" w:space="0"/>
                  </w:tcBorders>
                  <w:shd w:val="clear"/>
                  <w:vAlign w:val="center"/>
                </w:tcPr>
                <w:p w14:paraId="60CCE933">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15000m</w:t>
                  </w:r>
                  <w:r>
                    <w:rPr>
                      <w:rFonts w:hint="default" w:ascii="Times New Roman" w:hAnsi="Times New Roman" w:eastAsia="宋体" w:cs="Times New Roman"/>
                      <w:color w:val="000000"/>
                      <w:kern w:val="2"/>
                      <w:sz w:val="21"/>
                      <w:szCs w:val="24"/>
                      <w:bdr w:val="none" w:color="auto" w:sz="0" w:space="0"/>
                      <w:vertAlign w:val="superscript"/>
                      <w:lang w:val="en-US" w:eastAsia="zh-CN" w:bidi="ar"/>
                    </w:rPr>
                    <w:t>2</w:t>
                  </w:r>
                  <w:r>
                    <w:rPr>
                      <w:rFonts w:hint="default" w:ascii="Times New Roman" w:hAnsi="Times New Roman" w:eastAsia="宋体" w:cs="Times New Roman"/>
                      <w:color w:val="000000"/>
                      <w:kern w:val="2"/>
                      <w:sz w:val="21"/>
                      <w:szCs w:val="24"/>
                      <w:bdr w:val="none" w:color="auto" w:sz="0" w:space="0"/>
                      <w:lang w:val="en-US" w:eastAsia="zh-CN" w:bidi="ar"/>
                    </w:rPr>
                    <w:t>/a</w:t>
                  </w:r>
                </w:p>
              </w:tc>
              <w:tc>
                <w:tcPr>
                  <w:tcW w:w="2398" w:type="dxa"/>
                  <w:tcBorders>
                    <w:top w:val="single" w:color="auto" w:sz="4" w:space="0"/>
                    <w:left w:val="single" w:color="auto" w:sz="4" w:space="0"/>
                    <w:bottom w:val="single" w:color="auto" w:sz="4" w:space="0"/>
                    <w:right w:val="nil"/>
                  </w:tcBorders>
                  <w:shd w:val="clear"/>
                  <w:vAlign w:val="center"/>
                </w:tcPr>
                <w:p w14:paraId="4DEDED39">
                  <w:pPr>
                    <w:pStyle w:val="69"/>
                    <w:widowControl/>
                    <w:spacing w:line="300" w:lineRule="exact"/>
                    <w:rPr>
                      <w:color w:val="000000"/>
                      <w:bdr w:val="none" w:color="auto" w:sz="0" w:space="0"/>
                      <w:lang w:val="en-US"/>
                    </w:rPr>
                  </w:pPr>
                  <w:r>
                    <w:rPr>
                      <w:rFonts w:hint="eastAsia" w:ascii="Calibri" w:hAnsi="Calibri" w:eastAsia="宋体" w:cs="宋体"/>
                      <w:color w:val="000000"/>
                      <w:szCs w:val="21"/>
                      <w:bdr w:val="none" w:color="auto" w:sz="0" w:space="0"/>
                    </w:rPr>
                    <w:t>原材料库房</w:t>
                  </w:r>
                </w:p>
              </w:tc>
            </w:tr>
            <w:tr w14:paraId="319E11E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3152" w:type="dxa"/>
                  <w:tcBorders>
                    <w:top w:val="single" w:color="auto" w:sz="4" w:space="0"/>
                    <w:left w:val="nil"/>
                    <w:bottom w:val="single" w:color="auto" w:sz="4" w:space="0"/>
                    <w:right w:val="single" w:color="auto" w:sz="4" w:space="0"/>
                  </w:tcBorders>
                  <w:shd w:val="clear"/>
                  <w:vAlign w:val="center"/>
                </w:tcPr>
                <w:p w14:paraId="1CE9D6BD">
                  <w:pPr>
                    <w:pStyle w:val="69"/>
                    <w:widowControl/>
                    <w:spacing w:line="300" w:lineRule="exact"/>
                    <w:rPr>
                      <w:color w:val="000000"/>
                      <w:bdr w:val="none" w:color="auto" w:sz="0" w:space="0"/>
                      <w:lang w:val="en-US"/>
                    </w:rPr>
                  </w:pPr>
                  <w:r>
                    <w:rPr>
                      <w:rFonts w:hint="eastAsia" w:ascii="Calibri" w:hAnsi="Calibri" w:eastAsia="宋体" w:cs="宋体"/>
                      <w:color w:val="000000"/>
                      <w:bdr w:val="none" w:color="auto" w:sz="0" w:space="0"/>
                    </w:rPr>
                    <w:t>热熔胶</w:t>
                  </w:r>
                </w:p>
              </w:tc>
              <w:tc>
                <w:tcPr>
                  <w:tcW w:w="2837" w:type="dxa"/>
                  <w:tcBorders>
                    <w:top w:val="single" w:color="auto" w:sz="4" w:space="0"/>
                    <w:left w:val="single" w:color="auto" w:sz="4" w:space="0"/>
                    <w:bottom w:val="single" w:color="auto" w:sz="4" w:space="0"/>
                    <w:right w:val="single" w:color="auto" w:sz="4" w:space="0"/>
                  </w:tcBorders>
                  <w:shd w:val="clear"/>
                  <w:vAlign w:val="center"/>
                </w:tcPr>
                <w:p w14:paraId="7119E5C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3</w:t>
                  </w:r>
                  <w:r>
                    <w:rPr>
                      <w:rFonts w:hint="default" w:ascii="Times New Roman" w:hAnsi="Times New Roman" w:eastAsia="宋体" w:cs="Times New Roman"/>
                      <w:color w:val="000000"/>
                      <w:kern w:val="2"/>
                      <w:sz w:val="21"/>
                      <w:szCs w:val="21"/>
                      <w:bdr w:val="none" w:color="auto" w:sz="0" w:space="0"/>
                      <w:lang w:val="en-US" w:eastAsia="zh-CN" w:bidi="ar"/>
                    </w:rPr>
                    <w:t>t/a</w:t>
                  </w:r>
                </w:p>
              </w:tc>
              <w:tc>
                <w:tcPr>
                  <w:tcW w:w="2398" w:type="dxa"/>
                  <w:tcBorders>
                    <w:top w:val="single" w:color="auto" w:sz="4" w:space="0"/>
                    <w:left w:val="single" w:color="auto" w:sz="4" w:space="0"/>
                    <w:bottom w:val="single" w:color="auto" w:sz="4" w:space="0"/>
                    <w:right w:val="nil"/>
                  </w:tcBorders>
                  <w:shd w:val="clear"/>
                  <w:vAlign w:val="center"/>
                </w:tcPr>
                <w:p w14:paraId="4ACE0197">
                  <w:pPr>
                    <w:pStyle w:val="69"/>
                    <w:widowControl/>
                    <w:spacing w:line="300" w:lineRule="exact"/>
                    <w:rPr>
                      <w:color w:val="000000"/>
                      <w:bdr w:val="none" w:color="auto" w:sz="0" w:space="0"/>
                      <w:lang w:val="en-US"/>
                    </w:rPr>
                  </w:pPr>
                  <w:r>
                    <w:rPr>
                      <w:rFonts w:hint="eastAsia" w:ascii="Calibri" w:hAnsi="Calibri" w:eastAsia="宋体" w:cs="宋体"/>
                      <w:color w:val="000000"/>
                      <w:bdr w:val="none" w:color="auto" w:sz="0" w:space="0"/>
                    </w:rPr>
                    <w:t>辅料室</w:t>
                  </w:r>
                </w:p>
              </w:tc>
            </w:tr>
            <w:tr w14:paraId="19DFA17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3152" w:type="dxa"/>
                  <w:tcBorders>
                    <w:top w:val="single" w:color="auto" w:sz="4" w:space="0"/>
                    <w:left w:val="nil"/>
                    <w:bottom w:val="single" w:color="auto" w:sz="4" w:space="0"/>
                    <w:right w:val="single" w:color="auto" w:sz="4" w:space="0"/>
                  </w:tcBorders>
                  <w:shd w:val="clear"/>
                  <w:vAlign w:val="center"/>
                </w:tcPr>
                <w:p w14:paraId="1EC00611">
                  <w:pPr>
                    <w:pStyle w:val="69"/>
                    <w:widowControl/>
                    <w:spacing w:line="300" w:lineRule="exact"/>
                    <w:rPr>
                      <w:color w:val="000000"/>
                      <w:bdr w:val="none" w:color="auto" w:sz="0" w:space="0"/>
                      <w:lang w:val="en-US"/>
                    </w:rPr>
                  </w:pPr>
                  <w:r>
                    <w:rPr>
                      <w:rFonts w:hint="eastAsia" w:ascii="Calibri" w:hAnsi="Calibri" w:eastAsia="宋体" w:cs="宋体"/>
                      <w:color w:val="000000"/>
                      <w:bdr w:val="none" w:color="auto" w:sz="0" w:space="0"/>
                    </w:rPr>
                    <w:t>线轴</w:t>
                  </w:r>
                </w:p>
              </w:tc>
              <w:tc>
                <w:tcPr>
                  <w:tcW w:w="2837" w:type="dxa"/>
                  <w:tcBorders>
                    <w:top w:val="single" w:color="auto" w:sz="4" w:space="0"/>
                    <w:left w:val="single" w:color="auto" w:sz="4" w:space="0"/>
                    <w:bottom w:val="single" w:color="auto" w:sz="4" w:space="0"/>
                    <w:right w:val="single" w:color="auto" w:sz="4" w:space="0"/>
                  </w:tcBorders>
                  <w:shd w:val="clear"/>
                  <w:vAlign w:val="center"/>
                </w:tcPr>
                <w:p w14:paraId="2E44945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50</w:t>
                  </w:r>
                  <w:r>
                    <w:rPr>
                      <w:rFonts w:hint="eastAsia" w:ascii="Times New Roman" w:hAnsi="Calibri" w:eastAsia="宋体" w:cs="宋体"/>
                      <w:color w:val="000000"/>
                      <w:kern w:val="2"/>
                      <w:sz w:val="21"/>
                      <w:szCs w:val="21"/>
                      <w:bdr w:val="none" w:color="auto" w:sz="0" w:space="0"/>
                      <w:lang w:val="en-US" w:eastAsia="zh-CN" w:bidi="ar"/>
                    </w:rPr>
                    <w:t>万</w:t>
                  </w:r>
                  <w:r>
                    <w:rPr>
                      <w:rFonts w:hint="default" w:ascii="Times New Roman" w:hAnsi="Times New Roman" w:eastAsia="宋体" w:cs="Times New Roman"/>
                      <w:color w:val="000000"/>
                      <w:kern w:val="2"/>
                      <w:sz w:val="21"/>
                      <w:szCs w:val="21"/>
                      <w:bdr w:val="none" w:color="auto" w:sz="0" w:space="0"/>
                      <w:lang w:val="en-US" w:eastAsia="zh-CN" w:bidi="ar"/>
                    </w:rPr>
                    <w:t>m</w:t>
                  </w:r>
                </w:p>
              </w:tc>
              <w:tc>
                <w:tcPr>
                  <w:tcW w:w="2398" w:type="dxa"/>
                  <w:tcBorders>
                    <w:top w:val="single" w:color="auto" w:sz="4" w:space="0"/>
                    <w:left w:val="single" w:color="auto" w:sz="4" w:space="0"/>
                    <w:bottom w:val="single" w:color="auto" w:sz="4" w:space="0"/>
                    <w:right w:val="nil"/>
                  </w:tcBorders>
                  <w:shd w:val="clear"/>
                  <w:vAlign w:val="center"/>
                </w:tcPr>
                <w:p w14:paraId="2E9EF32E">
                  <w:pPr>
                    <w:pStyle w:val="69"/>
                    <w:widowControl/>
                    <w:spacing w:line="300" w:lineRule="exact"/>
                    <w:rPr>
                      <w:color w:val="000000"/>
                      <w:bdr w:val="none" w:color="auto" w:sz="0" w:space="0"/>
                      <w:lang w:val="en-US"/>
                    </w:rPr>
                  </w:pPr>
                  <w:r>
                    <w:rPr>
                      <w:rFonts w:hint="eastAsia" w:ascii="Calibri" w:hAnsi="Calibri" w:eastAsia="宋体" w:cs="宋体"/>
                      <w:color w:val="000000"/>
                      <w:szCs w:val="21"/>
                      <w:bdr w:val="none" w:color="auto" w:sz="0" w:space="0"/>
                    </w:rPr>
                    <w:t>原材料库房</w:t>
                  </w:r>
                </w:p>
              </w:tc>
            </w:tr>
            <w:tr w14:paraId="1F10518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3152" w:type="dxa"/>
                  <w:tcBorders>
                    <w:top w:val="single" w:color="auto" w:sz="4" w:space="0"/>
                    <w:left w:val="nil"/>
                    <w:bottom w:val="single" w:color="auto" w:sz="4" w:space="0"/>
                    <w:right w:val="single" w:color="auto" w:sz="4" w:space="0"/>
                  </w:tcBorders>
                  <w:shd w:val="clear"/>
                  <w:vAlign w:val="center"/>
                </w:tcPr>
                <w:p w14:paraId="3619E0CD">
                  <w:pPr>
                    <w:pStyle w:val="69"/>
                    <w:widowControl/>
                    <w:spacing w:line="300" w:lineRule="exact"/>
                    <w:rPr>
                      <w:color w:val="000000"/>
                      <w:bdr w:val="none" w:color="auto" w:sz="0" w:space="0"/>
                      <w:lang w:val="en-US"/>
                    </w:rPr>
                  </w:pPr>
                  <w:r>
                    <w:rPr>
                      <w:rFonts w:hint="eastAsia" w:ascii="Calibri" w:hAnsi="Calibri" w:eastAsia="宋体" w:cs="宋体"/>
                      <w:color w:val="000000"/>
                      <w:bdr w:val="none" w:color="auto" w:sz="0" w:space="0"/>
                    </w:rPr>
                    <w:t>成品硅胶泡棉</w:t>
                  </w:r>
                </w:p>
              </w:tc>
              <w:tc>
                <w:tcPr>
                  <w:tcW w:w="2837" w:type="dxa"/>
                  <w:tcBorders>
                    <w:top w:val="single" w:color="auto" w:sz="4" w:space="0"/>
                    <w:left w:val="single" w:color="auto" w:sz="4" w:space="0"/>
                    <w:bottom w:val="single" w:color="auto" w:sz="4" w:space="0"/>
                    <w:right w:val="single" w:color="auto" w:sz="4" w:space="0"/>
                  </w:tcBorders>
                  <w:shd w:val="clear"/>
                  <w:vAlign w:val="center"/>
                </w:tcPr>
                <w:p w14:paraId="7C8004B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10000m</w:t>
                  </w:r>
                  <w:r>
                    <w:rPr>
                      <w:rFonts w:hint="default" w:ascii="Times New Roman" w:hAnsi="Times New Roman" w:eastAsia="宋体" w:cs="Times New Roman"/>
                      <w:color w:val="000000"/>
                      <w:kern w:val="2"/>
                      <w:sz w:val="21"/>
                      <w:szCs w:val="24"/>
                      <w:bdr w:val="none" w:color="auto" w:sz="0" w:space="0"/>
                      <w:vertAlign w:val="superscript"/>
                      <w:lang w:val="en-US" w:eastAsia="zh-CN" w:bidi="ar"/>
                    </w:rPr>
                    <w:t>2</w:t>
                  </w:r>
                  <w:r>
                    <w:rPr>
                      <w:rFonts w:hint="default" w:ascii="Times New Roman" w:hAnsi="Times New Roman" w:eastAsia="宋体" w:cs="Times New Roman"/>
                      <w:color w:val="000000"/>
                      <w:kern w:val="2"/>
                      <w:sz w:val="21"/>
                      <w:szCs w:val="24"/>
                      <w:bdr w:val="none" w:color="auto" w:sz="0" w:space="0"/>
                      <w:lang w:val="en-US" w:eastAsia="zh-CN" w:bidi="ar"/>
                    </w:rPr>
                    <w:t>/a</w:t>
                  </w:r>
                </w:p>
              </w:tc>
              <w:tc>
                <w:tcPr>
                  <w:tcW w:w="2398" w:type="dxa"/>
                  <w:tcBorders>
                    <w:top w:val="single" w:color="auto" w:sz="4" w:space="0"/>
                    <w:left w:val="single" w:color="auto" w:sz="4" w:space="0"/>
                    <w:bottom w:val="single" w:color="auto" w:sz="4" w:space="0"/>
                    <w:right w:val="nil"/>
                  </w:tcBorders>
                  <w:shd w:val="clear"/>
                  <w:vAlign w:val="center"/>
                </w:tcPr>
                <w:p w14:paraId="2C688BC1">
                  <w:pPr>
                    <w:pStyle w:val="69"/>
                    <w:widowControl/>
                    <w:spacing w:line="300" w:lineRule="exact"/>
                    <w:rPr>
                      <w:color w:val="000000"/>
                      <w:bdr w:val="none" w:color="auto" w:sz="0" w:space="0"/>
                      <w:lang w:val="en-US"/>
                    </w:rPr>
                  </w:pPr>
                  <w:r>
                    <w:rPr>
                      <w:rFonts w:hint="eastAsia" w:ascii="Calibri" w:hAnsi="Calibri" w:eastAsia="宋体" w:cs="宋体"/>
                      <w:color w:val="000000"/>
                      <w:szCs w:val="21"/>
                      <w:bdr w:val="none" w:color="auto" w:sz="0" w:space="0"/>
                    </w:rPr>
                    <w:t>原材料库房</w:t>
                  </w:r>
                </w:p>
              </w:tc>
            </w:tr>
            <w:tr w14:paraId="3010742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3152" w:type="dxa"/>
                  <w:tcBorders>
                    <w:top w:val="single" w:color="auto" w:sz="4" w:space="0"/>
                    <w:left w:val="nil"/>
                    <w:bottom w:val="single" w:color="auto" w:sz="4" w:space="0"/>
                    <w:right w:val="single" w:color="auto" w:sz="4" w:space="0"/>
                  </w:tcBorders>
                  <w:shd w:val="clear"/>
                  <w:vAlign w:val="center"/>
                </w:tcPr>
                <w:p w14:paraId="2E535A74">
                  <w:pPr>
                    <w:pStyle w:val="69"/>
                    <w:widowControl/>
                    <w:spacing w:line="300" w:lineRule="exact"/>
                    <w:rPr>
                      <w:color w:val="000000"/>
                      <w:bdr w:val="none" w:color="auto" w:sz="0" w:space="0"/>
                      <w:lang w:val="en-US"/>
                    </w:rPr>
                  </w:pPr>
                  <w:r>
                    <w:rPr>
                      <w:rFonts w:hint="eastAsia" w:ascii="Calibri" w:hAnsi="Calibri" w:eastAsia="宋体" w:cs="宋体"/>
                      <w:color w:val="000000"/>
                      <w:bdr w:val="none" w:color="auto" w:sz="0" w:space="0"/>
                    </w:rPr>
                    <w:t>成品双面胶带</w:t>
                  </w:r>
                </w:p>
              </w:tc>
              <w:tc>
                <w:tcPr>
                  <w:tcW w:w="2837" w:type="dxa"/>
                  <w:tcBorders>
                    <w:top w:val="single" w:color="auto" w:sz="4" w:space="0"/>
                    <w:left w:val="single" w:color="auto" w:sz="4" w:space="0"/>
                    <w:bottom w:val="single" w:color="auto" w:sz="4" w:space="0"/>
                    <w:right w:val="single" w:color="auto" w:sz="4" w:space="0"/>
                  </w:tcBorders>
                  <w:shd w:val="clear"/>
                  <w:vAlign w:val="center"/>
                </w:tcPr>
                <w:p w14:paraId="14C95C9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15000m</w:t>
                  </w:r>
                  <w:r>
                    <w:rPr>
                      <w:rFonts w:hint="default" w:ascii="Times New Roman" w:hAnsi="Times New Roman" w:eastAsia="宋体" w:cs="Times New Roman"/>
                      <w:color w:val="000000"/>
                      <w:kern w:val="2"/>
                      <w:sz w:val="21"/>
                      <w:szCs w:val="24"/>
                      <w:bdr w:val="none" w:color="auto" w:sz="0" w:space="0"/>
                      <w:vertAlign w:val="superscript"/>
                      <w:lang w:val="en-US" w:eastAsia="zh-CN" w:bidi="ar"/>
                    </w:rPr>
                    <w:t>2</w:t>
                  </w:r>
                  <w:r>
                    <w:rPr>
                      <w:rFonts w:hint="default" w:ascii="Times New Roman" w:hAnsi="Times New Roman" w:eastAsia="宋体" w:cs="Times New Roman"/>
                      <w:color w:val="000000"/>
                      <w:kern w:val="2"/>
                      <w:sz w:val="21"/>
                      <w:szCs w:val="24"/>
                      <w:bdr w:val="none" w:color="auto" w:sz="0" w:space="0"/>
                      <w:lang w:val="en-US" w:eastAsia="zh-CN" w:bidi="ar"/>
                    </w:rPr>
                    <w:t>/a</w:t>
                  </w:r>
                </w:p>
              </w:tc>
              <w:tc>
                <w:tcPr>
                  <w:tcW w:w="2398" w:type="dxa"/>
                  <w:tcBorders>
                    <w:top w:val="single" w:color="auto" w:sz="4" w:space="0"/>
                    <w:left w:val="single" w:color="auto" w:sz="4" w:space="0"/>
                    <w:bottom w:val="single" w:color="auto" w:sz="4" w:space="0"/>
                    <w:right w:val="nil"/>
                  </w:tcBorders>
                  <w:shd w:val="clear"/>
                  <w:vAlign w:val="center"/>
                </w:tcPr>
                <w:p w14:paraId="72CDE266">
                  <w:pPr>
                    <w:pStyle w:val="69"/>
                    <w:widowControl/>
                    <w:spacing w:line="300" w:lineRule="exact"/>
                    <w:rPr>
                      <w:color w:val="000000"/>
                      <w:bdr w:val="none" w:color="auto" w:sz="0" w:space="0"/>
                      <w:lang w:val="en-US"/>
                    </w:rPr>
                  </w:pPr>
                  <w:r>
                    <w:rPr>
                      <w:rFonts w:hint="eastAsia" w:ascii="Calibri" w:hAnsi="Calibri" w:eastAsia="宋体" w:cs="宋体"/>
                      <w:color w:val="000000"/>
                      <w:szCs w:val="21"/>
                      <w:bdr w:val="none" w:color="auto" w:sz="0" w:space="0"/>
                    </w:rPr>
                    <w:t>原材料库房</w:t>
                  </w:r>
                </w:p>
              </w:tc>
            </w:tr>
            <w:tr w14:paraId="7F47C40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3152" w:type="dxa"/>
                  <w:tcBorders>
                    <w:top w:val="single" w:color="auto" w:sz="4" w:space="0"/>
                    <w:left w:val="nil"/>
                    <w:bottom w:val="single" w:color="auto" w:sz="4" w:space="0"/>
                    <w:right w:val="single" w:color="auto" w:sz="4" w:space="0"/>
                  </w:tcBorders>
                  <w:shd w:val="clear"/>
                  <w:vAlign w:val="center"/>
                </w:tcPr>
                <w:p w14:paraId="1B087593">
                  <w:pPr>
                    <w:pStyle w:val="69"/>
                    <w:widowControl/>
                    <w:spacing w:line="300" w:lineRule="exact"/>
                    <w:rPr>
                      <w:color w:val="000000"/>
                      <w:bdr w:val="none" w:color="auto" w:sz="0" w:space="0"/>
                      <w:lang w:val="en-US"/>
                    </w:rPr>
                  </w:pPr>
                  <w:r>
                    <w:rPr>
                      <w:rFonts w:hint="eastAsia" w:ascii="Calibri" w:hAnsi="Calibri" w:eastAsia="宋体" w:cs="宋体"/>
                      <w:color w:val="000000"/>
                      <w:bdr w:val="none" w:color="auto" w:sz="0" w:space="0"/>
                    </w:rPr>
                    <w:t>背胶处理剂</w:t>
                  </w:r>
                </w:p>
              </w:tc>
              <w:tc>
                <w:tcPr>
                  <w:tcW w:w="2837" w:type="dxa"/>
                  <w:tcBorders>
                    <w:top w:val="single" w:color="auto" w:sz="4" w:space="0"/>
                    <w:left w:val="single" w:color="auto" w:sz="4" w:space="0"/>
                    <w:bottom w:val="single" w:color="auto" w:sz="4" w:space="0"/>
                    <w:right w:val="single" w:color="auto" w:sz="4" w:space="0"/>
                  </w:tcBorders>
                  <w:shd w:val="clear"/>
                  <w:vAlign w:val="center"/>
                </w:tcPr>
                <w:p w14:paraId="0C86CA1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0.6t/a</w:t>
                  </w:r>
                </w:p>
              </w:tc>
              <w:tc>
                <w:tcPr>
                  <w:tcW w:w="2398" w:type="dxa"/>
                  <w:tcBorders>
                    <w:top w:val="single" w:color="auto" w:sz="4" w:space="0"/>
                    <w:left w:val="single" w:color="auto" w:sz="4" w:space="0"/>
                    <w:bottom w:val="single" w:color="auto" w:sz="4" w:space="0"/>
                    <w:right w:val="nil"/>
                  </w:tcBorders>
                  <w:shd w:val="clear"/>
                  <w:vAlign w:val="center"/>
                </w:tcPr>
                <w:p w14:paraId="7633E398">
                  <w:pPr>
                    <w:pStyle w:val="69"/>
                    <w:widowControl/>
                    <w:spacing w:line="300" w:lineRule="exact"/>
                    <w:rPr>
                      <w:color w:val="000000"/>
                      <w:bdr w:val="none" w:color="auto" w:sz="0" w:space="0"/>
                      <w:lang w:val="en-US"/>
                    </w:rPr>
                  </w:pPr>
                  <w:r>
                    <w:rPr>
                      <w:rFonts w:hint="eastAsia" w:ascii="Calibri" w:hAnsi="Calibri" w:eastAsia="宋体" w:cs="宋体"/>
                      <w:color w:val="000000"/>
                      <w:bdr w:val="none" w:color="auto" w:sz="0" w:space="0"/>
                    </w:rPr>
                    <w:t>辅料室</w:t>
                  </w:r>
                </w:p>
              </w:tc>
            </w:tr>
            <w:tr w14:paraId="4197296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3152" w:type="dxa"/>
                  <w:tcBorders>
                    <w:top w:val="single" w:color="auto" w:sz="4" w:space="0"/>
                    <w:left w:val="nil"/>
                    <w:bottom w:val="single" w:color="auto" w:sz="4" w:space="0"/>
                    <w:right w:val="single" w:color="auto" w:sz="4" w:space="0"/>
                  </w:tcBorders>
                  <w:shd w:val="clear"/>
                  <w:vAlign w:val="center"/>
                </w:tcPr>
                <w:p w14:paraId="304DA06C">
                  <w:pPr>
                    <w:pStyle w:val="69"/>
                    <w:widowControl/>
                    <w:spacing w:line="300" w:lineRule="exact"/>
                    <w:rPr>
                      <w:color w:val="000000"/>
                      <w:bdr w:val="none" w:color="auto" w:sz="0" w:space="0"/>
                      <w:lang w:val="en-US"/>
                    </w:rPr>
                  </w:pPr>
                  <w:r>
                    <w:rPr>
                      <w:rFonts w:hint="eastAsia" w:ascii="Calibri" w:hAnsi="Calibri" w:eastAsia="宋体" w:cs="宋体"/>
                      <w:color w:val="000000"/>
                      <w:bdr w:val="none" w:color="auto" w:sz="0" w:space="0"/>
                    </w:rPr>
                    <w:t>液体硅橡胶</w:t>
                  </w:r>
                </w:p>
              </w:tc>
              <w:tc>
                <w:tcPr>
                  <w:tcW w:w="2837" w:type="dxa"/>
                  <w:tcBorders>
                    <w:top w:val="single" w:color="auto" w:sz="4" w:space="0"/>
                    <w:left w:val="single" w:color="auto" w:sz="4" w:space="0"/>
                    <w:bottom w:val="single" w:color="auto" w:sz="4" w:space="0"/>
                    <w:right w:val="single" w:color="auto" w:sz="4" w:space="0"/>
                  </w:tcBorders>
                  <w:shd w:val="clear"/>
                  <w:vAlign w:val="center"/>
                </w:tcPr>
                <w:p w14:paraId="041A844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0.05t/a</w:t>
                  </w:r>
                </w:p>
              </w:tc>
              <w:tc>
                <w:tcPr>
                  <w:tcW w:w="2398" w:type="dxa"/>
                  <w:tcBorders>
                    <w:top w:val="single" w:color="auto" w:sz="4" w:space="0"/>
                    <w:left w:val="single" w:color="auto" w:sz="4" w:space="0"/>
                    <w:bottom w:val="single" w:color="auto" w:sz="4" w:space="0"/>
                    <w:right w:val="nil"/>
                  </w:tcBorders>
                  <w:shd w:val="clear"/>
                  <w:vAlign w:val="center"/>
                </w:tcPr>
                <w:p w14:paraId="54CB7F8A">
                  <w:pPr>
                    <w:pStyle w:val="69"/>
                    <w:widowControl/>
                    <w:spacing w:line="300" w:lineRule="exact"/>
                    <w:rPr>
                      <w:color w:val="000000"/>
                      <w:bdr w:val="none" w:color="auto" w:sz="0" w:space="0"/>
                      <w:lang w:val="en-US"/>
                    </w:rPr>
                  </w:pPr>
                  <w:r>
                    <w:rPr>
                      <w:rFonts w:hint="eastAsia" w:ascii="Calibri" w:hAnsi="Calibri" w:eastAsia="宋体" w:cs="宋体"/>
                      <w:color w:val="000000"/>
                      <w:bdr w:val="none" w:color="auto" w:sz="0" w:space="0"/>
                    </w:rPr>
                    <w:t>辅料室</w:t>
                  </w:r>
                </w:p>
              </w:tc>
            </w:tr>
            <w:tr w14:paraId="2B738F9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3152" w:type="dxa"/>
                  <w:tcBorders>
                    <w:top w:val="single" w:color="auto" w:sz="4" w:space="0"/>
                    <w:left w:val="nil"/>
                    <w:bottom w:val="single" w:color="auto" w:sz="4" w:space="0"/>
                    <w:right w:val="single" w:color="auto" w:sz="4" w:space="0"/>
                  </w:tcBorders>
                  <w:shd w:val="clear"/>
                  <w:vAlign w:val="center"/>
                </w:tcPr>
                <w:p w14:paraId="6FB3A9FC">
                  <w:pPr>
                    <w:pStyle w:val="69"/>
                    <w:widowControl/>
                    <w:spacing w:line="300" w:lineRule="exact"/>
                    <w:rPr>
                      <w:color w:val="000000"/>
                      <w:bdr w:val="none" w:color="auto" w:sz="0" w:space="0"/>
                      <w:lang w:val="en-US"/>
                    </w:rPr>
                  </w:pPr>
                  <w:r>
                    <w:rPr>
                      <w:rFonts w:hint="eastAsia" w:ascii="Calibri" w:hAnsi="Calibri" w:eastAsia="宋体" w:cs="宋体"/>
                      <w:color w:val="000000"/>
                      <w:bdr w:val="none" w:color="auto" w:sz="0" w:space="0"/>
                    </w:rPr>
                    <w:t>成品泡棉</w:t>
                  </w:r>
                </w:p>
              </w:tc>
              <w:tc>
                <w:tcPr>
                  <w:tcW w:w="2837" w:type="dxa"/>
                  <w:tcBorders>
                    <w:top w:val="single" w:color="auto" w:sz="4" w:space="0"/>
                    <w:left w:val="single" w:color="auto" w:sz="4" w:space="0"/>
                    <w:bottom w:val="single" w:color="auto" w:sz="4" w:space="0"/>
                    <w:right w:val="single" w:color="auto" w:sz="4" w:space="0"/>
                  </w:tcBorders>
                  <w:shd w:val="clear"/>
                  <w:vAlign w:val="center"/>
                </w:tcPr>
                <w:p w14:paraId="17E717B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4000m</w:t>
                  </w:r>
                  <w:r>
                    <w:rPr>
                      <w:rFonts w:hint="default" w:ascii="Times New Roman" w:hAnsi="Times New Roman" w:eastAsia="宋体" w:cs="Times New Roman"/>
                      <w:color w:val="000000"/>
                      <w:kern w:val="2"/>
                      <w:sz w:val="21"/>
                      <w:szCs w:val="24"/>
                      <w:bdr w:val="none" w:color="auto" w:sz="0" w:space="0"/>
                      <w:vertAlign w:val="superscript"/>
                      <w:lang w:val="en-US" w:eastAsia="zh-CN" w:bidi="ar"/>
                    </w:rPr>
                    <w:t>2</w:t>
                  </w:r>
                  <w:r>
                    <w:rPr>
                      <w:rFonts w:hint="default" w:ascii="Times New Roman" w:hAnsi="Times New Roman" w:eastAsia="宋体" w:cs="Times New Roman"/>
                      <w:color w:val="000000"/>
                      <w:kern w:val="2"/>
                      <w:sz w:val="21"/>
                      <w:szCs w:val="24"/>
                      <w:bdr w:val="none" w:color="auto" w:sz="0" w:space="0"/>
                      <w:lang w:val="en-US" w:eastAsia="zh-CN" w:bidi="ar"/>
                    </w:rPr>
                    <w:t>/a</w:t>
                  </w:r>
                </w:p>
              </w:tc>
              <w:tc>
                <w:tcPr>
                  <w:tcW w:w="2398" w:type="dxa"/>
                  <w:tcBorders>
                    <w:top w:val="single" w:color="auto" w:sz="4" w:space="0"/>
                    <w:left w:val="single" w:color="auto" w:sz="4" w:space="0"/>
                    <w:bottom w:val="single" w:color="auto" w:sz="4" w:space="0"/>
                    <w:right w:val="nil"/>
                  </w:tcBorders>
                  <w:shd w:val="clear"/>
                  <w:vAlign w:val="center"/>
                </w:tcPr>
                <w:p w14:paraId="564296F0">
                  <w:pPr>
                    <w:pStyle w:val="69"/>
                    <w:widowControl/>
                    <w:spacing w:line="300" w:lineRule="exact"/>
                    <w:rPr>
                      <w:color w:val="000000"/>
                      <w:bdr w:val="none" w:color="auto" w:sz="0" w:space="0"/>
                      <w:lang w:val="en-US"/>
                    </w:rPr>
                  </w:pPr>
                  <w:r>
                    <w:rPr>
                      <w:rFonts w:hint="eastAsia" w:ascii="Calibri" w:hAnsi="Calibri" w:eastAsia="宋体" w:cs="宋体"/>
                      <w:color w:val="000000"/>
                      <w:szCs w:val="21"/>
                      <w:bdr w:val="none" w:color="auto" w:sz="0" w:space="0"/>
                    </w:rPr>
                    <w:t>原材料库房</w:t>
                  </w:r>
                </w:p>
              </w:tc>
            </w:tr>
            <w:tr w14:paraId="595AAE5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3152" w:type="dxa"/>
                  <w:tcBorders>
                    <w:top w:val="single" w:color="auto" w:sz="4" w:space="0"/>
                    <w:left w:val="nil"/>
                    <w:bottom w:val="single" w:color="auto" w:sz="4" w:space="0"/>
                    <w:right w:val="single" w:color="auto" w:sz="4" w:space="0"/>
                  </w:tcBorders>
                  <w:shd w:val="clear"/>
                  <w:vAlign w:val="center"/>
                </w:tcPr>
                <w:p w14:paraId="586539FB">
                  <w:pPr>
                    <w:pStyle w:val="69"/>
                    <w:widowControl/>
                    <w:spacing w:line="300" w:lineRule="exact"/>
                    <w:rPr>
                      <w:color w:val="000000"/>
                      <w:bdr w:val="none" w:color="auto" w:sz="0" w:space="0"/>
                      <w:lang w:val="en-US"/>
                    </w:rPr>
                  </w:pPr>
                  <w:r>
                    <w:rPr>
                      <w:rFonts w:hint="eastAsia" w:ascii="Calibri" w:hAnsi="Calibri" w:eastAsia="宋体" w:cs="宋体"/>
                      <w:color w:val="000000"/>
                      <w:bdr w:val="none" w:color="auto" w:sz="0" w:space="0"/>
                    </w:rPr>
                    <w:t>云母板</w:t>
                  </w:r>
                </w:p>
              </w:tc>
              <w:tc>
                <w:tcPr>
                  <w:tcW w:w="2837" w:type="dxa"/>
                  <w:tcBorders>
                    <w:top w:val="single" w:color="auto" w:sz="4" w:space="0"/>
                    <w:left w:val="single" w:color="auto" w:sz="4" w:space="0"/>
                    <w:bottom w:val="single" w:color="auto" w:sz="4" w:space="0"/>
                    <w:right w:val="single" w:color="auto" w:sz="4" w:space="0"/>
                  </w:tcBorders>
                  <w:shd w:val="clear"/>
                  <w:vAlign w:val="center"/>
                </w:tcPr>
                <w:p w14:paraId="19C5B98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12000</w:t>
                  </w:r>
                  <w:r>
                    <w:rPr>
                      <w:rFonts w:hint="eastAsia" w:ascii="Times New Roman" w:hAnsi="Times New Roman" w:eastAsia="宋体" w:cs="宋体"/>
                      <w:color w:val="000000"/>
                      <w:kern w:val="2"/>
                      <w:sz w:val="21"/>
                      <w:szCs w:val="24"/>
                      <w:bdr w:val="none" w:color="auto" w:sz="0" w:space="0"/>
                      <w:lang w:val="en-US" w:eastAsia="zh-CN" w:bidi="ar"/>
                    </w:rPr>
                    <w:t>片</w:t>
                  </w:r>
                </w:p>
              </w:tc>
              <w:tc>
                <w:tcPr>
                  <w:tcW w:w="2398" w:type="dxa"/>
                  <w:tcBorders>
                    <w:top w:val="single" w:color="auto" w:sz="4" w:space="0"/>
                    <w:left w:val="single" w:color="auto" w:sz="4" w:space="0"/>
                    <w:bottom w:val="single" w:color="auto" w:sz="4" w:space="0"/>
                    <w:right w:val="nil"/>
                  </w:tcBorders>
                  <w:shd w:val="clear"/>
                  <w:vAlign w:val="center"/>
                </w:tcPr>
                <w:p w14:paraId="6F830F03">
                  <w:pPr>
                    <w:pStyle w:val="69"/>
                    <w:widowControl/>
                    <w:spacing w:line="300" w:lineRule="exact"/>
                    <w:rPr>
                      <w:color w:val="000000"/>
                      <w:bdr w:val="none" w:color="auto" w:sz="0" w:space="0"/>
                      <w:lang w:val="en-US"/>
                    </w:rPr>
                  </w:pPr>
                  <w:r>
                    <w:rPr>
                      <w:rFonts w:hint="eastAsia" w:ascii="Calibri" w:hAnsi="Calibri" w:eastAsia="宋体" w:cs="宋体"/>
                      <w:color w:val="000000"/>
                      <w:szCs w:val="21"/>
                      <w:bdr w:val="none" w:color="auto" w:sz="0" w:space="0"/>
                    </w:rPr>
                    <w:t>原材料库房</w:t>
                  </w:r>
                </w:p>
              </w:tc>
            </w:tr>
            <w:tr w14:paraId="361EEBF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3152" w:type="dxa"/>
                  <w:tcBorders>
                    <w:top w:val="single" w:color="auto" w:sz="4" w:space="0"/>
                    <w:left w:val="nil"/>
                    <w:bottom w:val="single" w:color="auto" w:sz="4" w:space="0"/>
                    <w:right w:val="single" w:color="auto" w:sz="4" w:space="0"/>
                  </w:tcBorders>
                  <w:shd w:val="clear"/>
                  <w:vAlign w:val="center"/>
                </w:tcPr>
                <w:p w14:paraId="13AAE201">
                  <w:pPr>
                    <w:pStyle w:val="69"/>
                    <w:widowControl/>
                    <w:spacing w:line="300" w:lineRule="exact"/>
                    <w:rPr>
                      <w:color w:val="000000"/>
                      <w:bdr w:val="none" w:color="auto" w:sz="0" w:space="0"/>
                      <w:lang w:val="en-US"/>
                    </w:rPr>
                  </w:pPr>
                  <w:r>
                    <w:rPr>
                      <w:rFonts w:hint="eastAsia" w:ascii="Calibri" w:hAnsi="Calibri" w:eastAsia="宋体" w:cs="宋体"/>
                      <w:color w:val="000000"/>
                      <w:bdr w:val="none" w:color="auto" w:sz="0" w:space="0"/>
                    </w:rPr>
                    <w:t>缠绕膜</w:t>
                  </w:r>
                </w:p>
              </w:tc>
              <w:tc>
                <w:tcPr>
                  <w:tcW w:w="2837" w:type="dxa"/>
                  <w:tcBorders>
                    <w:top w:val="single" w:color="auto" w:sz="4" w:space="0"/>
                    <w:left w:val="single" w:color="auto" w:sz="4" w:space="0"/>
                    <w:bottom w:val="single" w:color="auto" w:sz="4" w:space="0"/>
                    <w:right w:val="single" w:color="auto" w:sz="4" w:space="0"/>
                  </w:tcBorders>
                  <w:shd w:val="clear"/>
                  <w:vAlign w:val="center"/>
                </w:tcPr>
                <w:p w14:paraId="7CE4A8B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120</w:t>
                  </w:r>
                  <w:r>
                    <w:rPr>
                      <w:rFonts w:hint="eastAsia" w:ascii="Times New Roman" w:hAnsi="Times New Roman" w:eastAsia="宋体" w:cs="宋体"/>
                      <w:color w:val="000000"/>
                      <w:kern w:val="2"/>
                      <w:sz w:val="21"/>
                      <w:szCs w:val="24"/>
                      <w:bdr w:val="none" w:color="auto" w:sz="0" w:space="0"/>
                      <w:lang w:val="en-US" w:eastAsia="zh-CN" w:bidi="ar"/>
                    </w:rPr>
                    <w:t>卷</w:t>
                  </w:r>
                </w:p>
              </w:tc>
              <w:tc>
                <w:tcPr>
                  <w:tcW w:w="2398" w:type="dxa"/>
                  <w:tcBorders>
                    <w:top w:val="single" w:color="auto" w:sz="4" w:space="0"/>
                    <w:left w:val="single" w:color="auto" w:sz="4" w:space="0"/>
                    <w:bottom w:val="single" w:color="auto" w:sz="4" w:space="0"/>
                    <w:right w:val="nil"/>
                  </w:tcBorders>
                  <w:shd w:val="clear"/>
                  <w:vAlign w:val="center"/>
                </w:tcPr>
                <w:p w14:paraId="0ACCC268">
                  <w:pPr>
                    <w:pStyle w:val="69"/>
                    <w:widowControl/>
                    <w:spacing w:line="300" w:lineRule="exact"/>
                    <w:rPr>
                      <w:color w:val="000000"/>
                      <w:bdr w:val="none" w:color="auto" w:sz="0" w:space="0"/>
                      <w:lang w:val="en-US"/>
                    </w:rPr>
                  </w:pPr>
                  <w:r>
                    <w:rPr>
                      <w:rFonts w:hint="eastAsia" w:ascii="Calibri" w:hAnsi="Calibri" w:eastAsia="宋体" w:cs="宋体"/>
                      <w:color w:val="000000"/>
                      <w:szCs w:val="21"/>
                      <w:bdr w:val="none" w:color="auto" w:sz="0" w:space="0"/>
                    </w:rPr>
                    <w:t>原材料库房</w:t>
                  </w:r>
                </w:p>
              </w:tc>
            </w:tr>
            <w:tr w14:paraId="0AA02BA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3152" w:type="dxa"/>
                  <w:tcBorders>
                    <w:top w:val="single" w:color="auto" w:sz="4" w:space="0"/>
                    <w:left w:val="nil"/>
                    <w:bottom w:val="single" w:color="auto" w:sz="4" w:space="0"/>
                    <w:right w:val="single" w:color="auto" w:sz="4" w:space="0"/>
                  </w:tcBorders>
                  <w:shd w:val="clear"/>
                  <w:vAlign w:val="center"/>
                </w:tcPr>
                <w:p w14:paraId="0FA57BE7">
                  <w:pPr>
                    <w:pStyle w:val="69"/>
                    <w:widowControl/>
                    <w:spacing w:line="300" w:lineRule="exact"/>
                    <w:rPr>
                      <w:color w:val="000000"/>
                      <w:bdr w:val="none" w:color="auto" w:sz="0" w:space="0"/>
                      <w:lang w:val="en-US"/>
                    </w:rPr>
                  </w:pPr>
                  <w:r>
                    <w:rPr>
                      <w:rFonts w:hint="eastAsia" w:ascii="Calibri" w:hAnsi="Calibri" w:eastAsia="宋体" w:cs="宋体"/>
                      <w:color w:val="000000"/>
                      <w:bdr w:val="none" w:color="auto" w:sz="0" w:space="0"/>
                    </w:rPr>
                    <w:t>包装纸箱</w:t>
                  </w:r>
                </w:p>
              </w:tc>
              <w:tc>
                <w:tcPr>
                  <w:tcW w:w="2837" w:type="dxa"/>
                  <w:tcBorders>
                    <w:top w:val="single" w:color="auto" w:sz="4" w:space="0"/>
                    <w:left w:val="single" w:color="auto" w:sz="4" w:space="0"/>
                    <w:bottom w:val="single" w:color="auto" w:sz="4" w:space="0"/>
                    <w:right w:val="single" w:color="auto" w:sz="4" w:space="0"/>
                  </w:tcBorders>
                  <w:shd w:val="clear"/>
                  <w:vAlign w:val="center"/>
                </w:tcPr>
                <w:p w14:paraId="6A6FEA5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1000</w:t>
                  </w:r>
                  <w:r>
                    <w:rPr>
                      <w:rFonts w:hint="eastAsia" w:ascii="Times New Roman" w:hAnsi="Times New Roman" w:eastAsia="宋体" w:cs="宋体"/>
                      <w:color w:val="000000"/>
                      <w:kern w:val="2"/>
                      <w:sz w:val="21"/>
                      <w:szCs w:val="24"/>
                      <w:bdr w:val="none" w:color="auto" w:sz="0" w:space="0"/>
                      <w:lang w:val="en-US" w:eastAsia="zh-CN" w:bidi="ar"/>
                    </w:rPr>
                    <w:t>个</w:t>
                  </w:r>
                </w:p>
              </w:tc>
              <w:tc>
                <w:tcPr>
                  <w:tcW w:w="2398" w:type="dxa"/>
                  <w:tcBorders>
                    <w:top w:val="single" w:color="auto" w:sz="4" w:space="0"/>
                    <w:left w:val="single" w:color="auto" w:sz="4" w:space="0"/>
                    <w:bottom w:val="single" w:color="auto" w:sz="4" w:space="0"/>
                    <w:right w:val="nil"/>
                  </w:tcBorders>
                  <w:shd w:val="clear"/>
                  <w:vAlign w:val="center"/>
                </w:tcPr>
                <w:p w14:paraId="50FCDF3B">
                  <w:pPr>
                    <w:pStyle w:val="69"/>
                    <w:widowControl/>
                    <w:spacing w:line="300" w:lineRule="exact"/>
                    <w:rPr>
                      <w:rFonts w:hint="default" w:ascii="Times New Roman" w:hAnsi="Times New Roman" w:cs="Times New Roman"/>
                      <w:color w:val="000000"/>
                      <w:bdr w:val="none" w:color="auto" w:sz="0" w:space="0"/>
                      <w:lang w:val="en-US"/>
                    </w:rPr>
                  </w:pPr>
                  <w:r>
                    <w:rPr>
                      <w:rFonts w:hint="default" w:ascii="Times New Roman" w:hAnsi="Times New Roman" w:cs="Times New Roman"/>
                      <w:color w:val="000000"/>
                      <w:bdr w:val="none" w:color="auto" w:sz="0" w:space="0"/>
                      <w:lang w:val="en-US"/>
                    </w:rPr>
                    <w:t>/</w:t>
                  </w:r>
                </w:p>
              </w:tc>
            </w:tr>
            <w:tr w14:paraId="187254F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3152" w:type="dxa"/>
                  <w:tcBorders>
                    <w:top w:val="single" w:color="auto" w:sz="4" w:space="0"/>
                    <w:left w:val="nil"/>
                    <w:bottom w:val="single" w:color="auto" w:sz="12" w:space="0"/>
                    <w:right w:val="single" w:color="auto" w:sz="4" w:space="0"/>
                  </w:tcBorders>
                  <w:shd w:val="clear"/>
                  <w:vAlign w:val="center"/>
                </w:tcPr>
                <w:p w14:paraId="29E1100A">
                  <w:pPr>
                    <w:pStyle w:val="69"/>
                    <w:widowControl/>
                    <w:spacing w:line="300" w:lineRule="exact"/>
                    <w:rPr>
                      <w:color w:val="000000"/>
                      <w:bdr w:val="none" w:color="auto" w:sz="0" w:space="0"/>
                      <w:lang w:val="en-US"/>
                    </w:rPr>
                  </w:pPr>
                  <w:r>
                    <w:rPr>
                      <w:rFonts w:hint="eastAsia" w:ascii="Calibri" w:hAnsi="Calibri" w:eastAsia="宋体" w:cs="宋体"/>
                      <w:color w:val="000000"/>
                      <w:bdr w:val="none" w:color="auto" w:sz="0" w:space="0"/>
                    </w:rPr>
                    <w:t>网格棉</w:t>
                  </w:r>
                </w:p>
              </w:tc>
              <w:tc>
                <w:tcPr>
                  <w:tcW w:w="2837" w:type="dxa"/>
                  <w:tcBorders>
                    <w:top w:val="single" w:color="auto" w:sz="4" w:space="0"/>
                    <w:left w:val="single" w:color="auto" w:sz="4" w:space="0"/>
                    <w:bottom w:val="single" w:color="auto" w:sz="12" w:space="0"/>
                    <w:right w:val="single" w:color="auto" w:sz="4" w:space="0"/>
                  </w:tcBorders>
                  <w:shd w:val="clear"/>
                  <w:vAlign w:val="center"/>
                </w:tcPr>
                <w:p w14:paraId="526B9D0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1000m</w:t>
                  </w:r>
                  <w:r>
                    <w:rPr>
                      <w:rFonts w:hint="default" w:ascii="Times New Roman" w:hAnsi="Times New Roman" w:eastAsia="宋体" w:cs="Times New Roman"/>
                      <w:color w:val="000000"/>
                      <w:kern w:val="2"/>
                      <w:sz w:val="21"/>
                      <w:szCs w:val="24"/>
                      <w:bdr w:val="none" w:color="auto" w:sz="0" w:space="0"/>
                      <w:vertAlign w:val="superscript"/>
                      <w:lang w:val="en-US" w:eastAsia="zh-CN" w:bidi="ar"/>
                    </w:rPr>
                    <w:t>2</w:t>
                  </w:r>
                  <w:r>
                    <w:rPr>
                      <w:rFonts w:hint="default" w:ascii="Times New Roman" w:hAnsi="Times New Roman" w:eastAsia="宋体" w:cs="Times New Roman"/>
                      <w:color w:val="000000"/>
                      <w:kern w:val="2"/>
                      <w:sz w:val="21"/>
                      <w:szCs w:val="24"/>
                      <w:bdr w:val="none" w:color="auto" w:sz="0" w:space="0"/>
                      <w:lang w:val="en-US" w:eastAsia="zh-CN" w:bidi="ar"/>
                    </w:rPr>
                    <w:t>/a</w:t>
                  </w:r>
                </w:p>
              </w:tc>
              <w:tc>
                <w:tcPr>
                  <w:tcW w:w="2398" w:type="dxa"/>
                  <w:tcBorders>
                    <w:top w:val="single" w:color="auto" w:sz="4" w:space="0"/>
                    <w:left w:val="single" w:color="auto" w:sz="4" w:space="0"/>
                    <w:bottom w:val="single" w:color="auto" w:sz="12" w:space="0"/>
                    <w:right w:val="nil"/>
                  </w:tcBorders>
                  <w:shd w:val="clear"/>
                  <w:vAlign w:val="center"/>
                </w:tcPr>
                <w:p w14:paraId="5EF0ECD2">
                  <w:pPr>
                    <w:pStyle w:val="69"/>
                    <w:widowControl/>
                    <w:spacing w:line="300" w:lineRule="exact"/>
                    <w:rPr>
                      <w:color w:val="000000"/>
                      <w:bdr w:val="none" w:color="auto" w:sz="0" w:space="0"/>
                      <w:lang w:val="en-US"/>
                    </w:rPr>
                  </w:pPr>
                  <w:r>
                    <w:rPr>
                      <w:rFonts w:hint="eastAsia" w:ascii="Calibri" w:hAnsi="Calibri" w:eastAsia="宋体" w:cs="宋体"/>
                      <w:color w:val="000000"/>
                      <w:szCs w:val="21"/>
                      <w:bdr w:val="none" w:color="auto" w:sz="0" w:space="0"/>
                    </w:rPr>
                    <w:t>原材料库房</w:t>
                  </w:r>
                </w:p>
              </w:tc>
            </w:tr>
          </w:tbl>
          <w:p w14:paraId="294F764D">
            <w:pPr>
              <w:keepNext w:val="0"/>
              <w:keepLines w:val="0"/>
              <w:widowControl/>
              <w:suppressLineNumbers w:val="0"/>
              <w:spacing w:before="0" w:beforeAutospacing="0" w:after="0" w:afterAutospacing="0" w:line="440" w:lineRule="exact"/>
              <w:ind w:left="0" w:right="0" w:firstLine="480" w:firstLineChars="200"/>
              <w:jc w:val="center"/>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表</w:t>
            </w:r>
            <w:r>
              <w:rPr>
                <w:rFonts w:hint="default" w:ascii="Times New Roman" w:hAnsi="宋体" w:eastAsia="宋体" w:cs="Times New Roman"/>
                <w:color w:val="000000"/>
                <w:kern w:val="2"/>
                <w:sz w:val="24"/>
                <w:szCs w:val="24"/>
                <w:bdr w:val="none" w:color="auto" w:sz="0" w:space="0"/>
                <w:lang w:val="en-US" w:eastAsia="zh-CN" w:bidi="ar"/>
              </w:rPr>
              <w:t xml:space="preserve">2.12-4 </w:t>
            </w:r>
            <w:r>
              <w:rPr>
                <w:rFonts w:hint="eastAsia" w:ascii="Times New Roman" w:hAnsi="宋体" w:eastAsia="宋体" w:cs="宋体"/>
                <w:color w:val="000000"/>
                <w:kern w:val="2"/>
                <w:sz w:val="24"/>
                <w:szCs w:val="24"/>
                <w:bdr w:val="none" w:color="auto" w:sz="0" w:space="0"/>
                <w:lang w:val="en-US" w:eastAsia="zh-CN" w:bidi="ar"/>
              </w:rPr>
              <w:t>现有项目主要生产设备</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Layout w:type="fixed"/>
              <w:tblCellMar>
                <w:top w:w="0" w:type="dxa"/>
                <w:left w:w="108" w:type="dxa"/>
                <w:bottom w:w="0" w:type="dxa"/>
                <w:right w:w="108" w:type="dxa"/>
              </w:tblCellMar>
            </w:tblPr>
            <w:tblGrid>
              <w:gridCol w:w="3152"/>
              <w:gridCol w:w="2126"/>
              <w:gridCol w:w="3107"/>
            </w:tblGrid>
            <w:tr w14:paraId="2963E85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CellMar>
                  <w:top w:w="0" w:type="dxa"/>
                  <w:left w:w="108" w:type="dxa"/>
                  <w:bottom w:w="0" w:type="dxa"/>
                  <w:right w:w="108" w:type="dxa"/>
                </w:tblCellMar>
              </w:tblPrEx>
              <w:trPr>
                <w:trHeight w:val="70" w:hRule="atLeast"/>
                <w:jc w:val="center"/>
              </w:trPr>
              <w:tc>
                <w:tcPr>
                  <w:tcW w:w="3152" w:type="dxa"/>
                  <w:tcBorders>
                    <w:top w:val="single" w:color="auto" w:sz="12" w:space="0"/>
                    <w:left w:val="nil"/>
                    <w:bottom w:val="single" w:color="auto" w:sz="4" w:space="0"/>
                    <w:right w:val="single" w:color="auto" w:sz="4" w:space="0"/>
                  </w:tcBorders>
                  <w:shd w:val="clear"/>
                  <w:vAlign w:val="center"/>
                </w:tcPr>
                <w:p w14:paraId="5D3E481F">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bdr w:val="none" w:color="auto" w:sz="0" w:space="0"/>
                      <w:lang w:val="en-US"/>
                    </w:rPr>
                  </w:pPr>
                  <w:r>
                    <w:rPr>
                      <w:rFonts w:hint="eastAsia" w:ascii="宋体" w:hAnsi="宋体" w:eastAsia="宋体" w:cs="宋体"/>
                      <w:color w:val="000000"/>
                      <w:kern w:val="2"/>
                      <w:sz w:val="21"/>
                      <w:szCs w:val="21"/>
                      <w:bdr w:val="none" w:color="auto" w:sz="0" w:space="0"/>
                      <w:lang w:val="en-US" w:eastAsia="zh-CN" w:bidi="ar"/>
                    </w:rPr>
                    <w:t>设备名称</w:t>
                  </w:r>
                </w:p>
              </w:tc>
              <w:tc>
                <w:tcPr>
                  <w:tcW w:w="2126" w:type="dxa"/>
                  <w:tcBorders>
                    <w:top w:val="single" w:color="auto" w:sz="12" w:space="0"/>
                    <w:left w:val="single" w:color="auto" w:sz="4" w:space="0"/>
                    <w:bottom w:val="single" w:color="auto" w:sz="4" w:space="0"/>
                    <w:right w:val="single" w:color="auto" w:sz="4" w:space="0"/>
                  </w:tcBorders>
                  <w:shd w:val="clear"/>
                  <w:vAlign w:val="center"/>
                </w:tcPr>
                <w:p w14:paraId="68873F53">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bdr w:val="none" w:color="auto" w:sz="0" w:space="0"/>
                      <w:lang w:val="en-US"/>
                    </w:rPr>
                  </w:pPr>
                  <w:r>
                    <w:rPr>
                      <w:rFonts w:hint="eastAsia" w:ascii="宋体" w:hAnsi="宋体" w:eastAsia="宋体" w:cs="宋体"/>
                      <w:color w:val="000000"/>
                      <w:kern w:val="2"/>
                      <w:sz w:val="21"/>
                      <w:szCs w:val="21"/>
                      <w:bdr w:val="none" w:color="auto" w:sz="0" w:space="0"/>
                      <w:lang w:val="en-US" w:eastAsia="zh-CN" w:bidi="ar"/>
                    </w:rPr>
                    <w:t>数量(台/套)</w:t>
                  </w:r>
                </w:p>
              </w:tc>
              <w:tc>
                <w:tcPr>
                  <w:tcW w:w="3107" w:type="dxa"/>
                  <w:tcBorders>
                    <w:top w:val="single" w:color="auto" w:sz="12" w:space="0"/>
                    <w:left w:val="single" w:color="auto" w:sz="4" w:space="0"/>
                    <w:bottom w:val="single" w:color="auto" w:sz="4" w:space="0"/>
                    <w:right w:val="nil"/>
                  </w:tcBorders>
                  <w:shd w:val="clear"/>
                  <w:vAlign w:val="center"/>
                </w:tcPr>
                <w:p w14:paraId="608A57A9">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bdr w:val="none" w:color="auto" w:sz="0" w:space="0"/>
                      <w:lang w:val="en-US"/>
                    </w:rPr>
                  </w:pPr>
                  <w:r>
                    <w:rPr>
                      <w:rFonts w:hint="eastAsia" w:ascii="宋体" w:hAnsi="宋体" w:eastAsia="宋体" w:cs="宋体"/>
                      <w:color w:val="000000"/>
                      <w:kern w:val="2"/>
                      <w:sz w:val="21"/>
                      <w:szCs w:val="21"/>
                      <w:bdr w:val="none" w:color="auto" w:sz="0" w:space="0"/>
                      <w:lang w:val="en-US" w:eastAsia="zh-CN" w:bidi="ar"/>
                    </w:rPr>
                    <w:t>对应生产线/工序</w:t>
                  </w:r>
                </w:p>
              </w:tc>
            </w:tr>
            <w:tr w14:paraId="5B894B5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152" w:type="dxa"/>
                  <w:tcBorders>
                    <w:top w:val="single" w:color="auto" w:sz="4" w:space="0"/>
                    <w:left w:val="nil"/>
                    <w:bottom w:val="single" w:color="auto" w:sz="4" w:space="0"/>
                    <w:right w:val="single" w:color="auto" w:sz="4" w:space="0"/>
                  </w:tcBorders>
                  <w:shd w:val="clear"/>
                  <w:vAlign w:val="center"/>
                </w:tcPr>
                <w:p w14:paraId="7D17C7C8">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bdr w:val="none" w:color="auto" w:sz="0" w:space="0"/>
                      <w:lang w:val="en-US"/>
                    </w:rPr>
                  </w:pPr>
                  <w:r>
                    <w:rPr>
                      <w:rFonts w:hint="eastAsia" w:ascii="宋体" w:hAnsi="宋体" w:eastAsia="宋体" w:cs="宋体"/>
                      <w:color w:val="000000"/>
                      <w:kern w:val="2"/>
                      <w:sz w:val="21"/>
                      <w:szCs w:val="21"/>
                      <w:bdr w:val="none" w:color="auto" w:sz="0" w:space="0"/>
                      <w:lang w:val="en-US" w:eastAsia="zh-CN" w:bidi="ar"/>
                    </w:rPr>
                    <w:t>皮革复合生产线</w:t>
                  </w:r>
                </w:p>
              </w:tc>
              <w:tc>
                <w:tcPr>
                  <w:tcW w:w="2126" w:type="dxa"/>
                  <w:tcBorders>
                    <w:top w:val="single" w:color="auto" w:sz="4" w:space="0"/>
                    <w:left w:val="single" w:color="auto" w:sz="4" w:space="0"/>
                    <w:bottom w:val="single" w:color="auto" w:sz="4" w:space="0"/>
                    <w:right w:val="single" w:color="auto" w:sz="4" w:space="0"/>
                  </w:tcBorders>
                  <w:shd w:val="clear"/>
                  <w:vAlign w:val="center"/>
                </w:tcPr>
                <w:p w14:paraId="37A53A1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5</w:t>
                  </w:r>
                </w:p>
              </w:tc>
              <w:tc>
                <w:tcPr>
                  <w:tcW w:w="3107" w:type="dxa"/>
                  <w:tcBorders>
                    <w:top w:val="single" w:color="auto" w:sz="4" w:space="0"/>
                    <w:left w:val="single" w:color="auto" w:sz="4" w:space="0"/>
                    <w:bottom w:val="single" w:color="auto" w:sz="4" w:space="0"/>
                    <w:right w:val="nil"/>
                  </w:tcBorders>
                  <w:shd w:val="clear"/>
                  <w:vAlign w:val="center"/>
                </w:tcPr>
                <w:p w14:paraId="15F7709F">
                  <w:pPr>
                    <w:keepNext w:val="0"/>
                    <w:keepLines w:val="0"/>
                    <w:widowControl w:val="0"/>
                    <w:suppressLineNumbers w:val="0"/>
                    <w:spacing w:before="0" w:beforeAutospacing="0" w:after="0" w:afterAutospacing="0" w:line="300" w:lineRule="exact"/>
                    <w:ind w:left="0" w:right="0"/>
                    <w:jc w:val="center"/>
                    <w:rPr>
                      <w:bCs/>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皮革复合生产线</w:t>
                  </w:r>
                </w:p>
              </w:tc>
            </w:tr>
            <w:tr w14:paraId="38C39B9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3152" w:type="dxa"/>
                  <w:tcBorders>
                    <w:top w:val="single" w:color="auto" w:sz="4" w:space="0"/>
                    <w:left w:val="nil"/>
                    <w:bottom w:val="single" w:color="auto" w:sz="4" w:space="0"/>
                    <w:right w:val="single" w:color="auto" w:sz="4" w:space="0"/>
                  </w:tcBorders>
                  <w:shd w:val="clear"/>
                  <w:vAlign w:val="center"/>
                </w:tcPr>
                <w:p w14:paraId="56C417D4">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bdr w:val="none" w:color="auto" w:sz="0" w:space="0"/>
                      <w:lang w:val="en-US"/>
                    </w:rPr>
                  </w:pPr>
                  <w:r>
                    <w:rPr>
                      <w:rFonts w:hint="eastAsia" w:ascii="宋体" w:hAnsi="宋体" w:eastAsia="宋体" w:cs="宋体"/>
                      <w:color w:val="000000"/>
                      <w:kern w:val="2"/>
                      <w:sz w:val="21"/>
                      <w:szCs w:val="21"/>
                      <w:bdr w:val="none" w:color="auto" w:sz="0" w:space="0"/>
                      <w:lang w:val="en-US" w:eastAsia="zh-CN" w:bidi="ar"/>
                    </w:rPr>
                    <w:t>收卷机</w:t>
                  </w:r>
                </w:p>
              </w:tc>
              <w:tc>
                <w:tcPr>
                  <w:tcW w:w="2126" w:type="dxa"/>
                  <w:tcBorders>
                    <w:top w:val="single" w:color="auto" w:sz="4" w:space="0"/>
                    <w:left w:val="single" w:color="auto" w:sz="4" w:space="0"/>
                    <w:bottom w:val="single" w:color="auto" w:sz="4" w:space="0"/>
                    <w:right w:val="single" w:color="auto" w:sz="4" w:space="0"/>
                  </w:tcBorders>
                  <w:shd w:val="clear"/>
                  <w:vAlign w:val="center"/>
                </w:tcPr>
                <w:p w14:paraId="456B50F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1</w:t>
                  </w:r>
                </w:p>
              </w:tc>
              <w:tc>
                <w:tcPr>
                  <w:tcW w:w="3107" w:type="dxa"/>
                  <w:tcBorders>
                    <w:top w:val="single" w:color="auto" w:sz="4" w:space="0"/>
                    <w:left w:val="single" w:color="auto" w:sz="4" w:space="0"/>
                    <w:bottom w:val="single" w:color="auto" w:sz="4" w:space="0"/>
                    <w:right w:val="nil"/>
                  </w:tcBorders>
                  <w:shd w:val="clear"/>
                  <w:vAlign w:val="center"/>
                </w:tcPr>
                <w:p w14:paraId="2C772BA2">
                  <w:pPr>
                    <w:keepNext w:val="0"/>
                    <w:keepLines w:val="0"/>
                    <w:widowControl w:val="0"/>
                    <w:suppressLineNumbers w:val="0"/>
                    <w:spacing w:before="0" w:beforeAutospacing="0" w:after="0" w:afterAutospacing="0" w:line="300" w:lineRule="exact"/>
                    <w:ind w:left="0" w:right="0"/>
                    <w:jc w:val="center"/>
                    <w:rPr>
                      <w:bCs/>
                      <w:color w:val="000000"/>
                      <w:szCs w:val="21"/>
                      <w:bdr w:val="none" w:color="auto" w:sz="0" w:space="0"/>
                      <w:lang w:val="en-US"/>
                    </w:rPr>
                  </w:pPr>
                  <w:r>
                    <w:rPr>
                      <w:rFonts w:hint="eastAsia" w:ascii="Calibri" w:hAnsi="Calibri" w:eastAsia="宋体" w:cs="宋体"/>
                      <w:bCs/>
                      <w:color w:val="000000"/>
                      <w:kern w:val="2"/>
                      <w:sz w:val="21"/>
                      <w:szCs w:val="21"/>
                      <w:bdr w:val="none" w:color="auto" w:sz="0" w:space="0"/>
                      <w:lang w:val="en-US" w:eastAsia="zh-CN" w:bidi="ar"/>
                    </w:rPr>
                    <w:t>收卷</w:t>
                  </w:r>
                </w:p>
              </w:tc>
            </w:tr>
            <w:tr w14:paraId="0A336B0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3152" w:type="dxa"/>
                  <w:tcBorders>
                    <w:top w:val="single" w:color="auto" w:sz="4" w:space="0"/>
                    <w:left w:val="nil"/>
                    <w:bottom w:val="single" w:color="auto" w:sz="4" w:space="0"/>
                    <w:right w:val="single" w:color="auto" w:sz="4" w:space="0"/>
                  </w:tcBorders>
                  <w:shd w:val="clear"/>
                  <w:vAlign w:val="center"/>
                </w:tcPr>
                <w:p w14:paraId="0077D6AF">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bdr w:val="none" w:color="auto" w:sz="0" w:space="0"/>
                      <w:lang w:val="en-US"/>
                    </w:rPr>
                  </w:pPr>
                  <w:r>
                    <w:rPr>
                      <w:rFonts w:hint="eastAsia" w:ascii="宋体" w:hAnsi="宋体" w:eastAsia="宋体" w:cs="宋体"/>
                      <w:color w:val="000000"/>
                      <w:kern w:val="2"/>
                      <w:sz w:val="21"/>
                      <w:szCs w:val="21"/>
                      <w:bdr w:val="none" w:color="auto" w:sz="0" w:space="0"/>
                      <w:lang w:val="en-US" w:eastAsia="zh-CN" w:bidi="ar"/>
                    </w:rPr>
                    <w:t>涂胶分切机</w:t>
                  </w:r>
                </w:p>
              </w:tc>
              <w:tc>
                <w:tcPr>
                  <w:tcW w:w="2126" w:type="dxa"/>
                  <w:tcBorders>
                    <w:top w:val="single" w:color="auto" w:sz="4" w:space="0"/>
                    <w:left w:val="single" w:color="auto" w:sz="4" w:space="0"/>
                    <w:bottom w:val="single" w:color="auto" w:sz="4" w:space="0"/>
                    <w:right w:val="single" w:color="auto" w:sz="4" w:space="0"/>
                  </w:tcBorders>
                  <w:shd w:val="clear"/>
                  <w:vAlign w:val="center"/>
                </w:tcPr>
                <w:p w14:paraId="6CE3A96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2</w:t>
                  </w:r>
                </w:p>
              </w:tc>
              <w:tc>
                <w:tcPr>
                  <w:tcW w:w="3107" w:type="dxa"/>
                  <w:tcBorders>
                    <w:top w:val="single" w:color="auto" w:sz="4" w:space="0"/>
                    <w:left w:val="single" w:color="auto" w:sz="4" w:space="0"/>
                    <w:bottom w:val="single" w:color="auto" w:sz="4" w:space="0"/>
                    <w:right w:val="nil"/>
                  </w:tcBorders>
                  <w:shd w:val="clear"/>
                  <w:vAlign w:val="center"/>
                </w:tcPr>
                <w:p w14:paraId="18EA74DD">
                  <w:pPr>
                    <w:keepNext w:val="0"/>
                    <w:keepLines w:val="0"/>
                    <w:widowControl w:val="0"/>
                    <w:suppressLineNumbers w:val="0"/>
                    <w:spacing w:before="0" w:beforeAutospacing="0" w:after="0" w:afterAutospacing="0" w:line="300" w:lineRule="exact"/>
                    <w:ind w:left="0" w:right="0"/>
                    <w:jc w:val="center"/>
                    <w:rPr>
                      <w:bCs/>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硅胶泡棉涂胶</w:t>
                  </w:r>
                </w:p>
              </w:tc>
            </w:tr>
            <w:tr w14:paraId="204C8CB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3152" w:type="dxa"/>
                  <w:tcBorders>
                    <w:top w:val="single" w:color="auto" w:sz="4" w:space="0"/>
                    <w:left w:val="nil"/>
                    <w:bottom w:val="single" w:color="auto" w:sz="4" w:space="0"/>
                    <w:right w:val="single" w:color="auto" w:sz="4" w:space="0"/>
                  </w:tcBorders>
                  <w:shd w:val="clear"/>
                  <w:vAlign w:val="center"/>
                </w:tcPr>
                <w:p w14:paraId="2F097EB5">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bdr w:val="none" w:color="auto" w:sz="0" w:space="0"/>
                      <w:lang w:val="en-US"/>
                    </w:rPr>
                  </w:pPr>
                  <w:r>
                    <w:rPr>
                      <w:rFonts w:hint="eastAsia" w:ascii="宋体" w:hAnsi="宋体" w:eastAsia="宋体" w:cs="宋体"/>
                      <w:color w:val="000000"/>
                      <w:kern w:val="2"/>
                      <w:sz w:val="21"/>
                      <w:szCs w:val="21"/>
                      <w:bdr w:val="none" w:color="auto" w:sz="0" w:space="0"/>
                      <w:lang w:val="en-US" w:eastAsia="zh-CN" w:bidi="ar"/>
                    </w:rPr>
                    <w:t>硅胶贴合机</w:t>
                  </w:r>
                </w:p>
              </w:tc>
              <w:tc>
                <w:tcPr>
                  <w:tcW w:w="2126" w:type="dxa"/>
                  <w:tcBorders>
                    <w:top w:val="single" w:color="auto" w:sz="4" w:space="0"/>
                    <w:left w:val="single" w:color="auto" w:sz="4" w:space="0"/>
                    <w:bottom w:val="single" w:color="auto" w:sz="4" w:space="0"/>
                    <w:right w:val="single" w:color="auto" w:sz="4" w:space="0"/>
                  </w:tcBorders>
                  <w:shd w:val="clear"/>
                  <w:vAlign w:val="center"/>
                </w:tcPr>
                <w:p w14:paraId="6758F1DD">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1</w:t>
                  </w:r>
                </w:p>
              </w:tc>
              <w:tc>
                <w:tcPr>
                  <w:tcW w:w="3107" w:type="dxa"/>
                  <w:tcBorders>
                    <w:top w:val="single" w:color="auto" w:sz="4" w:space="0"/>
                    <w:left w:val="single" w:color="auto" w:sz="4" w:space="0"/>
                    <w:bottom w:val="single" w:color="auto" w:sz="4" w:space="0"/>
                    <w:right w:val="nil"/>
                  </w:tcBorders>
                  <w:shd w:val="clear"/>
                  <w:vAlign w:val="center"/>
                </w:tcPr>
                <w:p w14:paraId="63AA2C9B">
                  <w:pPr>
                    <w:keepNext w:val="0"/>
                    <w:keepLines w:val="0"/>
                    <w:widowControl w:val="0"/>
                    <w:suppressLineNumbers w:val="0"/>
                    <w:spacing w:before="0" w:beforeAutospacing="0" w:after="0" w:afterAutospacing="0" w:line="300" w:lineRule="exact"/>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硅胶泡棉贴合</w:t>
                  </w:r>
                </w:p>
              </w:tc>
            </w:tr>
            <w:tr w14:paraId="0F5DA94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3152" w:type="dxa"/>
                  <w:tcBorders>
                    <w:top w:val="single" w:color="auto" w:sz="4" w:space="0"/>
                    <w:left w:val="nil"/>
                    <w:bottom w:val="single" w:color="auto" w:sz="4" w:space="0"/>
                    <w:right w:val="single" w:color="auto" w:sz="4" w:space="0"/>
                  </w:tcBorders>
                  <w:shd w:val="clear"/>
                  <w:vAlign w:val="center"/>
                </w:tcPr>
                <w:p w14:paraId="64DF2754">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bdr w:val="none" w:color="auto" w:sz="0" w:space="0"/>
                      <w:lang w:val="en-US"/>
                    </w:rPr>
                  </w:pPr>
                  <w:r>
                    <w:rPr>
                      <w:rFonts w:hint="eastAsia" w:ascii="宋体" w:hAnsi="宋体" w:eastAsia="宋体" w:cs="宋体"/>
                      <w:color w:val="000000"/>
                      <w:kern w:val="2"/>
                      <w:sz w:val="21"/>
                      <w:szCs w:val="21"/>
                      <w:bdr w:val="none" w:color="auto" w:sz="0" w:space="0"/>
                      <w:lang w:val="en-US" w:eastAsia="zh-CN" w:bidi="ar"/>
                    </w:rPr>
                    <w:t>高速模切机</w:t>
                  </w:r>
                </w:p>
              </w:tc>
              <w:tc>
                <w:tcPr>
                  <w:tcW w:w="2126" w:type="dxa"/>
                  <w:tcBorders>
                    <w:top w:val="single" w:color="auto" w:sz="4" w:space="0"/>
                    <w:left w:val="single" w:color="auto" w:sz="4" w:space="0"/>
                    <w:bottom w:val="single" w:color="auto" w:sz="4" w:space="0"/>
                    <w:right w:val="single" w:color="auto" w:sz="4" w:space="0"/>
                  </w:tcBorders>
                  <w:shd w:val="clear"/>
                  <w:vAlign w:val="center"/>
                </w:tcPr>
                <w:p w14:paraId="5DA784D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2</w:t>
                  </w:r>
                </w:p>
              </w:tc>
              <w:tc>
                <w:tcPr>
                  <w:tcW w:w="3107" w:type="dxa"/>
                  <w:tcBorders>
                    <w:top w:val="single" w:color="auto" w:sz="4" w:space="0"/>
                    <w:left w:val="single" w:color="auto" w:sz="4" w:space="0"/>
                    <w:bottom w:val="single" w:color="auto" w:sz="4" w:space="0"/>
                    <w:right w:val="nil"/>
                  </w:tcBorders>
                  <w:shd w:val="clear"/>
                  <w:vAlign w:val="center"/>
                </w:tcPr>
                <w:p w14:paraId="0E21C8D1">
                  <w:pPr>
                    <w:keepNext w:val="0"/>
                    <w:keepLines w:val="0"/>
                    <w:widowControl w:val="0"/>
                    <w:suppressLineNumbers w:val="0"/>
                    <w:spacing w:before="0" w:beforeAutospacing="0" w:after="0" w:afterAutospacing="0" w:line="300" w:lineRule="exact"/>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模切</w:t>
                  </w:r>
                </w:p>
              </w:tc>
            </w:tr>
            <w:tr w14:paraId="65BA98F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152" w:type="dxa"/>
                  <w:tcBorders>
                    <w:top w:val="single" w:color="auto" w:sz="4" w:space="0"/>
                    <w:left w:val="nil"/>
                    <w:bottom w:val="single" w:color="auto" w:sz="4" w:space="0"/>
                    <w:right w:val="single" w:color="auto" w:sz="4" w:space="0"/>
                  </w:tcBorders>
                  <w:shd w:val="clear"/>
                  <w:vAlign w:val="center"/>
                </w:tcPr>
                <w:p w14:paraId="1B618627">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bdr w:val="none" w:color="auto" w:sz="0" w:space="0"/>
                      <w:lang w:val="en-US"/>
                    </w:rPr>
                  </w:pPr>
                  <w:r>
                    <w:rPr>
                      <w:rFonts w:hint="eastAsia" w:ascii="宋体" w:hAnsi="宋体" w:eastAsia="宋体" w:cs="宋体"/>
                      <w:color w:val="000000"/>
                      <w:kern w:val="2"/>
                      <w:sz w:val="21"/>
                      <w:szCs w:val="21"/>
                      <w:bdr w:val="none" w:color="auto" w:sz="0" w:space="0"/>
                      <w:lang w:val="en-US" w:eastAsia="zh-CN" w:bidi="ar"/>
                    </w:rPr>
                    <w:t>泡棉贴合机</w:t>
                  </w:r>
                </w:p>
              </w:tc>
              <w:tc>
                <w:tcPr>
                  <w:tcW w:w="2126" w:type="dxa"/>
                  <w:tcBorders>
                    <w:top w:val="single" w:color="auto" w:sz="4" w:space="0"/>
                    <w:left w:val="single" w:color="auto" w:sz="4" w:space="0"/>
                    <w:bottom w:val="single" w:color="auto" w:sz="4" w:space="0"/>
                    <w:right w:val="single" w:color="auto" w:sz="4" w:space="0"/>
                  </w:tcBorders>
                  <w:shd w:val="clear"/>
                  <w:vAlign w:val="center"/>
                </w:tcPr>
                <w:p w14:paraId="267B60E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1</w:t>
                  </w:r>
                </w:p>
              </w:tc>
              <w:tc>
                <w:tcPr>
                  <w:tcW w:w="3107" w:type="dxa"/>
                  <w:tcBorders>
                    <w:top w:val="single" w:color="auto" w:sz="4" w:space="0"/>
                    <w:left w:val="single" w:color="auto" w:sz="4" w:space="0"/>
                    <w:bottom w:val="single" w:color="auto" w:sz="4" w:space="0"/>
                    <w:right w:val="nil"/>
                  </w:tcBorders>
                  <w:shd w:val="clear"/>
                  <w:vAlign w:val="center"/>
                </w:tcPr>
                <w:p w14:paraId="0CD65E76">
                  <w:pPr>
                    <w:keepNext w:val="0"/>
                    <w:keepLines w:val="0"/>
                    <w:widowControl w:val="0"/>
                    <w:suppressLineNumbers w:val="0"/>
                    <w:spacing w:before="0" w:beforeAutospacing="0" w:after="0" w:afterAutospacing="0" w:line="300" w:lineRule="exact"/>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泡棉贴合</w:t>
                  </w:r>
                </w:p>
              </w:tc>
            </w:tr>
            <w:tr w14:paraId="0D8EC71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152" w:type="dxa"/>
                  <w:tcBorders>
                    <w:top w:val="single" w:color="auto" w:sz="4" w:space="0"/>
                    <w:left w:val="nil"/>
                    <w:bottom w:val="single" w:color="auto" w:sz="4" w:space="0"/>
                    <w:right w:val="single" w:color="auto" w:sz="4" w:space="0"/>
                  </w:tcBorders>
                  <w:shd w:val="clear"/>
                  <w:vAlign w:val="center"/>
                </w:tcPr>
                <w:p w14:paraId="4CA14E05">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bdr w:val="none" w:color="auto" w:sz="0" w:space="0"/>
                      <w:lang w:val="en-US"/>
                    </w:rPr>
                  </w:pPr>
                  <w:r>
                    <w:rPr>
                      <w:rFonts w:hint="eastAsia" w:ascii="宋体" w:hAnsi="宋体" w:eastAsia="宋体" w:cs="宋体"/>
                      <w:color w:val="000000"/>
                      <w:kern w:val="2"/>
                      <w:sz w:val="21"/>
                      <w:szCs w:val="21"/>
                      <w:bdr w:val="none" w:color="auto" w:sz="0" w:space="0"/>
                      <w:lang w:val="en-US" w:eastAsia="zh-CN" w:bidi="ar"/>
                    </w:rPr>
                    <w:t>分切机</w:t>
                  </w:r>
                </w:p>
              </w:tc>
              <w:tc>
                <w:tcPr>
                  <w:tcW w:w="2126" w:type="dxa"/>
                  <w:tcBorders>
                    <w:top w:val="single" w:color="auto" w:sz="4" w:space="0"/>
                    <w:left w:val="single" w:color="auto" w:sz="4" w:space="0"/>
                    <w:bottom w:val="single" w:color="auto" w:sz="4" w:space="0"/>
                    <w:right w:val="single" w:color="auto" w:sz="4" w:space="0"/>
                  </w:tcBorders>
                  <w:shd w:val="clear"/>
                  <w:vAlign w:val="center"/>
                </w:tcPr>
                <w:p w14:paraId="4B6782F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2</w:t>
                  </w:r>
                </w:p>
              </w:tc>
              <w:tc>
                <w:tcPr>
                  <w:tcW w:w="3107" w:type="dxa"/>
                  <w:tcBorders>
                    <w:top w:val="single" w:color="auto" w:sz="4" w:space="0"/>
                    <w:left w:val="single" w:color="auto" w:sz="4" w:space="0"/>
                    <w:bottom w:val="single" w:color="auto" w:sz="4" w:space="0"/>
                    <w:right w:val="nil"/>
                  </w:tcBorders>
                  <w:shd w:val="clear"/>
                  <w:vAlign w:val="center"/>
                </w:tcPr>
                <w:p w14:paraId="0EF4B1A4">
                  <w:pPr>
                    <w:keepNext w:val="0"/>
                    <w:keepLines w:val="0"/>
                    <w:widowControl w:val="0"/>
                    <w:suppressLineNumbers w:val="0"/>
                    <w:spacing w:before="0" w:beforeAutospacing="0" w:after="0" w:afterAutospacing="0" w:line="300" w:lineRule="exact"/>
                    <w:ind w:left="0" w:right="0"/>
                    <w:jc w:val="center"/>
                    <w:rPr>
                      <w:bCs/>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材料分切</w:t>
                  </w:r>
                </w:p>
              </w:tc>
            </w:tr>
            <w:tr w14:paraId="74F029B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152" w:type="dxa"/>
                  <w:tcBorders>
                    <w:top w:val="single" w:color="auto" w:sz="4" w:space="0"/>
                    <w:left w:val="nil"/>
                    <w:bottom w:val="single" w:color="auto" w:sz="4" w:space="0"/>
                    <w:right w:val="single" w:color="auto" w:sz="4" w:space="0"/>
                  </w:tcBorders>
                  <w:shd w:val="clear"/>
                  <w:vAlign w:val="center"/>
                </w:tcPr>
                <w:p w14:paraId="546B6FE3">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bdr w:val="none" w:color="auto" w:sz="0" w:space="0"/>
                      <w:lang w:val="en-US"/>
                    </w:rPr>
                  </w:pPr>
                  <w:r>
                    <w:rPr>
                      <w:rFonts w:hint="eastAsia" w:ascii="宋体" w:hAnsi="宋体" w:eastAsia="宋体" w:cs="宋体"/>
                      <w:color w:val="000000"/>
                      <w:kern w:val="2"/>
                      <w:sz w:val="21"/>
                      <w:szCs w:val="21"/>
                      <w:bdr w:val="none" w:color="auto" w:sz="0" w:space="0"/>
                      <w:lang w:val="en-US" w:eastAsia="zh-CN" w:bidi="ar"/>
                    </w:rPr>
                    <w:t>压痕机</w:t>
                  </w:r>
                </w:p>
              </w:tc>
              <w:tc>
                <w:tcPr>
                  <w:tcW w:w="2126" w:type="dxa"/>
                  <w:tcBorders>
                    <w:top w:val="single" w:color="auto" w:sz="4" w:space="0"/>
                    <w:left w:val="single" w:color="auto" w:sz="4" w:space="0"/>
                    <w:bottom w:val="single" w:color="auto" w:sz="4" w:space="0"/>
                    <w:right w:val="single" w:color="auto" w:sz="4" w:space="0"/>
                  </w:tcBorders>
                  <w:shd w:val="clear"/>
                  <w:vAlign w:val="center"/>
                </w:tcPr>
                <w:p w14:paraId="5B714C5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1</w:t>
                  </w:r>
                </w:p>
              </w:tc>
              <w:tc>
                <w:tcPr>
                  <w:tcW w:w="3107" w:type="dxa"/>
                  <w:tcBorders>
                    <w:top w:val="single" w:color="auto" w:sz="4" w:space="0"/>
                    <w:left w:val="single" w:color="auto" w:sz="4" w:space="0"/>
                    <w:bottom w:val="single" w:color="auto" w:sz="4" w:space="0"/>
                    <w:right w:val="nil"/>
                  </w:tcBorders>
                  <w:shd w:val="clear"/>
                  <w:vAlign w:val="center"/>
                </w:tcPr>
                <w:p w14:paraId="5DDF066C">
                  <w:pPr>
                    <w:keepNext w:val="0"/>
                    <w:keepLines w:val="0"/>
                    <w:widowControl w:val="0"/>
                    <w:suppressLineNumbers w:val="0"/>
                    <w:spacing w:before="0" w:beforeAutospacing="0" w:after="0" w:afterAutospacing="0" w:line="300" w:lineRule="exact"/>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模切</w:t>
                  </w:r>
                </w:p>
              </w:tc>
            </w:tr>
            <w:tr w14:paraId="397DDCC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152" w:type="dxa"/>
                  <w:tcBorders>
                    <w:top w:val="single" w:color="auto" w:sz="4" w:space="0"/>
                    <w:left w:val="nil"/>
                    <w:bottom w:val="single" w:color="auto" w:sz="4" w:space="0"/>
                    <w:right w:val="single" w:color="auto" w:sz="4" w:space="0"/>
                  </w:tcBorders>
                  <w:shd w:val="clear"/>
                  <w:vAlign w:val="center"/>
                </w:tcPr>
                <w:p w14:paraId="166ACE50">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bdr w:val="none" w:color="auto" w:sz="0" w:space="0"/>
                      <w:lang w:val="en-US"/>
                    </w:rPr>
                  </w:pPr>
                  <w:r>
                    <w:rPr>
                      <w:rFonts w:hint="eastAsia" w:ascii="宋体" w:hAnsi="宋体" w:eastAsia="宋体" w:cs="宋体"/>
                      <w:color w:val="000000"/>
                      <w:kern w:val="2"/>
                      <w:sz w:val="21"/>
                      <w:szCs w:val="21"/>
                      <w:bdr w:val="none" w:color="auto" w:sz="0" w:space="0"/>
                      <w:lang w:val="en-US" w:eastAsia="zh-CN" w:bidi="ar"/>
                    </w:rPr>
                    <w:t>压痕机</w:t>
                  </w:r>
                </w:p>
              </w:tc>
              <w:tc>
                <w:tcPr>
                  <w:tcW w:w="2126" w:type="dxa"/>
                  <w:tcBorders>
                    <w:top w:val="single" w:color="auto" w:sz="4" w:space="0"/>
                    <w:left w:val="single" w:color="auto" w:sz="4" w:space="0"/>
                    <w:bottom w:val="single" w:color="auto" w:sz="4" w:space="0"/>
                    <w:right w:val="single" w:color="auto" w:sz="4" w:space="0"/>
                  </w:tcBorders>
                  <w:shd w:val="clear"/>
                  <w:vAlign w:val="center"/>
                </w:tcPr>
                <w:p w14:paraId="3B6AD5C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1</w:t>
                  </w:r>
                </w:p>
              </w:tc>
              <w:tc>
                <w:tcPr>
                  <w:tcW w:w="3107" w:type="dxa"/>
                  <w:tcBorders>
                    <w:top w:val="single" w:color="auto" w:sz="4" w:space="0"/>
                    <w:left w:val="single" w:color="auto" w:sz="4" w:space="0"/>
                    <w:bottom w:val="single" w:color="auto" w:sz="4" w:space="0"/>
                    <w:right w:val="nil"/>
                  </w:tcBorders>
                  <w:shd w:val="clear"/>
                  <w:vAlign w:val="center"/>
                </w:tcPr>
                <w:p w14:paraId="225CBFF8">
                  <w:pPr>
                    <w:keepNext w:val="0"/>
                    <w:keepLines w:val="0"/>
                    <w:widowControl w:val="0"/>
                    <w:suppressLineNumbers w:val="0"/>
                    <w:spacing w:before="0" w:beforeAutospacing="0" w:after="0" w:afterAutospacing="0" w:line="300" w:lineRule="exact"/>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模切</w:t>
                  </w:r>
                </w:p>
              </w:tc>
            </w:tr>
            <w:tr w14:paraId="7C5BBCE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152" w:type="dxa"/>
                  <w:tcBorders>
                    <w:top w:val="single" w:color="auto" w:sz="4" w:space="0"/>
                    <w:left w:val="nil"/>
                    <w:bottom w:val="single" w:color="auto" w:sz="4" w:space="0"/>
                    <w:right w:val="single" w:color="auto" w:sz="4" w:space="0"/>
                  </w:tcBorders>
                  <w:shd w:val="clear"/>
                  <w:vAlign w:val="center"/>
                </w:tcPr>
                <w:p w14:paraId="034A5037">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bdr w:val="none" w:color="auto" w:sz="0" w:space="0"/>
                      <w:lang w:val="en-US"/>
                    </w:rPr>
                  </w:pPr>
                  <w:r>
                    <w:rPr>
                      <w:rFonts w:hint="eastAsia" w:ascii="宋体" w:hAnsi="宋体" w:eastAsia="宋体" w:cs="宋体"/>
                      <w:color w:val="000000"/>
                      <w:kern w:val="2"/>
                      <w:sz w:val="21"/>
                      <w:szCs w:val="21"/>
                      <w:bdr w:val="none" w:color="auto" w:sz="0" w:space="0"/>
                      <w:lang w:val="en-US" w:eastAsia="zh-CN" w:bidi="ar"/>
                    </w:rPr>
                    <w:t>四柱全断机</w:t>
                  </w:r>
                </w:p>
              </w:tc>
              <w:tc>
                <w:tcPr>
                  <w:tcW w:w="2126" w:type="dxa"/>
                  <w:tcBorders>
                    <w:top w:val="single" w:color="auto" w:sz="4" w:space="0"/>
                    <w:left w:val="single" w:color="auto" w:sz="4" w:space="0"/>
                    <w:bottom w:val="single" w:color="auto" w:sz="4" w:space="0"/>
                    <w:right w:val="single" w:color="auto" w:sz="4" w:space="0"/>
                  </w:tcBorders>
                  <w:shd w:val="clear"/>
                  <w:vAlign w:val="center"/>
                </w:tcPr>
                <w:p w14:paraId="7459447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3</w:t>
                  </w:r>
                </w:p>
              </w:tc>
              <w:tc>
                <w:tcPr>
                  <w:tcW w:w="3107" w:type="dxa"/>
                  <w:tcBorders>
                    <w:top w:val="single" w:color="auto" w:sz="4" w:space="0"/>
                    <w:left w:val="single" w:color="auto" w:sz="4" w:space="0"/>
                    <w:bottom w:val="single" w:color="auto" w:sz="4" w:space="0"/>
                    <w:right w:val="nil"/>
                  </w:tcBorders>
                  <w:shd w:val="clear"/>
                  <w:vAlign w:val="center"/>
                </w:tcPr>
                <w:p w14:paraId="5878A2C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泡棉</w:t>
                  </w:r>
                  <w:r>
                    <w:rPr>
                      <w:rFonts w:hint="default" w:ascii="Times New Roman" w:hAnsi="Times New Roman" w:eastAsia="宋体" w:cs="Times New Roman"/>
                      <w:color w:val="000000"/>
                      <w:kern w:val="2"/>
                      <w:sz w:val="21"/>
                      <w:szCs w:val="21"/>
                      <w:bdr w:val="none" w:color="auto" w:sz="0" w:space="0"/>
                      <w:lang w:val="en-US" w:eastAsia="zh-CN" w:bidi="ar"/>
                    </w:rPr>
                    <w:t>/</w:t>
                  </w:r>
                  <w:r>
                    <w:rPr>
                      <w:rFonts w:hint="eastAsia" w:ascii="Times New Roman" w:hAnsi="Calibri" w:eastAsia="宋体" w:cs="宋体"/>
                      <w:color w:val="000000"/>
                      <w:kern w:val="2"/>
                      <w:sz w:val="21"/>
                      <w:szCs w:val="21"/>
                      <w:bdr w:val="none" w:color="auto" w:sz="0" w:space="0"/>
                      <w:lang w:val="en-US" w:eastAsia="zh-CN" w:bidi="ar"/>
                    </w:rPr>
                    <w:t>云母板分切、模压</w:t>
                  </w:r>
                </w:p>
              </w:tc>
            </w:tr>
            <w:tr w14:paraId="304DFE3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152" w:type="dxa"/>
                  <w:tcBorders>
                    <w:top w:val="single" w:color="auto" w:sz="4" w:space="0"/>
                    <w:left w:val="nil"/>
                    <w:bottom w:val="single" w:color="auto" w:sz="4" w:space="0"/>
                    <w:right w:val="single" w:color="auto" w:sz="4" w:space="0"/>
                  </w:tcBorders>
                  <w:shd w:val="clear"/>
                  <w:vAlign w:val="center"/>
                </w:tcPr>
                <w:p w14:paraId="52CE2DE9">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bdr w:val="none" w:color="auto" w:sz="0" w:space="0"/>
                      <w:lang w:val="en-US"/>
                    </w:rPr>
                  </w:pPr>
                  <w:r>
                    <w:rPr>
                      <w:rFonts w:hint="eastAsia" w:ascii="宋体" w:hAnsi="宋体" w:eastAsia="宋体" w:cs="宋体"/>
                      <w:color w:val="000000"/>
                      <w:kern w:val="2"/>
                      <w:sz w:val="21"/>
                      <w:szCs w:val="21"/>
                      <w:bdr w:val="none" w:color="auto" w:sz="0" w:space="0"/>
                      <w:lang w:val="en-US" w:eastAsia="zh-CN" w:bidi="ar"/>
                    </w:rPr>
                    <w:t>自动四柱全断机</w:t>
                  </w:r>
                </w:p>
              </w:tc>
              <w:tc>
                <w:tcPr>
                  <w:tcW w:w="2126" w:type="dxa"/>
                  <w:tcBorders>
                    <w:top w:val="single" w:color="auto" w:sz="4" w:space="0"/>
                    <w:left w:val="single" w:color="auto" w:sz="4" w:space="0"/>
                    <w:bottom w:val="single" w:color="auto" w:sz="4" w:space="0"/>
                    <w:right w:val="single" w:color="auto" w:sz="4" w:space="0"/>
                  </w:tcBorders>
                  <w:shd w:val="clear"/>
                  <w:vAlign w:val="center"/>
                </w:tcPr>
                <w:p w14:paraId="59FD2335">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1</w:t>
                  </w:r>
                </w:p>
              </w:tc>
              <w:tc>
                <w:tcPr>
                  <w:tcW w:w="3107" w:type="dxa"/>
                  <w:tcBorders>
                    <w:top w:val="single" w:color="auto" w:sz="4" w:space="0"/>
                    <w:left w:val="single" w:color="auto" w:sz="4" w:space="0"/>
                    <w:bottom w:val="single" w:color="auto" w:sz="4" w:space="0"/>
                    <w:right w:val="nil"/>
                  </w:tcBorders>
                  <w:shd w:val="clear"/>
                  <w:vAlign w:val="center"/>
                </w:tcPr>
                <w:p w14:paraId="4D800C5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泡棉</w:t>
                  </w:r>
                  <w:r>
                    <w:rPr>
                      <w:rFonts w:hint="default" w:ascii="Times New Roman" w:hAnsi="Times New Roman" w:eastAsia="宋体" w:cs="Times New Roman"/>
                      <w:color w:val="000000"/>
                      <w:kern w:val="2"/>
                      <w:sz w:val="21"/>
                      <w:szCs w:val="21"/>
                      <w:bdr w:val="none" w:color="auto" w:sz="0" w:space="0"/>
                      <w:lang w:val="en-US" w:eastAsia="zh-CN" w:bidi="ar"/>
                    </w:rPr>
                    <w:t>/</w:t>
                  </w:r>
                  <w:r>
                    <w:rPr>
                      <w:rFonts w:hint="eastAsia" w:ascii="Times New Roman" w:hAnsi="Calibri" w:eastAsia="宋体" w:cs="宋体"/>
                      <w:color w:val="000000"/>
                      <w:kern w:val="2"/>
                      <w:sz w:val="21"/>
                      <w:szCs w:val="21"/>
                      <w:bdr w:val="none" w:color="auto" w:sz="0" w:space="0"/>
                      <w:lang w:val="en-US" w:eastAsia="zh-CN" w:bidi="ar"/>
                    </w:rPr>
                    <w:t>云母板分切、模压</w:t>
                  </w:r>
                </w:p>
              </w:tc>
            </w:tr>
            <w:tr w14:paraId="7F0F935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152" w:type="dxa"/>
                  <w:tcBorders>
                    <w:top w:val="single" w:color="auto" w:sz="4" w:space="0"/>
                    <w:left w:val="nil"/>
                    <w:bottom w:val="single" w:color="auto" w:sz="4" w:space="0"/>
                    <w:right w:val="single" w:color="auto" w:sz="4" w:space="0"/>
                  </w:tcBorders>
                  <w:shd w:val="clear"/>
                  <w:vAlign w:val="center"/>
                </w:tcPr>
                <w:p w14:paraId="6B6A7329">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bdr w:val="none" w:color="auto" w:sz="0" w:space="0"/>
                      <w:lang w:val="en-US"/>
                    </w:rPr>
                  </w:pPr>
                  <w:r>
                    <w:rPr>
                      <w:rFonts w:hint="eastAsia" w:ascii="宋体" w:hAnsi="宋体" w:eastAsia="宋体" w:cs="宋体"/>
                      <w:color w:val="000000"/>
                      <w:kern w:val="2"/>
                      <w:sz w:val="21"/>
                      <w:szCs w:val="21"/>
                      <w:bdr w:val="none" w:color="auto" w:sz="0" w:space="0"/>
                      <w:lang w:val="en-US" w:eastAsia="zh-CN" w:bidi="ar"/>
                    </w:rPr>
                    <w:t>无油螺杆式变频空压机</w:t>
                  </w:r>
                </w:p>
              </w:tc>
              <w:tc>
                <w:tcPr>
                  <w:tcW w:w="2126" w:type="dxa"/>
                  <w:tcBorders>
                    <w:top w:val="single" w:color="auto" w:sz="4" w:space="0"/>
                    <w:left w:val="single" w:color="auto" w:sz="4" w:space="0"/>
                    <w:bottom w:val="single" w:color="auto" w:sz="4" w:space="0"/>
                    <w:right w:val="single" w:color="auto" w:sz="4" w:space="0"/>
                  </w:tcBorders>
                  <w:shd w:val="clear"/>
                  <w:vAlign w:val="center"/>
                </w:tcPr>
                <w:p w14:paraId="3F1108F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1</w:t>
                  </w:r>
                </w:p>
              </w:tc>
              <w:tc>
                <w:tcPr>
                  <w:tcW w:w="3107" w:type="dxa"/>
                  <w:tcBorders>
                    <w:top w:val="single" w:color="auto" w:sz="4" w:space="0"/>
                    <w:left w:val="single" w:color="auto" w:sz="4" w:space="0"/>
                    <w:bottom w:val="single" w:color="auto" w:sz="4" w:space="0"/>
                    <w:right w:val="nil"/>
                  </w:tcBorders>
                  <w:shd w:val="clear"/>
                  <w:vAlign w:val="center"/>
                </w:tcPr>
                <w:p w14:paraId="55452BF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w:t>
                  </w:r>
                </w:p>
              </w:tc>
            </w:tr>
            <w:tr w14:paraId="5005527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152" w:type="dxa"/>
                  <w:tcBorders>
                    <w:top w:val="single" w:color="auto" w:sz="4" w:space="0"/>
                    <w:left w:val="nil"/>
                    <w:bottom w:val="single" w:color="auto" w:sz="4" w:space="0"/>
                    <w:right w:val="single" w:color="auto" w:sz="4" w:space="0"/>
                  </w:tcBorders>
                  <w:shd w:val="clear"/>
                  <w:vAlign w:val="center"/>
                </w:tcPr>
                <w:p w14:paraId="7512A0C4">
                  <w:pPr>
                    <w:keepNext w:val="0"/>
                    <w:keepLines w:val="0"/>
                    <w:widowControl w:val="0"/>
                    <w:suppressLineNumbers w:val="0"/>
                    <w:spacing w:before="0" w:beforeAutospacing="0" w:after="0" w:afterAutospacing="0" w:line="300" w:lineRule="exact"/>
                    <w:ind w:left="0" w:right="0"/>
                    <w:jc w:val="center"/>
                    <w:rPr>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CO</w:t>
                  </w:r>
                  <w:r>
                    <w:rPr>
                      <w:rFonts w:hint="default" w:ascii="Times New Roman" w:hAnsi="Times New Roman" w:eastAsia="宋体" w:cs="Times New Roman"/>
                      <w:color w:val="000000"/>
                      <w:kern w:val="2"/>
                      <w:sz w:val="21"/>
                      <w:szCs w:val="21"/>
                      <w:bdr w:val="none" w:color="auto" w:sz="0" w:space="0"/>
                      <w:vertAlign w:val="subscript"/>
                      <w:lang w:val="en-US" w:eastAsia="zh-CN" w:bidi="ar"/>
                    </w:rPr>
                    <w:t>2</w:t>
                  </w:r>
                  <w:r>
                    <w:rPr>
                      <w:rFonts w:hint="eastAsia" w:ascii="Calibri" w:hAnsi="宋体" w:eastAsia="宋体" w:cs="宋体"/>
                      <w:color w:val="000000"/>
                      <w:kern w:val="2"/>
                      <w:sz w:val="21"/>
                      <w:szCs w:val="21"/>
                      <w:bdr w:val="none" w:color="auto" w:sz="0" w:space="0"/>
                      <w:lang w:val="en-US" w:eastAsia="zh-CN" w:bidi="ar"/>
                    </w:rPr>
                    <w:t>激光切割机</w:t>
                  </w:r>
                </w:p>
              </w:tc>
              <w:tc>
                <w:tcPr>
                  <w:tcW w:w="2126" w:type="dxa"/>
                  <w:tcBorders>
                    <w:top w:val="single" w:color="auto" w:sz="4" w:space="0"/>
                    <w:left w:val="single" w:color="auto" w:sz="4" w:space="0"/>
                    <w:bottom w:val="single" w:color="auto" w:sz="4" w:space="0"/>
                    <w:right w:val="single" w:color="auto" w:sz="4" w:space="0"/>
                  </w:tcBorders>
                  <w:shd w:val="clear"/>
                  <w:vAlign w:val="center"/>
                </w:tcPr>
                <w:p w14:paraId="2624ECF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2</w:t>
                  </w:r>
                </w:p>
              </w:tc>
              <w:tc>
                <w:tcPr>
                  <w:tcW w:w="3107" w:type="dxa"/>
                  <w:tcBorders>
                    <w:top w:val="single" w:color="auto" w:sz="4" w:space="0"/>
                    <w:left w:val="single" w:color="auto" w:sz="4" w:space="0"/>
                    <w:bottom w:val="single" w:color="auto" w:sz="4" w:space="0"/>
                    <w:right w:val="nil"/>
                  </w:tcBorders>
                  <w:shd w:val="clear"/>
                  <w:vAlign w:val="center"/>
                </w:tcPr>
                <w:p w14:paraId="74E53C3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激光切割网格棉</w:t>
                  </w:r>
                </w:p>
              </w:tc>
            </w:tr>
            <w:tr w14:paraId="7981660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152" w:type="dxa"/>
                  <w:tcBorders>
                    <w:top w:val="single" w:color="auto" w:sz="4" w:space="0"/>
                    <w:left w:val="nil"/>
                    <w:bottom w:val="single" w:color="auto" w:sz="4" w:space="0"/>
                    <w:right w:val="single" w:color="auto" w:sz="4" w:space="0"/>
                  </w:tcBorders>
                  <w:shd w:val="clear"/>
                  <w:vAlign w:val="center"/>
                </w:tcPr>
                <w:p w14:paraId="28828809">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bdr w:val="none" w:color="auto" w:sz="0" w:space="0"/>
                      <w:lang w:val="en-US"/>
                    </w:rPr>
                  </w:pPr>
                  <w:r>
                    <w:rPr>
                      <w:rFonts w:hint="eastAsia" w:ascii="宋体" w:hAnsi="宋体" w:eastAsia="宋体" w:cs="宋体"/>
                      <w:color w:val="000000"/>
                      <w:kern w:val="2"/>
                      <w:sz w:val="21"/>
                      <w:szCs w:val="21"/>
                      <w:bdr w:val="none" w:color="auto" w:sz="0" w:space="0"/>
                      <w:lang w:val="en-US" w:eastAsia="zh-CN" w:bidi="ar"/>
                    </w:rPr>
                    <w:t>雕刻机</w:t>
                  </w:r>
                </w:p>
              </w:tc>
              <w:tc>
                <w:tcPr>
                  <w:tcW w:w="2126" w:type="dxa"/>
                  <w:tcBorders>
                    <w:top w:val="single" w:color="auto" w:sz="4" w:space="0"/>
                    <w:left w:val="single" w:color="auto" w:sz="4" w:space="0"/>
                    <w:bottom w:val="single" w:color="auto" w:sz="4" w:space="0"/>
                    <w:right w:val="single" w:color="auto" w:sz="4" w:space="0"/>
                  </w:tcBorders>
                  <w:shd w:val="clear"/>
                  <w:vAlign w:val="center"/>
                </w:tcPr>
                <w:p w14:paraId="3C05C0F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1</w:t>
                  </w:r>
                </w:p>
              </w:tc>
              <w:tc>
                <w:tcPr>
                  <w:tcW w:w="3107" w:type="dxa"/>
                  <w:tcBorders>
                    <w:top w:val="single" w:color="auto" w:sz="4" w:space="0"/>
                    <w:left w:val="single" w:color="auto" w:sz="4" w:space="0"/>
                    <w:bottom w:val="single" w:color="auto" w:sz="4" w:space="0"/>
                    <w:right w:val="nil"/>
                  </w:tcBorders>
                  <w:shd w:val="clear"/>
                  <w:vAlign w:val="center"/>
                </w:tcPr>
                <w:p w14:paraId="503240E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云母板雕刻</w:t>
                  </w:r>
                </w:p>
              </w:tc>
            </w:tr>
            <w:tr w14:paraId="70EB78A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152" w:type="dxa"/>
                  <w:tcBorders>
                    <w:top w:val="single" w:color="auto" w:sz="4" w:space="0"/>
                    <w:left w:val="nil"/>
                    <w:bottom w:val="single" w:color="auto" w:sz="4" w:space="0"/>
                    <w:right w:val="single" w:color="auto" w:sz="4" w:space="0"/>
                  </w:tcBorders>
                  <w:shd w:val="clear"/>
                  <w:vAlign w:val="center"/>
                </w:tcPr>
                <w:p w14:paraId="1AFA3F1B">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bdr w:val="none" w:color="auto" w:sz="0" w:space="0"/>
                      <w:lang w:val="en-US"/>
                    </w:rPr>
                  </w:pPr>
                  <w:r>
                    <w:rPr>
                      <w:rFonts w:hint="eastAsia" w:ascii="宋体" w:hAnsi="宋体" w:eastAsia="宋体" w:cs="宋体"/>
                      <w:color w:val="000000"/>
                      <w:kern w:val="2"/>
                      <w:sz w:val="21"/>
                      <w:szCs w:val="21"/>
                      <w:bdr w:val="none" w:color="auto" w:sz="0" w:space="0"/>
                      <w:lang w:val="en-US" w:eastAsia="zh-CN" w:bidi="ar"/>
                    </w:rPr>
                    <w:t>打磨机</w:t>
                  </w:r>
                </w:p>
              </w:tc>
              <w:tc>
                <w:tcPr>
                  <w:tcW w:w="2126" w:type="dxa"/>
                  <w:tcBorders>
                    <w:top w:val="single" w:color="auto" w:sz="4" w:space="0"/>
                    <w:left w:val="single" w:color="auto" w:sz="4" w:space="0"/>
                    <w:bottom w:val="single" w:color="auto" w:sz="4" w:space="0"/>
                    <w:right w:val="single" w:color="auto" w:sz="4" w:space="0"/>
                  </w:tcBorders>
                  <w:shd w:val="clear"/>
                  <w:vAlign w:val="center"/>
                </w:tcPr>
                <w:p w14:paraId="30AF680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1</w:t>
                  </w:r>
                </w:p>
              </w:tc>
              <w:tc>
                <w:tcPr>
                  <w:tcW w:w="3107" w:type="dxa"/>
                  <w:tcBorders>
                    <w:top w:val="single" w:color="auto" w:sz="4" w:space="0"/>
                    <w:left w:val="single" w:color="auto" w:sz="4" w:space="0"/>
                    <w:bottom w:val="single" w:color="auto" w:sz="4" w:space="0"/>
                    <w:right w:val="nil"/>
                  </w:tcBorders>
                  <w:shd w:val="clear"/>
                  <w:vAlign w:val="center"/>
                </w:tcPr>
                <w:p w14:paraId="21C152A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云母板打磨</w:t>
                  </w:r>
                </w:p>
              </w:tc>
            </w:tr>
            <w:tr w14:paraId="1D24C6A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3152" w:type="dxa"/>
                  <w:tcBorders>
                    <w:top w:val="single" w:color="auto" w:sz="4" w:space="0"/>
                    <w:left w:val="nil"/>
                    <w:bottom w:val="single" w:color="auto" w:sz="4" w:space="0"/>
                    <w:right w:val="single" w:color="auto" w:sz="4" w:space="0"/>
                  </w:tcBorders>
                  <w:shd w:val="clear"/>
                  <w:vAlign w:val="center"/>
                </w:tcPr>
                <w:p w14:paraId="7BF4BF37">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bdr w:val="none" w:color="auto" w:sz="0" w:space="0"/>
                      <w:lang w:val="en-US"/>
                    </w:rPr>
                  </w:pPr>
                  <w:r>
                    <w:rPr>
                      <w:rFonts w:hint="eastAsia" w:ascii="宋体" w:hAnsi="宋体" w:eastAsia="宋体" w:cs="宋体"/>
                      <w:color w:val="000000"/>
                      <w:kern w:val="2"/>
                      <w:sz w:val="21"/>
                      <w:szCs w:val="21"/>
                      <w:bdr w:val="none" w:color="auto" w:sz="0" w:space="0"/>
                      <w:lang w:val="en-US" w:eastAsia="zh-CN" w:bidi="ar"/>
                    </w:rPr>
                    <w:t>圆刀机</w:t>
                  </w:r>
                </w:p>
              </w:tc>
              <w:tc>
                <w:tcPr>
                  <w:tcW w:w="2126" w:type="dxa"/>
                  <w:tcBorders>
                    <w:top w:val="single" w:color="auto" w:sz="4" w:space="0"/>
                    <w:left w:val="single" w:color="auto" w:sz="4" w:space="0"/>
                    <w:bottom w:val="single" w:color="auto" w:sz="4" w:space="0"/>
                    <w:right w:val="single" w:color="auto" w:sz="4" w:space="0"/>
                  </w:tcBorders>
                  <w:shd w:val="clear"/>
                  <w:vAlign w:val="center"/>
                </w:tcPr>
                <w:p w14:paraId="14B3A3C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1</w:t>
                  </w:r>
                </w:p>
              </w:tc>
              <w:tc>
                <w:tcPr>
                  <w:tcW w:w="3107" w:type="dxa"/>
                  <w:tcBorders>
                    <w:top w:val="single" w:color="auto" w:sz="4" w:space="0"/>
                    <w:left w:val="single" w:color="auto" w:sz="4" w:space="0"/>
                    <w:bottom w:val="single" w:color="auto" w:sz="4" w:space="0"/>
                    <w:right w:val="nil"/>
                  </w:tcBorders>
                  <w:shd w:val="clear"/>
                  <w:vAlign w:val="center"/>
                </w:tcPr>
                <w:p w14:paraId="2984B235">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胶带、泡棉等材料分切</w:t>
                  </w:r>
                </w:p>
              </w:tc>
            </w:tr>
            <w:tr w14:paraId="354BADB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152" w:type="dxa"/>
                  <w:tcBorders>
                    <w:top w:val="single" w:color="auto" w:sz="4" w:space="0"/>
                    <w:left w:val="nil"/>
                    <w:bottom w:val="single" w:color="auto" w:sz="4" w:space="0"/>
                    <w:right w:val="single" w:color="auto" w:sz="4" w:space="0"/>
                  </w:tcBorders>
                  <w:shd w:val="clear"/>
                  <w:vAlign w:val="center"/>
                </w:tcPr>
                <w:p w14:paraId="4BC9B8C7">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bdr w:val="none" w:color="auto" w:sz="0" w:space="0"/>
                      <w:lang w:val="en-US"/>
                    </w:rPr>
                  </w:pPr>
                  <w:r>
                    <w:rPr>
                      <w:rFonts w:hint="eastAsia" w:ascii="宋体" w:hAnsi="宋体" w:eastAsia="宋体" w:cs="宋体"/>
                      <w:color w:val="000000"/>
                      <w:kern w:val="2"/>
                      <w:sz w:val="21"/>
                      <w:szCs w:val="21"/>
                      <w:bdr w:val="none" w:color="auto" w:sz="0" w:space="0"/>
                      <w:lang w:val="en-US" w:eastAsia="zh-CN" w:bidi="ar"/>
                    </w:rPr>
                    <w:t>分条机</w:t>
                  </w:r>
                </w:p>
              </w:tc>
              <w:tc>
                <w:tcPr>
                  <w:tcW w:w="2126" w:type="dxa"/>
                  <w:tcBorders>
                    <w:top w:val="single" w:color="auto" w:sz="4" w:space="0"/>
                    <w:left w:val="single" w:color="auto" w:sz="4" w:space="0"/>
                    <w:bottom w:val="single" w:color="auto" w:sz="4" w:space="0"/>
                    <w:right w:val="single" w:color="auto" w:sz="4" w:space="0"/>
                  </w:tcBorders>
                  <w:shd w:val="clear"/>
                  <w:vAlign w:val="center"/>
                </w:tcPr>
                <w:p w14:paraId="2E353725">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1</w:t>
                  </w:r>
                </w:p>
              </w:tc>
              <w:tc>
                <w:tcPr>
                  <w:tcW w:w="3107" w:type="dxa"/>
                  <w:tcBorders>
                    <w:top w:val="single" w:color="auto" w:sz="4" w:space="0"/>
                    <w:left w:val="single" w:color="auto" w:sz="4" w:space="0"/>
                    <w:bottom w:val="single" w:color="auto" w:sz="4" w:space="0"/>
                    <w:right w:val="nil"/>
                  </w:tcBorders>
                  <w:shd w:val="clear"/>
                  <w:vAlign w:val="center"/>
                </w:tcPr>
                <w:p w14:paraId="23988F8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胶带、泡棉等材料分条</w:t>
                  </w:r>
                </w:p>
              </w:tc>
            </w:tr>
            <w:tr w14:paraId="5ADA2AE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152" w:type="dxa"/>
                  <w:tcBorders>
                    <w:top w:val="single" w:color="auto" w:sz="4" w:space="0"/>
                    <w:left w:val="nil"/>
                    <w:bottom w:val="single" w:color="auto" w:sz="12" w:space="0"/>
                    <w:right w:val="single" w:color="auto" w:sz="4" w:space="0"/>
                  </w:tcBorders>
                  <w:shd w:val="clear"/>
                  <w:vAlign w:val="center"/>
                </w:tcPr>
                <w:p w14:paraId="09117DE0">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bdr w:val="none" w:color="auto" w:sz="0" w:space="0"/>
                      <w:lang w:val="en-US"/>
                    </w:rPr>
                  </w:pPr>
                  <w:r>
                    <w:rPr>
                      <w:rFonts w:hint="eastAsia" w:ascii="宋体" w:hAnsi="宋体" w:eastAsia="宋体" w:cs="宋体"/>
                      <w:color w:val="000000"/>
                      <w:kern w:val="2"/>
                      <w:sz w:val="21"/>
                      <w:szCs w:val="21"/>
                      <w:bdr w:val="none" w:color="auto" w:sz="0" w:space="0"/>
                      <w:lang w:val="en-US" w:eastAsia="zh-CN" w:bidi="ar"/>
                    </w:rPr>
                    <w:t>粘接机</w:t>
                  </w:r>
                </w:p>
              </w:tc>
              <w:tc>
                <w:tcPr>
                  <w:tcW w:w="2126" w:type="dxa"/>
                  <w:tcBorders>
                    <w:top w:val="single" w:color="auto" w:sz="4" w:space="0"/>
                    <w:left w:val="single" w:color="auto" w:sz="4" w:space="0"/>
                    <w:bottom w:val="single" w:color="auto" w:sz="12" w:space="0"/>
                    <w:right w:val="single" w:color="auto" w:sz="4" w:space="0"/>
                  </w:tcBorders>
                  <w:shd w:val="clear"/>
                  <w:vAlign w:val="center"/>
                </w:tcPr>
                <w:p w14:paraId="3FDAB17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30</w:t>
                  </w:r>
                </w:p>
              </w:tc>
              <w:tc>
                <w:tcPr>
                  <w:tcW w:w="3107" w:type="dxa"/>
                  <w:tcBorders>
                    <w:top w:val="single" w:color="auto" w:sz="4" w:space="0"/>
                    <w:left w:val="single" w:color="auto" w:sz="4" w:space="0"/>
                    <w:bottom w:val="single" w:color="auto" w:sz="12" w:space="0"/>
                    <w:right w:val="nil"/>
                  </w:tcBorders>
                  <w:shd w:val="clear"/>
                  <w:vAlign w:val="center"/>
                </w:tcPr>
                <w:p w14:paraId="62614E7E">
                  <w:pPr>
                    <w:keepNext w:val="0"/>
                    <w:keepLines w:val="0"/>
                    <w:widowControl w:val="0"/>
                    <w:suppressLineNumbers w:val="0"/>
                    <w:spacing w:before="0" w:beforeAutospacing="0" w:after="0" w:afterAutospacing="0" w:line="300" w:lineRule="exact"/>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硅胶泡棉条粘接</w:t>
                  </w:r>
                </w:p>
              </w:tc>
            </w:tr>
          </w:tbl>
          <w:p w14:paraId="2BA03827">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Times New Roman" w:cs="Times New Roman"/>
                <w:b/>
                <w:bCs w:val="0"/>
                <w:color w:val="000000"/>
                <w:kern w:val="0"/>
                <w:sz w:val="24"/>
                <w:szCs w:val="24"/>
                <w:bdr w:val="none" w:color="auto" w:sz="0" w:space="0"/>
                <w:lang w:val="en-US"/>
              </w:rPr>
            </w:pPr>
            <w:r>
              <w:rPr>
                <w:rFonts w:hint="default" w:ascii="Times New Roman" w:hAnsi="Times New Roman" w:eastAsia="宋体" w:cs="Times New Roman"/>
                <w:b/>
                <w:bCs w:val="0"/>
                <w:color w:val="000000"/>
                <w:kern w:val="0"/>
                <w:sz w:val="24"/>
                <w:szCs w:val="24"/>
                <w:bdr w:val="none" w:color="auto" w:sz="0" w:space="0"/>
                <w:lang w:val="en-US" w:eastAsia="zh-CN" w:bidi="ar"/>
              </w:rPr>
              <w:t>2.12.4</w:t>
            </w:r>
            <w:r>
              <w:rPr>
                <w:rFonts w:hint="eastAsia" w:ascii="Times New Roman" w:hAnsi="Times New Roman" w:eastAsia="宋体" w:cs="宋体"/>
                <w:b/>
                <w:bCs w:val="0"/>
                <w:color w:val="000000"/>
                <w:kern w:val="0"/>
                <w:sz w:val="24"/>
                <w:szCs w:val="24"/>
                <w:bdr w:val="none" w:color="auto" w:sz="0" w:space="0"/>
                <w:lang w:val="en-US" w:eastAsia="zh-CN" w:bidi="ar"/>
              </w:rPr>
              <w:t>现有项目生产工艺流程及产污环节</w:t>
            </w:r>
          </w:p>
          <w:p w14:paraId="12AA7CA8">
            <w:pPr>
              <w:keepNext w:val="0"/>
              <w:keepLines w:val="0"/>
              <w:widowControl/>
              <w:suppressLineNumbers w:val="0"/>
              <w:spacing w:before="0" w:beforeAutospacing="0" w:after="0" w:afterAutospacing="0" w:line="440" w:lineRule="exact"/>
              <w:ind w:left="0" w:right="0" w:firstLine="482" w:firstLineChars="200"/>
              <w:jc w:val="both"/>
              <w:rPr>
                <w:rFonts w:hint="default" w:ascii="Times New Roman" w:hAnsi="宋体" w:cs="Times New Roman"/>
                <w:b/>
                <w:bCs w:val="0"/>
                <w:color w:val="000000"/>
                <w:sz w:val="24"/>
                <w:szCs w:val="24"/>
                <w:bdr w:val="none" w:color="auto" w:sz="0" w:space="0"/>
                <w:lang w:val="en-US"/>
              </w:rPr>
            </w:pPr>
            <w:r>
              <w:rPr>
                <w:rFonts w:hint="default" w:ascii="Times New Roman" w:hAnsi="宋体" w:eastAsia="宋体" w:cs="Times New Roman"/>
                <w:b/>
                <w:bCs w:val="0"/>
                <w:color w:val="000000"/>
                <w:kern w:val="2"/>
                <w:sz w:val="24"/>
                <w:szCs w:val="24"/>
                <w:bdr w:val="none" w:color="auto" w:sz="0" w:space="0"/>
                <w:lang w:val="en-US" w:eastAsia="zh-CN" w:bidi="ar"/>
              </w:rPr>
              <w:t>1</w:t>
            </w:r>
            <w:r>
              <w:rPr>
                <w:rFonts w:hint="eastAsia" w:ascii="Times New Roman" w:hAnsi="宋体" w:eastAsia="宋体" w:cs="宋体"/>
                <w:b/>
                <w:bCs w:val="0"/>
                <w:color w:val="000000"/>
                <w:kern w:val="2"/>
                <w:sz w:val="24"/>
                <w:szCs w:val="24"/>
                <w:bdr w:val="none" w:color="auto" w:sz="0" w:space="0"/>
                <w:lang w:val="en-US" w:eastAsia="zh-CN" w:bidi="ar"/>
              </w:rPr>
              <w:t>、皮革装饰条生产工艺流程及产污环节</w:t>
            </w:r>
          </w:p>
          <w:p w14:paraId="08C577E3">
            <w:pPr>
              <w:keepNext w:val="0"/>
              <w:keepLines w:val="0"/>
              <w:widowControl w:val="0"/>
              <w:suppressLineNumbers w:val="0"/>
              <w:spacing w:before="0" w:beforeAutospacing="0" w:after="0" w:afterAutospacing="0"/>
              <w:ind w:left="0" w:right="0"/>
              <w:jc w:val="both"/>
              <w:rPr>
                <w:color w:val="000000"/>
                <w:bdr w:val="none" w:color="auto" w:sz="0" w:space="0"/>
                <w:lang w:val="en-US"/>
              </w:rPr>
            </w:pPr>
            <w:r>
              <w:rPr>
                <w:rFonts w:hint="default" w:ascii="Calibri" w:hAnsi="Calibri" w:eastAsia="宋体" w:cs="Times New Roman"/>
                <w:kern w:val="2"/>
                <w:sz w:val="21"/>
                <w:szCs w:val="24"/>
                <w:bdr w:val="none" w:color="auto" w:sz="0" w:space="0"/>
                <w:lang w:val="en-US" w:eastAsia="zh-CN" w:bidi="ar"/>
              </w:rPr>
              <w:pict>
                <v:shape id="Object 1532" o:spid="_x0000_s1051" o:spt="75" type="#_x0000_t75" style="position:absolute;left:0pt;margin-left:12.55pt;margin-top:0.6pt;height:111.35pt;width:401.5pt;z-index:251665408;mso-width-relative:page;mso-height-relative:page;" o:ole="t" filled="f" o:preferrelative="t" stroked="f" coordsize="21600,21600">
                  <v:path/>
                  <v:fill on="f" focussize="0,0"/>
                  <v:stroke on="f" joinstyle="miter"/>
                  <v:imagedata r:id="rId8" o:title=""/>
                  <o:lock v:ext="edit" aspectratio="f"/>
                </v:shape>
                <o:OLEObject Type="Embed" ProgID="Visio.Drawing.11" ShapeID="Object 1532" DrawAspect="Content" ObjectID="_1468075730" r:id="rId17">
                  <o:LockedField>false</o:LockedField>
                </o:OLEObject>
              </w:pict>
            </w:r>
          </w:p>
          <w:p w14:paraId="079B7743">
            <w:pPr>
              <w:keepNext w:val="0"/>
              <w:keepLines w:val="0"/>
              <w:widowControl w:val="0"/>
              <w:suppressLineNumbers w:val="0"/>
              <w:spacing w:before="0" w:beforeAutospacing="0" w:after="0" w:afterAutospacing="0" w:line="460" w:lineRule="exact"/>
              <w:ind w:left="0" w:right="0"/>
              <w:jc w:val="center"/>
              <w:rPr>
                <w:rFonts w:hint="default" w:ascii="Times New Roman" w:hAnsi="Calibri" w:cs="Times New Roman"/>
                <w:b/>
                <w:bCs w:val="0"/>
                <w:color w:val="000000"/>
                <w:bdr w:val="none" w:color="auto" w:sz="0" w:space="0"/>
                <w:lang w:val="en-US"/>
              </w:rPr>
            </w:pPr>
          </w:p>
          <w:p w14:paraId="3AAD7F26">
            <w:pPr>
              <w:keepNext w:val="0"/>
              <w:keepLines w:val="0"/>
              <w:widowControl w:val="0"/>
              <w:suppressLineNumbers w:val="0"/>
              <w:spacing w:before="0" w:beforeAutospacing="0" w:after="0" w:afterAutospacing="0" w:line="460" w:lineRule="exact"/>
              <w:ind w:left="0" w:right="0"/>
              <w:jc w:val="center"/>
              <w:rPr>
                <w:rFonts w:hint="default" w:ascii="Times New Roman" w:hAnsi="Calibri" w:cs="Times New Roman"/>
                <w:b/>
                <w:bCs w:val="0"/>
                <w:color w:val="000000"/>
                <w:bdr w:val="none" w:color="auto" w:sz="0" w:space="0"/>
                <w:lang w:val="en-US"/>
              </w:rPr>
            </w:pPr>
          </w:p>
          <w:p w14:paraId="43E97A19">
            <w:pPr>
              <w:keepNext w:val="0"/>
              <w:keepLines w:val="0"/>
              <w:widowControl w:val="0"/>
              <w:suppressLineNumbers w:val="0"/>
              <w:spacing w:before="0" w:beforeAutospacing="0" w:after="0" w:afterAutospacing="0" w:line="460" w:lineRule="exact"/>
              <w:ind w:left="0" w:right="0"/>
              <w:jc w:val="center"/>
              <w:rPr>
                <w:rFonts w:hint="default" w:ascii="Times New Roman" w:hAnsi="Calibri" w:cs="Times New Roman"/>
                <w:b/>
                <w:bCs w:val="0"/>
                <w:color w:val="000000"/>
                <w:bdr w:val="none" w:color="auto" w:sz="0" w:space="0"/>
                <w:lang w:val="en-US"/>
              </w:rPr>
            </w:pPr>
          </w:p>
          <w:p w14:paraId="51037187">
            <w:pPr>
              <w:keepNext w:val="0"/>
              <w:keepLines w:val="0"/>
              <w:widowControl w:val="0"/>
              <w:suppressLineNumbers w:val="0"/>
              <w:spacing w:before="0" w:beforeAutospacing="0" w:after="0" w:afterAutospacing="0" w:line="460" w:lineRule="exact"/>
              <w:ind w:left="0" w:right="0"/>
              <w:jc w:val="center"/>
              <w:rPr>
                <w:rFonts w:hint="default" w:ascii="Times New Roman" w:hAnsi="Times New Roman" w:cs="Times New Roman"/>
                <w:b/>
                <w:bCs w:val="0"/>
                <w:color w:val="000000"/>
                <w:sz w:val="24"/>
                <w:szCs w:val="24"/>
                <w:u w:val="single"/>
                <w:bdr w:val="none" w:color="auto" w:sz="0" w:space="0"/>
                <w:lang w:val="en-US"/>
              </w:rPr>
            </w:pPr>
          </w:p>
          <w:p w14:paraId="313F74CF">
            <w:pPr>
              <w:keepNext w:val="0"/>
              <w:keepLines w:val="0"/>
              <w:widowControl w:val="0"/>
              <w:suppressLineNumbers w:val="0"/>
              <w:spacing w:before="0" w:beforeAutospacing="0" w:after="0" w:afterAutospacing="0" w:line="460" w:lineRule="exact"/>
              <w:ind w:left="0" w:right="0"/>
              <w:jc w:val="center"/>
              <w:rPr>
                <w:rFonts w:hint="default" w:ascii="Times New Roman" w:hAnsi="Times New Roman" w:cs="Times New Roman"/>
                <w:b/>
                <w:bCs w:val="0"/>
                <w:color w:val="000000"/>
                <w:sz w:val="24"/>
                <w:szCs w:val="24"/>
                <w:u w:val="single"/>
                <w:bdr w:val="none" w:color="auto" w:sz="0" w:space="0"/>
                <w:lang w:val="en-US"/>
              </w:rPr>
            </w:pPr>
            <w:r>
              <w:rPr>
                <w:rFonts w:hint="eastAsia" w:ascii="Times New Roman" w:hAnsi="Times New Roman" w:eastAsia="宋体" w:cs="宋体"/>
                <w:b/>
                <w:bCs w:val="0"/>
                <w:color w:val="000000"/>
                <w:kern w:val="2"/>
                <w:sz w:val="24"/>
                <w:szCs w:val="24"/>
                <w:u w:val="single"/>
                <w:bdr w:val="none" w:color="auto" w:sz="0" w:space="0"/>
                <w:lang w:val="en-US" w:eastAsia="zh-CN" w:bidi="ar"/>
              </w:rPr>
              <w:t>图</w:t>
            </w:r>
            <w:r>
              <w:rPr>
                <w:rFonts w:hint="default" w:ascii="Times New Roman" w:hAnsi="Times New Roman" w:eastAsia="宋体" w:cs="Times New Roman"/>
                <w:b/>
                <w:bCs w:val="0"/>
                <w:color w:val="000000"/>
                <w:kern w:val="2"/>
                <w:sz w:val="24"/>
                <w:szCs w:val="24"/>
                <w:u w:val="single"/>
                <w:bdr w:val="none" w:color="auto" w:sz="0" w:space="0"/>
                <w:lang w:val="en-US" w:eastAsia="zh-CN" w:bidi="ar"/>
              </w:rPr>
              <w:t xml:space="preserve">2.8  </w:t>
            </w:r>
            <w:r>
              <w:rPr>
                <w:rFonts w:hint="eastAsia" w:ascii="Times New Roman" w:hAnsi="Times New Roman" w:eastAsia="宋体" w:cs="宋体"/>
                <w:b/>
                <w:bCs w:val="0"/>
                <w:color w:val="000000"/>
                <w:kern w:val="2"/>
                <w:sz w:val="24"/>
                <w:szCs w:val="24"/>
                <w:u w:val="single"/>
                <w:bdr w:val="none" w:color="auto" w:sz="0" w:space="0"/>
                <w:lang w:val="en-US" w:eastAsia="zh-CN" w:bidi="ar"/>
              </w:rPr>
              <w:t>皮革装饰条生产工艺流程及产排污环节图</w:t>
            </w:r>
          </w:p>
          <w:p w14:paraId="13BA7B53">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工艺流程简述：</w:t>
            </w:r>
          </w:p>
          <w:p w14:paraId="150A8B8B">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分切：根据客户要求，外购的成品皮革采用分切机分切成</w:t>
            </w:r>
            <w:r>
              <w:rPr>
                <w:rFonts w:hint="default" w:ascii="Times New Roman" w:hAnsi="宋体" w:eastAsia="宋体" w:cs="Times New Roman"/>
                <w:color w:val="000000"/>
                <w:kern w:val="2"/>
                <w:sz w:val="24"/>
                <w:szCs w:val="24"/>
                <w:bdr w:val="none" w:color="auto" w:sz="0" w:space="0"/>
                <w:lang w:val="en-US" w:eastAsia="zh-CN" w:bidi="ar"/>
              </w:rPr>
              <w:t>200m</w:t>
            </w:r>
            <w:r>
              <w:rPr>
                <w:rFonts w:hint="eastAsia" w:ascii="Times New Roman" w:hAnsi="宋体" w:eastAsia="宋体" w:cs="宋体"/>
                <w:color w:val="000000"/>
                <w:kern w:val="2"/>
                <w:sz w:val="24"/>
                <w:szCs w:val="24"/>
                <w:bdr w:val="none" w:color="auto" w:sz="0" w:space="0"/>
                <w:lang w:val="en-US" w:eastAsia="zh-CN" w:bidi="ar"/>
              </w:rPr>
              <w:t>长、</w:t>
            </w:r>
            <w:r>
              <w:rPr>
                <w:rFonts w:hint="default" w:ascii="Times New Roman" w:hAnsi="宋体" w:eastAsia="宋体" w:cs="Times New Roman"/>
                <w:color w:val="000000"/>
                <w:kern w:val="2"/>
                <w:sz w:val="24"/>
                <w:szCs w:val="24"/>
                <w:bdr w:val="none" w:color="auto" w:sz="0" w:space="0"/>
                <w:lang w:val="en-US" w:eastAsia="zh-CN" w:bidi="ar"/>
              </w:rPr>
              <w:t>9~12mm</w:t>
            </w:r>
            <w:r>
              <w:rPr>
                <w:rFonts w:hint="eastAsia" w:ascii="Times New Roman" w:hAnsi="宋体" w:eastAsia="宋体" w:cs="宋体"/>
                <w:color w:val="000000"/>
                <w:kern w:val="2"/>
                <w:sz w:val="24"/>
                <w:szCs w:val="24"/>
                <w:bdr w:val="none" w:color="auto" w:sz="0" w:space="0"/>
                <w:lang w:val="en-US" w:eastAsia="zh-CN" w:bidi="ar"/>
              </w:rPr>
              <w:t>宽的条状。</w:t>
            </w:r>
          </w:p>
          <w:p w14:paraId="466FD230">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涂胶压合：将颗粒状的热熔胶加入密闭的热熔胶加热装置，采用电加热至熔融状态，温度约</w:t>
            </w:r>
            <w:r>
              <w:rPr>
                <w:rFonts w:hint="default" w:ascii="Times New Roman" w:hAnsi="宋体" w:eastAsia="宋体" w:cs="Times New Roman"/>
                <w:color w:val="000000"/>
                <w:kern w:val="2"/>
                <w:sz w:val="24"/>
                <w:szCs w:val="24"/>
                <w:bdr w:val="none" w:color="auto" w:sz="0" w:space="0"/>
                <w:lang w:val="en-US" w:eastAsia="zh-CN" w:bidi="ar"/>
              </w:rPr>
              <w:t>140</w:t>
            </w:r>
            <w:r>
              <w:rPr>
                <w:rFonts w:hint="eastAsia" w:ascii="Times New Roman" w:hAnsi="宋体" w:eastAsia="宋体" w:cs="宋体"/>
                <w:color w:val="000000"/>
                <w:kern w:val="2"/>
                <w:sz w:val="24"/>
                <w:szCs w:val="24"/>
                <w:bdr w:val="none" w:color="auto" w:sz="0" w:space="0"/>
                <w:lang w:val="en-US" w:eastAsia="zh-CN" w:bidi="ar"/>
              </w:rPr>
              <w:t>℃，同时将分切成条状的皮革和线轴装入皮革复合线待用。随着皮革和线轴在皮革复合线上向前移动，熔化的热熔胶自动涂在皮革条上，在皮革复合线末端处对皮革进行对折、压合即可，对折时把线包在皮革条折痕处使其美观，整个过程连续进行。此过程热熔胶涂覆压合过程中产生少量有机废气、热熔胶塑料袋。</w:t>
            </w:r>
          </w:p>
          <w:p w14:paraId="532FA4C5">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检验：人工对皮革装饰条进行检验，对外观有瑕疵的部分剪切，该过程会产生不合格产品。</w:t>
            </w:r>
          </w:p>
          <w:p w14:paraId="3FB7B733">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收卷：经检验合格的皮革装饰条在收卷机上收卷成卷。</w:t>
            </w:r>
          </w:p>
          <w:p w14:paraId="20BAFB12">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包装：产品经塑料薄膜、纸箱包装后入库。</w:t>
            </w:r>
          </w:p>
          <w:p w14:paraId="760BC37D">
            <w:pPr>
              <w:keepNext w:val="0"/>
              <w:keepLines w:val="0"/>
              <w:widowControl/>
              <w:suppressLineNumbers w:val="0"/>
              <w:spacing w:before="0" w:beforeAutospacing="0" w:after="0" w:afterAutospacing="0" w:line="440" w:lineRule="exact"/>
              <w:ind w:left="0" w:right="0" w:firstLine="482" w:firstLineChars="200"/>
              <w:jc w:val="both"/>
              <w:rPr>
                <w:rFonts w:hint="default" w:ascii="Times New Roman" w:hAnsi="宋体" w:cs="Times New Roman"/>
                <w:b/>
                <w:bCs w:val="0"/>
                <w:color w:val="000000"/>
                <w:sz w:val="24"/>
                <w:szCs w:val="24"/>
                <w:bdr w:val="none" w:color="auto" w:sz="0" w:space="0"/>
                <w:lang w:val="en-US"/>
              </w:rPr>
            </w:pPr>
            <w:r>
              <w:rPr>
                <w:rFonts w:hint="default" w:ascii="Times New Roman" w:hAnsi="宋体" w:eastAsia="宋体" w:cs="Times New Roman"/>
                <w:b/>
                <w:bCs w:val="0"/>
                <w:color w:val="000000"/>
                <w:kern w:val="2"/>
                <w:sz w:val="24"/>
                <w:szCs w:val="24"/>
                <w:bdr w:val="none" w:color="auto" w:sz="0" w:space="0"/>
                <w:lang w:val="en-US" w:eastAsia="zh-CN" w:bidi="ar"/>
              </w:rPr>
              <w:t>2</w:t>
            </w:r>
            <w:r>
              <w:rPr>
                <w:rFonts w:hint="eastAsia" w:ascii="Times New Roman" w:hAnsi="宋体" w:eastAsia="宋体" w:cs="宋体"/>
                <w:b/>
                <w:bCs w:val="0"/>
                <w:color w:val="000000"/>
                <w:kern w:val="2"/>
                <w:sz w:val="24"/>
                <w:szCs w:val="24"/>
                <w:bdr w:val="none" w:color="auto" w:sz="0" w:space="0"/>
                <w:lang w:val="en-US" w:eastAsia="zh-CN" w:bidi="ar"/>
              </w:rPr>
              <w:t>、泡棉制品工艺流程及产污环节</w:t>
            </w:r>
          </w:p>
          <w:p w14:paraId="54F8C358">
            <w:pPr>
              <w:keepNext w:val="0"/>
              <w:keepLines w:val="0"/>
              <w:widowControl/>
              <w:suppressLineNumbers w:val="0"/>
              <w:spacing w:before="0" w:beforeAutospacing="0" w:after="0" w:afterAutospacing="0" w:line="440" w:lineRule="exact"/>
              <w:ind w:left="0" w:right="0" w:firstLine="482" w:firstLineChars="200"/>
              <w:jc w:val="both"/>
              <w:rPr>
                <w:rFonts w:hint="default" w:ascii="Times New Roman" w:hAnsi="宋体" w:cs="Times New Roman"/>
                <w:b/>
                <w:bCs w:val="0"/>
                <w:color w:val="000000"/>
                <w:sz w:val="24"/>
                <w:szCs w:val="24"/>
                <w:bdr w:val="none" w:color="auto" w:sz="0" w:space="0"/>
                <w:lang w:val="en-US"/>
              </w:rPr>
            </w:pPr>
            <w:r>
              <w:rPr>
                <w:rFonts w:hint="eastAsia" w:ascii="Times New Roman" w:hAnsi="宋体" w:eastAsia="宋体" w:cs="宋体"/>
                <w:b/>
                <w:bCs w:val="0"/>
                <w:color w:val="000000"/>
                <w:kern w:val="2"/>
                <w:sz w:val="24"/>
                <w:szCs w:val="24"/>
                <w:bdr w:val="none" w:color="auto" w:sz="0" w:space="0"/>
                <w:lang w:val="en-US" w:eastAsia="zh-CN" w:bidi="ar"/>
              </w:rPr>
              <w:t>（</w:t>
            </w:r>
            <w:r>
              <w:rPr>
                <w:rFonts w:hint="default" w:ascii="Times New Roman" w:hAnsi="宋体" w:eastAsia="宋体" w:cs="Times New Roman"/>
                <w:b/>
                <w:bCs w:val="0"/>
                <w:color w:val="000000"/>
                <w:kern w:val="2"/>
                <w:sz w:val="24"/>
                <w:szCs w:val="24"/>
                <w:bdr w:val="none" w:color="auto" w:sz="0" w:space="0"/>
                <w:lang w:val="en-US" w:eastAsia="zh-CN" w:bidi="ar"/>
              </w:rPr>
              <w:t>1</w:t>
            </w:r>
            <w:r>
              <w:rPr>
                <w:rFonts w:hint="eastAsia" w:ascii="Times New Roman" w:hAnsi="宋体" w:eastAsia="宋体" w:cs="宋体"/>
                <w:b/>
                <w:bCs w:val="0"/>
                <w:color w:val="000000"/>
                <w:kern w:val="2"/>
                <w:sz w:val="24"/>
                <w:szCs w:val="24"/>
                <w:bdr w:val="none" w:color="auto" w:sz="0" w:space="0"/>
                <w:lang w:val="en-US" w:eastAsia="zh-CN" w:bidi="ar"/>
              </w:rPr>
              <w:t>）硅胶泡棉制品生产工艺流程</w:t>
            </w:r>
          </w:p>
          <w:p w14:paraId="2ED8C1FF">
            <w:pPr>
              <w:keepNext w:val="0"/>
              <w:keepLines w:val="0"/>
              <w:widowControl w:val="0"/>
              <w:suppressLineNumbers w:val="0"/>
              <w:spacing w:before="0" w:beforeAutospacing="0" w:after="0" w:afterAutospacing="0" w:line="460" w:lineRule="exact"/>
              <w:ind w:left="0" w:right="0"/>
              <w:jc w:val="center"/>
              <w:rPr>
                <w:color w:val="000000"/>
                <w:bdr w:val="none" w:color="auto" w:sz="0" w:space="0"/>
                <w:lang w:val="en-US"/>
              </w:rPr>
            </w:pPr>
            <w:r>
              <w:rPr>
                <w:rFonts w:hint="default" w:ascii="Calibri" w:hAnsi="Calibri" w:eastAsia="宋体" w:cs="Times New Roman"/>
                <w:kern w:val="2"/>
                <w:sz w:val="21"/>
                <w:szCs w:val="24"/>
                <w:bdr w:val="none" w:color="auto" w:sz="0" w:space="0"/>
                <w:lang w:val="en-US" w:eastAsia="zh-CN" w:bidi="ar"/>
              </w:rPr>
              <w:pict>
                <v:shape id="Object 1533" o:spid="_x0000_s1052" o:spt="75" type="#_x0000_t75" style="position:absolute;left:0pt;margin-left:-1.7pt;margin-top:4.4pt;height:129.8pt;width:420.25pt;z-index:251666432;mso-width-relative:page;mso-height-relative:page;" o:ole="t" filled="f" o:preferrelative="t" stroked="f" coordsize="21600,21600">
                  <v:path/>
                  <v:fill on="f" focussize="0,0"/>
                  <v:stroke on="f" joinstyle="miter"/>
                  <v:imagedata r:id="rId10" o:title=""/>
                  <o:lock v:ext="edit" aspectratio="f"/>
                </v:shape>
                <o:OLEObject Type="Embed" ProgID="Visio.Drawing.11" ShapeID="Object 1533" DrawAspect="Content" ObjectID="_1468075731" r:id="rId18">
                  <o:LockedField>false</o:LockedField>
                </o:OLEObject>
              </w:pict>
            </w:r>
            <w:r>
              <w:rPr>
                <w:rFonts w:hint="default" w:ascii="Calibri" w:hAnsi="Calibri" w:eastAsia="宋体" w:cs="Times New Roman"/>
                <w:color w:val="000000"/>
                <w:kern w:val="2"/>
                <w:sz w:val="21"/>
                <w:szCs w:val="24"/>
                <w:bdr w:val="none" w:color="auto" w:sz="0" w:space="0"/>
                <w:lang w:val="en-US" w:eastAsia="zh-CN" w:bidi="ar"/>
              </w:rPr>
              <w:tab/>
            </w:r>
          </w:p>
          <w:p w14:paraId="107FAC28">
            <w:pPr>
              <w:keepNext w:val="0"/>
              <w:keepLines w:val="0"/>
              <w:widowControl w:val="0"/>
              <w:suppressLineNumbers w:val="0"/>
              <w:spacing w:before="0" w:beforeAutospacing="0" w:after="0" w:afterAutospacing="0" w:line="460" w:lineRule="exact"/>
              <w:ind w:left="0" w:right="0"/>
              <w:jc w:val="center"/>
              <w:rPr>
                <w:color w:val="000000"/>
                <w:bdr w:val="none" w:color="auto" w:sz="0" w:space="0"/>
                <w:lang w:val="en-US"/>
              </w:rPr>
            </w:pPr>
          </w:p>
          <w:p w14:paraId="0477E177">
            <w:pPr>
              <w:keepNext w:val="0"/>
              <w:keepLines w:val="0"/>
              <w:widowControl w:val="0"/>
              <w:suppressLineNumbers w:val="0"/>
              <w:spacing w:before="0" w:beforeAutospacing="0" w:after="0" w:afterAutospacing="0" w:line="460" w:lineRule="exact"/>
              <w:ind w:left="0" w:right="0"/>
              <w:jc w:val="center"/>
              <w:rPr>
                <w:rFonts w:hint="default" w:ascii="Times New Roman" w:hAnsi="Times New Roman" w:cs="Times New Roman"/>
                <w:b/>
                <w:bCs w:val="0"/>
                <w:color w:val="000000"/>
                <w:sz w:val="24"/>
                <w:szCs w:val="24"/>
                <w:u w:val="single"/>
                <w:bdr w:val="none" w:color="auto" w:sz="0" w:space="0"/>
                <w:lang w:val="en-US"/>
              </w:rPr>
            </w:pPr>
          </w:p>
          <w:p w14:paraId="138AD06F">
            <w:pPr>
              <w:keepNext w:val="0"/>
              <w:keepLines w:val="0"/>
              <w:widowControl w:val="0"/>
              <w:suppressLineNumbers w:val="0"/>
              <w:spacing w:before="0" w:beforeAutospacing="0" w:after="0" w:afterAutospacing="0" w:line="460" w:lineRule="exact"/>
              <w:ind w:left="0" w:right="0"/>
              <w:jc w:val="center"/>
              <w:rPr>
                <w:rFonts w:hint="default" w:ascii="Times New Roman" w:hAnsi="Times New Roman" w:cs="Times New Roman"/>
                <w:b/>
                <w:bCs w:val="0"/>
                <w:color w:val="000000"/>
                <w:sz w:val="24"/>
                <w:szCs w:val="24"/>
                <w:u w:val="single"/>
                <w:bdr w:val="none" w:color="auto" w:sz="0" w:space="0"/>
                <w:lang w:val="en-US"/>
              </w:rPr>
            </w:pPr>
          </w:p>
          <w:p w14:paraId="15F0C4A6">
            <w:pPr>
              <w:keepNext w:val="0"/>
              <w:keepLines w:val="0"/>
              <w:widowControl w:val="0"/>
              <w:suppressLineNumbers w:val="0"/>
              <w:spacing w:before="0" w:beforeAutospacing="0" w:after="0" w:afterAutospacing="0" w:line="460" w:lineRule="exact"/>
              <w:ind w:left="0" w:right="0"/>
              <w:jc w:val="center"/>
              <w:rPr>
                <w:rFonts w:hint="default" w:ascii="Times New Roman" w:hAnsi="Times New Roman" w:cs="Times New Roman"/>
                <w:b/>
                <w:bCs w:val="0"/>
                <w:color w:val="000000"/>
                <w:sz w:val="24"/>
                <w:szCs w:val="24"/>
                <w:u w:val="single"/>
                <w:bdr w:val="none" w:color="auto" w:sz="0" w:space="0"/>
                <w:lang w:val="en-US"/>
              </w:rPr>
            </w:pPr>
          </w:p>
          <w:p w14:paraId="3EE94832">
            <w:pPr>
              <w:keepNext w:val="0"/>
              <w:keepLines w:val="0"/>
              <w:widowControl w:val="0"/>
              <w:suppressLineNumbers w:val="0"/>
              <w:spacing w:before="0" w:beforeAutospacing="0" w:after="0" w:afterAutospacing="0" w:line="460" w:lineRule="exact"/>
              <w:ind w:left="0" w:right="0"/>
              <w:jc w:val="center"/>
              <w:rPr>
                <w:rFonts w:hint="default" w:ascii="Times New Roman" w:hAnsi="Times New Roman" w:cs="Times New Roman"/>
                <w:b/>
                <w:bCs w:val="0"/>
                <w:color w:val="000000"/>
                <w:sz w:val="24"/>
                <w:szCs w:val="24"/>
                <w:u w:val="single"/>
                <w:bdr w:val="none" w:color="auto" w:sz="0" w:space="0"/>
                <w:lang w:val="en-US"/>
              </w:rPr>
            </w:pPr>
            <w:r>
              <w:rPr>
                <w:rFonts w:hint="eastAsia" w:ascii="Times New Roman" w:hAnsi="Times New Roman" w:eastAsia="宋体" w:cs="宋体"/>
                <w:b/>
                <w:bCs w:val="0"/>
                <w:color w:val="000000"/>
                <w:kern w:val="2"/>
                <w:sz w:val="24"/>
                <w:szCs w:val="24"/>
                <w:u w:val="single"/>
                <w:bdr w:val="none" w:color="auto" w:sz="0" w:space="0"/>
                <w:lang w:val="en-US" w:eastAsia="zh-CN" w:bidi="ar"/>
              </w:rPr>
              <w:t>图</w:t>
            </w:r>
            <w:r>
              <w:rPr>
                <w:rFonts w:hint="default" w:ascii="Times New Roman" w:hAnsi="Times New Roman" w:eastAsia="宋体" w:cs="Times New Roman"/>
                <w:b/>
                <w:bCs w:val="0"/>
                <w:color w:val="000000"/>
                <w:kern w:val="2"/>
                <w:sz w:val="24"/>
                <w:szCs w:val="24"/>
                <w:u w:val="single"/>
                <w:bdr w:val="none" w:color="auto" w:sz="0" w:space="0"/>
                <w:lang w:val="en-US" w:eastAsia="zh-CN" w:bidi="ar"/>
              </w:rPr>
              <w:t xml:space="preserve">2.9 </w:t>
            </w:r>
            <w:r>
              <w:rPr>
                <w:rFonts w:hint="eastAsia" w:ascii="Times New Roman" w:hAnsi="Times New Roman" w:eastAsia="宋体" w:cs="宋体"/>
                <w:b/>
                <w:bCs w:val="0"/>
                <w:color w:val="000000"/>
                <w:kern w:val="2"/>
                <w:sz w:val="24"/>
                <w:szCs w:val="24"/>
                <w:u w:val="single"/>
                <w:bdr w:val="none" w:color="auto" w:sz="0" w:space="0"/>
                <w:lang w:val="en-US" w:eastAsia="zh-CN" w:bidi="ar"/>
              </w:rPr>
              <w:t>硅胶泡棉制品生产工艺流程及产排污环节图</w:t>
            </w:r>
          </w:p>
          <w:p w14:paraId="29FEBFB7">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工艺流程简述：</w:t>
            </w:r>
          </w:p>
          <w:p w14:paraId="4F2C9A28">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涂胶：背胶处理剂能有效提高硅胶材料的表面活性，提高硅胶与双面胶的粘接性。项目用涂胶分切机在硅胶泡棉上涂一层背胶处理剂（</w:t>
            </w:r>
            <w:r>
              <w:rPr>
                <w:rFonts w:hint="default" w:ascii="Times New Roman" w:hAnsi="宋体" w:eastAsia="宋体" w:cs="Times New Roman"/>
                <w:color w:val="000000"/>
                <w:kern w:val="2"/>
                <w:sz w:val="24"/>
                <w:szCs w:val="24"/>
                <w:bdr w:val="none" w:color="auto" w:sz="0" w:space="0"/>
                <w:lang w:val="en-US" w:eastAsia="zh-CN" w:bidi="ar"/>
              </w:rPr>
              <w:t>TJ-60</w:t>
            </w:r>
            <w:r>
              <w:rPr>
                <w:rFonts w:hint="eastAsia" w:ascii="Times New Roman" w:hAnsi="宋体" w:eastAsia="宋体" w:cs="宋体"/>
                <w:color w:val="000000"/>
                <w:kern w:val="2"/>
                <w:sz w:val="24"/>
                <w:szCs w:val="24"/>
                <w:bdr w:val="none" w:color="auto" w:sz="0" w:space="0"/>
                <w:lang w:val="en-US" w:eastAsia="zh-CN" w:bidi="ar"/>
              </w:rPr>
              <w:t>），该过程会产生有机废气、背胶处理剂空瓶。</w:t>
            </w:r>
          </w:p>
          <w:p w14:paraId="765E0086">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贴合：涂上背胶处理剂的硅胶泡棉和成品双面胶带在硅胶贴合机上进行常温压合，此过程会产生双面胶带的废离型纸。</w:t>
            </w:r>
          </w:p>
          <w:p w14:paraId="2ACBFF1A">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模切：根据客户需求采用模切机将压合后的硅胶泡棉制品模切成所需要的规格，此过程会产生硅胶泡棉边角料。</w:t>
            </w:r>
          </w:p>
          <w:p w14:paraId="4CB93298">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检验：对模切后的硅胶泡棉进行外观检查，将外观有破损的硅胶泡棉成品作为不合格产品，厂区暂存后外售处理。检验过程会产生不合格硅胶泡棉产品</w:t>
            </w:r>
            <w:r>
              <w:rPr>
                <w:rFonts w:hint="default" w:ascii="Times New Roman" w:hAnsi="宋体" w:eastAsia="宋体" w:cs="Times New Roman"/>
                <w:color w:val="000000"/>
                <w:kern w:val="2"/>
                <w:sz w:val="24"/>
                <w:szCs w:val="24"/>
                <w:bdr w:val="none" w:color="auto" w:sz="0" w:space="0"/>
                <w:lang w:val="en-US" w:eastAsia="zh-CN" w:bidi="ar"/>
              </w:rPr>
              <w:t>S6</w:t>
            </w:r>
            <w:r>
              <w:rPr>
                <w:rFonts w:hint="eastAsia" w:ascii="Times New Roman" w:hAnsi="宋体" w:eastAsia="宋体" w:cs="宋体"/>
                <w:color w:val="000000"/>
                <w:kern w:val="2"/>
                <w:sz w:val="24"/>
                <w:szCs w:val="24"/>
                <w:bdr w:val="none" w:color="auto" w:sz="0" w:space="0"/>
                <w:lang w:val="en-US" w:eastAsia="zh-CN" w:bidi="ar"/>
              </w:rPr>
              <w:t>。</w:t>
            </w:r>
          </w:p>
          <w:p w14:paraId="79A4B3C9">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电热熔粘接：根据产品及客户需求，部分模切后的硅胶泡棉条需要粘接在一起作为新能源汽车电池仓的密封圈。扩建项目采用电热熔粘接机，将液体硅橡胶涂抹在硅胶条接头处，采用电加热的方式，将硅胶泡棉条粘接在一起，粘接温度约为</w:t>
            </w:r>
            <w:r>
              <w:rPr>
                <w:rFonts w:hint="default" w:ascii="Times New Roman" w:hAnsi="宋体" w:eastAsia="宋体" w:cs="Times New Roman"/>
                <w:color w:val="000000"/>
                <w:kern w:val="2"/>
                <w:sz w:val="24"/>
                <w:szCs w:val="24"/>
                <w:bdr w:val="none" w:color="auto" w:sz="0" w:space="0"/>
                <w:lang w:val="en-US" w:eastAsia="zh-CN" w:bidi="ar"/>
              </w:rPr>
              <w:t>130</w:t>
            </w:r>
            <w:r>
              <w:rPr>
                <w:rFonts w:hint="eastAsia" w:ascii="Times New Roman" w:hAnsi="宋体" w:eastAsia="宋体" w:cs="宋体"/>
                <w:color w:val="000000"/>
                <w:kern w:val="2"/>
                <w:sz w:val="24"/>
                <w:szCs w:val="24"/>
                <w:bdr w:val="none" w:color="auto" w:sz="0" w:space="0"/>
                <w:lang w:val="en-US" w:eastAsia="zh-CN" w:bidi="ar"/>
              </w:rPr>
              <w:t>℃</w:t>
            </w:r>
            <w:r>
              <w:rPr>
                <w:rFonts w:hint="default" w:ascii="Times New Roman" w:hAnsi="宋体" w:eastAsia="宋体" w:cs="Times New Roman"/>
                <w:color w:val="000000"/>
                <w:kern w:val="2"/>
                <w:sz w:val="24"/>
                <w:szCs w:val="24"/>
                <w:bdr w:val="none" w:color="auto" w:sz="0" w:space="0"/>
                <w:lang w:val="en-US" w:eastAsia="zh-CN" w:bidi="ar"/>
              </w:rPr>
              <w:t>~170</w:t>
            </w:r>
            <w:r>
              <w:rPr>
                <w:rFonts w:hint="eastAsia" w:ascii="Times New Roman" w:hAnsi="宋体" w:eastAsia="宋体" w:cs="宋体"/>
                <w:color w:val="000000"/>
                <w:kern w:val="2"/>
                <w:sz w:val="24"/>
                <w:szCs w:val="24"/>
                <w:bdr w:val="none" w:color="auto" w:sz="0" w:space="0"/>
                <w:lang w:val="en-US" w:eastAsia="zh-CN" w:bidi="ar"/>
              </w:rPr>
              <w:t>℃，时间约为</w:t>
            </w:r>
            <w:r>
              <w:rPr>
                <w:rFonts w:hint="default" w:ascii="Times New Roman" w:hAnsi="宋体" w:eastAsia="宋体" w:cs="Times New Roman"/>
                <w:color w:val="000000"/>
                <w:kern w:val="2"/>
                <w:sz w:val="24"/>
                <w:szCs w:val="24"/>
                <w:bdr w:val="none" w:color="auto" w:sz="0" w:space="0"/>
                <w:lang w:val="en-US" w:eastAsia="zh-CN" w:bidi="ar"/>
              </w:rPr>
              <w:t>5s~8s</w:t>
            </w:r>
            <w:r>
              <w:rPr>
                <w:rFonts w:hint="eastAsia" w:ascii="Times New Roman" w:hAnsi="宋体" w:eastAsia="宋体" w:cs="宋体"/>
                <w:color w:val="000000"/>
                <w:kern w:val="2"/>
                <w:sz w:val="24"/>
                <w:szCs w:val="24"/>
                <w:bdr w:val="none" w:color="auto" w:sz="0" w:space="0"/>
                <w:lang w:val="en-US" w:eastAsia="zh-CN" w:bidi="ar"/>
              </w:rPr>
              <w:t>，而液体硅橡胶粘接剂分解温度大于</w:t>
            </w:r>
            <w:r>
              <w:rPr>
                <w:rFonts w:hint="default" w:ascii="Times New Roman" w:hAnsi="宋体" w:eastAsia="宋体" w:cs="Times New Roman"/>
                <w:color w:val="000000"/>
                <w:kern w:val="2"/>
                <w:sz w:val="24"/>
                <w:szCs w:val="24"/>
                <w:bdr w:val="none" w:color="auto" w:sz="0" w:space="0"/>
                <w:lang w:val="en-US" w:eastAsia="zh-CN" w:bidi="ar"/>
              </w:rPr>
              <w:t>250</w:t>
            </w:r>
            <w:r>
              <w:rPr>
                <w:rFonts w:hint="eastAsia" w:ascii="Times New Roman" w:hAnsi="宋体" w:eastAsia="宋体" w:cs="宋体"/>
                <w:color w:val="000000"/>
                <w:kern w:val="2"/>
                <w:sz w:val="24"/>
                <w:szCs w:val="24"/>
                <w:bdr w:val="none" w:color="auto" w:sz="0" w:space="0"/>
                <w:lang w:val="en-US" w:eastAsia="zh-CN" w:bidi="ar"/>
              </w:rPr>
              <w:t>℃。扩建项目采用安全无毒且无挥发的液体硅橡胶粘接剂，粘接过程中无分解，因此，无有机废气产生，此过程会产生液体硅橡胶空桶。</w:t>
            </w:r>
          </w:p>
          <w:p w14:paraId="0BF93B73">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检验：对粘接后的硅胶泡棉条进行检查，对粘接不完全或粘接不紧密的泡棉条返回电热熔粘接工序，进行重新粘接。</w:t>
            </w:r>
          </w:p>
          <w:p w14:paraId="7FC53571">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包装：产品经塑料薄膜、纸箱包装后入库。</w:t>
            </w:r>
          </w:p>
          <w:p w14:paraId="042FE188">
            <w:pPr>
              <w:keepNext w:val="0"/>
              <w:keepLines w:val="0"/>
              <w:widowControl/>
              <w:suppressLineNumbers w:val="0"/>
              <w:spacing w:before="0" w:beforeAutospacing="0" w:after="0" w:afterAutospacing="0" w:line="440" w:lineRule="exact"/>
              <w:ind w:left="0" w:right="0" w:firstLine="482" w:firstLineChars="200"/>
              <w:jc w:val="both"/>
              <w:rPr>
                <w:rFonts w:hint="default" w:ascii="Times New Roman" w:hAnsi="宋体" w:cs="Times New Roman"/>
                <w:b/>
                <w:bCs w:val="0"/>
                <w:color w:val="000000"/>
                <w:sz w:val="24"/>
                <w:szCs w:val="24"/>
                <w:bdr w:val="none" w:color="auto" w:sz="0" w:space="0"/>
                <w:lang w:val="en-US"/>
              </w:rPr>
            </w:pPr>
            <w:r>
              <w:rPr>
                <w:rFonts w:hint="eastAsia" w:ascii="Times New Roman" w:hAnsi="宋体" w:eastAsia="宋体" w:cs="宋体"/>
                <w:b/>
                <w:bCs w:val="0"/>
                <w:color w:val="000000"/>
                <w:kern w:val="2"/>
                <w:sz w:val="24"/>
                <w:szCs w:val="24"/>
                <w:bdr w:val="none" w:color="auto" w:sz="0" w:space="0"/>
                <w:lang w:val="en-US" w:eastAsia="zh-CN" w:bidi="ar"/>
              </w:rPr>
              <w:t>（</w:t>
            </w:r>
            <w:r>
              <w:rPr>
                <w:rFonts w:hint="default" w:ascii="Times New Roman" w:hAnsi="宋体" w:eastAsia="宋体" w:cs="Times New Roman"/>
                <w:b/>
                <w:bCs w:val="0"/>
                <w:color w:val="000000"/>
                <w:kern w:val="2"/>
                <w:sz w:val="24"/>
                <w:szCs w:val="24"/>
                <w:bdr w:val="none" w:color="auto" w:sz="0" w:space="0"/>
                <w:lang w:val="en-US" w:eastAsia="zh-CN" w:bidi="ar"/>
              </w:rPr>
              <w:t>2</w:t>
            </w:r>
            <w:r>
              <w:rPr>
                <w:rFonts w:hint="eastAsia" w:ascii="Times New Roman" w:hAnsi="宋体" w:eastAsia="宋体" w:cs="宋体"/>
                <w:b/>
                <w:bCs w:val="0"/>
                <w:color w:val="000000"/>
                <w:kern w:val="2"/>
                <w:sz w:val="24"/>
                <w:szCs w:val="24"/>
                <w:bdr w:val="none" w:color="auto" w:sz="0" w:space="0"/>
                <w:lang w:val="en-US" w:eastAsia="zh-CN" w:bidi="ar"/>
              </w:rPr>
              <w:t>）网格通风棉制品生产工艺流程</w:t>
            </w:r>
          </w:p>
          <w:p w14:paraId="3133B744">
            <w:pPr>
              <w:keepNext w:val="0"/>
              <w:keepLines w:val="0"/>
              <w:widowControl w:val="0"/>
              <w:suppressLineNumbers w:val="0"/>
              <w:autoSpaceDE w:val="0"/>
              <w:autoSpaceDN w:val="0"/>
              <w:spacing w:before="0" w:beforeAutospacing="0" w:after="0" w:afterAutospacing="0" w:line="400" w:lineRule="exact"/>
              <w:ind w:left="0" w:right="0" w:firstLine="480"/>
              <w:jc w:val="both"/>
              <w:rPr>
                <w:b/>
                <w:bCs w:val="0"/>
                <w:color w:val="000000"/>
                <w:bdr w:val="none" w:color="auto" w:sz="0" w:space="0"/>
                <w:lang w:val="en-US"/>
              </w:rPr>
            </w:pPr>
            <w:r>
              <w:rPr>
                <w:rFonts w:hint="default" w:ascii="Calibri" w:hAnsi="Calibri" w:eastAsia="宋体" w:cs="Times New Roman"/>
                <w:kern w:val="2"/>
                <w:sz w:val="21"/>
                <w:szCs w:val="24"/>
                <w:bdr w:val="none" w:color="auto" w:sz="0" w:space="0"/>
                <w:lang w:val="en-US" w:eastAsia="zh-CN" w:bidi="ar"/>
              </w:rPr>
              <w:pict>
                <v:shape id="Object 1535" o:spid="_x0000_s1053" o:spt="75" type="#_x0000_t75" style="position:absolute;left:0pt;margin-left:41.05pt;margin-top:-0.25pt;height:87.35pt;width:313.95pt;z-index:251667456;mso-width-relative:page;mso-height-relative:page;" o:ole="t" filled="f" o:preferrelative="t" stroked="f" coordsize="21600,21600">
                  <v:path/>
                  <v:fill on="f" focussize="0,0"/>
                  <v:stroke on="f" joinstyle="miter"/>
                  <v:imagedata r:id="rId12" o:title=""/>
                  <o:lock v:ext="edit" aspectratio="f"/>
                </v:shape>
                <o:OLEObject Type="Embed" ProgID="Visio.Drawing.11" ShapeID="Object 1535" DrawAspect="Content" ObjectID="_1468075732" r:id="rId19">
                  <o:LockedField>false</o:LockedField>
                </o:OLEObject>
              </w:pict>
            </w:r>
          </w:p>
          <w:p w14:paraId="5C5FBA91">
            <w:pPr>
              <w:keepNext w:val="0"/>
              <w:keepLines w:val="0"/>
              <w:widowControl w:val="0"/>
              <w:suppressLineNumbers w:val="0"/>
              <w:spacing w:before="0" w:beforeAutospacing="0" w:after="0" w:afterAutospacing="0"/>
              <w:ind w:left="0" w:right="0"/>
              <w:jc w:val="both"/>
              <w:rPr>
                <w:color w:val="000000"/>
                <w:bdr w:val="none" w:color="auto" w:sz="0" w:space="0"/>
                <w:lang w:val="en-US"/>
              </w:rPr>
            </w:pPr>
          </w:p>
          <w:p w14:paraId="60E4834E">
            <w:pPr>
              <w:keepNext w:val="0"/>
              <w:keepLines w:val="0"/>
              <w:widowControl w:val="0"/>
              <w:suppressLineNumbers w:val="0"/>
              <w:spacing w:before="0" w:beforeAutospacing="0" w:after="0" w:afterAutospacing="0"/>
              <w:ind w:left="0" w:right="0"/>
              <w:jc w:val="both"/>
              <w:rPr>
                <w:color w:val="000000"/>
                <w:bdr w:val="none" w:color="auto" w:sz="0" w:space="0"/>
                <w:lang w:val="en-US"/>
              </w:rPr>
            </w:pPr>
          </w:p>
          <w:p w14:paraId="2121194A">
            <w:pPr>
              <w:keepNext w:val="0"/>
              <w:keepLines w:val="0"/>
              <w:widowControl w:val="0"/>
              <w:suppressLineNumbers w:val="0"/>
              <w:tabs>
                <w:tab w:val="left" w:pos="1140"/>
              </w:tabs>
              <w:spacing w:before="0" w:beforeAutospacing="0" w:after="0" w:afterAutospacing="0"/>
              <w:ind w:left="0" w:right="0"/>
              <w:jc w:val="center"/>
              <w:rPr>
                <w:b/>
                <w:bCs w:val="0"/>
                <w:color w:val="000000"/>
                <w:bdr w:val="none" w:color="auto" w:sz="0" w:space="0"/>
                <w:lang w:val="en-US"/>
              </w:rPr>
            </w:pPr>
          </w:p>
          <w:p w14:paraId="1205D9AC">
            <w:pPr>
              <w:keepNext w:val="0"/>
              <w:keepLines w:val="0"/>
              <w:widowControl w:val="0"/>
              <w:suppressLineNumbers w:val="0"/>
              <w:tabs>
                <w:tab w:val="left" w:pos="1140"/>
              </w:tabs>
              <w:spacing w:before="0" w:beforeAutospacing="0" w:after="0" w:afterAutospacing="0"/>
              <w:ind w:left="0" w:right="0"/>
              <w:jc w:val="center"/>
              <w:rPr>
                <w:b/>
                <w:bCs w:val="0"/>
                <w:color w:val="000000"/>
                <w:bdr w:val="none" w:color="auto" w:sz="0" w:space="0"/>
                <w:lang w:val="en-US"/>
              </w:rPr>
            </w:pPr>
          </w:p>
          <w:p w14:paraId="291EC6C9">
            <w:pPr>
              <w:keepNext w:val="0"/>
              <w:keepLines w:val="0"/>
              <w:widowControl w:val="0"/>
              <w:suppressLineNumbers w:val="0"/>
              <w:tabs>
                <w:tab w:val="left" w:pos="1140"/>
              </w:tabs>
              <w:spacing w:before="0" w:beforeAutospacing="0" w:after="0" w:afterAutospacing="0"/>
              <w:ind w:left="0" w:right="0"/>
              <w:jc w:val="center"/>
              <w:rPr>
                <w:b/>
                <w:bCs w:val="0"/>
                <w:color w:val="000000"/>
                <w:bdr w:val="none" w:color="auto" w:sz="0" w:space="0"/>
                <w:lang w:val="en-US"/>
              </w:rPr>
            </w:pPr>
          </w:p>
          <w:p w14:paraId="12C892AB">
            <w:pPr>
              <w:keepNext w:val="0"/>
              <w:keepLines w:val="0"/>
              <w:widowControl w:val="0"/>
              <w:suppressLineNumbers w:val="0"/>
              <w:tabs>
                <w:tab w:val="left" w:pos="1140"/>
              </w:tabs>
              <w:spacing w:before="0" w:beforeAutospacing="0" w:after="0" w:afterAutospacing="0"/>
              <w:ind w:left="0" w:right="0"/>
              <w:jc w:val="center"/>
              <w:rPr>
                <w:rFonts w:hint="default" w:ascii="Times New Roman" w:hAnsi="Times New Roman" w:cs="Times New Roman"/>
                <w:color w:val="000000"/>
                <w:sz w:val="24"/>
                <w:szCs w:val="24"/>
                <w:u w:val="single"/>
                <w:bdr w:val="none" w:color="auto" w:sz="0" w:space="0"/>
                <w:lang w:val="en-US"/>
              </w:rPr>
            </w:pPr>
            <w:r>
              <w:rPr>
                <w:rFonts w:hint="eastAsia" w:ascii="Times New Roman" w:hAnsi="Calibri" w:eastAsia="宋体" w:cs="宋体"/>
                <w:b/>
                <w:bCs w:val="0"/>
                <w:color w:val="000000"/>
                <w:kern w:val="2"/>
                <w:sz w:val="24"/>
                <w:szCs w:val="24"/>
                <w:u w:val="single"/>
                <w:bdr w:val="none" w:color="auto" w:sz="0" w:space="0"/>
                <w:lang w:val="en-US" w:eastAsia="zh-CN" w:bidi="ar"/>
              </w:rPr>
              <w:t>图</w:t>
            </w:r>
            <w:r>
              <w:rPr>
                <w:rFonts w:hint="default" w:ascii="Times New Roman" w:hAnsi="Times New Roman" w:eastAsia="宋体" w:cs="Times New Roman"/>
                <w:b/>
                <w:bCs w:val="0"/>
                <w:color w:val="000000"/>
                <w:kern w:val="2"/>
                <w:sz w:val="24"/>
                <w:szCs w:val="24"/>
                <w:u w:val="single"/>
                <w:bdr w:val="none" w:color="auto" w:sz="0" w:space="0"/>
                <w:lang w:val="en-US" w:eastAsia="zh-CN" w:bidi="ar"/>
              </w:rPr>
              <w:t xml:space="preserve">2.10 </w:t>
            </w:r>
            <w:r>
              <w:rPr>
                <w:rFonts w:hint="eastAsia" w:ascii="Times New Roman" w:hAnsi="Calibri" w:eastAsia="宋体" w:cs="宋体"/>
                <w:b/>
                <w:bCs w:val="0"/>
                <w:color w:val="000000"/>
                <w:kern w:val="2"/>
                <w:sz w:val="24"/>
                <w:szCs w:val="24"/>
                <w:u w:val="single"/>
                <w:bdr w:val="none" w:color="auto" w:sz="0" w:space="0"/>
                <w:lang w:val="en-US" w:eastAsia="zh-CN" w:bidi="ar"/>
              </w:rPr>
              <w:t>网格通风棉生产工艺流程及产排污环节图</w:t>
            </w:r>
          </w:p>
          <w:p w14:paraId="3C56C7BB">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工艺流程简述：</w:t>
            </w:r>
          </w:p>
          <w:p w14:paraId="64C06233">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扩建项目需利用激光切割机（气化切割）将网格通风棉切割成相应的尺寸。激光切割原理是当入射的激光束功率密度超过某一值后，照射处的材料开始蒸发，形成孔洞，而光束周围的材料则被气化；与光束同轴的辅助气流把周围的熔化材料带走，形成烟尘，激光切割温度约为</w:t>
            </w:r>
            <w:r>
              <w:rPr>
                <w:rFonts w:hint="default" w:ascii="Times New Roman" w:hAnsi="宋体" w:eastAsia="宋体" w:cs="Times New Roman"/>
                <w:color w:val="000000"/>
                <w:kern w:val="2"/>
                <w:sz w:val="24"/>
                <w:szCs w:val="24"/>
                <w:bdr w:val="none" w:color="auto" w:sz="0" w:space="0"/>
                <w:lang w:val="en-US" w:eastAsia="zh-CN" w:bidi="ar"/>
              </w:rPr>
              <w:t>1000</w:t>
            </w:r>
            <w:r>
              <w:rPr>
                <w:rFonts w:hint="eastAsia" w:ascii="Times New Roman" w:hAnsi="宋体" w:eastAsia="宋体" w:cs="宋体"/>
                <w:color w:val="000000"/>
                <w:kern w:val="2"/>
                <w:sz w:val="24"/>
                <w:szCs w:val="24"/>
                <w:bdr w:val="none" w:color="auto" w:sz="0" w:space="0"/>
                <w:lang w:val="en-US" w:eastAsia="zh-CN" w:bidi="ar"/>
              </w:rPr>
              <w:t>℃。激光切割后的成品经人工检验后包装入库。因此，激光切割过程会产生烟尘、有机废气</w:t>
            </w:r>
            <w:r>
              <w:rPr>
                <w:rFonts w:hint="default" w:ascii="Times New Roman" w:hAnsi="宋体" w:eastAsia="宋体" w:cs="Times New Roman"/>
                <w:color w:val="000000"/>
                <w:kern w:val="2"/>
                <w:sz w:val="24"/>
                <w:szCs w:val="24"/>
                <w:bdr w:val="none" w:color="auto" w:sz="0" w:space="0"/>
                <w:lang w:val="en-US" w:eastAsia="zh-CN" w:bidi="ar"/>
              </w:rPr>
              <w:t>G3</w:t>
            </w:r>
            <w:r>
              <w:rPr>
                <w:rFonts w:hint="eastAsia" w:ascii="Times New Roman" w:hAnsi="宋体" w:eastAsia="宋体" w:cs="宋体"/>
                <w:color w:val="000000"/>
                <w:kern w:val="2"/>
                <w:sz w:val="24"/>
                <w:szCs w:val="24"/>
                <w:bdr w:val="none" w:color="auto" w:sz="0" w:space="0"/>
                <w:lang w:val="en-US" w:eastAsia="zh-CN" w:bidi="ar"/>
              </w:rPr>
              <w:t>、网格棉边角料</w:t>
            </w:r>
            <w:r>
              <w:rPr>
                <w:rFonts w:hint="default" w:ascii="Times New Roman" w:hAnsi="宋体" w:eastAsia="宋体" w:cs="Times New Roman"/>
                <w:color w:val="000000"/>
                <w:kern w:val="2"/>
                <w:sz w:val="24"/>
                <w:szCs w:val="24"/>
                <w:bdr w:val="none" w:color="auto" w:sz="0" w:space="0"/>
                <w:lang w:val="en-US" w:eastAsia="zh-CN" w:bidi="ar"/>
              </w:rPr>
              <w:t>S6</w:t>
            </w:r>
            <w:r>
              <w:rPr>
                <w:rFonts w:hint="eastAsia" w:ascii="Times New Roman" w:hAnsi="宋体" w:eastAsia="宋体" w:cs="宋体"/>
                <w:color w:val="000000"/>
                <w:kern w:val="2"/>
                <w:sz w:val="24"/>
                <w:szCs w:val="24"/>
                <w:bdr w:val="none" w:color="auto" w:sz="0" w:space="0"/>
                <w:lang w:val="en-US" w:eastAsia="zh-CN" w:bidi="ar"/>
              </w:rPr>
              <w:t>和不合格产品。</w:t>
            </w:r>
          </w:p>
          <w:p w14:paraId="4BD2AAE4">
            <w:pPr>
              <w:keepNext w:val="0"/>
              <w:keepLines w:val="0"/>
              <w:widowControl/>
              <w:suppressLineNumbers w:val="0"/>
              <w:spacing w:before="0" w:beforeAutospacing="0" w:after="0" w:afterAutospacing="0" w:line="440" w:lineRule="exact"/>
              <w:ind w:left="0" w:right="0" w:firstLine="482" w:firstLineChars="200"/>
              <w:jc w:val="both"/>
              <w:rPr>
                <w:rFonts w:hint="default" w:ascii="Times New Roman" w:hAnsi="宋体" w:cs="Times New Roman"/>
                <w:b/>
                <w:bCs w:val="0"/>
                <w:color w:val="000000"/>
                <w:sz w:val="24"/>
                <w:szCs w:val="24"/>
                <w:bdr w:val="none" w:color="auto" w:sz="0" w:space="0"/>
                <w:lang w:val="en-US"/>
              </w:rPr>
            </w:pPr>
            <w:r>
              <w:rPr>
                <w:rFonts w:hint="eastAsia" w:ascii="Times New Roman" w:hAnsi="宋体" w:eastAsia="宋体" w:cs="宋体"/>
                <w:b/>
                <w:bCs w:val="0"/>
                <w:color w:val="000000"/>
                <w:kern w:val="2"/>
                <w:sz w:val="24"/>
                <w:szCs w:val="24"/>
                <w:bdr w:val="none" w:color="auto" w:sz="0" w:space="0"/>
                <w:lang w:val="en-US" w:eastAsia="zh-CN" w:bidi="ar"/>
              </w:rPr>
              <w:t>（</w:t>
            </w:r>
            <w:r>
              <w:rPr>
                <w:rFonts w:hint="default" w:ascii="Times New Roman" w:hAnsi="宋体" w:eastAsia="宋体" w:cs="Times New Roman"/>
                <w:b/>
                <w:bCs w:val="0"/>
                <w:color w:val="000000"/>
                <w:kern w:val="2"/>
                <w:sz w:val="24"/>
                <w:szCs w:val="24"/>
                <w:bdr w:val="none" w:color="auto" w:sz="0" w:space="0"/>
                <w:lang w:val="en-US" w:eastAsia="zh-CN" w:bidi="ar"/>
              </w:rPr>
              <w:t>3</w:t>
            </w:r>
            <w:r>
              <w:rPr>
                <w:rFonts w:hint="eastAsia" w:ascii="Times New Roman" w:hAnsi="宋体" w:eastAsia="宋体" w:cs="宋体"/>
                <w:b/>
                <w:bCs w:val="0"/>
                <w:color w:val="000000"/>
                <w:kern w:val="2"/>
                <w:sz w:val="24"/>
                <w:szCs w:val="24"/>
                <w:bdr w:val="none" w:color="auto" w:sz="0" w:space="0"/>
                <w:lang w:val="en-US" w:eastAsia="zh-CN" w:bidi="ar"/>
              </w:rPr>
              <w:t>）</w:t>
            </w:r>
            <w:r>
              <w:rPr>
                <w:rFonts w:hint="eastAsia" w:ascii="Calibri" w:hAnsi="Calibri" w:eastAsia="宋体" w:cs="宋体"/>
                <w:b/>
                <w:bCs/>
                <w:color w:val="000000"/>
                <w:kern w:val="2"/>
                <w:sz w:val="24"/>
                <w:szCs w:val="24"/>
                <w:bdr w:val="none" w:color="auto" w:sz="0" w:space="0"/>
                <w:lang w:val="en-US" w:eastAsia="zh-CN" w:bidi="ar"/>
              </w:rPr>
              <w:t>其他泡棉制品生产线工艺流程</w:t>
            </w:r>
          </w:p>
          <w:p w14:paraId="2C456EC0">
            <w:pPr>
              <w:keepNext w:val="0"/>
              <w:keepLines w:val="0"/>
              <w:widowControl w:val="0"/>
              <w:suppressLineNumbers w:val="0"/>
              <w:spacing w:before="0" w:beforeAutospacing="0" w:after="0" w:afterAutospacing="0"/>
              <w:ind w:left="0" w:right="0"/>
              <w:jc w:val="both"/>
              <w:rPr>
                <w:color w:val="000000"/>
                <w:bdr w:val="none" w:color="auto" w:sz="0" w:space="0"/>
                <w:lang w:val="en-US"/>
              </w:rPr>
            </w:pPr>
            <w:r>
              <w:rPr>
                <w:rFonts w:hint="default" w:ascii="Calibri" w:hAnsi="Calibri" w:eastAsia="宋体" w:cs="Times New Roman"/>
                <w:kern w:val="2"/>
                <w:sz w:val="21"/>
                <w:szCs w:val="24"/>
                <w:bdr w:val="none" w:color="auto" w:sz="0" w:space="0"/>
                <w:lang w:val="en-US" w:eastAsia="zh-CN" w:bidi="ar"/>
              </w:rPr>
              <w:pict>
                <v:shape id="Object 1536" o:spid="_x0000_s1054" o:spt="75" type="#_x0000_t75" style="position:absolute;left:0pt;margin-left:21.55pt;margin-top:11.7pt;height:71.35pt;width:372pt;z-index:251668480;mso-width-relative:page;mso-height-relative:page;" o:ole="t" filled="f" o:preferrelative="t" stroked="f" coordsize="21600,21600">
                  <v:path/>
                  <v:fill on="f" focussize="0,0"/>
                  <v:stroke on="f" joinstyle="miter"/>
                  <v:imagedata r:id="rId14" o:title=""/>
                  <o:lock v:ext="edit" aspectratio="f"/>
                </v:shape>
                <o:OLEObject Type="Embed" ProgID="Visio.Drawing.11" ShapeID="Object 1536" DrawAspect="Content" ObjectID="_1468075733" r:id="rId20">
                  <o:LockedField>false</o:LockedField>
                </o:OLEObject>
              </w:pict>
            </w:r>
          </w:p>
          <w:p w14:paraId="49CBCCDF">
            <w:pPr>
              <w:keepNext w:val="0"/>
              <w:keepLines w:val="0"/>
              <w:widowControl w:val="0"/>
              <w:suppressLineNumbers w:val="0"/>
              <w:spacing w:before="0" w:beforeAutospacing="0" w:after="0" w:afterAutospacing="0"/>
              <w:ind w:left="0" w:right="0"/>
              <w:jc w:val="both"/>
              <w:rPr>
                <w:color w:val="000000"/>
                <w:bdr w:val="none" w:color="auto" w:sz="0" w:space="0"/>
                <w:lang w:val="en-US"/>
              </w:rPr>
            </w:pPr>
          </w:p>
          <w:p w14:paraId="4D5AF932">
            <w:pPr>
              <w:keepNext w:val="0"/>
              <w:keepLines w:val="0"/>
              <w:widowControl w:val="0"/>
              <w:suppressLineNumbers w:val="0"/>
              <w:spacing w:before="0" w:beforeAutospacing="0" w:after="0" w:afterAutospacing="0"/>
              <w:ind w:left="0" w:right="0"/>
              <w:jc w:val="both"/>
              <w:rPr>
                <w:color w:val="000000"/>
                <w:bdr w:val="none" w:color="auto" w:sz="0" w:space="0"/>
                <w:lang w:val="en-US"/>
              </w:rPr>
            </w:pPr>
          </w:p>
          <w:p w14:paraId="1FBE1497">
            <w:pPr>
              <w:keepNext w:val="0"/>
              <w:keepLines w:val="0"/>
              <w:widowControl w:val="0"/>
              <w:suppressLineNumbers w:val="0"/>
              <w:spacing w:before="0" w:beforeAutospacing="0" w:after="0" w:afterAutospacing="0"/>
              <w:ind w:left="0" w:right="0"/>
              <w:jc w:val="both"/>
              <w:rPr>
                <w:color w:val="000000"/>
                <w:bdr w:val="none" w:color="auto" w:sz="0" w:space="0"/>
                <w:lang w:val="en-US"/>
              </w:rPr>
            </w:pPr>
          </w:p>
          <w:p w14:paraId="206D8E09">
            <w:pPr>
              <w:keepNext w:val="0"/>
              <w:keepLines w:val="0"/>
              <w:widowControl w:val="0"/>
              <w:suppressLineNumbers w:val="0"/>
              <w:spacing w:before="0" w:beforeAutospacing="0" w:after="0" w:afterAutospacing="0"/>
              <w:ind w:left="0" w:right="0"/>
              <w:jc w:val="both"/>
              <w:rPr>
                <w:color w:val="000000"/>
                <w:bdr w:val="none" w:color="auto" w:sz="0" w:space="0"/>
                <w:lang w:val="en-US"/>
              </w:rPr>
            </w:pPr>
          </w:p>
          <w:p w14:paraId="5CB059BE">
            <w:pPr>
              <w:keepNext w:val="0"/>
              <w:keepLines w:val="0"/>
              <w:widowControl w:val="0"/>
              <w:suppressLineNumbers w:val="0"/>
              <w:spacing w:before="0" w:beforeAutospacing="0" w:after="0" w:afterAutospacing="0"/>
              <w:ind w:left="0" w:right="0"/>
              <w:jc w:val="both"/>
              <w:rPr>
                <w:color w:val="000000"/>
                <w:bdr w:val="none" w:color="auto" w:sz="0" w:space="0"/>
                <w:lang w:val="en-US"/>
              </w:rPr>
            </w:pPr>
          </w:p>
          <w:p w14:paraId="692BF807">
            <w:pPr>
              <w:keepNext w:val="0"/>
              <w:keepLines w:val="0"/>
              <w:widowControl w:val="0"/>
              <w:suppressLineNumbers w:val="0"/>
              <w:spacing w:before="0" w:beforeAutospacing="0" w:after="0" w:afterAutospacing="0"/>
              <w:ind w:left="0" w:right="0"/>
              <w:jc w:val="both"/>
              <w:rPr>
                <w:color w:val="000000"/>
                <w:bdr w:val="none" w:color="auto" w:sz="0" w:space="0"/>
                <w:lang w:val="en-US"/>
              </w:rPr>
            </w:pPr>
          </w:p>
          <w:p w14:paraId="009FE7C6">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color w:val="000000"/>
                <w:sz w:val="24"/>
                <w:szCs w:val="24"/>
                <w:u w:val="single"/>
                <w:bdr w:val="none" w:color="auto" w:sz="0" w:space="0"/>
                <w:lang w:val="en-US"/>
              </w:rPr>
            </w:pPr>
            <w:r>
              <w:rPr>
                <w:rFonts w:hint="eastAsia" w:ascii="Times New Roman" w:hAnsi="Calibri" w:eastAsia="宋体" w:cs="宋体"/>
                <w:b/>
                <w:bCs w:val="0"/>
                <w:color w:val="000000"/>
                <w:kern w:val="2"/>
                <w:sz w:val="24"/>
                <w:szCs w:val="24"/>
                <w:u w:val="single"/>
                <w:bdr w:val="none" w:color="auto" w:sz="0" w:space="0"/>
                <w:lang w:val="en-US" w:eastAsia="zh-CN" w:bidi="ar"/>
              </w:rPr>
              <w:t>图</w:t>
            </w:r>
            <w:r>
              <w:rPr>
                <w:rFonts w:hint="default" w:ascii="Times New Roman" w:hAnsi="Times New Roman" w:eastAsia="宋体" w:cs="Times New Roman"/>
                <w:b/>
                <w:bCs w:val="0"/>
                <w:color w:val="000000"/>
                <w:kern w:val="2"/>
                <w:sz w:val="24"/>
                <w:szCs w:val="24"/>
                <w:u w:val="single"/>
                <w:bdr w:val="none" w:color="auto" w:sz="0" w:space="0"/>
                <w:lang w:val="en-US" w:eastAsia="zh-CN" w:bidi="ar"/>
              </w:rPr>
              <w:t xml:space="preserve">2.11 </w:t>
            </w:r>
            <w:r>
              <w:rPr>
                <w:rFonts w:hint="eastAsia" w:ascii="Times New Roman" w:hAnsi="Calibri" w:eastAsia="宋体" w:cs="宋体"/>
                <w:b/>
                <w:bCs w:val="0"/>
                <w:color w:val="000000"/>
                <w:kern w:val="2"/>
                <w:sz w:val="24"/>
                <w:szCs w:val="24"/>
                <w:u w:val="single"/>
                <w:bdr w:val="none" w:color="auto" w:sz="0" w:space="0"/>
                <w:lang w:val="en-US" w:eastAsia="zh-CN" w:bidi="ar"/>
              </w:rPr>
              <w:t>其他泡棉生产工艺流程及产污环节图</w:t>
            </w:r>
          </w:p>
          <w:p w14:paraId="4BB8647A">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工艺流程简述：</w:t>
            </w:r>
          </w:p>
          <w:p w14:paraId="34670616">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外购的各种成品泡棉和成品双面胶带在泡棉贴合机上先进行常温压合，然后根据客户需求按尺寸分切成所需产品，分切后的产品经人工检验后进行收卷，收卷后的泡棉产品经塑料薄膜、纸箱包装后入库。此过程产生双面胶带的废离型纸、其他泡棉制品边角料和不合格产品。</w:t>
            </w:r>
          </w:p>
          <w:p w14:paraId="1FB71C5E">
            <w:pPr>
              <w:keepNext w:val="0"/>
              <w:keepLines w:val="0"/>
              <w:widowControl/>
              <w:suppressLineNumbers w:val="0"/>
              <w:spacing w:before="0" w:beforeAutospacing="0" w:after="0" w:afterAutospacing="0" w:line="440" w:lineRule="exact"/>
              <w:ind w:left="0" w:right="0" w:firstLine="482" w:firstLineChars="200"/>
              <w:jc w:val="both"/>
              <w:rPr>
                <w:rFonts w:hint="default" w:ascii="Times New Roman" w:hAnsi="宋体" w:cs="Times New Roman"/>
                <w:b/>
                <w:bCs w:val="0"/>
                <w:color w:val="000000"/>
                <w:sz w:val="24"/>
                <w:szCs w:val="24"/>
                <w:bdr w:val="none" w:color="auto" w:sz="0" w:space="0"/>
                <w:lang w:val="en-US"/>
              </w:rPr>
            </w:pPr>
            <w:r>
              <w:rPr>
                <w:rFonts w:hint="default" w:ascii="Times New Roman" w:hAnsi="宋体" w:eastAsia="宋体" w:cs="Times New Roman"/>
                <w:b/>
                <w:bCs w:val="0"/>
                <w:color w:val="000000"/>
                <w:kern w:val="2"/>
                <w:sz w:val="24"/>
                <w:szCs w:val="24"/>
                <w:bdr w:val="none" w:color="auto" w:sz="0" w:space="0"/>
                <w:lang w:val="en-US" w:eastAsia="zh-CN" w:bidi="ar"/>
              </w:rPr>
              <w:t>3</w:t>
            </w:r>
            <w:r>
              <w:rPr>
                <w:rFonts w:hint="eastAsia" w:ascii="Times New Roman" w:hAnsi="宋体" w:eastAsia="宋体" w:cs="宋体"/>
                <w:b/>
                <w:bCs w:val="0"/>
                <w:color w:val="000000"/>
                <w:kern w:val="2"/>
                <w:sz w:val="24"/>
                <w:szCs w:val="24"/>
                <w:bdr w:val="none" w:color="auto" w:sz="0" w:space="0"/>
                <w:lang w:val="en-US" w:eastAsia="zh-CN" w:bidi="ar"/>
              </w:rPr>
              <w:t>、云母板生产工艺流程</w:t>
            </w:r>
          </w:p>
          <w:p w14:paraId="1E08773B">
            <w:pPr>
              <w:keepNext w:val="0"/>
              <w:keepLines w:val="0"/>
              <w:widowControl w:val="0"/>
              <w:suppressLineNumbers w:val="0"/>
              <w:autoSpaceDE w:val="0"/>
              <w:autoSpaceDN w:val="0"/>
              <w:adjustRightInd w:val="0"/>
              <w:spacing w:before="0" w:beforeAutospacing="0" w:after="0" w:afterAutospacing="0" w:line="360" w:lineRule="auto"/>
              <w:ind w:left="0" w:right="0"/>
              <w:jc w:val="center"/>
              <w:rPr>
                <w:color w:val="000000"/>
                <w:bdr w:val="none" w:color="auto" w:sz="0" w:space="0"/>
                <w:lang w:val="en-US"/>
              </w:rPr>
            </w:pPr>
            <w:r>
              <w:rPr>
                <w:rFonts w:hint="default" w:ascii="Calibri" w:hAnsi="Calibri" w:eastAsia="宋体" w:cs="Times New Roman"/>
                <w:kern w:val="2"/>
                <w:sz w:val="21"/>
                <w:szCs w:val="24"/>
                <w:bdr w:val="none" w:color="auto" w:sz="0" w:space="0"/>
                <w:lang w:val="en-US" w:eastAsia="zh-CN" w:bidi="ar"/>
              </w:rPr>
              <w:pict>
                <v:shape id="Object 1542" o:spid="_x0000_s1055" o:spt="75" type="#_x0000_t75" style="position:absolute;left:0pt;margin-left:50.8pt;margin-top:1.9pt;height:88.85pt;width:326.15pt;z-index:251673600;mso-width-relative:page;mso-height-relative:page;" o:ole="t" filled="f" o:preferrelative="t" stroked="f" coordsize="21600,21600">
                  <v:path/>
                  <v:fill on="f" focussize="0,0"/>
                  <v:stroke on="f" joinstyle="miter"/>
                  <v:imagedata r:id="rId16" o:title=""/>
                  <o:lock v:ext="edit" aspectratio="f"/>
                </v:shape>
                <o:OLEObject Type="Embed" ProgID="Visio.Drawing.11" ShapeID="Object 1542" DrawAspect="Content" ObjectID="_1468075734" r:id="rId21">
                  <o:LockedField>false</o:LockedField>
                </o:OLEObject>
              </w:pict>
            </w:r>
          </w:p>
          <w:p w14:paraId="5B6C85BA">
            <w:pPr>
              <w:keepNext w:val="0"/>
              <w:keepLines w:val="0"/>
              <w:widowControl w:val="0"/>
              <w:suppressLineNumbers w:val="0"/>
              <w:autoSpaceDE w:val="0"/>
              <w:autoSpaceDN w:val="0"/>
              <w:adjustRightInd w:val="0"/>
              <w:spacing w:before="0" w:beforeAutospacing="0" w:after="0" w:afterAutospacing="0" w:line="360" w:lineRule="auto"/>
              <w:ind w:left="0" w:right="0"/>
              <w:jc w:val="center"/>
              <w:rPr>
                <w:color w:val="000000"/>
                <w:bdr w:val="none" w:color="auto" w:sz="0" w:space="0"/>
                <w:lang w:val="en-US"/>
              </w:rPr>
            </w:pPr>
          </w:p>
          <w:p w14:paraId="4AA3A219">
            <w:pPr>
              <w:keepNext w:val="0"/>
              <w:keepLines w:val="0"/>
              <w:widowControl w:val="0"/>
              <w:suppressLineNumbers w:val="0"/>
              <w:autoSpaceDE w:val="0"/>
              <w:autoSpaceDN w:val="0"/>
              <w:adjustRightInd w:val="0"/>
              <w:spacing w:before="0" w:beforeAutospacing="0" w:after="0" w:afterAutospacing="0" w:line="360" w:lineRule="auto"/>
              <w:ind w:left="0" w:right="0"/>
              <w:jc w:val="center"/>
              <w:rPr>
                <w:color w:val="000000"/>
                <w:bdr w:val="none" w:color="auto" w:sz="0" w:space="0"/>
                <w:lang w:val="en-US"/>
              </w:rPr>
            </w:pPr>
          </w:p>
          <w:p w14:paraId="4AA2DA13">
            <w:pPr>
              <w:keepNext w:val="0"/>
              <w:keepLines w:val="0"/>
              <w:widowControl w:val="0"/>
              <w:suppressLineNumbers w:val="0"/>
              <w:autoSpaceDE w:val="0"/>
              <w:autoSpaceDN w:val="0"/>
              <w:adjustRightInd w:val="0"/>
              <w:spacing w:before="0" w:beforeAutospacing="0" w:after="0" w:afterAutospacing="0" w:line="480" w:lineRule="exact"/>
              <w:ind w:left="0" w:right="0"/>
              <w:jc w:val="center"/>
              <w:rPr>
                <w:b/>
                <w:bCs w:val="0"/>
                <w:color w:val="000000"/>
                <w:sz w:val="24"/>
                <w:szCs w:val="24"/>
                <w:bdr w:val="none" w:color="auto" w:sz="0" w:space="0"/>
                <w:lang w:val="en-US"/>
              </w:rPr>
            </w:pPr>
          </w:p>
          <w:p w14:paraId="1AD733CC">
            <w:pPr>
              <w:keepNext w:val="0"/>
              <w:keepLines w:val="0"/>
              <w:widowControl w:val="0"/>
              <w:suppressLineNumbers w:val="0"/>
              <w:autoSpaceDE w:val="0"/>
              <w:autoSpaceDN w:val="0"/>
              <w:adjustRightInd w:val="0"/>
              <w:spacing w:before="0" w:beforeAutospacing="0" w:after="0" w:afterAutospacing="0" w:line="460" w:lineRule="exact"/>
              <w:ind w:left="0" w:right="0"/>
              <w:jc w:val="center"/>
              <w:rPr>
                <w:rFonts w:hint="default" w:ascii="Times New Roman" w:hAnsi="Times New Roman" w:cs="Times New Roman"/>
                <w:color w:val="000000"/>
                <w:sz w:val="24"/>
                <w:szCs w:val="24"/>
                <w:u w:val="single"/>
                <w:bdr w:val="none" w:color="auto" w:sz="0" w:space="0"/>
                <w:lang w:val="en-US"/>
              </w:rPr>
            </w:pPr>
            <w:r>
              <w:rPr>
                <w:rFonts w:hint="eastAsia" w:ascii="Times New Roman" w:hAnsi="Calibri" w:eastAsia="宋体" w:cs="宋体"/>
                <w:b/>
                <w:bCs w:val="0"/>
                <w:color w:val="000000"/>
                <w:kern w:val="2"/>
                <w:sz w:val="24"/>
                <w:szCs w:val="24"/>
                <w:u w:val="single"/>
                <w:bdr w:val="none" w:color="auto" w:sz="0" w:space="0"/>
                <w:lang w:val="en-US" w:eastAsia="zh-CN" w:bidi="ar"/>
              </w:rPr>
              <w:t>图</w:t>
            </w:r>
            <w:r>
              <w:rPr>
                <w:rFonts w:hint="default" w:ascii="Times New Roman" w:hAnsi="Times New Roman" w:eastAsia="宋体" w:cs="Times New Roman"/>
                <w:b/>
                <w:bCs w:val="0"/>
                <w:color w:val="000000"/>
                <w:kern w:val="2"/>
                <w:sz w:val="24"/>
                <w:szCs w:val="24"/>
                <w:u w:val="single"/>
                <w:bdr w:val="none" w:color="auto" w:sz="0" w:space="0"/>
                <w:lang w:val="en-US" w:eastAsia="zh-CN" w:bidi="ar"/>
              </w:rPr>
              <w:t xml:space="preserve">2.12 </w:t>
            </w:r>
            <w:r>
              <w:rPr>
                <w:rFonts w:hint="eastAsia" w:ascii="Times New Roman" w:hAnsi="Calibri" w:eastAsia="宋体" w:cs="宋体"/>
                <w:b/>
                <w:bCs w:val="0"/>
                <w:color w:val="000000"/>
                <w:kern w:val="2"/>
                <w:sz w:val="24"/>
                <w:szCs w:val="24"/>
                <w:u w:val="single"/>
                <w:bdr w:val="none" w:color="auto" w:sz="0" w:space="0"/>
                <w:lang w:val="en-US" w:eastAsia="zh-CN" w:bidi="ar"/>
              </w:rPr>
              <w:t>云母板生产工艺流程及产排污环节图</w:t>
            </w:r>
          </w:p>
          <w:p w14:paraId="48F65489">
            <w:pPr>
              <w:keepNext w:val="0"/>
              <w:keepLines w:val="0"/>
              <w:widowControl w:val="0"/>
              <w:suppressLineNumbers w:val="0"/>
              <w:spacing w:before="0" w:beforeAutospacing="0" w:after="0" w:afterAutospacing="0" w:line="460" w:lineRule="exact"/>
              <w:ind w:left="0" w:right="0" w:firstLine="480" w:firstLineChars="200"/>
              <w:jc w:val="both"/>
              <w:rPr>
                <w:bCs/>
                <w:color w:val="000000"/>
                <w:sz w:val="24"/>
                <w:szCs w:val="24"/>
                <w:bdr w:val="none" w:color="auto" w:sz="0" w:space="0"/>
                <w:lang w:val="en-US"/>
              </w:rPr>
            </w:pPr>
            <w:r>
              <w:rPr>
                <w:rFonts w:hint="eastAsia" w:ascii="Calibri" w:hAnsi="Calibri" w:eastAsia="宋体" w:cs="宋体"/>
                <w:bCs/>
                <w:color w:val="000000"/>
                <w:kern w:val="2"/>
                <w:sz w:val="24"/>
                <w:szCs w:val="24"/>
                <w:bdr w:val="none" w:color="auto" w:sz="0" w:space="0"/>
                <w:lang w:val="en-US" w:eastAsia="zh-CN" w:bidi="ar"/>
              </w:rPr>
              <w:t>工艺流程简述：</w:t>
            </w:r>
          </w:p>
          <w:p w14:paraId="323C6808">
            <w:pPr>
              <w:keepNext w:val="0"/>
              <w:keepLines w:val="0"/>
              <w:widowControl w:val="0"/>
              <w:suppressLineNumbers w:val="0"/>
              <w:spacing w:before="0" w:beforeAutospacing="0" w:after="0" w:afterAutospacing="0" w:line="460" w:lineRule="exact"/>
              <w:ind w:left="0" w:right="0" w:firstLine="480" w:firstLineChars="200"/>
              <w:jc w:val="both"/>
              <w:rPr>
                <w:b/>
                <w:bCs/>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根据产品需求采用雕刻机将外购云母板雕刻成所需形状，然后将雕刻边缘打磨平整，经人工检验后，大块的不合格云母板后期被重新雕刻制作成小块的云母板产品，小块的不合格云母板产品直接作为一般固废，经检验合格的产品包装入库待售。此过程会产生雕刻粉尘、打磨粉尘、云母板边角料和不合格产品。</w:t>
            </w:r>
          </w:p>
          <w:p w14:paraId="7B1B0DBD">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Times New Roman" w:cs="Times New Roman"/>
                <w:b/>
                <w:bCs w:val="0"/>
                <w:color w:val="000000"/>
                <w:kern w:val="0"/>
                <w:sz w:val="24"/>
                <w:szCs w:val="24"/>
                <w:bdr w:val="none" w:color="auto" w:sz="0" w:space="0"/>
                <w:lang w:val="en-US"/>
              </w:rPr>
            </w:pPr>
            <w:r>
              <w:rPr>
                <w:rFonts w:hint="default" w:ascii="Times New Roman" w:hAnsi="Times New Roman" w:eastAsia="宋体" w:cs="Times New Roman"/>
                <w:b/>
                <w:bCs w:val="0"/>
                <w:color w:val="000000"/>
                <w:kern w:val="0"/>
                <w:sz w:val="24"/>
                <w:szCs w:val="24"/>
                <w:bdr w:val="none" w:color="auto" w:sz="0" w:space="0"/>
                <w:lang w:val="en-US" w:eastAsia="zh-CN" w:bidi="ar"/>
              </w:rPr>
              <w:t>2.12.5</w:t>
            </w:r>
            <w:r>
              <w:rPr>
                <w:rFonts w:hint="eastAsia" w:ascii="Times New Roman" w:hAnsi="Times New Roman" w:eastAsia="宋体" w:cs="宋体"/>
                <w:b/>
                <w:bCs w:val="0"/>
                <w:color w:val="000000"/>
                <w:kern w:val="0"/>
                <w:sz w:val="24"/>
                <w:szCs w:val="24"/>
                <w:bdr w:val="none" w:color="auto" w:sz="0" w:space="0"/>
                <w:lang w:val="en-US" w:eastAsia="zh-CN" w:bidi="ar"/>
              </w:rPr>
              <w:t>现有项目环保设施及污染物排放情况</w:t>
            </w:r>
          </w:p>
          <w:p w14:paraId="41E186EB">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现有项目已通过竣工环境保护验收。本次根据企业</w:t>
            </w:r>
            <w:r>
              <w:rPr>
                <w:rFonts w:hint="eastAsia" w:ascii="Calibri" w:hAnsi="Calibri" w:eastAsia="宋体" w:cs="宋体"/>
                <w:bCs/>
                <w:color w:val="000000"/>
                <w:kern w:val="2"/>
                <w:sz w:val="24"/>
                <w:szCs w:val="24"/>
                <w:bdr w:val="none" w:color="auto" w:sz="0" w:space="0"/>
                <w:lang w:val="en-US" w:eastAsia="zh-CN" w:bidi="ar"/>
              </w:rPr>
              <w:t>竣工环保验收报告</w:t>
            </w:r>
            <w:r>
              <w:rPr>
                <w:rFonts w:hint="eastAsia" w:ascii="Times New Roman" w:hAnsi="Calibri" w:eastAsia="宋体" w:cs="宋体"/>
                <w:bCs/>
                <w:color w:val="000000"/>
                <w:kern w:val="2"/>
                <w:sz w:val="24"/>
                <w:szCs w:val="24"/>
                <w:bdr w:val="none" w:color="auto" w:sz="0" w:space="0"/>
                <w:lang w:val="en-US" w:eastAsia="zh-CN" w:bidi="ar"/>
              </w:rPr>
              <w:t>（</w:t>
            </w:r>
            <w:r>
              <w:rPr>
                <w:rFonts w:hint="default" w:ascii="Times New Roman" w:hAnsi="Times New Roman" w:eastAsia="宋体" w:cs="Times New Roman"/>
                <w:bCs/>
                <w:color w:val="000000"/>
                <w:kern w:val="2"/>
                <w:sz w:val="24"/>
                <w:szCs w:val="24"/>
                <w:bdr w:val="none" w:color="auto" w:sz="0" w:space="0"/>
                <w:lang w:val="en-US" w:eastAsia="zh-CN" w:bidi="ar"/>
              </w:rPr>
              <w:t>2023</w:t>
            </w:r>
            <w:r>
              <w:rPr>
                <w:rFonts w:hint="eastAsia" w:ascii="Times New Roman" w:hAnsi="Calibri" w:eastAsia="宋体" w:cs="宋体"/>
                <w:bCs/>
                <w:color w:val="000000"/>
                <w:kern w:val="2"/>
                <w:sz w:val="24"/>
                <w:szCs w:val="24"/>
                <w:bdr w:val="none" w:color="auto" w:sz="0" w:space="0"/>
                <w:lang w:val="en-US" w:eastAsia="zh-CN" w:bidi="ar"/>
              </w:rPr>
              <w:t>年</w:t>
            </w:r>
            <w:r>
              <w:rPr>
                <w:rFonts w:hint="default" w:ascii="Times New Roman" w:hAnsi="Times New Roman" w:eastAsia="宋体" w:cs="Times New Roman"/>
                <w:bCs/>
                <w:color w:val="000000"/>
                <w:kern w:val="2"/>
                <w:sz w:val="24"/>
                <w:szCs w:val="24"/>
                <w:bdr w:val="none" w:color="auto" w:sz="0" w:space="0"/>
                <w:lang w:val="en-US" w:eastAsia="zh-CN" w:bidi="ar"/>
              </w:rPr>
              <w:t>12</w:t>
            </w:r>
            <w:r>
              <w:rPr>
                <w:rFonts w:hint="eastAsia" w:ascii="Times New Roman" w:hAnsi="Calibri" w:eastAsia="宋体" w:cs="宋体"/>
                <w:bCs/>
                <w:color w:val="000000"/>
                <w:kern w:val="2"/>
                <w:sz w:val="24"/>
                <w:szCs w:val="24"/>
                <w:bdr w:val="none" w:color="auto" w:sz="0" w:space="0"/>
                <w:lang w:val="en-US" w:eastAsia="zh-CN" w:bidi="ar"/>
              </w:rPr>
              <w:t>月）</w:t>
            </w:r>
            <w:r>
              <w:rPr>
                <w:rFonts w:hint="eastAsia" w:ascii="Times New Roman" w:hAnsi="宋体" w:eastAsia="宋体" w:cs="宋体"/>
                <w:color w:val="000000"/>
                <w:kern w:val="2"/>
                <w:sz w:val="24"/>
                <w:szCs w:val="24"/>
                <w:bdr w:val="none" w:color="auto" w:sz="0" w:space="0"/>
                <w:lang w:val="en-US" w:eastAsia="zh-CN" w:bidi="ar"/>
              </w:rPr>
              <w:t>进行现有项目污染物排放及达标情况分析。</w:t>
            </w:r>
          </w:p>
          <w:p w14:paraId="0CAF929C">
            <w:pPr>
              <w:keepNext w:val="0"/>
              <w:keepLines w:val="0"/>
              <w:widowControl/>
              <w:suppressLineNumbers w:val="0"/>
              <w:spacing w:before="0" w:beforeAutospacing="0" w:after="0" w:afterAutospacing="0" w:line="440" w:lineRule="exact"/>
              <w:ind w:left="0" w:right="0" w:firstLine="482" w:firstLineChars="200"/>
              <w:jc w:val="both"/>
              <w:rPr>
                <w:rFonts w:hint="default" w:ascii="Times New Roman" w:hAnsi="宋体" w:cs="Times New Roman"/>
                <w:b/>
                <w:bCs w:val="0"/>
                <w:color w:val="000000"/>
                <w:sz w:val="24"/>
                <w:szCs w:val="24"/>
                <w:bdr w:val="none" w:color="auto" w:sz="0" w:space="0"/>
                <w:lang w:val="en-US"/>
              </w:rPr>
            </w:pPr>
            <w:r>
              <w:rPr>
                <w:rFonts w:hint="default" w:ascii="Times New Roman" w:hAnsi="宋体" w:eastAsia="宋体" w:cs="Times New Roman"/>
                <w:b/>
                <w:bCs w:val="0"/>
                <w:color w:val="000000"/>
                <w:kern w:val="2"/>
                <w:sz w:val="24"/>
                <w:szCs w:val="24"/>
                <w:bdr w:val="none" w:color="auto" w:sz="0" w:space="0"/>
                <w:lang w:val="en-US" w:eastAsia="zh-CN" w:bidi="ar"/>
              </w:rPr>
              <w:t>1</w:t>
            </w:r>
            <w:r>
              <w:rPr>
                <w:rFonts w:hint="eastAsia" w:ascii="Times New Roman" w:hAnsi="宋体" w:eastAsia="宋体" w:cs="宋体"/>
                <w:b/>
                <w:bCs w:val="0"/>
                <w:color w:val="000000"/>
                <w:kern w:val="2"/>
                <w:sz w:val="24"/>
                <w:szCs w:val="24"/>
                <w:bdr w:val="none" w:color="auto" w:sz="0" w:space="0"/>
                <w:lang w:val="en-US" w:eastAsia="zh-CN" w:bidi="ar"/>
              </w:rPr>
              <w:t>、废水</w:t>
            </w:r>
          </w:p>
          <w:p w14:paraId="23CD3339">
            <w:pPr>
              <w:keepNext w:val="0"/>
              <w:keepLines w:val="0"/>
              <w:widowControl w:val="0"/>
              <w:suppressLineNumbers w:val="0"/>
              <w:spacing w:before="0" w:beforeAutospacing="0" w:after="0" w:afterAutospacing="0" w:line="460" w:lineRule="exact"/>
              <w:ind w:left="0" w:right="0" w:firstLine="480" w:firstLineChars="200"/>
              <w:jc w:val="both"/>
              <w:rPr>
                <w:rFonts w:hint="default" w:ascii="Times New Roman" w:hAnsi="Calibri" w:cs="Times New Roman"/>
                <w:color w:val="000000"/>
                <w:sz w:val="24"/>
                <w:szCs w:val="24"/>
                <w:bdr w:val="none" w:color="auto" w:sz="0" w:space="0"/>
                <w:lang w:val="en-US"/>
              </w:rPr>
            </w:pPr>
            <w:r>
              <w:rPr>
                <w:rFonts w:hint="eastAsia" w:ascii="Calibri" w:hAnsi="宋体" w:eastAsia="宋体" w:cs="宋体"/>
                <w:color w:val="000000"/>
                <w:kern w:val="2"/>
                <w:sz w:val="24"/>
                <w:szCs w:val="24"/>
                <w:bdr w:val="none" w:color="auto" w:sz="0" w:space="0"/>
                <w:lang w:val="en-US" w:eastAsia="zh-CN" w:bidi="ar"/>
              </w:rPr>
              <w:t>现有项目无</w:t>
            </w:r>
            <w:r>
              <w:rPr>
                <w:rFonts w:hint="eastAsia" w:ascii="Calibri" w:hAnsi="Calibri" w:eastAsia="宋体" w:cs="宋体"/>
                <w:color w:val="000000"/>
                <w:kern w:val="2"/>
                <w:sz w:val="24"/>
                <w:szCs w:val="24"/>
                <w:bdr w:val="none" w:color="auto" w:sz="0" w:space="0"/>
                <w:lang w:val="en-US" w:eastAsia="zh-CN" w:bidi="ar"/>
              </w:rPr>
              <w:t>生产废水排放。员工生活污水依托盈田•合川工谷已建污水处理设施处理达《污水综合排放标准</w:t>
            </w:r>
            <w:r>
              <w:rPr>
                <w:rFonts w:hint="eastAsia" w:ascii="Times New Roman" w:hAnsi="Calibri"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GB8978-1996</w:t>
            </w:r>
            <w:r>
              <w:rPr>
                <w:rFonts w:hint="eastAsia" w:ascii="Times New Roman" w:hAnsi="Calibri" w:eastAsia="宋体" w:cs="宋体"/>
                <w:color w:val="000000"/>
                <w:kern w:val="2"/>
                <w:sz w:val="24"/>
                <w:szCs w:val="24"/>
                <w:bdr w:val="none" w:color="auto" w:sz="0" w:space="0"/>
                <w:lang w:val="en-US" w:eastAsia="zh-CN" w:bidi="ar"/>
              </w:rPr>
              <w:t>）</w:t>
            </w:r>
            <w:r>
              <w:rPr>
                <w:rFonts w:hint="eastAsia" w:ascii="Calibri" w:hAnsi="Calibri" w:eastAsia="宋体" w:cs="宋体"/>
                <w:color w:val="000000"/>
                <w:kern w:val="2"/>
                <w:sz w:val="24"/>
                <w:szCs w:val="24"/>
                <w:bdr w:val="none" w:color="auto" w:sz="0" w:space="0"/>
                <w:lang w:val="en-US" w:eastAsia="zh-CN" w:bidi="ar"/>
              </w:rPr>
              <w:t>三级标准后排入园区污水管网，经园区</w:t>
            </w:r>
            <w:r>
              <w:rPr>
                <w:rFonts w:hint="eastAsia" w:ascii="Times New Roman" w:hAnsi="Calibri" w:eastAsia="宋体" w:cs="宋体"/>
                <w:color w:val="000000"/>
                <w:kern w:val="2"/>
                <w:sz w:val="24"/>
                <w:szCs w:val="24"/>
                <w:bdr w:val="none" w:color="auto" w:sz="0" w:space="0"/>
                <w:lang w:val="en-US" w:eastAsia="zh-CN" w:bidi="ar"/>
              </w:rPr>
              <w:t>污水处理厂处理达《城镇污水处理厂污染物排放标准》</w:t>
            </w:r>
            <w:r>
              <w:rPr>
                <w:rFonts w:hint="default" w:ascii="Times New Roman" w:hAnsi="Times New Roman" w:eastAsia="宋体" w:cs="Times New Roman"/>
                <w:color w:val="000000"/>
                <w:kern w:val="2"/>
                <w:sz w:val="24"/>
                <w:szCs w:val="24"/>
                <w:bdr w:val="none" w:color="auto" w:sz="0" w:space="0"/>
                <w:lang w:val="en-US" w:eastAsia="zh-CN" w:bidi="ar"/>
              </w:rPr>
              <w:t>(GB18918-2002)</w:t>
            </w:r>
            <w:r>
              <w:rPr>
                <w:rFonts w:hint="eastAsia" w:ascii="Times New Roman" w:hAnsi="Calibri" w:eastAsia="宋体" w:cs="宋体"/>
                <w:color w:val="000000"/>
                <w:kern w:val="2"/>
                <w:sz w:val="24"/>
                <w:szCs w:val="24"/>
                <w:bdr w:val="none" w:color="auto" w:sz="0" w:space="0"/>
                <w:lang w:val="en-US" w:eastAsia="zh-CN" w:bidi="ar"/>
              </w:rPr>
              <w:t>一级</w:t>
            </w:r>
            <w:r>
              <w:rPr>
                <w:rFonts w:hint="default" w:ascii="Times New Roman" w:hAnsi="Times New Roman" w:eastAsia="宋体" w:cs="Times New Roman"/>
                <w:color w:val="000000"/>
                <w:kern w:val="2"/>
                <w:sz w:val="24"/>
                <w:szCs w:val="24"/>
                <w:bdr w:val="none" w:color="auto" w:sz="0" w:space="0"/>
                <w:lang w:val="en-US" w:eastAsia="zh-CN" w:bidi="ar"/>
              </w:rPr>
              <w:t>B</w:t>
            </w:r>
            <w:r>
              <w:rPr>
                <w:rFonts w:hint="eastAsia" w:ascii="Times New Roman" w:hAnsi="Calibri" w:eastAsia="宋体" w:cs="宋体"/>
                <w:color w:val="000000"/>
                <w:kern w:val="2"/>
                <w:sz w:val="24"/>
                <w:szCs w:val="24"/>
                <w:bdr w:val="none" w:color="auto" w:sz="0" w:space="0"/>
                <w:lang w:val="en-US" w:eastAsia="zh-CN" w:bidi="ar"/>
              </w:rPr>
              <w:t>标准排入嘉陵江。</w:t>
            </w:r>
          </w:p>
          <w:p w14:paraId="6C45853E">
            <w:pPr>
              <w:keepNext w:val="0"/>
              <w:keepLines w:val="0"/>
              <w:widowControl w:val="0"/>
              <w:suppressLineNumbers w:val="0"/>
              <w:spacing w:before="0" w:beforeAutospacing="0" w:after="0" w:afterAutospacing="0" w:line="460" w:lineRule="exact"/>
              <w:ind w:left="0" w:right="0" w:firstLine="480" w:firstLineChars="200"/>
              <w:jc w:val="both"/>
              <w:rPr>
                <w:color w:val="000000"/>
                <w:sz w:val="24"/>
                <w:szCs w:val="24"/>
                <w:bdr w:val="none" w:color="auto" w:sz="0" w:space="0"/>
                <w:lang w:val="en-US"/>
              </w:rPr>
            </w:pPr>
            <w:r>
              <w:rPr>
                <w:rFonts w:hint="eastAsia" w:ascii="Calibri" w:hAnsi="Calibri" w:eastAsia="宋体" w:cs="宋体"/>
                <w:color w:val="000000"/>
                <w:kern w:val="2"/>
                <w:sz w:val="24"/>
                <w:szCs w:val="24"/>
                <w:bdr w:val="none" w:color="auto" w:sz="0" w:space="0"/>
                <w:lang w:val="en-US" w:eastAsia="zh-CN" w:bidi="ar"/>
              </w:rPr>
              <w:t>盈田•合川工谷已建污水处理设施</w:t>
            </w:r>
            <w:r>
              <w:rPr>
                <w:rFonts w:hint="eastAsia" w:ascii="Times New Roman" w:hAnsi="Calibri" w:eastAsia="宋体" w:cs="宋体"/>
                <w:color w:val="000000"/>
                <w:kern w:val="2"/>
                <w:sz w:val="24"/>
                <w:szCs w:val="24"/>
                <w:bdr w:val="none" w:color="auto" w:sz="0" w:space="0"/>
                <w:lang w:val="en-US" w:eastAsia="zh-CN" w:bidi="ar"/>
              </w:rPr>
              <w:t>运维责任主体为重庆市合川信息安全产业发展有限公司，污水设施排污口由运维责任主体单位进行例行监测，据调查，污水处理设施排口废水能够达标排放。因</w:t>
            </w:r>
            <w:r>
              <w:rPr>
                <w:rFonts w:hint="eastAsia" w:ascii="Calibri" w:hAnsi="Calibri" w:eastAsia="宋体" w:cs="宋体"/>
                <w:color w:val="000000"/>
                <w:kern w:val="2"/>
                <w:sz w:val="24"/>
                <w:szCs w:val="24"/>
                <w:bdr w:val="none" w:color="auto" w:sz="0" w:space="0"/>
                <w:lang w:val="en-US" w:eastAsia="zh-CN" w:bidi="ar"/>
              </w:rPr>
              <w:t>已建污水处理设施为厂区内多家生产企业共同使用，无法区分明确现有项目实际废水排放量，故现有项目废水排放量参照环评核算及批复总量。</w:t>
            </w:r>
          </w:p>
          <w:p w14:paraId="16337405">
            <w:pPr>
              <w:keepNext w:val="0"/>
              <w:keepLines w:val="0"/>
              <w:widowControl/>
              <w:suppressLineNumbers w:val="0"/>
              <w:spacing w:before="0" w:beforeAutospacing="0" w:after="0" w:afterAutospacing="0" w:line="440" w:lineRule="exact"/>
              <w:ind w:left="0" w:right="0" w:firstLine="480" w:firstLineChars="200"/>
              <w:jc w:val="center"/>
              <w:rPr>
                <w:rFonts w:hint="default" w:ascii="Times New Roman" w:hAnsi="Times New Roman" w:cs="Times New Roman"/>
                <w:bCs/>
                <w:color w:val="000000"/>
                <w:sz w:val="24"/>
                <w:szCs w:val="24"/>
                <w:bdr w:val="none" w:color="auto" w:sz="0" w:space="0"/>
                <w:lang w:val="en-US"/>
              </w:rPr>
            </w:pPr>
            <w:r>
              <w:rPr>
                <w:rFonts w:hint="eastAsia" w:ascii="Times New Roman" w:hAnsi="Times New Roman" w:eastAsia="宋体" w:cs="宋体"/>
                <w:bCs/>
                <w:color w:val="000000"/>
                <w:kern w:val="2"/>
                <w:sz w:val="24"/>
                <w:szCs w:val="24"/>
                <w:bdr w:val="none" w:color="auto" w:sz="0" w:space="0"/>
                <w:lang w:val="en-US" w:eastAsia="zh-CN" w:bidi="ar"/>
              </w:rPr>
              <w:t>表</w:t>
            </w:r>
            <w:r>
              <w:rPr>
                <w:rFonts w:hint="default" w:ascii="Times New Roman" w:hAnsi="Times New Roman" w:eastAsia="宋体" w:cs="Times New Roman"/>
                <w:bCs/>
                <w:color w:val="000000"/>
                <w:kern w:val="2"/>
                <w:sz w:val="24"/>
                <w:szCs w:val="24"/>
                <w:bdr w:val="none" w:color="auto" w:sz="0" w:space="0"/>
                <w:lang w:val="en-US" w:eastAsia="zh-CN" w:bidi="ar"/>
              </w:rPr>
              <w:t xml:space="preserve">2.12-5 </w:t>
            </w:r>
            <w:r>
              <w:rPr>
                <w:rFonts w:hint="eastAsia" w:ascii="Times New Roman" w:hAnsi="Times New Roman" w:eastAsia="宋体" w:cs="宋体"/>
                <w:bCs/>
                <w:color w:val="000000"/>
                <w:kern w:val="2"/>
                <w:sz w:val="24"/>
                <w:szCs w:val="24"/>
                <w:bdr w:val="none" w:color="auto" w:sz="0" w:space="0"/>
                <w:lang w:val="en-US" w:eastAsia="zh-CN" w:bidi="ar"/>
              </w:rPr>
              <w:t>现有项目废水污染物排放达标情况</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Layout w:type="fixed"/>
              <w:tblCellMar>
                <w:top w:w="0" w:type="dxa"/>
                <w:left w:w="108" w:type="dxa"/>
                <w:bottom w:w="0" w:type="dxa"/>
                <w:right w:w="108" w:type="dxa"/>
              </w:tblCellMar>
            </w:tblPr>
            <w:tblGrid>
              <w:gridCol w:w="1599"/>
              <w:gridCol w:w="1695"/>
              <w:gridCol w:w="2976"/>
              <w:gridCol w:w="2115"/>
            </w:tblGrid>
            <w:tr w14:paraId="7C9BBA2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CellMar>
                  <w:top w:w="0" w:type="dxa"/>
                  <w:left w:w="108" w:type="dxa"/>
                  <w:bottom w:w="0" w:type="dxa"/>
                  <w:right w:w="108" w:type="dxa"/>
                </w:tblCellMar>
              </w:tblPrEx>
              <w:trPr>
                <w:trHeight w:val="57" w:hRule="atLeast"/>
                <w:tblHeader/>
                <w:jc w:val="center"/>
              </w:trPr>
              <w:tc>
                <w:tcPr>
                  <w:tcW w:w="1599" w:type="dxa"/>
                  <w:tcBorders>
                    <w:top w:val="single" w:color="auto" w:sz="12" w:space="0"/>
                    <w:left w:val="nil"/>
                    <w:bottom w:val="single" w:color="auto" w:sz="4" w:space="0"/>
                    <w:right w:val="single" w:color="auto" w:sz="4" w:space="0"/>
                  </w:tcBorders>
                  <w:shd w:val="clear"/>
                  <w:vAlign w:val="center"/>
                </w:tcPr>
                <w:p w14:paraId="6B450EB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污染源</w:t>
                  </w:r>
                </w:p>
              </w:tc>
              <w:tc>
                <w:tcPr>
                  <w:tcW w:w="1695" w:type="dxa"/>
                  <w:tcBorders>
                    <w:top w:val="single" w:color="auto" w:sz="12" w:space="0"/>
                    <w:left w:val="single" w:color="auto" w:sz="4" w:space="0"/>
                    <w:bottom w:val="single" w:color="auto" w:sz="4" w:space="0"/>
                    <w:right w:val="single" w:color="auto" w:sz="4" w:space="0"/>
                  </w:tcBorders>
                  <w:shd w:val="clear"/>
                  <w:vAlign w:val="center"/>
                </w:tcPr>
                <w:p w14:paraId="03A9749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污染物</w:t>
                  </w:r>
                </w:p>
              </w:tc>
              <w:tc>
                <w:tcPr>
                  <w:tcW w:w="2976" w:type="dxa"/>
                  <w:tcBorders>
                    <w:top w:val="single" w:color="auto" w:sz="12" w:space="0"/>
                    <w:left w:val="single" w:color="auto" w:sz="4" w:space="0"/>
                    <w:bottom w:val="single" w:color="auto" w:sz="4" w:space="0"/>
                    <w:right w:val="single" w:color="auto" w:sz="4" w:space="0"/>
                  </w:tcBorders>
                  <w:shd w:val="clear"/>
                  <w:vAlign w:val="center"/>
                </w:tcPr>
                <w:p w14:paraId="57E7ACE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外环境排放浓度限值</w:t>
                  </w:r>
                  <w:r>
                    <w:rPr>
                      <w:rFonts w:hint="default" w:ascii="Times New Roman" w:hAnsi="Times New Roman" w:eastAsia="宋体" w:cs="Times New Roman"/>
                      <w:color w:val="000000"/>
                      <w:kern w:val="2"/>
                      <w:sz w:val="21"/>
                      <w:szCs w:val="21"/>
                      <w:bdr w:val="none" w:color="auto" w:sz="0" w:space="0"/>
                      <w:lang w:val="en-US" w:eastAsia="zh-CN" w:bidi="ar"/>
                    </w:rPr>
                    <w:t>(mg/L)</w:t>
                  </w:r>
                </w:p>
              </w:tc>
              <w:tc>
                <w:tcPr>
                  <w:tcW w:w="2115" w:type="dxa"/>
                  <w:tcBorders>
                    <w:top w:val="single" w:color="auto" w:sz="12" w:space="0"/>
                    <w:left w:val="single" w:color="auto" w:sz="4" w:space="0"/>
                    <w:bottom w:val="single" w:color="auto" w:sz="4" w:space="0"/>
                    <w:right w:val="nil"/>
                  </w:tcBorders>
                  <w:shd w:val="clear"/>
                  <w:vAlign w:val="center"/>
                </w:tcPr>
                <w:p w14:paraId="23120B6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排入外环境</w:t>
                  </w:r>
                  <w:r>
                    <w:rPr>
                      <w:rFonts w:hint="default" w:ascii="Times New Roman" w:hAnsi="Times New Roman" w:eastAsia="宋体" w:cs="Times New Roman"/>
                      <w:color w:val="000000"/>
                      <w:kern w:val="2"/>
                      <w:sz w:val="21"/>
                      <w:szCs w:val="21"/>
                      <w:bdr w:val="none" w:color="auto" w:sz="0" w:space="0"/>
                      <w:lang w:val="en-US" w:eastAsia="zh-CN" w:bidi="ar"/>
                    </w:rPr>
                    <w:t>(t/a)</w:t>
                  </w:r>
                </w:p>
              </w:tc>
            </w:tr>
            <w:tr w14:paraId="6787AA0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99" w:type="dxa"/>
                  <w:vMerge w:val="restart"/>
                  <w:tcBorders>
                    <w:top w:val="single" w:color="auto" w:sz="4" w:space="0"/>
                    <w:left w:val="nil"/>
                    <w:bottom w:val="single" w:color="auto" w:sz="12" w:space="0"/>
                    <w:right w:val="single" w:color="auto" w:sz="4" w:space="0"/>
                  </w:tcBorders>
                  <w:shd w:val="clear"/>
                  <w:vAlign w:val="center"/>
                </w:tcPr>
                <w:p w14:paraId="23C98F0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生活污水（</w:t>
                  </w:r>
                  <w:r>
                    <w:rPr>
                      <w:rFonts w:hint="default" w:ascii="Times New Roman" w:hAnsi="Times New Roman" w:eastAsia="宋体" w:cs="Times New Roman"/>
                      <w:color w:val="000000"/>
                      <w:kern w:val="2"/>
                      <w:sz w:val="21"/>
                      <w:szCs w:val="21"/>
                      <w:bdr w:val="none" w:color="auto" w:sz="0" w:space="0"/>
                      <w:lang w:val="en-US" w:eastAsia="zh-CN" w:bidi="ar"/>
                    </w:rPr>
                    <w:t>750m</w:t>
                  </w:r>
                  <w:r>
                    <w:rPr>
                      <w:rFonts w:hint="default" w:ascii="Times New Roman" w:hAnsi="Times New Roman" w:eastAsia="宋体" w:cs="Times New Roman"/>
                      <w:color w:val="000000"/>
                      <w:kern w:val="2"/>
                      <w:sz w:val="21"/>
                      <w:szCs w:val="21"/>
                      <w:bdr w:val="none" w:color="auto" w:sz="0" w:space="0"/>
                      <w:vertAlign w:val="superscript"/>
                      <w:lang w:val="en-US" w:eastAsia="zh-CN" w:bidi="ar"/>
                    </w:rPr>
                    <w:t>3</w:t>
                  </w:r>
                  <w:r>
                    <w:rPr>
                      <w:rFonts w:hint="default" w:ascii="Times New Roman" w:hAnsi="Times New Roman" w:eastAsia="宋体" w:cs="Times New Roman"/>
                      <w:color w:val="000000"/>
                      <w:kern w:val="2"/>
                      <w:sz w:val="21"/>
                      <w:szCs w:val="21"/>
                      <w:bdr w:val="none" w:color="auto" w:sz="0" w:space="0"/>
                      <w:lang w:val="en-US" w:eastAsia="zh-CN" w:bidi="ar"/>
                    </w:rPr>
                    <w:t>/a</w:t>
                  </w:r>
                  <w:r>
                    <w:rPr>
                      <w:rFonts w:hint="eastAsia" w:ascii="Times New Roman" w:hAnsi="Times New Roman" w:eastAsia="宋体" w:cs="宋体"/>
                      <w:color w:val="000000"/>
                      <w:kern w:val="2"/>
                      <w:sz w:val="21"/>
                      <w:szCs w:val="21"/>
                      <w:bdr w:val="none" w:color="auto" w:sz="0" w:space="0"/>
                      <w:lang w:val="en-US" w:eastAsia="zh-CN" w:bidi="ar"/>
                    </w:rPr>
                    <w:t>）</w:t>
                  </w:r>
                </w:p>
              </w:tc>
              <w:tc>
                <w:tcPr>
                  <w:tcW w:w="1695" w:type="dxa"/>
                  <w:tcBorders>
                    <w:top w:val="single" w:color="auto" w:sz="4" w:space="0"/>
                    <w:left w:val="single" w:color="auto" w:sz="4" w:space="0"/>
                    <w:bottom w:val="single" w:color="auto" w:sz="4" w:space="0"/>
                    <w:right w:val="single" w:color="auto" w:sz="4" w:space="0"/>
                  </w:tcBorders>
                  <w:shd w:val="clear"/>
                  <w:vAlign w:val="center"/>
                </w:tcPr>
                <w:p w14:paraId="63D30284">
                  <w:pPr>
                    <w:pStyle w:val="28"/>
                    <w:widowControl/>
                    <w:rPr>
                      <w:color w:val="000000"/>
                      <w:bdr w:val="none" w:color="auto" w:sz="0" w:space="0"/>
                      <w:lang w:val="en-US"/>
                    </w:rPr>
                  </w:pPr>
                  <w:r>
                    <w:rPr>
                      <w:color w:val="000000"/>
                      <w:bdr w:val="none" w:color="auto" w:sz="0" w:space="0"/>
                      <w:lang w:val="en-US"/>
                    </w:rPr>
                    <w:t>COD</w:t>
                  </w:r>
                </w:p>
              </w:tc>
              <w:tc>
                <w:tcPr>
                  <w:tcW w:w="2976" w:type="dxa"/>
                  <w:tcBorders>
                    <w:top w:val="single" w:color="auto" w:sz="4" w:space="0"/>
                    <w:left w:val="single" w:color="auto" w:sz="4" w:space="0"/>
                    <w:bottom w:val="single" w:color="auto" w:sz="4" w:space="0"/>
                    <w:right w:val="single" w:color="auto" w:sz="4" w:space="0"/>
                  </w:tcBorders>
                  <w:shd w:val="clear"/>
                  <w:vAlign w:val="top"/>
                </w:tcPr>
                <w:p w14:paraId="10EFAED3">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60</w:t>
                  </w:r>
                </w:p>
              </w:tc>
              <w:tc>
                <w:tcPr>
                  <w:tcW w:w="2115" w:type="dxa"/>
                  <w:tcBorders>
                    <w:top w:val="single" w:color="auto" w:sz="4" w:space="0"/>
                    <w:left w:val="single" w:color="auto" w:sz="4" w:space="0"/>
                    <w:bottom w:val="single" w:color="auto" w:sz="4" w:space="0"/>
                    <w:right w:val="nil"/>
                  </w:tcBorders>
                  <w:shd w:val="clear"/>
                  <w:vAlign w:val="center"/>
                </w:tcPr>
                <w:p w14:paraId="48B28CF1">
                  <w:pPr>
                    <w:keepNext w:val="0"/>
                    <w:keepLines w:val="0"/>
                    <w:widowControl w:val="0"/>
                    <w:suppressLineNumbers w:val="0"/>
                    <w:spacing w:before="0" w:beforeAutospacing="0" w:after="0" w:afterAutospacing="0"/>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 xml:space="preserve">0.045 </w:t>
                  </w:r>
                </w:p>
              </w:tc>
            </w:tr>
            <w:tr w14:paraId="5D52676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99" w:type="dxa"/>
                  <w:vMerge w:val="continue"/>
                  <w:tcBorders>
                    <w:top w:val="single" w:color="auto" w:sz="4" w:space="0"/>
                    <w:left w:val="nil"/>
                    <w:bottom w:val="single" w:color="auto" w:sz="12" w:space="0"/>
                    <w:right w:val="single" w:color="auto" w:sz="4" w:space="0"/>
                  </w:tcBorders>
                  <w:shd w:val="clear"/>
                  <w:vAlign w:val="center"/>
                </w:tcPr>
                <w:p w14:paraId="4FA05AAC">
                  <w:pPr>
                    <w:rPr>
                      <w:rFonts w:hint="default" w:ascii="Calibri" w:hAnsi="Calibri" w:cs="Calibri"/>
                      <w:sz w:val="20"/>
                      <w:szCs w:val="20"/>
                    </w:rPr>
                  </w:pPr>
                </w:p>
              </w:tc>
              <w:tc>
                <w:tcPr>
                  <w:tcW w:w="1695" w:type="dxa"/>
                  <w:tcBorders>
                    <w:top w:val="single" w:color="auto" w:sz="4" w:space="0"/>
                    <w:left w:val="single" w:color="auto" w:sz="4" w:space="0"/>
                    <w:bottom w:val="single" w:color="auto" w:sz="4" w:space="0"/>
                    <w:right w:val="single" w:color="auto" w:sz="4" w:space="0"/>
                  </w:tcBorders>
                  <w:shd w:val="clear"/>
                  <w:vAlign w:val="center"/>
                </w:tcPr>
                <w:p w14:paraId="6E8C1F59">
                  <w:pPr>
                    <w:pStyle w:val="28"/>
                    <w:widowControl/>
                    <w:rPr>
                      <w:color w:val="000000"/>
                      <w:bdr w:val="none" w:color="auto" w:sz="0" w:space="0"/>
                      <w:lang w:val="en-US"/>
                    </w:rPr>
                  </w:pPr>
                  <w:r>
                    <w:rPr>
                      <w:color w:val="000000"/>
                      <w:bdr w:val="none" w:color="auto" w:sz="0" w:space="0"/>
                      <w:lang w:val="en-US"/>
                    </w:rPr>
                    <w:t>BOD</w:t>
                  </w:r>
                  <w:r>
                    <w:rPr>
                      <w:color w:val="000000"/>
                      <w:bdr w:val="none" w:color="auto" w:sz="0" w:space="0"/>
                      <w:vertAlign w:val="subscript"/>
                      <w:lang w:val="en-US"/>
                    </w:rPr>
                    <w:t>5</w:t>
                  </w:r>
                </w:p>
              </w:tc>
              <w:tc>
                <w:tcPr>
                  <w:tcW w:w="2976" w:type="dxa"/>
                  <w:tcBorders>
                    <w:top w:val="single" w:color="auto" w:sz="4" w:space="0"/>
                    <w:left w:val="single" w:color="auto" w:sz="4" w:space="0"/>
                    <w:bottom w:val="single" w:color="auto" w:sz="4" w:space="0"/>
                    <w:right w:val="single" w:color="auto" w:sz="4" w:space="0"/>
                  </w:tcBorders>
                  <w:shd w:val="clear"/>
                  <w:vAlign w:val="top"/>
                </w:tcPr>
                <w:p w14:paraId="0AF30221">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20</w:t>
                  </w:r>
                </w:p>
              </w:tc>
              <w:tc>
                <w:tcPr>
                  <w:tcW w:w="2115" w:type="dxa"/>
                  <w:tcBorders>
                    <w:top w:val="single" w:color="auto" w:sz="4" w:space="0"/>
                    <w:left w:val="single" w:color="auto" w:sz="4" w:space="0"/>
                    <w:bottom w:val="single" w:color="auto" w:sz="4" w:space="0"/>
                    <w:right w:val="nil"/>
                  </w:tcBorders>
                  <w:shd w:val="clear"/>
                  <w:vAlign w:val="center"/>
                </w:tcPr>
                <w:p w14:paraId="036A0D6A">
                  <w:pPr>
                    <w:keepNext w:val="0"/>
                    <w:keepLines w:val="0"/>
                    <w:widowControl w:val="0"/>
                    <w:suppressLineNumbers w:val="0"/>
                    <w:spacing w:before="0" w:beforeAutospacing="0" w:after="0" w:afterAutospacing="0"/>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 xml:space="preserve">0.015 </w:t>
                  </w:r>
                </w:p>
              </w:tc>
            </w:tr>
            <w:tr w14:paraId="7A262C5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99" w:type="dxa"/>
                  <w:vMerge w:val="continue"/>
                  <w:tcBorders>
                    <w:top w:val="single" w:color="auto" w:sz="4" w:space="0"/>
                    <w:left w:val="nil"/>
                    <w:bottom w:val="single" w:color="auto" w:sz="12" w:space="0"/>
                    <w:right w:val="single" w:color="auto" w:sz="4" w:space="0"/>
                  </w:tcBorders>
                  <w:shd w:val="clear"/>
                  <w:vAlign w:val="center"/>
                </w:tcPr>
                <w:p w14:paraId="539212F3">
                  <w:pPr>
                    <w:rPr>
                      <w:rFonts w:hint="default" w:ascii="Calibri" w:hAnsi="Calibri" w:cs="Calibri"/>
                      <w:sz w:val="20"/>
                      <w:szCs w:val="20"/>
                    </w:rPr>
                  </w:pPr>
                </w:p>
              </w:tc>
              <w:tc>
                <w:tcPr>
                  <w:tcW w:w="1695" w:type="dxa"/>
                  <w:tcBorders>
                    <w:top w:val="single" w:color="auto" w:sz="4" w:space="0"/>
                    <w:left w:val="single" w:color="auto" w:sz="4" w:space="0"/>
                    <w:bottom w:val="single" w:color="auto" w:sz="4" w:space="0"/>
                    <w:right w:val="single" w:color="auto" w:sz="4" w:space="0"/>
                  </w:tcBorders>
                  <w:shd w:val="clear"/>
                  <w:vAlign w:val="center"/>
                </w:tcPr>
                <w:p w14:paraId="5AB2FC78">
                  <w:pPr>
                    <w:pStyle w:val="28"/>
                    <w:widowControl/>
                    <w:rPr>
                      <w:color w:val="000000"/>
                      <w:bdr w:val="none" w:color="auto" w:sz="0" w:space="0"/>
                      <w:lang w:val="en-US"/>
                    </w:rPr>
                  </w:pPr>
                  <w:r>
                    <w:rPr>
                      <w:color w:val="000000"/>
                      <w:bdr w:val="none" w:color="auto" w:sz="0" w:space="0"/>
                      <w:lang w:val="en-US"/>
                    </w:rPr>
                    <w:t>SS</w:t>
                  </w:r>
                </w:p>
              </w:tc>
              <w:tc>
                <w:tcPr>
                  <w:tcW w:w="2976" w:type="dxa"/>
                  <w:tcBorders>
                    <w:top w:val="single" w:color="auto" w:sz="4" w:space="0"/>
                    <w:left w:val="single" w:color="auto" w:sz="4" w:space="0"/>
                    <w:bottom w:val="single" w:color="auto" w:sz="4" w:space="0"/>
                    <w:right w:val="single" w:color="auto" w:sz="4" w:space="0"/>
                  </w:tcBorders>
                  <w:shd w:val="clear"/>
                  <w:vAlign w:val="top"/>
                </w:tcPr>
                <w:p w14:paraId="6043E3B9">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20</w:t>
                  </w:r>
                </w:p>
              </w:tc>
              <w:tc>
                <w:tcPr>
                  <w:tcW w:w="2115" w:type="dxa"/>
                  <w:tcBorders>
                    <w:top w:val="single" w:color="auto" w:sz="4" w:space="0"/>
                    <w:left w:val="single" w:color="auto" w:sz="4" w:space="0"/>
                    <w:bottom w:val="single" w:color="auto" w:sz="4" w:space="0"/>
                    <w:right w:val="nil"/>
                  </w:tcBorders>
                  <w:shd w:val="clear"/>
                  <w:vAlign w:val="center"/>
                </w:tcPr>
                <w:p w14:paraId="7FF8052C">
                  <w:pPr>
                    <w:keepNext w:val="0"/>
                    <w:keepLines w:val="0"/>
                    <w:widowControl w:val="0"/>
                    <w:suppressLineNumbers w:val="0"/>
                    <w:spacing w:before="0" w:beforeAutospacing="0" w:after="0" w:afterAutospacing="0"/>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 xml:space="preserve">0.015 </w:t>
                  </w:r>
                </w:p>
              </w:tc>
            </w:tr>
            <w:tr w14:paraId="0DB082B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99" w:type="dxa"/>
                  <w:vMerge w:val="continue"/>
                  <w:tcBorders>
                    <w:top w:val="single" w:color="auto" w:sz="4" w:space="0"/>
                    <w:left w:val="nil"/>
                    <w:bottom w:val="single" w:color="auto" w:sz="12" w:space="0"/>
                    <w:right w:val="single" w:color="auto" w:sz="4" w:space="0"/>
                  </w:tcBorders>
                  <w:shd w:val="clear"/>
                  <w:vAlign w:val="center"/>
                </w:tcPr>
                <w:p w14:paraId="3DDD7CF1">
                  <w:pPr>
                    <w:rPr>
                      <w:rFonts w:hint="default" w:ascii="Calibri" w:hAnsi="Calibri" w:cs="Calibri"/>
                      <w:sz w:val="20"/>
                      <w:szCs w:val="20"/>
                    </w:rPr>
                  </w:pPr>
                </w:p>
              </w:tc>
              <w:tc>
                <w:tcPr>
                  <w:tcW w:w="1695" w:type="dxa"/>
                  <w:tcBorders>
                    <w:top w:val="single" w:color="auto" w:sz="4" w:space="0"/>
                    <w:left w:val="single" w:color="auto" w:sz="4" w:space="0"/>
                    <w:bottom w:val="single" w:color="auto" w:sz="12" w:space="0"/>
                    <w:right w:val="single" w:color="auto" w:sz="4" w:space="0"/>
                  </w:tcBorders>
                  <w:shd w:val="clear"/>
                  <w:vAlign w:val="center"/>
                </w:tcPr>
                <w:p w14:paraId="1F02E70F">
                  <w:pPr>
                    <w:pStyle w:val="28"/>
                    <w:widowControl/>
                    <w:rPr>
                      <w:color w:val="000000"/>
                      <w:bdr w:val="none" w:color="auto" w:sz="0" w:space="0"/>
                      <w:lang w:val="en-US"/>
                    </w:rPr>
                  </w:pPr>
                  <w:r>
                    <w:rPr>
                      <w:color w:val="000000"/>
                      <w:bdr w:val="none" w:color="auto" w:sz="0" w:space="0"/>
                      <w:lang w:val="en-US"/>
                    </w:rPr>
                    <w:t>NH</w:t>
                  </w:r>
                  <w:r>
                    <w:rPr>
                      <w:color w:val="000000"/>
                      <w:bdr w:val="none" w:color="auto" w:sz="0" w:space="0"/>
                      <w:vertAlign w:val="subscript"/>
                      <w:lang w:val="en-US"/>
                    </w:rPr>
                    <w:t>3</w:t>
                  </w:r>
                  <w:r>
                    <w:rPr>
                      <w:color w:val="000000"/>
                      <w:bdr w:val="none" w:color="auto" w:sz="0" w:space="0"/>
                      <w:lang w:val="en-US"/>
                    </w:rPr>
                    <w:t>-N</w:t>
                  </w:r>
                </w:p>
              </w:tc>
              <w:tc>
                <w:tcPr>
                  <w:tcW w:w="2976" w:type="dxa"/>
                  <w:tcBorders>
                    <w:top w:val="single" w:color="auto" w:sz="4" w:space="0"/>
                    <w:left w:val="single" w:color="auto" w:sz="4" w:space="0"/>
                    <w:bottom w:val="single" w:color="auto" w:sz="12" w:space="0"/>
                    <w:right w:val="single" w:color="auto" w:sz="4" w:space="0"/>
                  </w:tcBorders>
                  <w:shd w:val="clear"/>
                  <w:vAlign w:val="top"/>
                </w:tcPr>
                <w:p w14:paraId="7B0CFB95">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8</w:t>
                  </w:r>
                </w:p>
              </w:tc>
              <w:tc>
                <w:tcPr>
                  <w:tcW w:w="2115" w:type="dxa"/>
                  <w:tcBorders>
                    <w:top w:val="single" w:color="auto" w:sz="4" w:space="0"/>
                    <w:left w:val="single" w:color="auto" w:sz="4" w:space="0"/>
                    <w:bottom w:val="single" w:color="auto" w:sz="12" w:space="0"/>
                    <w:right w:val="nil"/>
                  </w:tcBorders>
                  <w:shd w:val="clear"/>
                  <w:vAlign w:val="center"/>
                </w:tcPr>
                <w:p w14:paraId="0017242B">
                  <w:pPr>
                    <w:keepNext w:val="0"/>
                    <w:keepLines w:val="0"/>
                    <w:widowControl w:val="0"/>
                    <w:suppressLineNumbers w:val="0"/>
                    <w:spacing w:before="0" w:beforeAutospacing="0" w:after="0" w:afterAutospacing="0"/>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 xml:space="preserve">0.006 </w:t>
                  </w:r>
                </w:p>
              </w:tc>
            </w:tr>
          </w:tbl>
          <w:p w14:paraId="04601AD0">
            <w:pPr>
              <w:keepNext w:val="0"/>
              <w:keepLines w:val="0"/>
              <w:widowControl/>
              <w:suppressLineNumbers w:val="0"/>
              <w:spacing w:before="0" w:beforeAutospacing="0" w:after="0" w:afterAutospacing="0" w:line="440" w:lineRule="exact"/>
              <w:ind w:left="0" w:right="0" w:firstLine="482" w:firstLineChars="200"/>
              <w:jc w:val="both"/>
              <w:rPr>
                <w:rFonts w:hint="default" w:ascii="Times New Roman" w:hAnsi="宋体" w:cs="Times New Roman"/>
                <w:b/>
                <w:bCs w:val="0"/>
                <w:color w:val="000000"/>
                <w:sz w:val="24"/>
                <w:szCs w:val="24"/>
                <w:bdr w:val="none" w:color="auto" w:sz="0" w:space="0"/>
                <w:lang w:val="en-US"/>
              </w:rPr>
            </w:pPr>
            <w:r>
              <w:rPr>
                <w:rFonts w:hint="default" w:ascii="Times New Roman" w:hAnsi="宋体" w:eastAsia="宋体" w:cs="Times New Roman"/>
                <w:b/>
                <w:bCs w:val="0"/>
                <w:color w:val="000000"/>
                <w:kern w:val="2"/>
                <w:sz w:val="24"/>
                <w:szCs w:val="24"/>
                <w:bdr w:val="none" w:color="auto" w:sz="0" w:space="0"/>
                <w:lang w:val="en-US" w:eastAsia="zh-CN" w:bidi="ar"/>
              </w:rPr>
              <w:t>2</w:t>
            </w:r>
            <w:r>
              <w:rPr>
                <w:rFonts w:hint="eastAsia" w:ascii="Times New Roman" w:hAnsi="宋体" w:eastAsia="宋体" w:cs="宋体"/>
                <w:b/>
                <w:bCs w:val="0"/>
                <w:color w:val="000000"/>
                <w:kern w:val="2"/>
                <w:sz w:val="24"/>
                <w:szCs w:val="24"/>
                <w:bdr w:val="none" w:color="auto" w:sz="0" w:space="0"/>
                <w:lang w:val="en-US" w:eastAsia="zh-CN" w:bidi="ar"/>
              </w:rPr>
              <w:t>、废气</w:t>
            </w:r>
          </w:p>
          <w:p w14:paraId="6C7818D1">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w:t>
            </w:r>
            <w:r>
              <w:rPr>
                <w:rFonts w:hint="default" w:ascii="Times New Roman" w:hAnsi="宋体" w:eastAsia="宋体" w:cs="Times New Roman"/>
                <w:color w:val="000000"/>
                <w:kern w:val="2"/>
                <w:sz w:val="24"/>
                <w:szCs w:val="24"/>
                <w:bdr w:val="none" w:color="auto" w:sz="0" w:space="0"/>
                <w:lang w:val="en-US" w:eastAsia="zh-CN" w:bidi="ar"/>
              </w:rPr>
              <w:t>1</w:t>
            </w:r>
            <w:r>
              <w:rPr>
                <w:rFonts w:hint="eastAsia" w:ascii="Times New Roman" w:hAnsi="宋体" w:eastAsia="宋体" w:cs="宋体"/>
                <w:color w:val="000000"/>
                <w:kern w:val="2"/>
                <w:sz w:val="24"/>
                <w:szCs w:val="24"/>
                <w:bdr w:val="none" w:color="auto" w:sz="0" w:space="0"/>
                <w:lang w:val="en-US" w:eastAsia="zh-CN" w:bidi="ar"/>
              </w:rPr>
              <w:t>）废气治理措施及排放标准</w:t>
            </w:r>
          </w:p>
          <w:p w14:paraId="28BEF406">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涂胶、激光切割废气收集后一同经</w:t>
            </w:r>
            <w:r>
              <w:rPr>
                <w:rFonts w:hint="default" w:ascii="Times New Roman" w:hAnsi="宋体" w:eastAsia="宋体" w:cs="Times New Roman"/>
                <w:color w:val="000000"/>
                <w:kern w:val="2"/>
                <w:sz w:val="24"/>
                <w:szCs w:val="24"/>
                <w:bdr w:val="none" w:color="auto" w:sz="0" w:space="0"/>
                <w:lang w:val="en-US" w:eastAsia="zh-CN" w:bidi="ar"/>
              </w:rPr>
              <w:t>1</w:t>
            </w:r>
            <w:r>
              <w:rPr>
                <w:rFonts w:hint="eastAsia" w:ascii="Times New Roman" w:hAnsi="宋体" w:eastAsia="宋体" w:cs="宋体"/>
                <w:color w:val="000000"/>
                <w:kern w:val="2"/>
                <w:sz w:val="24"/>
                <w:szCs w:val="24"/>
                <w:bdr w:val="none" w:color="auto" w:sz="0" w:space="0"/>
                <w:lang w:val="en-US" w:eastAsia="zh-CN" w:bidi="ar"/>
              </w:rPr>
              <w:t>套“布袋除尘器</w:t>
            </w:r>
            <w:r>
              <w:rPr>
                <w:rFonts w:hint="default" w:ascii="Times New Roman" w:hAnsi="宋体" w:eastAsia="宋体" w:cs="Times New Roman"/>
                <w:color w:val="000000"/>
                <w:kern w:val="2"/>
                <w:sz w:val="24"/>
                <w:szCs w:val="24"/>
                <w:bdr w:val="none" w:color="auto" w:sz="0" w:space="0"/>
                <w:lang w:val="en-US" w:eastAsia="zh-CN" w:bidi="ar"/>
              </w:rPr>
              <w:t>+UV</w:t>
            </w:r>
            <w:r>
              <w:rPr>
                <w:rFonts w:hint="eastAsia" w:ascii="Times New Roman" w:hAnsi="宋体" w:eastAsia="宋体" w:cs="宋体"/>
                <w:color w:val="000000"/>
                <w:kern w:val="2"/>
                <w:sz w:val="24"/>
                <w:szCs w:val="24"/>
                <w:bdr w:val="none" w:color="auto" w:sz="0" w:space="0"/>
                <w:lang w:val="en-US" w:eastAsia="zh-CN" w:bidi="ar"/>
              </w:rPr>
              <w:t>光解</w:t>
            </w:r>
            <w:r>
              <w:rPr>
                <w:rFonts w:hint="default" w:ascii="Times New Roman" w:hAnsi="宋体" w:eastAsia="宋体" w:cs="Times New Roman"/>
                <w:color w:val="000000"/>
                <w:kern w:val="2"/>
                <w:sz w:val="24"/>
                <w:szCs w:val="24"/>
                <w:bdr w:val="none" w:color="auto" w:sz="0" w:space="0"/>
                <w:lang w:val="en-US" w:eastAsia="zh-CN" w:bidi="ar"/>
              </w:rPr>
              <w:t>+</w:t>
            </w:r>
            <w:r>
              <w:rPr>
                <w:rFonts w:hint="eastAsia" w:ascii="Times New Roman" w:hAnsi="宋体" w:eastAsia="宋体" w:cs="宋体"/>
                <w:color w:val="000000"/>
                <w:kern w:val="2"/>
                <w:sz w:val="24"/>
                <w:szCs w:val="24"/>
                <w:bdr w:val="none" w:color="auto" w:sz="0" w:space="0"/>
                <w:lang w:val="en-US" w:eastAsia="zh-CN" w:bidi="ar"/>
              </w:rPr>
              <w:t>活性炭吸附”设施处理达</w:t>
            </w:r>
            <w:r>
              <w:rPr>
                <w:rFonts w:hint="eastAsia" w:ascii="Times New Roman" w:hAnsi="Times New Roman" w:eastAsia="宋体" w:cs="宋体"/>
                <w:color w:val="000000"/>
                <w:kern w:val="2"/>
                <w:sz w:val="24"/>
                <w:szCs w:val="24"/>
                <w:bdr w:val="none" w:color="auto" w:sz="0" w:space="0"/>
                <w:lang w:val="en-US" w:eastAsia="zh-CN" w:bidi="ar"/>
              </w:rPr>
              <w:t>《合成树脂工业污染物排放标准》（</w:t>
            </w:r>
            <w:r>
              <w:rPr>
                <w:rFonts w:hint="default" w:ascii="Times New Roman" w:hAnsi="Times New Roman" w:eastAsia="宋体" w:cs="Times New Roman"/>
                <w:color w:val="000000"/>
                <w:kern w:val="2"/>
                <w:sz w:val="24"/>
                <w:szCs w:val="24"/>
                <w:bdr w:val="none" w:color="auto" w:sz="0" w:space="0"/>
                <w:lang w:val="en-US" w:eastAsia="zh-CN" w:bidi="ar"/>
              </w:rPr>
              <w:t>GB 31572-2015</w:t>
            </w:r>
            <w:r>
              <w:rPr>
                <w:rFonts w:hint="eastAsia" w:ascii="Times New Roman" w:hAnsi="Times New Roman" w:eastAsia="宋体" w:cs="宋体"/>
                <w:color w:val="000000"/>
                <w:kern w:val="2"/>
                <w:sz w:val="24"/>
                <w:szCs w:val="24"/>
                <w:bdr w:val="none" w:color="auto" w:sz="0" w:space="0"/>
                <w:lang w:val="en-US" w:eastAsia="zh-CN" w:bidi="ar"/>
              </w:rPr>
              <w:t>）标准</w:t>
            </w:r>
            <w:r>
              <w:rPr>
                <w:rFonts w:hint="eastAsia" w:ascii="Times New Roman" w:hAnsi="宋体" w:eastAsia="宋体" w:cs="宋体"/>
                <w:color w:val="000000"/>
                <w:kern w:val="2"/>
                <w:sz w:val="24"/>
                <w:szCs w:val="24"/>
                <w:bdr w:val="none" w:color="auto" w:sz="0" w:space="0"/>
                <w:lang w:val="en-US" w:eastAsia="zh-CN" w:bidi="ar"/>
              </w:rPr>
              <w:t>后由</w:t>
            </w:r>
            <w:r>
              <w:rPr>
                <w:rFonts w:hint="default" w:ascii="Times New Roman" w:hAnsi="宋体" w:eastAsia="宋体" w:cs="Times New Roman"/>
                <w:color w:val="000000"/>
                <w:kern w:val="2"/>
                <w:sz w:val="24"/>
                <w:szCs w:val="24"/>
                <w:bdr w:val="none" w:color="auto" w:sz="0" w:space="0"/>
                <w:lang w:val="en-US" w:eastAsia="zh-CN" w:bidi="ar"/>
              </w:rPr>
              <w:t>1</w:t>
            </w:r>
            <w:r>
              <w:rPr>
                <w:rFonts w:hint="eastAsia" w:ascii="Times New Roman" w:hAnsi="宋体" w:eastAsia="宋体" w:cs="宋体"/>
                <w:color w:val="000000"/>
                <w:kern w:val="2"/>
                <w:sz w:val="24"/>
                <w:szCs w:val="24"/>
                <w:bdr w:val="none" w:color="auto" w:sz="0" w:space="0"/>
                <w:lang w:val="en-US" w:eastAsia="zh-CN" w:bidi="ar"/>
              </w:rPr>
              <w:t>根</w:t>
            </w:r>
            <w:r>
              <w:rPr>
                <w:rFonts w:hint="default" w:ascii="Times New Roman" w:hAnsi="宋体" w:eastAsia="宋体" w:cs="Times New Roman"/>
                <w:color w:val="000000"/>
                <w:kern w:val="2"/>
                <w:sz w:val="24"/>
                <w:szCs w:val="24"/>
                <w:bdr w:val="none" w:color="auto" w:sz="0" w:space="0"/>
                <w:lang w:val="en-US" w:eastAsia="zh-CN" w:bidi="ar"/>
              </w:rPr>
              <w:t>20m</w:t>
            </w:r>
            <w:r>
              <w:rPr>
                <w:rFonts w:hint="eastAsia" w:ascii="Times New Roman" w:hAnsi="宋体" w:eastAsia="宋体" w:cs="宋体"/>
                <w:color w:val="000000"/>
                <w:kern w:val="2"/>
                <w:sz w:val="24"/>
                <w:szCs w:val="24"/>
                <w:bdr w:val="none" w:color="auto" w:sz="0" w:space="0"/>
                <w:lang w:val="en-US" w:eastAsia="zh-CN" w:bidi="ar"/>
              </w:rPr>
              <w:t>高</w:t>
            </w:r>
            <w:r>
              <w:rPr>
                <w:rFonts w:hint="default" w:ascii="Times New Roman" w:hAnsi="宋体" w:eastAsia="宋体" w:cs="Times New Roman"/>
                <w:color w:val="000000"/>
                <w:kern w:val="2"/>
                <w:sz w:val="24"/>
                <w:szCs w:val="24"/>
                <w:bdr w:val="none" w:color="auto" w:sz="0" w:space="0"/>
                <w:lang w:val="en-US" w:eastAsia="zh-CN" w:bidi="ar"/>
              </w:rPr>
              <w:t>DA001</w:t>
            </w:r>
            <w:r>
              <w:rPr>
                <w:rFonts w:hint="eastAsia" w:ascii="Times New Roman" w:hAnsi="宋体" w:eastAsia="宋体" w:cs="宋体"/>
                <w:color w:val="000000"/>
                <w:kern w:val="2"/>
                <w:sz w:val="24"/>
                <w:szCs w:val="24"/>
                <w:bdr w:val="none" w:color="auto" w:sz="0" w:space="0"/>
                <w:lang w:val="en-US" w:eastAsia="zh-CN" w:bidi="ar"/>
              </w:rPr>
              <w:t>排气筒排放。</w:t>
            </w:r>
            <w:r>
              <w:rPr>
                <w:rFonts w:hint="default" w:ascii="Times New Roman" w:hAnsi="宋体" w:eastAsia="宋体" w:cs="Times New Roman"/>
                <w:color w:val="000000"/>
                <w:kern w:val="2"/>
                <w:sz w:val="24"/>
                <w:szCs w:val="24"/>
                <w:bdr w:val="none" w:color="auto" w:sz="0" w:space="0"/>
                <w:lang w:val="en-US" w:eastAsia="zh-CN" w:bidi="ar"/>
              </w:rPr>
              <w:t xml:space="preserve"> </w:t>
            </w:r>
          </w:p>
          <w:p w14:paraId="218767F1">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云母板雕刻及打磨粉尘经收集后经</w:t>
            </w:r>
            <w:r>
              <w:rPr>
                <w:rFonts w:hint="default" w:ascii="Times New Roman" w:hAnsi="宋体" w:eastAsia="宋体" w:cs="Times New Roman"/>
                <w:color w:val="000000"/>
                <w:kern w:val="2"/>
                <w:sz w:val="24"/>
                <w:szCs w:val="24"/>
                <w:bdr w:val="none" w:color="auto" w:sz="0" w:space="0"/>
                <w:lang w:val="en-US" w:eastAsia="zh-CN" w:bidi="ar"/>
              </w:rPr>
              <w:t>1</w:t>
            </w:r>
            <w:r>
              <w:rPr>
                <w:rFonts w:hint="eastAsia" w:ascii="Times New Roman" w:hAnsi="宋体" w:eastAsia="宋体" w:cs="宋体"/>
                <w:color w:val="000000"/>
                <w:kern w:val="2"/>
                <w:sz w:val="24"/>
                <w:szCs w:val="24"/>
                <w:bdr w:val="none" w:color="auto" w:sz="0" w:space="0"/>
                <w:lang w:val="en-US" w:eastAsia="zh-CN" w:bidi="ar"/>
              </w:rPr>
              <w:t>套“旋风除尘器</w:t>
            </w:r>
            <w:r>
              <w:rPr>
                <w:rFonts w:hint="default" w:ascii="Times New Roman" w:hAnsi="宋体" w:eastAsia="宋体" w:cs="Times New Roman"/>
                <w:color w:val="000000"/>
                <w:kern w:val="2"/>
                <w:sz w:val="24"/>
                <w:szCs w:val="24"/>
                <w:bdr w:val="none" w:color="auto" w:sz="0" w:space="0"/>
                <w:lang w:val="en-US" w:eastAsia="zh-CN" w:bidi="ar"/>
              </w:rPr>
              <w:t>+</w:t>
            </w:r>
            <w:r>
              <w:rPr>
                <w:rFonts w:hint="eastAsia" w:ascii="Times New Roman" w:hAnsi="宋体" w:eastAsia="宋体" w:cs="宋体"/>
                <w:color w:val="000000"/>
                <w:kern w:val="2"/>
                <w:sz w:val="24"/>
                <w:szCs w:val="24"/>
                <w:bdr w:val="none" w:color="auto" w:sz="0" w:space="0"/>
                <w:lang w:val="en-US" w:eastAsia="zh-CN" w:bidi="ar"/>
              </w:rPr>
              <w:t>布袋除尘器”设施处理达《大气污染物综合排放标准》（</w:t>
            </w:r>
            <w:r>
              <w:rPr>
                <w:rFonts w:hint="default" w:ascii="Times New Roman" w:hAnsi="宋体" w:eastAsia="宋体" w:cs="Times New Roman"/>
                <w:color w:val="000000"/>
                <w:kern w:val="2"/>
                <w:sz w:val="24"/>
                <w:szCs w:val="24"/>
                <w:bdr w:val="none" w:color="auto" w:sz="0" w:space="0"/>
                <w:lang w:val="en-US" w:eastAsia="zh-CN" w:bidi="ar"/>
              </w:rPr>
              <w:t>DB 50/418-2016</w:t>
            </w:r>
            <w:r>
              <w:rPr>
                <w:rFonts w:hint="eastAsia" w:ascii="Times New Roman" w:hAnsi="宋体" w:eastAsia="宋体" w:cs="宋体"/>
                <w:color w:val="000000"/>
                <w:kern w:val="2"/>
                <w:sz w:val="24"/>
                <w:szCs w:val="24"/>
                <w:bdr w:val="none" w:color="auto" w:sz="0" w:space="0"/>
                <w:lang w:val="en-US" w:eastAsia="zh-CN" w:bidi="ar"/>
              </w:rPr>
              <w:t>）标准后由</w:t>
            </w:r>
            <w:r>
              <w:rPr>
                <w:rFonts w:hint="default" w:ascii="Times New Roman" w:hAnsi="宋体" w:eastAsia="宋体" w:cs="Times New Roman"/>
                <w:color w:val="000000"/>
                <w:kern w:val="2"/>
                <w:sz w:val="24"/>
                <w:szCs w:val="24"/>
                <w:bdr w:val="none" w:color="auto" w:sz="0" w:space="0"/>
                <w:lang w:val="en-US" w:eastAsia="zh-CN" w:bidi="ar"/>
              </w:rPr>
              <w:t>1</w:t>
            </w:r>
            <w:r>
              <w:rPr>
                <w:rFonts w:hint="eastAsia" w:ascii="Times New Roman" w:hAnsi="宋体" w:eastAsia="宋体" w:cs="宋体"/>
                <w:color w:val="000000"/>
                <w:kern w:val="2"/>
                <w:sz w:val="24"/>
                <w:szCs w:val="24"/>
                <w:bdr w:val="none" w:color="auto" w:sz="0" w:space="0"/>
                <w:lang w:val="en-US" w:eastAsia="zh-CN" w:bidi="ar"/>
              </w:rPr>
              <w:t>根</w:t>
            </w:r>
            <w:r>
              <w:rPr>
                <w:rFonts w:hint="default" w:ascii="Times New Roman" w:hAnsi="宋体" w:eastAsia="宋体" w:cs="Times New Roman"/>
                <w:color w:val="000000"/>
                <w:kern w:val="2"/>
                <w:sz w:val="24"/>
                <w:szCs w:val="24"/>
                <w:bdr w:val="none" w:color="auto" w:sz="0" w:space="0"/>
                <w:lang w:val="en-US" w:eastAsia="zh-CN" w:bidi="ar"/>
              </w:rPr>
              <w:t>20m</w:t>
            </w:r>
            <w:r>
              <w:rPr>
                <w:rFonts w:hint="eastAsia" w:ascii="Times New Roman" w:hAnsi="宋体" w:eastAsia="宋体" w:cs="宋体"/>
                <w:color w:val="000000"/>
                <w:kern w:val="2"/>
                <w:sz w:val="24"/>
                <w:szCs w:val="24"/>
                <w:bdr w:val="none" w:color="auto" w:sz="0" w:space="0"/>
                <w:lang w:val="en-US" w:eastAsia="zh-CN" w:bidi="ar"/>
              </w:rPr>
              <w:t>高</w:t>
            </w:r>
            <w:r>
              <w:rPr>
                <w:rFonts w:hint="default" w:ascii="Times New Roman" w:hAnsi="宋体" w:eastAsia="宋体" w:cs="Times New Roman"/>
                <w:color w:val="000000"/>
                <w:kern w:val="2"/>
                <w:sz w:val="24"/>
                <w:szCs w:val="24"/>
                <w:bdr w:val="none" w:color="auto" w:sz="0" w:space="0"/>
                <w:lang w:val="en-US" w:eastAsia="zh-CN" w:bidi="ar"/>
              </w:rPr>
              <w:t>DA002</w:t>
            </w:r>
            <w:r>
              <w:rPr>
                <w:rFonts w:hint="eastAsia" w:ascii="Times New Roman" w:hAnsi="宋体" w:eastAsia="宋体" w:cs="宋体"/>
                <w:color w:val="000000"/>
                <w:kern w:val="2"/>
                <w:sz w:val="24"/>
                <w:szCs w:val="24"/>
                <w:bdr w:val="none" w:color="auto" w:sz="0" w:space="0"/>
                <w:lang w:val="en-US" w:eastAsia="zh-CN" w:bidi="ar"/>
              </w:rPr>
              <w:t>排气筒排放。</w:t>
            </w:r>
          </w:p>
          <w:p w14:paraId="25061173">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w:t>
            </w:r>
            <w:r>
              <w:rPr>
                <w:rFonts w:hint="default" w:ascii="Times New Roman" w:hAnsi="宋体" w:eastAsia="宋体" w:cs="Times New Roman"/>
                <w:color w:val="000000"/>
                <w:kern w:val="2"/>
                <w:sz w:val="24"/>
                <w:szCs w:val="24"/>
                <w:bdr w:val="none" w:color="auto" w:sz="0" w:space="0"/>
                <w:lang w:val="en-US" w:eastAsia="zh-CN" w:bidi="ar"/>
              </w:rPr>
              <w:t>2</w:t>
            </w:r>
            <w:r>
              <w:rPr>
                <w:rFonts w:hint="eastAsia" w:ascii="Times New Roman" w:hAnsi="宋体" w:eastAsia="宋体" w:cs="宋体"/>
                <w:color w:val="000000"/>
                <w:kern w:val="2"/>
                <w:sz w:val="24"/>
                <w:szCs w:val="24"/>
                <w:bdr w:val="none" w:color="auto" w:sz="0" w:space="0"/>
                <w:lang w:val="en-US" w:eastAsia="zh-CN" w:bidi="ar"/>
              </w:rPr>
              <w:t>）废气排放情况</w:t>
            </w:r>
          </w:p>
          <w:p w14:paraId="5D131624">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根据企业</w:t>
            </w:r>
            <w:r>
              <w:rPr>
                <w:rFonts w:hint="default" w:ascii="Times New Roman" w:hAnsi="宋体" w:eastAsia="宋体" w:cs="Times New Roman"/>
                <w:color w:val="000000"/>
                <w:kern w:val="2"/>
                <w:sz w:val="24"/>
                <w:szCs w:val="24"/>
                <w:bdr w:val="none" w:color="auto" w:sz="0" w:space="0"/>
                <w:lang w:val="en-US" w:eastAsia="zh-CN" w:bidi="ar"/>
              </w:rPr>
              <w:t>2023</w:t>
            </w:r>
            <w:r>
              <w:rPr>
                <w:rFonts w:hint="eastAsia" w:ascii="Times New Roman" w:hAnsi="宋体" w:eastAsia="宋体" w:cs="宋体"/>
                <w:color w:val="000000"/>
                <w:kern w:val="2"/>
                <w:sz w:val="24"/>
                <w:szCs w:val="24"/>
                <w:bdr w:val="none" w:color="auto" w:sz="0" w:space="0"/>
                <w:lang w:val="en-US" w:eastAsia="zh-CN" w:bidi="ar"/>
              </w:rPr>
              <w:t>年</w:t>
            </w:r>
            <w:r>
              <w:rPr>
                <w:rFonts w:hint="default" w:ascii="Times New Roman" w:hAnsi="宋体" w:eastAsia="宋体" w:cs="Times New Roman"/>
                <w:color w:val="000000"/>
                <w:kern w:val="2"/>
                <w:sz w:val="24"/>
                <w:szCs w:val="24"/>
                <w:bdr w:val="none" w:color="auto" w:sz="0" w:space="0"/>
                <w:lang w:val="en-US" w:eastAsia="zh-CN" w:bidi="ar"/>
              </w:rPr>
              <w:t>12</w:t>
            </w:r>
            <w:r>
              <w:rPr>
                <w:rFonts w:hint="eastAsia" w:ascii="Times New Roman" w:hAnsi="宋体" w:eastAsia="宋体" w:cs="宋体"/>
                <w:color w:val="000000"/>
                <w:kern w:val="2"/>
                <w:sz w:val="24"/>
                <w:szCs w:val="24"/>
                <w:bdr w:val="none" w:color="auto" w:sz="0" w:space="0"/>
                <w:lang w:val="en-US" w:eastAsia="zh-CN" w:bidi="ar"/>
              </w:rPr>
              <w:t>月竣工验收监测数据核算现有项目生产废气排放情况，见下表。</w:t>
            </w:r>
          </w:p>
          <w:p w14:paraId="709F3916">
            <w:pPr>
              <w:keepNext w:val="0"/>
              <w:keepLines w:val="0"/>
              <w:widowControl/>
              <w:suppressLineNumbers w:val="0"/>
              <w:spacing w:before="0" w:beforeAutospacing="0" w:after="0" w:afterAutospacing="0" w:line="440" w:lineRule="exact"/>
              <w:ind w:left="0" w:right="0" w:firstLine="480" w:firstLineChars="200"/>
              <w:jc w:val="center"/>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表</w:t>
            </w:r>
            <w:r>
              <w:rPr>
                <w:rFonts w:hint="default" w:ascii="Times New Roman" w:hAnsi="宋体" w:eastAsia="宋体" w:cs="Times New Roman"/>
                <w:color w:val="000000"/>
                <w:kern w:val="2"/>
                <w:sz w:val="24"/>
                <w:szCs w:val="24"/>
                <w:bdr w:val="none" w:color="auto" w:sz="0" w:space="0"/>
                <w:lang w:val="en-US" w:eastAsia="zh-CN" w:bidi="ar"/>
              </w:rPr>
              <w:t xml:space="preserve">2.12-6  </w:t>
            </w:r>
            <w:r>
              <w:rPr>
                <w:rFonts w:hint="eastAsia" w:ascii="Times New Roman" w:hAnsi="宋体" w:eastAsia="宋体" w:cs="宋体"/>
                <w:color w:val="000000"/>
                <w:kern w:val="2"/>
                <w:sz w:val="24"/>
                <w:szCs w:val="24"/>
                <w:bdr w:val="none" w:color="auto" w:sz="0" w:space="0"/>
                <w:lang w:val="en-US" w:eastAsia="zh-CN" w:bidi="ar"/>
              </w:rPr>
              <w:t>现有项目废气有组织排放情况</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tblLayout w:type="fixed"/>
              <w:tblCellMar>
                <w:top w:w="0" w:type="dxa"/>
                <w:left w:w="108" w:type="dxa"/>
                <w:bottom w:w="0" w:type="dxa"/>
                <w:right w:w="108" w:type="dxa"/>
              </w:tblCellMar>
            </w:tblPr>
            <w:tblGrid>
              <w:gridCol w:w="1365"/>
              <w:gridCol w:w="1093"/>
              <w:gridCol w:w="1093"/>
              <w:gridCol w:w="1093"/>
              <w:gridCol w:w="1336"/>
              <w:gridCol w:w="1201"/>
              <w:gridCol w:w="1203"/>
            </w:tblGrid>
            <w:tr w14:paraId="2FE9B588">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tblCellMar>
                  <w:top w:w="0" w:type="dxa"/>
                  <w:left w:w="108" w:type="dxa"/>
                  <w:bottom w:w="0" w:type="dxa"/>
                  <w:right w:w="108" w:type="dxa"/>
                </w:tblCellMar>
              </w:tblPrEx>
              <w:trPr>
                <w:trHeight w:val="340" w:hRule="atLeast"/>
                <w:jc w:val="center"/>
              </w:trPr>
              <w:tc>
                <w:tcPr>
                  <w:tcW w:w="814" w:type="pct"/>
                  <w:tcBorders>
                    <w:top w:val="single" w:color="auto" w:sz="12" w:space="0"/>
                    <w:left w:val="nil"/>
                    <w:bottom w:val="single" w:color="auto" w:sz="6" w:space="0"/>
                    <w:right w:val="single" w:color="auto" w:sz="6" w:space="0"/>
                  </w:tcBorders>
                  <w:shd w:val="clear"/>
                  <w:vAlign w:val="center"/>
                </w:tcPr>
                <w:p w14:paraId="7F167187">
                  <w:pPr>
                    <w:pStyle w:val="56"/>
                    <w:widowControl/>
                    <w:spacing w:line="300" w:lineRule="exact"/>
                    <w:rPr>
                      <w:rFonts w:hint="default" w:ascii="Times New Roman" w:hAnsi="Tahoma" w:cs="Tahoma"/>
                      <w:bCs/>
                      <w:color w:val="000000"/>
                      <w:bdr w:val="none" w:color="auto" w:sz="0" w:space="0"/>
                      <w:lang w:val="en-US"/>
                    </w:rPr>
                  </w:pPr>
                  <w:r>
                    <w:rPr>
                      <w:rFonts w:hint="eastAsia" w:ascii="Times New Roman" w:hAnsi="Tahoma" w:eastAsia="宋体" w:cs="宋体"/>
                      <w:bCs/>
                      <w:color w:val="000000"/>
                      <w:bdr w:val="none" w:color="auto" w:sz="0" w:space="0"/>
                    </w:rPr>
                    <w:t>排放口</w:t>
                  </w:r>
                </w:p>
              </w:tc>
              <w:tc>
                <w:tcPr>
                  <w:tcW w:w="651" w:type="pct"/>
                  <w:tcBorders>
                    <w:top w:val="single" w:color="auto" w:sz="12" w:space="0"/>
                    <w:left w:val="single" w:color="auto" w:sz="6" w:space="0"/>
                    <w:bottom w:val="single" w:color="auto" w:sz="6" w:space="0"/>
                    <w:right w:val="single" w:color="auto" w:sz="6" w:space="0"/>
                  </w:tcBorders>
                  <w:shd w:val="clear"/>
                  <w:vAlign w:val="center"/>
                </w:tcPr>
                <w:p w14:paraId="5E218066">
                  <w:pPr>
                    <w:pStyle w:val="56"/>
                    <w:widowControl/>
                    <w:spacing w:line="300" w:lineRule="exact"/>
                    <w:rPr>
                      <w:rFonts w:hint="default" w:ascii="Times New Roman" w:hAnsi="Tahoma" w:cs="Tahoma"/>
                      <w:bCs/>
                      <w:color w:val="000000"/>
                      <w:bdr w:val="none" w:color="auto" w:sz="0" w:space="0"/>
                      <w:lang w:val="en-US"/>
                    </w:rPr>
                  </w:pPr>
                  <w:r>
                    <w:rPr>
                      <w:rFonts w:hint="eastAsia" w:ascii="Times New Roman" w:hAnsi="Tahoma" w:eastAsia="宋体" w:cs="宋体"/>
                      <w:bCs/>
                      <w:color w:val="000000"/>
                      <w:bdr w:val="none" w:color="auto" w:sz="0" w:space="0"/>
                    </w:rPr>
                    <w:t>污染物</w:t>
                  </w:r>
                </w:p>
              </w:tc>
              <w:tc>
                <w:tcPr>
                  <w:tcW w:w="651" w:type="pct"/>
                  <w:tcBorders>
                    <w:top w:val="single" w:color="auto" w:sz="12" w:space="0"/>
                    <w:left w:val="single" w:color="auto" w:sz="6" w:space="0"/>
                    <w:bottom w:val="single" w:color="auto" w:sz="6" w:space="0"/>
                    <w:right w:val="single" w:color="auto" w:sz="6" w:space="0"/>
                  </w:tcBorders>
                  <w:shd w:val="clear"/>
                  <w:vAlign w:val="center"/>
                </w:tcPr>
                <w:p w14:paraId="47175CEC">
                  <w:pPr>
                    <w:pStyle w:val="56"/>
                    <w:widowControl/>
                    <w:spacing w:line="300" w:lineRule="exact"/>
                    <w:rPr>
                      <w:rFonts w:hint="default" w:ascii="Times New Roman" w:hAnsi="Tahoma" w:cs="Tahoma"/>
                      <w:bCs/>
                      <w:color w:val="000000"/>
                      <w:bdr w:val="none" w:color="auto" w:sz="0" w:space="0"/>
                      <w:lang w:val="en-US"/>
                    </w:rPr>
                  </w:pPr>
                  <w:r>
                    <w:rPr>
                      <w:rFonts w:hint="eastAsia" w:ascii="Times New Roman" w:hAnsi="Tahoma" w:eastAsia="宋体" w:cs="宋体"/>
                      <w:bCs/>
                      <w:color w:val="000000"/>
                      <w:bdr w:val="none" w:color="auto" w:sz="0" w:space="0"/>
                    </w:rPr>
                    <w:t>平均排放速率</w:t>
                  </w:r>
                  <w:r>
                    <w:rPr>
                      <w:rFonts w:hint="default" w:ascii="Times New Roman" w:hAnsi="Tahoma" w:cs="Tahoma"/>
                      <w:bCs/>
                      <w:color w:val="000000"/>
                      <w:bdr w:val="none" w:color="auto" w:sz="0" w:space="0"/>
                      <w:lang w:val="en-US"/>
                    </w:rPr>
                    <w:t>(kg/h)</w:t>
                  </w:r>
                </w:p>
              </w:tc>
              <w:tc>
                <w:tcPr>
                  <w:tcW w:w="651" w:type="pct"/>
                  <w:tcBorders>
                    <w:top w:val="single" w:color="auto" w:sz="12" w:space="0"/>
                    <w:left w:val="single" w:color="auto" w:sz="6" w:space="0"/>
                    <w:bottom w:val="single" w:color="auto" w:sz="6" w:space="0"/>
                    <w:right w:val="single" w:color="auto" w:sz="6" w:space="0"/>
                  </w:tcBorders>
                  <w:shd w:val="clear"/>
                  <w:vAlign w:val="center"/>
                </w:tcPr>
                <w:p w14:paraId="7A73A8E2">
                  <w:pPr>
                    <w:pStyle w:val="56"/>
                    <w:widowControl/>
                    <w:spacing w:line="300" w:lineRule="exact"/>
                    <w:rPr>
                      <w:rFonts w:hint="default" w:ascii="Times New Roman" w:hAnsi="Tahoma" w:cs="Tahoma"/>
                      <w:bCs/>
                      <w:color w:val="000000"/>
                      <w:bdr w:val="none" w:color="auto" w:sz="0" w:space="0"/>
                      <w:lang w:val="en-US"/>
                    </w:rPr>
                  </w:pPr>
                  <w:r>
                    <w:rPr>
                      <w:rFonts w:hint="eastAsia" w:ascii="Times New Roman" w:hAnsi="Tahoma" w:eastAsia="宋体" w:cs="宋体"/>
                      <w:bCs/>
                      <w:color w:val="000000"/>
                      <w:bdr w:val="none" w:color="auto" w:sz="0" w:space="0"/>
                    </w:rPr>
                    <w:t>平均排放浓度</w:t>
                  </w:r>
                  <w:r>
                    <w:rPr>
                      <w:rFonts w:hint="default" w:ascii="Times New Roman" w:hAnsi="Tahoma" w:cs="Tahoma"/>
                      <w:bCs/>
                      <w:color w:val="000000"/>
                      <w:bdr w:val="none" w:color="auto" w:sz="0" w:space="0"/>
                      <w:lang w:val="en-US"/>
                    </w:rPr>
                    <w:t>(mg/m</w:t>
                  </w:r>
                  <w:r>
                    <w:rPr>
                      <w:rFonts w:hint="default" w:ascii="Times New Roman" w:hAnsi="Tahoma" w:cs="Tahoma"/>
                      <w:bCs/>
                      <w:color w:val="000000"/>
                      <w:bdr w:val="none" w:color="auto" w:sz="0" w:space="0"/>
                      <w:vertAlign w:val="superscript"/>
                      <w:lang w:val="en-US"/>
                    </w:rPr>
                    <w:t>3</w:t>
                  </w:r>
                  <w:r>
                    <w:rPr>
                      <w:rFonts w:hint="default" w:ascii="Times New Roman" w:hAnsi="Tahoma" w:cs="Tahoma"/>
                      <w:bCs/>
                      <w:color w:val="000000"/>
                      <w:bdr w:val="none" w:color="auto" w:sz="0" w:space="0"/>
                      <w:lang w:val="en-US"/>
                    </w:rPr>
                    <w:t>)</w:t>
                  </w:r>
                </w:p>
              </w:tc>
              <w:tc>
                <w:tcPr>
                  <w:tcW w:w="796" w:type="pct"/>
                  <w:tcBorders>
                    <w:top w:val="single" w:color="auto" w:sz="12" w:space="0"/>
                    <w:left w:val="single" w:color="auto" w:sz="6" w:space="0"/>
                    <w:bottom w:val="single" w:color="auto" w:sz="6" w:space="0"/>
                    <w:right w:val="single" w:color="auto" w:sz="6" w:space="0"/>
                  </w:tcBorders>
                  <w:shd w:val="clear"/>
                  <w:vAlign w:val="center"/>
                </w:tcPr>
                <w:p w14:paraId="1746BCE4">
                  <w:pPr>
                    <w:pStyle w:val="56"/>
                    <w:widowControl/>
                    <w:spacing w:line="300" w:lineRule="exact"/>
                    <w:rPr>
                      <w:rFonts w:hint="default" w:ascii="Times New Roman" w:hAnsi="Tahoma" w:cs="Tahoma"/>
                      <w:bCs/>
                      <w:color w:val="000000"/>
                      <w:bdr w:val="none" w:color="auto" w:sz="0" w:space="0"/>
                      <w:lang w:val="en-US"/>
                    </w:rPr>
                  </w:pPr>
                  <w:r>
                    <w:rPr>
                      <w:rFonts w:hint="eastAsia" w:ascii="Times New Roman" w:hAnsi="Tahoma" w:eastAsia="宋体" w:cs="宋体"/>
                      <w:bCs/>
                      <w:color w:val="000000"/>
                      <w:bdr w:val="none" w:color="auto" w:sz="0" w:space="0"/>
                    </w:rPr>
                    <w:t>标准浓度限值</w:t>
                  </w:r>
                  <w:r>
                    <w:rPr>
                      <w:rFonts w:hint="default" w:ascii="Times New Roman" w:hAnsi="Tahoma" w:cs="Tahoma"/>
                      <w:bCs/>
                      <w:color w:val="000000"/>
                      <w:bdr w:val="none" w:color="auto" w:sz="0" w:space="0"/>
                      <w:lang w:val="en-US"/>
                    </w:rPr>
                    <w:t>(mg/m</w:t>
                  </w:r>
                  <w:r>
                    <w:rPr>
                      <w:rFonts w:hint="default" w:ascii="Times New Roman" w:hAnsi="Tahoma" w:cs="Tahoma"/>
                      <w:bCs/>
                      <w:color w:val="000000"/>
                      <w:bdr w:val="none" w:color="auto" w:sz="0" w:space="0"/>
                      <w:vertAlign w:val="superscript"/>
                      <w:lang w:val="en-US"/>
                    </w:rPr>
                    <w:t>3</w:t>
                  </w:r>
                  <w:r>
                    <w:rPr>
                      <w:rFonts w:hint="default" w:ascii="Times New Roman" w:hAnsi="Tahoma" w:cs="Tahoma"/>
                      <w:bCs/>
                      <w:color w:val="000000"/>
                      <w:bdr w:val="none" w:color="auto" w:sz="0" w:space="0"/>
                      <w:lang w:val="en-US"/>
                    </w:rPr>
                    <w:t>)</w:t>
                  </w:r>
                </w:p>
              </w:tc>
              <w:tc>
                <w:tcPr>
                  <w:tcW w:w="716" w:type="pct"/>
                  <w:tcBorders>
                    <w:top w:val="single" w:color="auto" w:sz="12" w:space="0"/>
                    <w:left w:val="single" w:color="auto" w:sz="6" w:space="0"/>
                    <w:bottom w:val="single" w:color="auto" w:sz="6" w:space="0"/>
                    <w:right w:val="single" w:color="auto" w:sz="6" w:space="0"/>
                  </w:tcBorders>
                  <w:shd w:val="clear"/>
                  <w:vAlign w:val="center"/>
                </w:tcPr>
                <w:p w14:paraId="7C07186F">
                  <w:pPr>
                    <w:pStyle w:val="56"/>
                    <w:widowControl/>
                    <w:spacing w:line="300" w:lineRule="exact"/>
                    <w:rPr>
                      <w:rFonts w:hint="default" w:ascii="Times New Roman" w:hAnsi="Tahoma" w:cs="Tahoma"/>
                      <w:bCs/>
                      <w:color w:val="000000"/>
                      <w:bdr w:val="none" w:color="auto" w:sz="0" w:space="0"/>
                      <w:lang w:val="en-US"/>
                    </w:rPr>
                  </w:pPr>
                  <w:r>
                    <w:rPr>
                      <w:rFonts w:hint="eastAsia" w:ascii="Times New Roman" w:hAnsi="Tahoma" w:eastAsia="宋体" w:cs="宋体"/>
                      <w:bCs/>
                      <w:color w:val="000000"/>
                      <w:bdr w:val="none" w:color="auto" w:sz="0" w:space="0"/>
                    </w:rPr>
                    <w:t>监测排放量</w:t>
                  </w:r>
                  <w:r>
                    <w:rPr>
                      <w:rFonts w:hint="default" w:ascii="Times New Roman" w:hAnsi="Tahoma" w:cs="Tahoma"/>
                      <w:bCs/>
                      <w:color w:val="000000"/>
                      <w:bdr w:val="none" w:color="auto" w:sz="0" w:space="0"/>
                      <w:lang w:val="en-US"/>
                    </w:rPr>
                    <w:t>(t/a)</w:t>
                  </w:r>
                </w:p>
              </w:tc>
              <w:tc>
                <w:tcPr>
                  <w:tcW w:w="716" w:type="pct"/>
                  <w:tcBorders>
                    <w:top w:val="single" w:color="auto" w:sz="12" w:space="0"/>
                    <w:left w:val="single" w:color="auto" w:sz="6" w:space="0"/>
                    <w:bottom w:val="single" w:color="auto" w:sz="6" w:space="0"/>
                    <w:right w:val="nil"/>
                  </w:tcBorders>
                  <w:shd w:val="clear"/>
                  <w:vAlign w:val="center"/>
                </w:tcPr>
                <w:p w14:paraId="61F62A54">
                  <w:pPr>
                    <w:pStyle w:val="56"/>
                    <w:widowControl/>
                    <w:spacing w:line="300" w:lineRule="exact"/>
                    <w:rPr>
                      <w:rFonts w:hint="default" w:ascii="Times New Roman" w:hAnsi="Tahoma" w:cs="Tahoma"/>
                      <w:bCs/>
                      <w:color w:val="000000"/>
                      <w:bdr w:val="none" w:color="auto" w:sz="0" w:space="0"/>
                      <w:lang w:val="en-US"/>
                    </w:rPr>
                  </w:pPr>
                  <w:r>
                    <w:rPr>
                      <w:rFonts w:hint="eastAsia" w:ascii="Times New Roman" w:hAnsi="Tahoma" w:eastAsia="宋体" w:cs="宋体"/>
                      <w:bCs/>
                      <w:color w:val="000000"/>
                      <w:bdr w:val="none" w:color="auto" w:sz="0" w:space="0"/>
                    </w:rPr>
                    <w:t>满负荷核算排放量</w:t>
                  </w:r>
                  <w:r>
                    <w:rPr>
                      <w:rFonts w:hint="default" w:ascii="Times New Roman" w:hAnsi="Tahoma" w:cs="Tahoma"/>
                      <w:bCs/>
                      <w:color w:val="000000"/>
                      <w:bdr w:val="none" w:color="auto" w:sz="0" w:space="0"/>
                      <w:lang w:val="en-US"/>
                    </w:rPr>
                    <w:t>(t/a)</w:t>
                  </w:r>
                </w:p>
              </w:tc>
            </w:tr>
            <w:tr w14:paraId="49E01FAD">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14" w:type="pct"/>
                  <w:vMerge w:val="restart"/>
                  <w:tcBorders>
                    <w:top w:val="single" w:color="auto" w:sz="6" w:space="0"/>
                    <w:left w:val="nil"/>
                    <w:bottom w:val="single" w:color="auto" w:sz="6" w:space="0"/>
                    <w:right w:val="single" w:color="auto" w:sz="6" w:space="0"/>
                  </w:tcBorders>
                  <w:shd w:val="clear"/>
                  <w:vAlign w:val="center"/>
                </w:tcPr>
                <w:p w14:paraId="579786D7">
                  <w:pPr>
                    <w:pStyle w:val="56"/>
                    <w:widowControl/>
                    <w:spacing w:line="300" w:lineRule="exact"/>
                    <w:rPr>
                      <w:rFonts w:hint="default" w:ascii="Times New Roman" w:hAnsi="Tahoma" w:cs="Tahoma"/>
                      <w:bCs/>
                      <w:color w:val="000000"/>
                      <w:bdr w:val="none" w:color="auto" w:sz="0" w:space="0"/>
                      <w:lang w:val="en-US"/>
                    </w:rPr>
                  </w:pPr>
                  <w:r>
                    <w:rPr>
                      <w:rFonts w:hint="eastAsia" w:ascii="Times New Roman" w:hAnsi="Tahoma" w:eastAsia="宋体" w:cs="宋体"/>
                      <w:bCs/>
                      <w:color w:val="000000"/>
                      <w:bdr w:val="none" w:color="auto" w:sz="0" w:space="0"/>
                    </w:rPr>
                    <w:t>涂胶、激光切割（</w:t>
                  </w:r>
                  <w:r>
                    <w:rPr>
                      <w:rFonts w:hint="default" w:ascii="Times New Roman" w:hAnsi="Tahoma" w:cs="Tahoma"/>
                      <w:bCs/>
                      <w:color w:val="000000"/>
                      <w:bdr w:val="none" w:color="auto" w:sz="0" w:space="0"/>
                      <w:lang w:val="en-US"/>
                    </w:rPr>
                    <w:t>DA001</w:t>
                  </w:r>
                  <w:r>
                    <w:rPr>
                      <w:rFonts w:hint="eastAsia" w:ascii="Times New Roman" w:hAnsi="Tahoma" w:eastAsia="宋体" w:cs="宋体"/>
                      <w:bCs/>
                      <w:color w:val="000000"/>
                      <w:bdr w:val="none" w:color="auto" w:sz="0" w:space="0"/>
                    </w:rPr>
                    <w:t>）</w:t>
                  </w:r>
                </w:p>
              </w:tc>
              <w:tc>
                <w:tcPr>
                  <w:tcW w:w="651" w:type="pct"/>
                  <w:tcBorders>
                    <w:top w:val="single" w:color="auto" w:sz="6" w:space="0"/>
                    <w:left w:val="single" w:color="auto" w:sz="6" w:space="0"/>
                    <w:bottom w:val="single" w:color="auto" w:sz="6" w:space="0"/>
                    <w:right w:val="single" w:color="auto" w:sz="6" w:space="0"/>
                  </w:tcBorders>
                  <w:shd w:val="clear"/>
                  <w:vAlign w:val="center"/>
                </w:tcPr>
                <w:p w14:paraId="026F36F3">
                  <w:pPr>
                    <w:pStyle w:val="56"/>
                    <w:widowControl/>
                    <w:spacing w:line="300" w:lineRule="exact"/>
                    <w:rPr>
                      <w:rFonts w:hint="default" w:ascii="Times New Roman" w:hAnsi="Tahoma" w:cs="Tahoma"/>
                      <w:bCs/>
                      <w:color w:val="000000"/>
                      <w:bdr w:val="none" w:color="auto" w:sz="0" w:space="0"/>
                      <w:lang w:val="en-US"/>
                    </w:rPr>
                  </w:pPr>
                  <w:r>
                    <w:rPr>
                      <w:rFonts w:hint="eastAsia" w:ascii="Times New Roman" w:hAnsi="Tahoma" w:eastAsia="宋体" w:cs="宋体"/>
                      <w:bCs/>
                      <w:color w:val="000000"/>
                      <w:bdr w:val="none" w:color="auto" w:sz="0" w:space="0"/>
                    </w:rPr>
                    <w:t>颗粒物</w:t>
                  </w:r>
                </w:p>
              </w:tc>
              <w:tc>
                <w:tcPr>
                  <w:tcW w:w="651" w:type="pct"/>
                  <w:tcBorders>
                    <w:top w:val="single" w:color="auto" w:sz="6" w:space="0"/>
                    <w:left w:val="single" w:color="auto" w:sz="6" w:space="0"/>
                    <w:bottom w:val="single" w:color="auto" w:sz="6" w:space="0"/>
                    <w:right w:val="single" w:color="auto" w:sz="6" w:space="0"/>
                  </w:tcBorders>
                  <w:shd w:val="clear"/>
                  <w:vAlign w:val="center"/>
                </w:tcPr>
                <w:p w14:paraId="39E23904">
                  <w:pPr>
                    <w:pStyle w:val="56"/>
                    <w:widowControl/>
                    <w:spacing w:line="300" w:lineRule="exact"/>
                    <w:rPr>
                      <w:rFonts w:hint="default" w:ascii="Times New Roman" w:hAnsi="Tahoma" w:cs="Tahoma"/>
                      <w:bCs/>
                      <w:color w:val="000000"/>
                      <w:bdr w:val="none" w:color="auto" w:sz="0" w:space="0"/>
                      <w:lang w:val="en-US"/>
                    </w:rPr>
                  </w:pPr>
                  <w:r>
                    <w:rPr>
                      <w:rFonts w:hint="eastAsia" w:ascii="Times New Roman" w:hAnsi="Tahoma" w:eastAsia="宋体" w:cs="宋体"/>
                      <w:bCs/>
                      <w:color w:val="000000"/>
                      <w:bdr w:val="none" w:color="auto" w:sz="0" w:space="0"/>
                    </w:rPr>
                    <w:t>低于检出限</w:t>
                  </w:r>
                </w:p>
              </w:tc>
              <w:tc>
                <w:tcPr>
                  <w:tcW w:w="651" w:type="pct"/>
                  <w:tcBorders>
                    <w:top w:val="single" w:color="auto" w:sz="6" w:space="0"/>
                    <w:left w:val="single" w:color="auto" w:sz="6" w:space="0"/>
                    <w:bottom w:val="single" w:color="auto" w:sz="6" w:space="0"/>
                    <w:right w:val="single" w:color="auto" w:sz="6" w:space="0"/>
                  </w:tcBorders>
                  <w:shd w:val="clear"/>
                  <w:vAlign w:val="center"/>
                </w:tcPr>
                <w:p w14:paraId="017BE1A7">
                  <w:pPr>
                    <w:pStyle w:val="56"/>
                    <w:widowControl/>
                    <w:spacing w:line="300" w:lineRule="exact"/>
                    <w:rPr>
                      <w:rFonts w:hint="default" w:ascii="Times New Roman" w:hAnsi="Tahoma" w:cs="Tahoma"/>
                      <w:bCs/>
                      <w:color w:val="000000"/>
                      <w:bdr w:val="none" w:color="auto" w:sz="0" w:space="0"/>
                      <w:lang w:val="en-US"/>
                    </w:rPr>
                  </w:pPr>
                  <w:r>
                    <w:rPr>
                      <w:rFonts w:hint="eastAsia" w:ascii="Times New Roman" w:hAnsi="Tahoma" w:eastAsia="宋体" w:cs="宋体"/>
                      <w:bCs/>
                      <w:color w:val="000000"/>
                      <w:bdr w:val="none" w:color="auto" w:sz="0" w:space="0"/>
                    </w:rPr>
                    <w:t>低于检出限</w:t>
                  </w:r>
                </w:p>
              </w:tc>
              <w:tc>
                <w:tcPr>
                  <w:tcW w:w="796" w:type="pct"/>
                  <w:tcBorders>
                    <w:top w:val="single" w:color="auto" w:sz="6" w:space="0"/>
                    <w:left w:val="single" w:color="auto" w:sz="6" w:space="0"/>
                    <w:bottom w:val="single" w:color="auto" w:sz="6" w:space="0"/>
                    <w:right w:val="single" w:color="auto" w:sz="6" w:space="0"/>
                  </w:tcBorders>
                  <w:shd w:val="clear"/>
                  <w:vAlign w:val="center"/>
                </w:tcPr>
                <w:p w14:paraId="6B8D3EB9">
                  <w:pPr>
                    <w:pStyle w:val="56"/>
                    <w:widowControl/>
                    <w:spacing w:line="300" w:lineRule="exact"/>
                    <w:rPr>
                      <w:rFonts w:hint="default" w:ascii="Times New Roman" w:hAnsi="Tahoma" w:cs="Tahoma"/>
                      <w:bCs/>
                      <w:color w:val="000000"/>
                      <w:bdr w:val="none" w:color="auto" w:sz="0" w:space="0"/>
                      <w:lang w:val="en-US"/>
                    </w:rPr>
                  </w:pPr>
                  <w:r>
                    <w:rPr>
                      <w:rFonts w:hint="default" w:ascii="Times New Roman" w:hAnsi="Tahoma" w:cs="Tahoma"/>
                      <w:bCs/>
                      <w:color w:val="000000"/>
                      <w:bdr w:val="none" w:color="auto" w:sz="0" w:space="0"/>
                      <w:lang w:val="en-US"/>
                    </w:rPr>
                    <w:t>20</w:t>
                  </w:r>
                </w:p>
              </w:tc>
              <w:tc>
                <w:tcPr>
                  <w:tcW w:w="716" w:type="pct"/>
                  <w:tcBorders>
                    <w:top w:val="single" w:color="auto" w:sz="6" w:space="0"/>
                    <w:left w:val="single" w:color="auto" w:sz="6" w:space="0"/>
                    <w:bottom w:val="single" w:color="auto" w:sz="6" w:space="0"/>
                    <w:right w:val="single" w:color="auto" w:sz="6" w:space="0"/>
                  </w:tcBorders>
                  <w:shd w:val="clear"/>
                  <w:vAlign w:val="center"/>
                </w:tcPr>
                <w:p w14:paraId="4525F2A1">
                  <w:pPr>
                    <w:pStyle w:val="56"/>
                    <w:widowControl/>
                    <w:spacing w:line="300" w:lineRule="exact"/>
                    <w:rPr>
                      <w:rFonts w:hint="default" w:ascii="Times New Roman" w:hAnsi="Tahoma" w:cs="Tahoma"/>
                      <w:bCs/>
                      <w:color w:val="000000"/>
                      <w:bdr w:val="none" w:color="auto" w:sz="0" w:space="0"/>
                      <w:lang w:val="en-US"/>
                    </w:rPr>
                  </w:pPr>
                  <w:r>
                    <w:rPr>
                      <w:rFonts w:hint="default" w:ascii="Times New Roman" w:hAnsi="Tahoma" w:cs="Tahoma"/>
                      <w:bCs/>
                      <w:color w:val="000000"/>
                      <w:bdr w:val="none" w:color="auto" w:sz="0" w:space="0"/>
                      <w:lang w:val="en-US"/>
                    </w:rPr>
                    <w:t>/</w:t>
                  </w:r>
                </w:p>
              </w:tc>
              <w:tc>
                <w:tcPr>
                  <w:tcW w:w="716" w:type="pct"/>
                  <w:tcBorders>
                    <w:top w:val="single" w:color="auto" w:sz="6" w:space="0"/>
                    <w:left w:val="single" w:color="auto" w:sz="6" w:space="0"/>
                    <w:bottom w:val="single" w:color="auto" w:sz="6" w:space="0"/>
                    <w:right w:val="nil"/>
                  </w:tcBorders>
                  <w:shd w:val="clear"/>
                  <w:vAlign w:val="center"/>
                </w:tcPr>
                <w:p w14:paraId="017A44E3">
                  <w:pPr>
                    <w:pStyle w:val="56"/>
                    <w:widowControl/>
                    <w:spacing w:line="300" w:lineRule="exact"/>
                    <w:rPr>
                      <w:rFonts w:hint="default" w:ascii="Times New Roman" w:hAnsi="Tahoma" w:cs="Tahoma"/>
                      <w:bCs/>
                      <w:color w:val="000000"/>
                      <w:bdr w:val="none" w:color="auto" w:sz="0" w:space="0"/>
                      <w:lang w:val="en-US"/>
                    </w:rPr>
                  </w:pPr>
                  <w:r>
                    <w:rPr>
                      <w:rFonts w:hint="default" w:ascii="Times New Roman" w:hAnsi="Tahoma" w:cs="Tahoma"/>
                      <w:bCs/>
                      <w:color w:val="000000"/>
                      <w:bdr w:val="none" w:color="auto" w:sz="0" w:space="0"/>
                      <w:lang w:val="en-US"/>
                    </w:rPr>
                    <w:t>0</w:t>
                  </w:r>
                </w:p>
              </w:tc>
            </w:tr>
            <w:tr w14:paraId="5EC3AB1A">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14" w:type="pct"/>
                  <w:vMerge w:val="continue"/>
                  <w:tcBorders>
                    <w:top w:val="single" w:color="auto" w:sz="6" w:space="0"/>
                    <w:left w:val="nil"/>
                    <w:bottom w:val="single" w:color="auto" w:sz="6" w:space="0"/>
                    <w:right w:val="single" w:color="auto" w:sz="6" w:space="0"/>
                  </w:tcBorders>
                  <w:shd w:val="clear"/>
                  <w:vAlign w:val="center"/>
                </w:tcPr>
                <w:p w14:paraId="1C30BAB4">
                  <w:pPr>
                    <w:rPr>
                      <w:rFonts w:hint="default" w:ascii="Calibri" w:hAnsi="Calibri" w:cs="Calibri"/>
                      <w:sz w:val="20"/>
                      <w:szCs w:val="20"/>
                    </w:rPr>
                  </w:pPr>
                </w:p>
              </w:tc>
              <w:tc>
                <w:tcPr>
                  <w:tcW w:w="651" w:type="pct"/>
                  <w:tcBorders>
                    <w:top w:val="single" w:color="auto" w:sz="6" w:space="0"/>
                    <w:left w:val="single" w:color="auto" w:sz="6" w:space="0"/>
                    <w:bottom w:val="single" w:color="auto" w:sz="6" w:space="0"/>
                    <w:right w:val="single" w:color="auto" w:sz="6" w:space="0"/>
                  </w:tcBorders>
                  <w:shd w:val="clear"/>
                  <w:vAlign w:val="center"/>
                </w:tcPr>
                <w:p w14:paraId="6C686A0C">
                  <w:pPr>
                    <w:pStyle w:val="56"/>
                    <w:widowControl/>
                    <w:spacing w:line="300" w:lineRule="exact"/>
                    <w:rPr>
                      <w:rFonts w:hint="default" w:ascii="Times New Roman" w:hAnsi="Tahoma" w:cs="Tahoma"/>
                      <w:bCs/>
                      <w:color w:val="000000"/>
                      <w:bdr w:val="none" w:color="auto" w:sz="0" w:space="0"/>
                      <w:lang w:val="en-US"/>
                    </w:rPr>
                  </w:pPr>
                  <w:r>
                    <w:rPr>
                      <w:rFonts w:hint="eastAsia" w:ascii="Times New Roman" w:hAnsi="Tahoma" w:eastAsia="宋体" w:cs="宋体"/>
                      <w:bCs/>
                      <w:color w:val="000000"/>
                      <w:bdr w:val="none" w:color="auto" w:sz="0" w:space="0"/>
                    </w:rPr>
                    <w:t>非甲烷总烃</w:t>
                  </w:r>
                </w:p>
              </w:tc>
              <w:tc>
                <w:tcPr>
                  <w:tcW w:w="651" w:type="pct"/>
                  <w:tcBorders>
                    <w:top w:val="single" w:color="auto" w:sz="6" w:space="0"/>
                    <w:left w:val="single" w:color="auto" w:sz="6" w:space="0"/>
                    <w:bottom w:val="single" w:color="auto" w:sz="6" w:space="0"/>
                    <w:right w:val="single" w:color="auto" w:sz="6" w:space="0"/>
                  </w:tcBorders>
                  <w:shd w:val="clear"/>
                  <w:vAlign w:val="center"/>
                </w:tcPr>
                <w:p w14:paraId="0781773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9.58×10</w:t>
                  </w:r>
                  <w:r>
                    <w:rPr>
                      <w:rFonts w:hint="default" w:ascii="Times New Roman" w:hAnsi="Times New Roman" w:eastAsia="宋体" w:cs="Times New Roman"/>
                      <w:color w:val="000000"/>
                      <w:kern w:val="2"/>
                      <w:sz w:val="21"/>
                      <w:szCs w:val="21"/>
                      <w:bdr w:val="none" w:color="auto" w:sz="0" w:space="0"/>
                      <w:vertAlign w:val="superscript"/>
                      <w:lang w:val="en-US" w:eastAsia="zh-CN" w:bidi="ar"/>
                    </w:rPr>
                    <w:t>-3</w:t>
                  </w:r>
                </w:p>
              </w:tc>
              <w:tc>
                <w:tcPr>
                  <w:tcW w:w="651" w:type="pct"/>
                  <w:tcBorders>
                    <w:top w:val="single" w:color="auto" w:sz="6" w:space="0"/>
                    <w:left w:val="single" w:color="auto" w:sz="6" w:space="0"/>
                    <w:bottom w:val="single" w:color="auto" w:sz="6" w:space="0"/>
                    <w:right w:val="single" w:color="auto" w:sz="6" w:space="0"/>
                  </w:tcBorders>
                  <w:shd w:val="clear"/>
                  <w:vAlign w:val="center"/>
                </w:tcPr>
                <w:p w14:paraId="6D7191E2">
                  <w:pPr>
                    <w:pStyle w:val="56"/>
                    <w:widowControl/>
                    <w:spacing w:line="300" w:lineRule="exact"/>
                    <w:rPr>
                      <w:rFonts w:hint="default" w:ascii="Times New Roman" w:hAnsi="Tahoma" w:cs="Tahoma"/>
                      <w:bCs/>
                      <w:color w:val="000000"/>
                      <w:bdr w:val="none" w:color="auto" w:sz="0" w:space="0"/>
                      <w:lang w:val="en-US"/>
                    </w:rPr>
                  </w:pPr>
                  <w:r>
                    <w:rPr>
                      <w:rFonts w:hint="default" w:ascii="Times New Roman" w:hAnsi="Tahoma" w:cs="Tahoma"/>
                      <w:bCs/>
                      <w:color w:val="000000"/>
                      <w:bdr w:val="none" w:color="auto" w:sz="0" w:space="0"/>
                      <w:lang w:val="en-US"/>
                    </w:rPr>
                    <w:t>3.3</w:t>
                  </w:r>
                </w:p>
              </w:tc>
              <w:tc>
                <w:tcPr>
                  <w:tcW w:w="796" w:type="pct"/>
                  <w:tcBorders>
                    <w:top w:val="single" w:color="auto" w:sz="6" w:space="0"/>
                    <w:left w:val="single" w:color="auto" w:sz="6" w:space="0"/>
                    <w:bottom w:val="single" w:color="auto" w:sz="6" w:space="0"/>
                    <w:right w:val="single" w:color="auto" w:sz="6" w:space="0"/>
                  </w:tcBorders>
                  <w:shd w:val="clear"/>
                  <w:vAlign w:val="center"/>
                </w:tcPr>
                <w:p w14:paraId="4E640D82">
                  <w:pPr>
                    <w:pStyle w:val="56"/>
                    <w:widowControl/>
                    <w:spacing w:line="300" w:lineRule="exact"/>
                    <w:rPr>
                      <w:rFonts w:hint="default" w:ascii="Times New Roman" w:hAnsi="Tahoma" w:cs="Tahoma"/>
                      <w:bCs/>
                      <w:color w:val="000000"/>
                      <w:bdr w:val="none" w:color="auto" w:sz="0" w:space="0"/>
                      <w:lang w:val="en-US"/>
                    </w:rPr>
                  </w:pPr>
                  <w:r>
                    <w:rPr>
                      <w:rFonts w:hint="default" w:ascii="Times New Roman" w:hAnsi="Tahoma" w:cs="Tahoma"/>
                      <w:bCs/>
                      <w:color w:val="000000"/>
                      <w:bdr w:val="none" w:color="auto" w:sz="0" w:space="0"/>
                      <w:lang w:val="en-US"/>
                    </w:rPr>
                    <w:t>60</w:t>
                  </w:r>
                </w:p>
              </w:tc>
              <w:tc>
                <w:tcPr>
                  <w:tcW w:w="716" w:type="pct"/>
                  <w:tcBorders>
                    <w:top w:val="single" w:color="auto" w:sz="6" w:space="0"/>
                    <w:left w:val="single" w:color="auto" w:sz="6" w:space="0"/>
                    <w:bottom w:val="single" w:color="auto" w:sz="6" w:space="0"/>
                    <w:right w:val="single" w:color="auto" w:sz="6" w:space="0"/>
                  </w:tcBorders>
                  <w:shd w:val="clear"/>
                  <w:vAlign w:val="center"/>
                </w:tcPr>
                <w:p w14:paraId="36E85E5B">
                  <w:pPr>
                    <w:pStyle w:val="56"/>
                    <w:widowControl/>
                    <w:spacing w:line="300" w:lineRule="exact"/>
                    <w:rPr>
                      <w:rFonts w:hint="default" w:ascii="Times New Roman" w:hAnsi="Tahoma" w:cs="Tahoma"/>
                      <w:bCs/>
                      <w:color w:val="000000"/>
                      <w:bdr w:val="none" w:color="auto" w:sz="0" w:space="0"/>
                      <w:lang w:val="en-US"/>
                    </w:rPr>
                  </w:pPr>
                  <w:r>
                    <w:rPr>
                      <w:rFonts w:hint="default" w:ascii="Times New Roman" w:hAnsi="Tahoma" w:cs="Tahoma"/>
                      <w:bCs/>
                      <w:color w:val="000000"/>
                      <w:bdr w:val="none" w:color="auto" w:sz="0" w:space="0"/>
                      <w:lang w:val="en-US"/>
                    </w:rPr>
                    <w:t>0.0235</w:t>
                  </w:r>
                </w:p>
              </w:tc>
              <w:tc>
                <w:tcPr>
                  <w:tcW w:w="716" w:type="pct"/>
                  <w:tcBorders>
                    <w:top w:val="single" w:color="auto" w:sz="6" w:space="0"/>
                    <w:left w:val="single" w:color="auto" w:sz="6" w:space="0"/>
                    <w:bottom w:val="single" w:color="auto" w:sz="6" w:space="0"/>
                    <w:right w:val="nil"/>
                  </w:tcBorders>
                  <w:shd w:val="clear"/>
                  <w:vAlign w:val="center"/>
                </w:tcPr>
                <w:p w14:paraId="61B5ECD9">
                  <w:pPr>
                    <w:pStyle w:val="56"/>
                    <w:widowControl/>
                    <w:spacing w:line="300" w:lineRule="exact"/>
                    <w:rPr>
                      <w:rFonts w:hint="default" w:ascii="Times New Roman" w:hAnsi="Tahoma" w:cs="Tahoma"/>
                      <w:bCs/>
                      <w:color w:val="000000"/>
                      <w:bdr w:val="none" w:color="auto" w:sz="0" w:space="0"/>
                      <w:lang w:val="en-US"/>
                    </w:rPr>
                  </w:pPr>
                  <w:r>
                    <w:rPr>
                      <w:rFonts w:hint="default" w:ascii="Times New Roman" w:hAnsi="Tahoma" w:cs="Tahoma"/>
                      <w:bCs/>
                      <w:color w:val="000000"/>
                      <w:bdr w:val="none" w:color="auto" w:sz="0" w:space="0"/>
                      <w:lang w:val="en-US"/>
                    </w:rPr>
                    <w:t>0.028</w:t>
                  </w:r>
                </w:p>
              </w:tc>
            </w:tr>
            <w:tr w14:paraId="72571A4A">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14" w:type="pct"/>
                  <w:tcBorders>
                    <w:top w:val="single" w:color="auto" w:sz="6" w:space="0"/>
                    <w:left w:val="nil"/>
                    <w:bottom w:val="single" w:color="auto" w:sz="12" w:space="0"/>
                    <w:right w:val="single" w:color="auto" w:sz="6" w:space="0"/>
                  </w:tcBorders>
                  <w:shd w:val="clear"/>
                  <w:vAlign w:val="center"/>
                </w:tcPr>
                <w:p w14:paraId="015BCE97">
                  <w:pPr>
                    <w:pStyle w:val="56"/>
                    <w:widowControl/>
                    <w:spacing w:line="300" w:lineRule="exact"/>
                    <w:rPr>
                      <w:rFonts w:hint="default" w:ascii="Times New Roman" w:hAnsi="Tahoma" w:cs="Tahoma"/>
                      <w:bCs/>
                      <w:color w:val="000000"/>
                      <w:bdr w:val="none" w:color="auto" w:sz="0" w:space="0"/>
                      <w:lang w:val="en-US"/>
                    </w:rPr>
                  </w:pPr>
                  <w:r>
                    <w:rPr>
                      <w:rFonts w:hint="eastAsia" w:ascii="Times New Roman" w:hAnsi="Tahoma" w:eastAsia="宋体" w:cs="宋体"/>
                      <w:bCs/>
                      <w:color w:val="000000"/>
                      <w:bdr w:val="none" w:color="auto" w:sz="0" w:space="0"/>
                    </w:rPr>
                    <w:t>雕刻、打磨（</w:t>
                  </w:r>
                  <w:r>
                    <w:rPr>
                      <w:rFonts w:hint="default" w:ascii="Times New Roman" w:hAnsi="Tahoma" w:cs="Tahoma"/>
                      <w:bCs/>
                      <w:color w:val="000000"/>
                      <w:bdr w:val="none" w:color="auto" w:sz="0" w:space="0"/>
                      <w:lang w:val="en-US"/>
                    </w:rPr>
                    <w:t>DA002</w:t>
                  </w:r>
                  <w:r>
                    <w:rPr>
                      <w:rFonts w:hint="eastAsia" w:ascii="Times New Roman" w:hAnsi="Tahoma" w:eastAsia="宋体" w:cs="宋体"/>
                      <w:bCs/>
                      <w:color w:val="000000"/>
                      <w:bdr w:val="none" w:color="auto" w:sz="0" w:space="0"/>
                    </w:rPr>
                    <w:t>）</w:t>
                  </w:r>
                </w:p>
              </w:tc>
              <w:tc>
                <w:tcPr>
                  <w:tcW w:w="651" w:type="pct"/>
                  <w:tcBorders>
                    <w:top w:val="single" w:color="auto" w:sz="6" w:space="0"/>
                    <w:left w:val="single" w:color="auto" w:sz="6" w:space="0"/>
                    <w:bottom w:val="single" w:color="auto" w:sz="12" w:space="0"/>
                    <w:right w:val="single" w:color="auto" w:sz="6" w:space="0"/>
                  </w:tcBorders>
                  <w:shd w:val="clear"/>
                  <w:vAlign w:val="center"/>
                </w:tcPr>
                <w:p w14:paraId="62CAED97">
                  <w:pPr>
                    <w:pStyle w:val="56"/>
                    <w:widowControl/>
                    <w:spacing w:line="300" w:lineRule="exact"/>
                    <w:rPr>
                      <w:rFonts w:hint="default" w:ascii="Times New Roman" w:hAnsi="Tahoma" w:cs="Tahoma"/>
                      <w:bCs/>
                      <w:color w:val="000000"/>
                      <w:bdr w:val="none" w:color="auto" w:sz="0" w:space="0"/>
                      <w:lang w:val="en-US"/>
                    </w:rPr>
                  </w:pPr>
                  <w:r>
                    <w:rPr>
                      <w:rFonts w:hint="eastAsia" w:ascii="Times New Roman" w:hAnsi="Tahoma" w:eastAsia="宋体" w:cs="宋体"/>
                      <w:bCs/>
                      <w:color w:val="000000"/>
                      <w:bdr w:val="none" w:color="auto" w:sz="0" w:space="0"/>
                    </w:rPr>
                    <w:t>颗粒物</w:t>
                  </w:r>
                </w:p>
              </w:tc>
              <w:tc>
                <w:tcPr>
                  <w:tcW w:w="651" w:type="pct"/>
                  <w:tcBorders>
                    <w:top w:val="single" w:color="auto" w:sz="6" w:space="0"/>
                    <w:left w:val="single" w:color="auto" w:sz="6" w:space="0"/>
                    <w:bottom w:val="single" w:color="auto" w:sz="12" w:space="0"/>
                    <w:right w:val="single" w:color="auto" w:sz="6" w:space="0"/>
                  </w:tcBorders>
                  <w:shd w:val="clear"/>
                  <w:vAlign w:val="center"/>
                </w:tcPr>
                <w:p w14:paraId="4DF4762E">
                  <w:pPr>
                    <w:pStyle w:val="56"/>
                    <w:widowControl/>
                    <w:spacing w:line="300" w:lineRule="exact"/>
                    <w:rPr>
                      <w:rFonts w:hint="default" w:ascii="Times New Roman" w:hAnsi="Tahoma" w:cs="Tahoma"/>
                      <w:bCs/>
                      <w:color w:val="000000"/>
                      <w:bdr w:val="none" w:color="auto" w:sz="0" w:space="0"/>
                      <w:lang w:val="en-US"/>
                    </w:rPr>
                  </w:pPr>
                  <w:r>
                    <w:rPr>
                      <w:rFonts w:hint="default" w:ascii="Times New Roman" w:hAnsi="Tahoma" w:cs="Tahoma"/>
                      <w:bCs/>
                      <w:color w:val="000000"/>
                      <w:bdr w:val="none" w:color="auto" w:sz="0" w:space="0"/>
                      <w:lang w:val="en-US"/>
                    </w:rPr>
                    <w:t>6.41</w:t>
                  </w:r>
                  <w:r>
                    <w:rPr>
                      <w:rFonts w:ascii="Times New Roman"/>
                      <w:bCs/>
                      <w:color w:val="000000"/>
                      <w:bdr w:val="none" w:color="auto" w:sz="0" w:space="0"/>
                      <w:lang w:val="en-US"/>
                    </w:rPr>
                    <w:t>×</w:t>
                  </w:r>
                  <w:r>
                    <w:rPr>
                      <w:rFonts w:hint="default" w:ascii="Times New Roman" w:hAnsi="Tahoma" w:cs="Tahoma"/>
                      <w:bCs/>
                      <w:color w:val="000000"/>
                      <w:bdr w:val="none" w:color="auto" w:sz="0" w:space="0"/>
                      <w:lang w:val="en-US"/>
                    </w:rPr>
                    <w:t>10</w:t>
                  </w:r>
                  <w:r>
                    <w:rPr>
                      <w:rFonts w:hint="default" w:ascii="Times New Roman" w:hAnsi="Tahoma" w:cs="Tahoma"/>
                      <w:bCs/>
                      <w:color w:val="000000"/>
                      <w:bdr w:val="none" w:color="auto" w:sz="0" w:space="0"/>
                      <w:vertAlign w:val="superscript"/>
                      <w:lang w:val="en-US"/>
                    </w:rPr>
                    <w:t>-3</w:t>
                  </w:r>
                </w:p>
              </w:tc>
              <w:tc>
                <w:tcPr>
                  <w:tcW w:w="651" w:type="pct"/>
                  <w:tcBorders>
                    <w:top w:val="single" w:color="auto" w:sz="6" w:space="0"/>
                    <w:left w:val="single" w:color="auto" w:sz="6" w:space="0"/>
                    <w:bottom w:val="single" w:color="auto" w:sz="12" w:space="0"/>
                    <w:right w:val="single" w:color="auto" w:sz="6" w:space="0"/>
                  </w:tcBorders>
                  <w:shd w:val="clear"/>
                  <w:vAlign w:val="center"/>
                </w:tcPr>
                <w:p w14:paraId="0E4A31B6">
                  <w:pPr>
                    <w:pStyle w:val="56"/>
                    <w:widowControl/>
                    <w:spacing w:line="300" w:lineRule="exact"/>
                    <w:rPr>
                      <w:rFonts w:hint="default" w:ascii="Times New Roman" w:hAnsi="Tahoma" w:cs="Tahoma"/>
                      <w:bCs/>
                      <w:color w:val="000000"/>
                      <w:bdr w:val="none" w:color="auto" w:sz="0" w:space="0"/>
                      <w:lang w:val="en-US"/>
                    </w:rPr>
                  </w:pPr>
                  <w:r>
                    <w:rPr>
                      <w:rFonts w:hint="default" w:ascii="Times New Roman" w:hAnsi="Tahoma" w:cs="Tahoma"/>
                      <w:bCs/>
                      <w:color w:val="000000"/>
                      <w:bdr w:val="none" w:color="auto" w:sz="0" w:space="0"/>
                      <w:lang w:val="en-US"/>
                    </w:rPr>
                    <w:t>1.6</w:t>
                  </w:r>
                </w:p>
              </w:tc>
              <w:tc>
                <w:tcPr>
                  <w:tcW w:w="796" w:type="pct"/>
                  <w:tcBorders>
                    <w:top w:val="single" w:color="auto" w:sz="6" w:space="0"/>
                    <w:left w:val="single" w:color="auto" w:sz="6" w:space="0"/>
                    <w:bottom w:val="single" w:color="auto" w:sz="12" w:space="0"/>
                    <w:right w:val="single" w:color="auto" w:sz="6" w:space="0"/>
                  </w:tcBorders>
                  <w:shd w:val="clear"/>
                  <w:vAlign w:val="center"/>
                </w:tcPr>
                <w:p w14:paraId="1B4FD845">
                  <w:pPr>
                    <w:pStyle w:val="56"/>
                    <w:widowControl/>
                    <w:spacing w:line="300" w:lineRule="exact"/>
                    <w:rPr>
                      <w:rFonts w:hint="default" w:ascii="Times New Roman" w:hAnsi="Tahoma" w:cs="Tahoma"/>
                      <w:bCs/>
                      <w:color w:val="000000"/>
                      <w:bdr w:val="none" w:color="auto" w:sz="0" w:space="0"/>
                      <w:lang w:val="en-US"/>
                    </w:rPr>
                  </w:pPr>
                  <w:r>
                    <w:rPr>
                      <w:rFonts w:hint="default" w:ascii="Times New Roman" w:hAnsi="Tahoma" w:cs="Tahoma"/>
                      <w:bCs/>
                      <w:color w:val="000000"/>
                      <w:bdr w:val="none" w:color="auto" w:sz="0" w:space="0"/>
                      <w:lang w:val="en-US"/>
                    </w:rPr>
                    <w:t>100</w:t>
                  </w:r>
                </w:p>
              </w:tc>
              <w:tc>
                <w:tcPr>
                  <w:tcW w:w="716" w:type="pct"/>
                  <w:tcBorders>
                    <w:top w:val="single" w:color="auto" w:sz="6" w:space="0"/>
                    <w:left w:val="single" w:color="auto" w:sz="6" w:space="0"/>
                    <w:bottom w:val="single" w:color="auto" w:sz="12" w:space="0"/>
                    <w:right w:val="single" w:color="auto" w:sz="6" w:space="0"/>
                  </w:tcBorders>
                  <w:shd w:val="clear"/>
                  <w:vAlign w:val="center"/>
                </w:tcPr>
                <w:p w14:paraId="02441F2B">
                  <w:pPr>
                    <w:pStyle w:val="56"/>
                    <w:widowControl/>
                    <w:spacing w:line="300" w:lineRule="exact"/>
                    <w:rPr>
                      <w:rFonts w:hint="default" w:ascii="Times New Roman" w:hAnsi="Tahoma" w:cs="Tahoma"/>
                      <w:bCs/>
                      <w:color w:val="000000"/>
                      <w:bdr w:val="none" w:color="auto" w:sz="0" w:space="0"/>
                      <w:lang w:val="en-US"/>
                    </w:rPr>
                  </w:pPr>
                  <w:r>
                    <w:rPr>
                      <w:rFonts w:hint="default" w:ascii="Times New Roman" w:hAnsi="Tahoma" w:cs="Tahoma"/>
                      <w:bCs/>
                      <w:color w:val="000000"/>
                      <w:bdr w:val="none" w:color="auto" w:sz="0" w:space="0"/>
                      <w:lang w:val="en-US"/>
                    </w:rPr>
                    <w:t>0.0126</w:t>
                  </w:r>
                </w:p>
              </w:tc>
              <w:tc>
                <w:tcPr>
                  <w:tcW w:w="716" w:type="pct"/>
                  <w:tcBorders>
                    <w:top w:val="single" w:color="auto" w:sz="6" w:space="0"/>
                    <w:left w:val="single" w:color="auto" w:sz="6" w:space="0"/>
                    <w:bottom w:val="single" w:color="auto" w:sz="12" w:space="0"/>
                    <w:right w:val="nil"/>
                  </w:tcBorders>
                  <w:shd w:val="clear"/>
                  <w:vAlign w:val="center"/>
                </w:tcPr>
                <w:p w14:paraId="31158EC5">
                  <w:pPr>
                    <w:pStyle w:val="56"/>
                    <w:widowControl/>
                    <w:spacing w:line="300" w:lineRule="exact"/>
                    <w:rPr>
                      <w:rFonts w:hint="default" w:ascii="Times New Roman" w:hAnsi="Tahoma" w:cs="Tahoma"/>
                      <w:bCs/>
                      <w:color w:val="000000"/>
                      <w:bdr w:val="none" w:color="auto" w:sz="0" w:space="0"/>
                      <w:lang w:val="en-US"/>
                    </w:rPr>
                  </w:pPr>
                  <w:r>
                    <w:rPr>
                      <w:rFonts w:hint="default" w:ascii="Times New Roman" w:hAnsi="Tahoma" w:cs="Tahoma"/>
                      <w:bCs/>
                      <w:color w:val="000000"/>
                      <w:bdr w:val="none" w:color="auto" w:sz="0" w:space="0"/>
                      <w:lang w:val="en-US"/>
                    </w:rPr>
                    <w:t>0.015</w:t>
                  </w:r>
                </w:p>
              </w:tc>
            </w:tr>
          </w:tbl>
          <w:p w14:paraId="68702DBC">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根据上表可知，现有项目有组织废气污染物能够达标排放，且排放总量满足环评及批复核定的总量指标（颗粒物</w:t>
            </w:r>
            <w:r>
              <w:rPr>
                <w:rFonts w:hint="default" w:ascii="Times New Roman" w:hAnsi="宋体" w:eastAsia="宋体" w:cs="Times New Roman"/>
                <w:color w:val="000000"/>
                <w:kern w:val="2"/>
                <w:sz w:val="24"/>
                <w:szCs w:val="24"/>
                <w:bdr w:val="none" w:color="auto" w:sz="0" w:space="0"/>
                <w:lang w:val="en-US" w:eastAsia="zh-CN" w:bidi="ar"/>
              </w:rPr>
              <w:t>0.015t/a</w:t>
            </w:r>
            <w:r>
              <w:rPr>
                <w:rFonts w:hint="eastAsia" w:ascii="Times New Roman" w:hAnsi="宋体" w:eastAsia="宋体" w:cs="宋体"/>
                <w:color w:val="000000"/>
                <w:kern w:val="2"/>
                <w:sz w:val="24"/>
                <w:szCs w:val="24"/>
                <w:bdr w:val="none" w:color="auto" w:sz="0" w:space="0"/>
                <w:lang w:val="en-US" w:eastAsia="zh-CN" w:bidi="ar"/>
              </w:rPr>
              <w:t>、非甲烷总烃</w:t>
            </w:r>
            <w:r>
              <w:rPr>
                <w:rFonts w:hint="default" w:ascii="Times New Roman" w:hAnsi="宋体" w:eastAsia="宋体" w:cs="Times New Roman"/>
                <w:color w:val="000000"/>
                <w:kern w:val="2"/>
                <w:sz w:val="24"/>
                <w:szCs w:val="24"/>
                <w:bdr w:val="none" w:color="auto" w:sz="0" w:space="0"/>
                <w:lang w:val="en-US" w:eastAsia="zh-CN" w:bidi="ar"/>
              </w:rPr>
              <w:t>0.206t/a</w:t>
            </w:r>
            <w:r>
              <w:rPr>
                <w:rFonts w:hint="eastAsia" w:ascii="Times New Roman" w:hAnsi="宋体" w:eastAsia="宋体" w:cs="宋体"/>
                <w:color w:val="000000"/>
                <w:kern w:val="2"/>
                <w:sz w:val="24"/>
                <w:szCs w:val="24"/>
                <w:bdr w:val="none" w:color="auto" w:sz="0" w:space="0"/>
                <w:lang w:val="en-US" w:eastAsia="zh-CN" w:bidi="ar"/>
              </w:rPr>
              <w:t>）。</w:t>
            </w:r>
          </w:p>
          <w:p w14:paraId="086394AB">
            <w:pPr>
              <w:pStyle w:val="112"/>
              <w:widowControl/>
              <w:spacing w:before="120" w:beforeLines="50" w:beforeAutospacing="0" w:after="0" w:afterAutospacing="0"/>
              <w:ind w:left="0" w:right="0"/>
              <w:rPr>
                <w:b w:val="0"/>
                <w:bCs w:val="0"/>
                <w:sz w:val="24"/>
                <w:szCs w:val="24"/>
                <w:bdr w:val="none" w:color="auto" w:sz="0" w:space="0"/>
              </w:rPr>
            </w:pPr>
            <w:r>
              <w:rPr>
                <w:rFonts w:hint="eastAsia" w:ascii="Times New Roman" w:hAnsi="Times New Roman" w:eastAsia="宋体" w:cs="宋体"/>
                <w:b w:val="0"/>
                <w:bCs w:val="0"/>
                <w:bdr w:val="none" w:color="auto" w:sz="0" w:space="0"/>
              </w:rPr>
              <w:t>表</w:t>
            </w:r>
            <w:r>
              <w:rPr>
                <w:b w:val="0"/>
                <w:bCs w:val="0"/>
                <w:bdr w:val="none" w:color="auto" w:sz="0" w:space="0"/>
              </w:rPr>
              <w:t>2.12-7</w:t>
            </w:r>
            <w:r>
              <w:rPr>
                <w:b w:val="0"/>
                <w:bCs w:val="0"/>
                <w:bdr w:val="none" w:color="auto" w:sz="0" w:space="0"/>
                <w:lang w:val="en-US"/>
              </w:rPr>
              <w:t xml:space="preserve"> </w:t>
            </w:r>
            <w:r>
              <w:rPr>
                <w:b w:val="0"/>
                <w:bCs w:val="0"/>
                <w:sz w:val="24"/>
                <w:szCs w:val="24"/>
                <w:bdr w:val="none" w:color="auto" w:sz="0" w:space="0"/>
              </w:rPr>
              <w:t xml:space="preserve"> </w:t>
            </w:r>
            <w:r>
              <w:rPr>
                <w:rFonts w:hint="eastAsia" w:ascii="Times New Roman" w:hAnsi="Times New Roman" w:eastAsia="宋体" w:cs="宋体"/>
                <w:b w:val="0"/>
                <w:bCs w:val="0"/>
                <w:sz w:val="24"/>
                <w:szCs w:val="24"/>
                <w:bdr w:val="none" w:color="auto" w:sz="0" w:space="0"/>
              </w:rPr>
              <w:t>厂界无组织废气达标情况一览表</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Layout w:type="fixed"/>
              <w:tblCellMar>
                <w:top w:w="0" w:type="dxa"/>
                <w:left w:w="108" w:type="dxa"/>
                <w:bottom w:w="0" w:type="dxa"/>
                <w:right w:w="108" w:type="dxa"/>
              </w:tblCellMar>
            </w:tblPr>
            <w:tblGrid>
              <w:gridCol w:w="1954"/>
              <w:gridCol w:w="2614"/>
              <w:gridCol w:w="2260"/>
              <w:gridCol w:w="1556"/>
            </w:tblGrid>
            <w:tr w14:paraId="6A588A8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CellMar>
                  <w:top w:w="0" w:type="dxa"/>
                  <w:left w:w="108" w:type="dxa"/>
                  <w:bottom w:w="0" w:type="dxa"/>
                  <w:right w:w="108" w:type="dxa"/>
                </w:tblCellMar>
              </w:tblPrEx>
              <w:trPr>
                <w:trHeight w:val="50" w:hRule="atLeast"/>
                <w:tblHeader/>
                <w:jc w:val="center"/>
              </w:trPr>
              <w:tc>
                <w:tcPr>
                  <w:tcW w:w="1165" w:type="pct"/>
                  <w:tcBorders>
                    <w:top w:val="single" w:color="auto" w:sz="12" w:space="0"/>
                    <w:left w:val="nil"/>
                    <w:bottom w:val="single" w:color="auto" w:sz="4" w:space="0"/>
                    <w:right w:val="single" w:color="auto" w:sz="4" w:space="0"/>
                  </w:tcBorders>
                  <w:shd w:val="clear"/>
                  <w:noWrap/>
                  <w:vAlign w:val="center"/>
                </w:tcPr>
                <w:p w14:paraId="4FF4675E">
                  <w:pPr>
                    <w:pStyle w:val="28"/>
                    <w:widowControl/>
                    <w:spacing w:line="300" w:lineRule="exact"/>
                    <w:rPr>
                      <w:color w:val="000000"/>
                      <w:bdr w:val="none" w:color="auto" w:sz="0" w:space="0"/>
                      <w:lang w:val="en-US"/>
                    </w:rPr>
                  </w:pPr>
                  <w:r>
                    <w:rPr>
                      <w:rFonts w:hint="eastAsia" w:ascii="Times New Roman" w:hAnsi="Times New Roman" w:eastAsia="宋体" w:cs="宋体"/>
                      <w:color w:val="000000"/>
                      <w:bdr w:val="none" w:color="auto" w:sz="0" w:space="0"/>
                    </w:rPr>
                    <w:t>污染物</w:t>
                  </w:r>
                </w:p>
              </w:tc>
              <w:tc>
                <w:tcPr>
                  <w:tcW w:w="1559" w:type="pct"/>
                  <w:tcBorders>
                    <w:top w:val="single" w:color="auto" w:sz="12" w:space="0"/>
                    <w:left w:val="single" w:color="auto" w:sz="4" w:space="0"/>
                    <w:bottom w:val="single" w:color="auto" w:sz="4" w:space="0"/>
                    <w:right w:val="single" w:color="auto" w:sz="4" w:space="0"/>
                  </w:tcBorders>
                  <w:shd w:val="clear"/>
                  <w:noWrap/>
                  <w:vAlign w:val="center"/>
                </w:tcPr>
                <w:p w14:paraId="41925F42">
                  <w:pPr>
                    <w:pStyle w:val="28"/>
                    <w:widowControl/>
                    <w:spacing w:line="300" w:lineRule="exact"/>
                    <w:rPr>
                      <w:color w:val="000000"/>
                      <w:bdr w:val="none" w:color="auto" w:sz="0" w:space="0"/>
                      <w:lang w:val="en-US"/>
                    </w:rPr>
                  </w:pPr>
                  <w:r>
                    <w:rPr>
                      <w:rFonts w:hint="eastAsia" w:ascii="Times New Roman" w:hAnsi="Times New Roman" w:eastAsia="宋体" w:cs="宋体"/>
                      <w:color w:val="000000"/>
                      <w:bdr w:val="none" w:color="auto" w:sz="0" w:space="0"/>
                    </w:rPr>
                    <w:t>排放浓度（</w:t>
                  </w:r>
                  <w:r>
                    <w:rPr>
                      <w:color w:val="000000"/>
                      <w:bdr w:val="none" w:color="auto" w:sz="0" w:space="0"/>
                      <w:lang w:val="en-US"/>
                    </w:rPr>
                    <w:t>mg/</w:t>
                  </w:r>
                  <w:r>
                    <w:rPr>
                      <w:color w:val="000000"/>
                      <w:szCs w:val="21"/>
                      <w:bdr w:val="none" w:color="auto" w:sz="0" w:space="0"/>
                      <w:lang w:val="en-US"/>
                    </w:rPr>
                    <w:t>m</w:t>
                  </w:r>
                  <w:r>
                    <w:rPr>
                      <w:color w:val="000000"/>
                      <w:szCs w:val="21"/>
                      <w:bdr w:val="none" w:color="auto" w:sz="0" w:space="0"/>
                      <w:vertAlign w:val="superscript"/>
                      <w:lang w:val="en-US"/>
                    </w:rPr>
                    <w:t>3</w:t>
                  </w:r>
                  <w:r>
                    <w:rPr>
                      <w:rFonts w:hint="eastAsia" w:ascii="Times New Roman" w:hAnsi="Times New Roman" w:eastAsia="宋体" w:cs="宋体"/>
                      <w:color w:val="000000"/>
                      <w:bdr w:val="none" w:color="auto" w:sz="0" w:space="0"/>
                    </w:rPr>
                    <w:t>）</w:t>
                  </w:r>
                </w:p>
              </w:tc>
              <w:tc>
                <w:tcPr>
                  <w:tcW w:w="1348" w:type="pct"/>
                  <w:tcBorders>
                    <w:top w:val="single" w:color="auto" w:sz="12" w:space="0"/>
                    <w:left w:val="single" w:color="auto" w:sz="4" w:space="0"/>
                    <w:bottom w:val="single" w:color="auto" w:sz="4" w:space="0"/>
                    <w:right w:val="single" w:color="auto" w:sz="4" w:space="0"/>
                  </w:tcBorders>
                  <w:shd w:val="clear"/>
                  <w:noWrap/>
                  <w:vAlign w:val="center"/>
                </w:tcPr>
                <w:p w14:paraId="6C6E1B73">
                  <w:pPr>
                    <w:pStyle w:val="28"/>
                    <w:widowControl/>
                    <w:spacing w:line="300" w:lineRule="exact"/>
                    <w:rPr>
                      <w:color w:val="000000"/>
                      <w:bdr w:val="none" w:color="auto" w:sz="0" w:space="0"/>
                      <w:lang w:val="en-US"/>
                    </w:rPr>
                  </w:pPr>
                  <w:r>
                    <w:rPr>
                      <w:rFonts w:hint="eastAsia" w:ascii="Times New Roman" w:hAnsi="Times New Roman" w:eastAsia="宋体" w:cs="宋体"/>
                      <w:color w:val="000000"/>
                      <w:bdr w:val="none" w:color="auto" w:sz="0" w:space="0"/>
                    </w:rPr>
                    <w:t>标准限值（</w:t>
                  </w:r>
                  <w:r>
                    <w:rPr>
                      <w:color w:val="000000"/>
                      <w:bdr w:val="none" w:color="auto" w:sz="0" w:space="0"/>
                      <w:lang w:val="en-US"/>
                    </w:rPr>
                    <w:t>mg/</w:t>
                  </w:r>
                  <w:r>
                    <w:rPr>
                      <w:color w:val="000000"/>
                      <w:szCs w:val="21"/>
                      <w:bdr w:val="none" w:color="auto" w:sz="0" w:space="0"/>
                      <w:lang w:val="en-US"/>
                    </w:rPr>
                    <w:t>m</w:t>
                  </w:r>
                  <w:r>
                    <w:rPr>
                      <w:color w:val="000000"/>
                      <w:szCs w:val="21"/>
                      <w:bdr w:val="none" w:color="auto" w:sz="0" w:space="0"/>
                      <w:vertAlign w:val="superscript"/>
                      <w:lang w:val="en-US"/>
                    </w:rPr>
                    <w:t>3</w:t>
                  </w:r>
                  <w:r>
                    <w:rPr>
                      <w:rFonts w:hint="eastAsia" w:ascii="Times New Roman" w:hAnsi="Times New Roman" w:eastAsia="宋体" w:cs="宋体"/>
                      <w:color w:val="000000"/>
                      <w:bdr w:val="none" w:color="auto" w:sz="0" w:space="0"/>
                    </w:rPr>
                    <w:t>）</w:t>
                  </w:r>
                </w:p>
              </w:tc>
              <w:tc>
                <w:tcPr>
                  <w:tcW w:w="926" w:type="pct"/>
                  <w:tcBorders>
                    <w:top w:val="single" w:color="auto" w:sz="12" w:space="0"/>
                    <w:left w:val="single" w:color="auto" w:sz="4" w:space="0"/>
                    <w:bottom w:val="single" w:color="auto" w:sz="4" w:space="0"/>
                    <w:right w:val="nil"/>
                  </w:tcBorders>
                  <w:shd w:val="clear"/>
                  <w:noWrap/>
                  <w:vAlign w:val="center"/>
                </w:tcPr>
                <w:p w14:paraId="20082884">
                  <w:pPr>
                    <w:pStyle w:val="28"/>
                    <w:widowControl/>
                    <w:spacing w:line="300" w:lineRule="exact"/>
                    <w:rPr>
                      <w:color w:val="000000"/>
                      <w:bdr w:val="none" w:color="auto" w:sz="0" w:space="0"/>
                      <w:lang w:val="en-US"/>
                    </w:rPr>
                  </w:pPr>
                  <w:r>
                    <w:rPr>
                      <w:rFonts w:hint="eastAsia" w:ascii="Times New Roman" w:hAnsi="Times New Roman" w:eastAsia="宋体" w:cs="宋体"/>
                      <w:color w:val="000000"/>
                      <w:bdr w:val="none" w:color="auto" w:sz="0" w:space="0"/>
                    </w:rPr>
                    <w:t>达标情况</w:t>
                  </w:r>
                </w:p>
              </w:tc>
            </w:tr>
            <w:tr w14:paraId="7EFEF4A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65" w:type="pct"/>
                  <w:tcBorders>
                    <w:top w:val="single" w:color="auto" w:sz="4" w:space="0"/>
                    <w:left w:val="nil"/>
                    <w:bottom w:val="single" w:color="auto" w:sz="4" w:space="0"/>
                    <w:right w:val="single" w:color="auto" w:sz="4" w:space="0"/>
                  </w:tcBorders>
                  <w:shd w:val="clear"/>
                  <w:noWrap/>
                  <w:vAlign w:val="center"/>
                </w:tcPr>
                <w:p w14:paraId="1CF25BD2">
                  <w:pPr>
                    <w:pStyle w:val="28"/>
                    <w:widowControl/>
                    <w:spacing w:line="300" w:lineRule="exact"/>
                    <w:rPr>
                      <w:color w:val="000000"/>
                      <w:bdr w:val="none" w:color="auto" w:sz="0" w:space="0"/>
                      <w:lang w:val="en-US"/>
                    </w:rPr>
                  </w:pPr>
                  <w:r>
                    <w:rPr>
                      <w:rFonts w:hint="eastAsia" w:ascii="Times New Roman" w:hAnsi="Times New Roman" w:eastAsia="宋体" w:cs="宋体"/>
                      <w:color w:val="000000"/>
                      <w:bdr w:val="none" w:color="auto" w:sz="0" w:space="0"/>
                    </w:rPr>
                    <w:t>颗粒物</w:t>
                  </w:r>
                </w:p>
              </w:tc>
              <w:tc>
                <w:tcPr>
                  <w:tcW w:w="1559" w:type="pct"/>
                  <w:tcBorders>
                    <w:top w:val="single" w:color="auto" w:sz="4" w:space="0"/>
                    <w:left w:val="single" w:color="auto" w:sz="4" w:space="0"/>
                    <w:bottom w:val="single" w:color="auto" w:sz="4" w:space="0"/>
                    <w:right w:val="single" w:color="auto" w:sz="4" w:space="0"/>
                  </w:tcBorders>
                  <w:shd w:val="clear"/>
                  <w:noWrap/>
                  <w:vAlign w:val="center"/>
                </w:tcPr>
                <w:p w14:paraId="71038C5A">
                  <w:pPr>
                    <w:pStyle w:val="28"/>
                    <w:widowControl/>
                    <w:spacing w:line="300" w:lineRule="exact"/>
                    <w:rPr>
                      <w:color w:val="000000"/>
                      <w:bdr w:val="none" w:color="auto" w:sz="0" w:space="0"/>
                      <w:lang w:val="en-US"/>
                    </w:rPr>
                  </w:pPr>
                  <w:r>
                    <w:rPr>
                      <w:color w:val="000000"/>
                      <w:bdr w:val="none" w:color="auto" w:sz="0" w:space="0"/>
                      <w:lang w:val="en-US"/>
                    </w:rPr>
                    <w:t>0.236~0.352</w:t>
                  </w:r>
                </w:p>
              </w:tc>
              <w:tc>
                <w:tcPr>
                  <w:tcW w:w="1348" w:type="pct"/>
                  <w:tcBorders>
                    <w:top w:val="single" w:color="auto" w:sz="4" w:space="0"/>
                    <w:left w:val="single" w:color="auto" w:sz="4" w:space="0"/>
                    <w:bottom w:val="single" w:color="auto" w:sz="4" w:space="0"/>
                    <w:right w:val="single" w:color="auto" w:sz="4" w:space="0"/>
                  </w:tcBorders>
                  <w:shd w:val="clear"/>
                  <w:noWrap/>
                  <w:vAlign w:val="center"/>
                </w:tcPr>
                <w:p w14:paraId="4E41C945">
                  <w:pPr>
                    <w:pStyle w:val="28"/>
                    <w:widowControl/>
                    <w:spacing w:line="300" w:lineRule="exact"/>
                    <w:rPr>
                      <w:color w:val="000000"/>
                      <w:bdr w:val="none" w:color="auto" w:sz="0" w:space="0"/>
                      <w:lang w:val="en-US"/>
                    </w:rPr>
                  </w:pPr>
                  <w:r>
                    <w:rPr>
                      <w:color w:val="000000"/>
                      <w:bdr w:val="none" w:color="auto" w:sz="0" w:space="0"/>
                      <w:lang w:val="en-US"/>
                    </w:rPr>
                    <w:t>1.0</w:t>
                  </w:r>
                </w:p>
              </w:tc>
              <w:tc>
                <w:tcPr>
                  <w:tcW w:w="926" w:type="pct"/>
                  <w:tcBorders>
                    <w:top w:val="single" w:color="auto" w:sz="4" w:space="0"/>
                    <w:left w:val="single" w:color="auto" w:sz="4" w:space="0"/>
                    <w:bottom w:val="single" w:color="auto" w:sz="4" w:space="0"/>
                    <w:right w:val="nil"/>
                  </w:tcBorders>
                  <w:shd w:val="clear"/>
                  <w:noWrap/>
                  <w:vAlign w:val="center"/>
                </w:tcPr>
                <w:p w14:paraId="76244C79">
                  <w:pPr>
                    <w:pStyle w:val="28"/>
                    <w:widowControl/>
                    <w:spacing w:line="300" w:lineRule="exact"/>
                    <w:rPr>
                      <w:color w:val="000000"/>
                      <w:bdr w:val="none" w:color="auto" w:sz="0" w:space="0"/>
                      <w:lang w:val="en-US"/>
                    </w:rPr>
                  </w:pPr>
                  <w:r>
                    <w:rPr>
                      <w:rFonts w:hint="eastAsia" w:ascii="Times New Roman" w:hAnsi="Times New Roman" w:eastAsia="宋体" w:cs="宋体"/>
                      <w:color w:val="000000"/>
                      <w:bdr w:val="none" w:color="auto" w:sz="0" w:space="0"/>
                    </w:rPr>
                    <w:t>达标</w:t>
                  </w:r>
                </w:p>
              </w:tc>
            </w:tr>
            <w:tr w14:paraId="0C87838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65" w:type="pct"/>
                  <w:tcBorders>
                    <w:top w:val="single" w:color="auto" w:sz="4" w:space="0"/>
                    <w:left w:val="nil"/>
                    <w:bottom w:val="single" w:color="auto" w:sz="12" w:space="0"/>
                    <w:right w:val="single" w:color="auto" w:sz="4" w:space="0"/>
                  </w:tcBorders>
                  <w:shd w:val="clear"/>
                  <w:noWrap/>
                  <w:vAlign w:val="center"/>
                </w:tcPr>
                <w:p w14:paraId="26D0F4CA">
                  <w:pPr>
                    <w:pStyle w:val="28"/>
                    <w:widowControl/>
                    <w:spacing w:line="300" w:lineRule="exact"/>
                    <w:rPr>
                      <w:color w:val="000000"/>
                      <w:bdr w:val="none" w:color="auto" w:sz="0" w:space="0"/>
                      <w:lang w:val="en-US"/>
                    </w:rPr>
                  </w:pPr>
                  <w:r>
                    <w:rPr>
                      <w:rFonts w:hint="eastAsia" w:ascii="Times New Roman" w:hAnsi="Times New Roman" w:eastAsia="宋体" w:cs="宋体"/>
                      <w:color w:val="000000"/>
                      <w:bdr w:val="none" w:color="auto" w:sz="0" w:space="0"/>
                    </w:rPr>
                    <w:t>非甲烷总烃</w:t>
                  </w:r>
                </w:p>
              </w:tc>
              <w:tc>
                <w:tcPr>
                  <w:tcW w:w="1559" w:type="pct"/>
                  <w:tcBorders>
                    <w:top w:val="single" w:color="auto" w:sz="4" w:space="0"/>
                    <w:left w:val="single" w:color="auto" w:sz="4" w:space="0"/>
                    <w:bottom w:val="single" w:color="auto" w:sz="12" w:space="0"/>
                    <w:right w:val="single" w:color="auto" w:sz="4" w:space="0"/>
                  </w:tcBorders>
                  <w:shd w:val="clear"/>
                  <w:noWrap/>
                  <w:vAlign w:val="center"/>
                </w:tcPr>
                <w:p w14:paraId="5299028D">
                  <w:pPr>
                    <w:pStyle w:val="28"/>
                    <w:widowControl/>
                    <w:spacing w:line="300" w:lineRule="exact"/>
                    <w:rPr>
                      <w:color w:val="000000"/>
                      <w:bdr w:val="none" w:color="auto" w:sz="0" w:space="0"/>
                      <w:lang w:val="en-US"/>
                    </w:rPr>
                  </w:pPr>
                  <w:r>
                    <w:rPr>
                      <w:color w:val="000000"/>
                      <w:bdr w:val="none" w:color="auto" w:sz="0" w:space="0"/>
                      <w:lang w:val="en-US"/>
                    </w:rPr>
                    <w:t>2.07~2.59</w:t>
                  </w:r>
                </w:p>
              </w:tc>
              <w:tc>
                <w:tcPr>
                  <w:tcW w:w="1348" w:type="pct"/>
                  <w:tcBorders>
                    <w:top w:val="single" w:color="auto" w:sz="4" w:space="0"/>
                    <w:left w:val="single" w:color="auto" w:sz="4" w:space="0"/>
                    <w:bottom w:val="single" w:color="auto" w:sz="12" w:space="0"/>
                    <w:right w:val="single" w:color="auto" w:sz="4" w:space="0"/>
                  </w:tcBorders>
                  <w:shd w:val="clear"/>
                  <w:noWrap/>
                  <w:vAlign w:val="center"/>
                </w:tcPr>
                <w:p w14:paraId="7280B1FE">
                  <w:pPr>
                    <w:pStyle w:val="28"/>
                    <w:widowControl/>
                    <w:spacing w:line="300" w:lineRule="exact"/>
                    <w:rPr>
                      <w:color w:val="000000"/>
                      <w:bdr w:val="none" w:color="auto" w:sz="0" w:space="0"/>
                      <w:lang w:val="en-US"/>
                    </w:rPr>
                  </w:pPr>
                  <w:r>
                    <w:rPr>
                      <w:color w:val="000000"/>
                      <w:bdr w:val="none" w:color="auto" w:sz="0" w:space="0"/>
                      <w:lang w:val="en-US"/>
                    </w:rPr>
                    <w:t>4.0</w:t>
                  </w:r>
                </w:p>
              </w:tc>
              <w:tc>
                <w:tcPr>
                  <w:tcW w:w="926" w:type="pct"/>
                  <w:tcBorders>
                    <w:top w:val="single" w:color="auto" w:sz="4" w:space="0"/>
                    <w:left w:val="single" w:color="auto" w:sz="4" w:space="0"/>
                    <w:bottom w:val="single" w:color="auto" w:sz="12" w:space="0"/>
                    <w:right w:val="nil"/>
                  </w:tcBorders>
                  <w:shd w:val="clear"/>
                  <w:noWrap/>
                  <w:vAlign w:val="center"/>
                </w:tcPr>
                <w:p w14:paraId="7E32028E">
                  <w:pPr>
                    <w:pStyle w:val="28"/>
                    <w:widowControl/>
                    <w:spacing w:line="300" w:lineRule="exact"/>
                    <w:rPr>
                      <w:color w:val="000000"/>
                      <w:bdr w:val="none" w:color="auto" w:sz="0" w:space="0"/>
                      <w:lang w:val="en-US"/>
                    </w:rPr>
                  </w:pPr>
                  <w:r>
                    <w:rPr>
                      <w:rFonts w:hint="eastAsia" w:ascii="Times New Roman" w:hAnsi="Times New Roman" w:eastAsia="宋体" w:cs="宋体"/>
                      <w:color w:val="000000"/>
                      <w:bdr w:val="none" w:color="auto" w:sz="0" w:space="0"/>
                    </w:rPr>
                    <w:t>达标</w:t>
                  </w:r>
                </w:p>
              </w:tc>
            </w:tr>
          </w:tbl>
          <w:p w14:paraId="6DA9E458">
            <w:pPr>
              <w:keepNext w:val="0"/>
              <w:keepLines w:val="0"/>
              <w:widowControl/>
              <w:suppressLineNumbers w:val="0"/>
              <w:spacing w:before="0" w:beforeAutospacing="0" w:after="0" w:afterAutospacing="0" w:line="440" w:lineRule="exact"/>
              <w:ind w:left="0" w:right="0" w:firstLine="480" w:firstLineChars="200"/>
              <w:jc w:val="both"/>
              <w:rPr>
                <w:color w:val="000000"/>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厂界无组织颗粒物、非甲烷总烃排放浓度符合《合成树脂工业污染物排放标准》（</w:t>
            </w:r>
            <w:r>
              <w:rPr>
                <w:rFonts w:hint="default" w:ascii="Times New Roman" w:hAnsi="宋体" w:eastAsia="宋体" w:cs="Times New Roman"/>
                <w:color w:val="000000"/>
                <w:kern w:val="2"/>
                <w:sz w:val="24"/>
                <w:szCs w:val="24"/>
                <w:bdr w:val="none" w:color="auto" w:sz="0" w:space="0"/>
                <w:lang w:val="en-US" w:eastAsia="zh-CN" w:bidi="ar"/>
              </w:rPr>
              <w:t>GB 31572-2015</w:t>
            </w:r>
            <w:r>
              <w:rPr>
                <w:rFonts w:hint="eastAsia" w:ascii="Times New Roman" w:hAnsi="宋体" w:eastAsia="宋体" w:cs="宋体"/>
                <w:color w:val="000000"/>
                <w:kern w:val="2"/>
                <w:sz w:val="24"/>
                <w:szCs w:val="24"/>
                <w:bdr w:val="none" w:color="auto" w:sz="0" w:space="0"/>
                <w:lang w:val="en-US" w:eastAsia="zh-CN" w:bidi="ar"/>
              </w:rPr>
              <w:t>）排放限值要求。</w:t>
            </w:r>
          </w:p>
          <w:p w14:paraId="572FB804">
            <w:pPr>
              <w:keepNext w:val="0"/>
              <w:keepLines w:val="0"/>
              <w:widowControl/>
              <w:suppressLineNumbers w:val="0"/>
              <w:spacing w:before="0" w:beforeAutospacing="0" w:after="0" w:afterAutospacing="0" w:line="440" w:lineRule="exact"/>
              <w:ind w:left="0" w:right="0" w:firstLine="482" w:firstLineChars="200"/>
              <w:jc w:val="both"/>
              <w:rPr>
                <w:rFonts w:hint="default" w:ascii="Times New Roman" w:hAnsi="宋体" w:cs="Times New Roman"/>
                <w:b/>
                <w:bCs w:val="0"/>
                <w:color w:val="000000"/>
                <w:sz w:val="24"/>
                <w:szCs w:val="24"/>
                <w:bdr w:val="none" w:color="auto" w:sz="0" w:space="0"/>
                <w:lang w:val="en-US"/>
              </w:rPr>
            </w:pPr>
            <w:r>
              <w:rPr>
                <w:rFonts w:hint="default" w:ascii="Times New Roman" w:hAnsi="宋体" w:eastAsia="宋体" w:cs="Times New Roman"/>
                <w:b/>
                <w:bCs w:val="0"/>
                <w:color w:val="000000"/>
                <w:kern w:val="2"/>
                <w:sz w:val="24"/>
                <w:szCs w:val="24"/>
                <w:bdr w:val="none" w:color="auto" w:sz="0" w:space="0"/>
                <w:lang w:val="en-US" w:eastAsia="zh-CN" w:bidi="ar"/>
              </w:rPr>
              <w:t>3</w:t>
            </w:r>
            <w:r>
              <w:rPr>
                <w:rFonts w:hint="eastAsia" w:ascii="Times New Roman" w:hAnsi="宋体" w:eastAsia="宋体" w:cs="宋体"/>
                <w:b/>
                <w:bCs w:val="0"/>
                <w:color w:val="000000"/>
                <w:kern w:val="2"/>
                <w:sz w:val="24"/>
                <w:szCs w:val="24"/>
                <w:bdr w:val="none" w:color="auto" w:sz="0" w:space="0"/>
                <w:lang w:val="en-US" w:eastAsia="zh-CN" w:bidi="ar"/>
              </w:rPr>
              <w:t>、噪声</w:t>
            </w:r>
          </w:p>
          <w:p w14:paraId="12C31E82">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现有项目噪声源主要为机械生产设备以及废气引风机等，对机械设备噪声，采用减振、厂房隔声等措施。根据竣工验收报告可知，厂界噪声监测点位的昼间噪声最大值为</w:t>
            </w:r>
            <w:r>
              <w:rPr>
                <w:rFonts w:hint="default" w:ascii="Times New Roman" w:hAnsi="宋体" w:eastAsia="宋体" w:cs="Times New Roman"/>
                <w:color w:val="000000"/>
                <w:kern w:val="2"/>
                <w:sz w:val="24"/>
                <w:szCs w:val="24"/>
                <w:bdr w:val="none" w:color="auto" w:sz="0" w:space="0"/>
                <w:lang w:val="en-US" w:eastAsia="zh-CN" w:bidi="ar"/>
              </w:rPr>
              <w:t>56dB</w:t>
            </w:r>
            <w:r>
              <w:rPr>
                <w:rFonts w:hint="eastAsia" w:ascii="Times New Roman" w:hAnsi="宋体" w:eastAsia="宋体" w:cs="宋体"/>
                <w:color w:val="000000"/>
                <w:kern w:val="2"/>
                <w:sz w:val="24"/>
                <w:szCs w:val="24"/>
                <w:bdr w:val="none" w:color="auto" w:sz="0" w:space="0"/>
                <w:lang w:val="en-US" w:eastAsia="zh-CN" w:bidi="ar"/>
              </w:rPr>
              <w:t>，满足《工业企业厂界环境噪声排放标准》</w:t>
            </w:r>
            <w:r>
              <w:rPr>
                <w:rFonts w:hint="default" w:ascii="Times New Roman" w:hAnsi="宋体" w:eastAsia="宋体" w:cs="Times New Roman"/>
                <w:color w:val="000000"/>
                <w:kern w:val="2"/>
                <w:sz w:val="24"/>
                <w:szCs w:val="24"/>
                <w:bdr w:val="none" w:color="auto" w:sz="0" w:space="0"/>
                <w:lang w:val="en-US" w:eastAsia="zh-CN" w:bidi="ar"/>
              </w:rPr>
              <w:t>(GB 12348-2008)</w:t>
            </w:r>
            <w:r>
              <w:rPr>
                <w:rFonts w:hint="eastAsia" w:ascii="Times New Roman" w:hAnsi="宋体" w:eastAsia="宋体" w:cs="宋体"/>
                <w:color w:val="000000"/>
                <w:kern w:val="2"/>
                <w:sz w:val="24"/>
                <w:szCs w:val="24"/>
                <w:bdr w:val="none" w:color="auto" w:sz="0" w:space="0"/>
                <w:lang w:val="en-US" w:eastAsia="zh-CN" w:bidi="ar"/>
              </w:rPr>
              <w:t>中</w:t>
            </w:r>
            <w:r>
              <w:rPr>
                <w:rFonts w:hint="default" w:ascii="Times New Roman" w:hAnsi="宋体" w:eastAsia="宋体" w:cs="Times New Roman"/>
                <w:color w:val="000000"/>
                <w:kern w:val="2"/>
                <w:sz w:val="24"/>
                <w:szCs w:val="24"/>
                <w:bdr w:val="none" w:color="auto" w:sz="0" w:space="0"/>
                <w:lang w:val="en-US" w:eastAsia="zh-CN" w:bidi="ar"/>
              </w:rPr>
              <w:t>3</w:t>
            </w:r>
            <w:r>
              <w:rPr>
                <w:rFonts w:hint="eastAsia" w:ascii="Times New Roman" w:hAnsi="宋体" w:eastAsia="宋体" w:cs="宋体"/>
                <w:color w:val="000000"/>
                <w:kern w:val="2"/>
                <w:sz w:val="24"/>
                <w:szCs w:val="24"/>
                <w:bdr w:val="none" w:color="auto" w:sz="0" w:space="0"/>
                <w:lang w:val="en-US" w:eastAsia="zh-CN" w:bidi="ar"/>
              </w:rPr>
              <w:t>类要求。</w:t>
            </w:r>
          </w:p>
          <w:p w14:paraId="05CAE453">
            <w:pPr>
              <w:keepNext w:val="0"/>
              <w:keepLines w:val="0"/>
              <w:widowControl/>
              <w:suppressLineNumbers w:val="0"/>
              <w:spacing w:before="0" w:beforeAutospacing="0" w:after="0" w:afterAutospacing="0" w:line="440" w:lineRule="exact"/>
              <w:ind w:left="0" w:right="0" w:firstLine="482" w:firstLineChars="200"/>
              <w:jc w:val="both"/>
              <w:rPr>
                <w:rFonts w:hint="default" w:ascii="Times New Roman" w:hAnsi="宋体" w:cs="Times New Roman"/>
                <w:b/>
                <w:bCs w:val="0"/>
                <w:color w:val="000000"/>
                <w:sz w:val="24"/>
                <w:szCs w:val="24"/>
                <w:bdr w:val="none" w:color="auto" w:sz="0" w:space="0"/>
                <w:lang w:val="en-US"/>
              </w:rPr>
            </w:pPr>
            <w:r>
              <w:rPr>
                <w:rFonts w:hint="default" w:ascii="Times New Roman" w:hAnsi="宋体" w:eastAsia="宋体" w:cs="Times New Roman"/>
                <w:b/>
                <w:bCs w:val="0"/>
                <w:color w:val="000000"/>
                <w:kern w:val="2"/>
                <w:sz w:val="24"/>
                <w:szCs w:val="24"/>
                <w:bdr w:val="none" w:color="auto" w:sz="0" w:space="0"/>
                <w:lang w:val="en-US" w:eastAsia="zh-CN" w:bidi="ar"/>
              </w:rPr>
              <w:t>4</w:t>
            </w:r>
            <w:r>
              <w:rPr>
                <w:rFonts w:hint="eastAsia" w:ascii="Times New Roman" w:hAnsi="宋体" w:eastAsia="宋体" w:cs="宋体"/>
                <w:b/>
                <w:bCs w:val="0"/>
                <w:color w:val="000000"/>
                <w:kern w:val="2"/>
                <w:sz w:val="24"/>
                <w:szCs w:val="24"/>
                <w:bdr w:val="none" w:color="auto" w:sz="0" w:space="0"/>
                <w:lang w:val="en-US" w:eastAsia="zh-CN" w:bidi="ar"/>
              </w:rPr>
              <w:t>、固废</w:t>
            </w:r>
          </w:p>
          <w:p w14:paraId="0BD9E94A">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现有项目固废产生情况见表</w:t>
            </w:r>
            <w:r>
              <w:rPr>
                <w:rFonts w:hint="default" w:ascii="Times New Roman" w:hAnsi="宋体" w:eastAsia="宋体" w:cs="Times New Roman"/>
                <w:color w:val="000000"/>
                <w:kern w:val="2"/>
                <w:sz w:val="24"/>
                <w:szCs w:val="24"/>
                <w:bdr w:val="none" w:color="auto" w:sz="0" w:space="0"/>
                <w:lang w:val="en-US" w:eastAsia="zh-CN" w:bidi="ar"/>
              </w:rPr>
              <w:t>2.12-8</w:t>
            </w:r>
            <w:r>
              <w:rPr>
                <w:rFonts w:hint="eastAsia" w:ascii="Times New Roman" w:hAnsi="宋体" w:eastAsia="宋体" w:cs="宋体"/>
                <w:color w:val="000000"/>
                <w:kern w:val="2"/>
                <w:sz w:val="24"/>
                <w:szCs w:val="24"/>
                <w:bdr w:val="none" w:color="auto" w:sz="0" w:space="0"/>
                <w:lang w:val="en-US" w:eastAsia="zh-CN" w:bidi="ar"/>
              </w:rPr>
              <w:t>。</w:t>
            </w:r>
          </w:p>
          <w:p w14:paraId="08F0338E">
            <w:pPr>
              <w:keepNext w:val="0"/>
              <w:keepLines w:val="0"/>
              <w:widowControl/>
              <w:suppressLineNumbers w:val="0"/>
              <w:spacing w:before="0" w:beforeAutospacing="0" w:after="0" w:afterAutospacing="0" w:line="440" w:lineRule="exact"/>
              <w:ind w:left="0" w:right="0" w:firstLine="480" w:firstLineChars="200"/>
              <w:jc w:val="center"/>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表</w:t>
            </w:r>
            <w:r>
              <w:rPr>
                <w:rFonts w:hint="default" w:ascii="Times New Roman" w:hAnsi="宋体" w:eastAsia="宋体" w:cs="Times New Roman"/>
                <w:color w:val="000000"/>
                <w:kern w:val="2"/>
                <w:sz w:val="24"/>
                <w:szCs w:val="24"/>
                <w:bdr w:val="none" w:color="auto" w:sz="0" w:space="0"/>
                <w:lang w:val="en-US" w:eastAsia="zh-CN" w:bidi="ar"/>
              </w:rPr>
              <w:t xml:space="preserve">2.12-8 </w:t>
            </w:r>
            <w:r>
              <w:rPr>
                <w:rFonts w:hint="eastAsia" w:ascii="Times New Roman" w:hAnsi="宋体" w:eastAsia="宋体" w:cs="宋体"/>
                <w:color w:val="000000"/>
                <w:kern w:val="2"/>
                <w:sz w:val="24"/>
                <w:szCs w:val="24"/>
                <w:bdr w:val="none" w:color="auto" w:sz="0" w:space="0"/>
                <w:lang w:val="en-US" w:eastAsia="zh-CN" w:bidi="ar"/>
              </w:rPr>
              <w:t>现有项目固废产生情况</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tblLayout w:type="fixed"/>
              <w:tblCellMar>
                <w:top w:w="0" w:type="dxa"/>
                <w:left w:w="57" w:type="dxa"/>
                <w:bottom w:w="0" w:type="dxa"/>
                <w:right w:w="57" w:type="dxa"/>
              </w:tblCellMar>
            </w:tblPr>
            <w:tblGrid>
              <w:gridCol w:w="599"/>
              <w:gridCol w:w="2691"/>
              <w:gridCol w:w="1700"/>
              <w:gridCol w:w="3376"/>
              <w:gridCol w:w="20"/>
            </w:tblGrid>
            <w:tr w14:paraId="73A2CA3E">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tblCellMar>
                  <w:top w:w="0" w:type="dxa"/>
                  <w:left w:w="57" w:type="dxa"/>
                  <w:bottom w:w="0" w:type="dxa"/>
                  <w:right w:w="57" w:type="dxa"/>
                </w:tblCellMar>
              </w:tblPrEx>
              <w:trPr>
                <w:trHeight w:val="282" w:hRule="atLeast"/>
                <w:jc w:val="center"/>
              </w:trPr>
              <w:tc>
                <w:tcPr>
                  <w:tcW w:w="3294" w:type="dxa"/>
                  <w:gridSpan w:val="2"/>
                  <w:tcBorders>
                    <w:top w:val="single" w:color="auto" w:sz="12" w:space="0"/>
                    <w:left w:val="nil"/>
                    <w:bottom w:val="single" w:color="auto" w:sz="8" w:space="0"/>
                    <w:right w:val="single" w:color="auto" w:sz="8" w:space="0"/>
                  </w:tcBorders>
                  <w:shd w:val="clear"/>
                  <w:vAlign w:val="center"/>
                </w:tcPr>
                <w:p w14:paraId="0D712F9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Times New Roman" w:eastAsia="宋体" w:cs="宋体"/>
                      <w:bCs/>
                      <w:color w:val="000000"/>
                      <w:kern w:val="2"/>
                      <w:sz w:val="21"/>
                      <w:szCs w:val="21"/>
                      <w:bdr w:val="none" w:color="auto" w:sz="0" w:space="0"/>
                      <w:lang w:val="en-US" w:eastAsia="zh-CN" w:bidi="ar"/>
                    </w:rPr>
                    <w:t>名称</w:t>
                  </w:r>
                </w:p>
              </w:tc>
              <w:tc>
                <w:tcPr>
                  <w:tcW w:w="1702" w:type="dxa"/>
                  <w:tcBorders>
                    <w:top w:val="single" w:color="auto" w:sz="12" w:space="0"/>
                    <w:left w:val="single" w:color="auto" w:sz="8" w:space="0"/>
                    <w:bottom w:val="single" w:color="auto" w:sz="8" w:space="0"/>
                    <w:right w:val="single" w:color="auto" w:sz="8" w:space="0"/>
                  </w:tcBorders>
                  <w:shd w:val="clear"/>
                  <w:vAlign w:val="center"/>
                </w:tcPr>
                <w:p w14:paraId="40D9006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Calibri" w:eastAsia="宋体" w:cs="宋体"/>
                      <w:bCs/>
                      <w:color w:val="000000"/>
                      <w:kern w:val="2"/>
                      <w:sz w:val="21"/>
                      <w:szCs w:val="21"/>
                      <w:bdr w:val="none" w:color="auto" w:sz="0" w:space="0"/>
                      <w:lang w:val="en-US" w:eastAsia="zh-CN" w:bidi="ar"/>
                    </w:rPr>
                    <w:t>年生量</w:t>
                  </w:r>
                  <w:r>
                    <w:rPr>
                      <w:rFonts w:hint="default" w:ascii="Times New Roman" w:hAnsi="Calibri" w:eastAsia="宋体" w:cs="Times New Roman"/>
                      <w:bCs/>
                      <w:color w:val="000000"/>
                      <w:kern w:val="2"/>
                      <w:sz w:val="21"/>
                      <w:szCs w:val="21"/>
                      <w:bdr w:val="none" w:color="auto" w:sz="0" w:space="0"/>
                      <w:lang w:val="en-US" w:eastAsia="zh-CN" w:bidi="ar"/>
                    </w:rPr>
                    <w:t>t/a</w:t>
                  </w:r>
                </w:p>
              </w:tc>
              <w:tc>
                <w:tcPr>
                  <w:tcW w:w="3390" w:type="dxa"/>
                  <w:gridSpan w:val="2"/>
                  <w:tcBorders>
                    <w:top w:val="single" w:color="auto" w:sz="12" w:space="0"/>
                    <w:left w:val="single" w:color="auto" w:sz="8" w:space="0"/>
                    <w:bottom w:val="single" w:color="auto" w:sz="8" w:space="0"/>
                    <w:right w:val="nil"/>
                  </w:tcBorders>
                  <w:shd w:val="clear"/>
                  <w:vAlign w:val="center"/>
                </w:tcPr>
                <w:p w14:paraId="145DE20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Calibri" w:eastAsia="宋体" w:cs="宋体"/>
                      <w:bCs/>
                      <w:color w:val="000000"/>
                      <w:kern w:val="2"/>
                      <w:sz w:val="21"/>
                      <w:szCs w:val="21"/>
                      <w:bdr w:val="none" w:color="auto" w:sz="0" w:space="0"/>
                      <w:lang w:val="en-US" w:eastAsia="zh-CN" w:bidi="ar"/>
                    </w:rPr>
                    <w:t>处置措施</w:t>
                  </w:r>
                </w:p>
              </w:tc>
            </w:tr>
            <w:tr w14:paraId="3231DA09">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57" w:type="dxa"/>
                  <w:bottom w:w="0" w:type="dxa"/>
                  <w:right w:w="57" w:type="dxa"/>
                </w:tblCellMar>
              </w:tblPrEx>
              <w:trPr>
                <w:trHeight w:val="245" w:hRule="atLeast"/>
                <w:jc w:val="center"/>
              </w:trPr>
              <w:tc>
                <w:tcPr>
                  <w:tcW w:w="3294" w:type="dxa"/>
                  <w:gridSpan w:val="2"/>
                  <w:tcBorders>
                    <w:top w:val="single" w:color="auto" w:sz="8" w:space="0"/>
                    <w:left w:val="nil"/>
                    <w:bottom w:val="single" w:color="auto" w:sz="8" w:space="0"/>
                    <w:right w:val="single" w:color="auto" w:sz="8" w:space="0"/>
                  </w:tcBorders>
                  <w:shd w:val="clear"/>
                  <w:vAlign w:val="center"/>
                </w:tcPr>
                <w:p w14:paraId="759DA86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bCs/>
                      <w:color w:val="000000"/>
                      <w:kern w:val="2"/>
                      <w:sz w:val="21"/>
                      <w:szCs w:val="21"/>
                      <w:bdr w:val="none" w:color="auto" w:sz="0" w:space="0"/>
                      <w:lang w:val="en-US" w:eastAsia="zh-CN" w:bidi="ar"/>
                    </w:rPr>
                    <w:t>生活垃圾</w:t>
                  </w:r>
                </w:p>
              </w:tc>
              <w:tc>
                <w:tcPr>
                  <w:tcW w:w="1702" w:type="dxa"/>
                  <w:tcBorders>
                    <w:top w:val="single" w:color="auto" w:sz="8" w:space="0"/>
                    <w:left w:val="single" w:color="auto" w:sz="8" w:space="0"/>
                    <w:bottom w:val="single" w:color="auto" w:sz="8" w:space="0"/>
                    <w:right w:val="single" w:color="auto" w:sz="8" w:space="0"/>
                  </w:tcBorders>
                  <w:shd w:val="clear"/>
                  <w:vAlign w:val="center"/>
                </w:tcPr>
                <w:p w14:paraId="261DA005">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7.5</w:t>
                  </w:r>
                </w:p>
              </w:tc>
              <w:tc>
                <w:tcPr>
                  <w:tcW w:w="3390" w:type="dxa"/>
                  <w:gridSpan w:val="2"/>
                  <w:tcBorders>
                    <w:top w:val="single" w:color="auto" w:sz="8" w:space="0"/>
                    <w:left w:val="single" w:color="auto" w:sz="8" w:space="0"/>
                    <w:bottom w:val="single" w:color="auto" w:sz="8" w:space="0"/>
                    <w:right w:val="nil"/>
                  </w:tcBorders>
                  <w:shd w:val="clear"/>
                  <w:vAlign w:val="center"/>
                </w:tcPr>
                <w:p w14:paraId="664E568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环卫部门统一清运</w:t>
                  </w:r>
                </w:p>
              </w:tc>
            </w:tr>
            <w:tr w14:paraId="753A6C21">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57" w:type="dxa"/>
                  <w:bottom w:w="0" w:type="dxa"/>
                  <w:right w:w="57" w:type="dxa"/>
                </w:tblCellMar>
              </w:tblPrEx>
              <w:trPr>
                <w:trHeight w:val="78" w:hRule="atLeast"/>
                <w:jc w:val="center"/>
              </w:trPr>
              <w:tc>
                <w:tcPr>
                  <w:tcW w:w="600" w:type="dxa"/>
                  <w:vMerge w:val="restart"/>
                  <w:tcBorders>
                    <w:top w:val="single" w:color="auto" w:sz="8" w:space="0"/>
                    <w:left w:val="nil"/>
                    <w:bottom w:val="single" w:color="auto" w:sz="8" w:space="0"/>
                    <w:right w:val="single" w:color="auto" w:sz="8" w:space="0"/>
                  </w:tcBorders>
                  <w:shd w:val="clear"/>
                  <w:vAlign w:val="center"/>
                </w:tcPr>
                <w:p w14:paraId="106FDA94">
                  <w:pPr>
                    <w:keepNext w:val="0"/>
                    <w:keepLines w:val="0"/>
                    <w:widowControl w:val="0"/>
                    <w:suppressLineNumbers w:val="0"/>
                    <w:spacing w:before="0" w:beforeAutospacing="0" w:after="0" w:afterAutospacing="0" w:line="300" w:lineRule="exact"/>
                    <w:ind w:left="0" w:right="0"/>
                    <w:jc w:val="both"/>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一般工业固废</w:t>
                  </w:r>
                </w:p>
              </w:tc>
              <w:tc>
                <w:tcPr>
                  <w:tcW w:w="2694" w:type="dxa"/>
                  <w:tcBorders>
                    <w:top w:val="single" w:color="auto" w:sz="8" w:space="0"/>
                    <w:left w:val="single" w:color="auto" w:sz="8" w:space="0"/>
                    <w:bottom w:val="single" w:color="auto" w:sz="8" w:space="0"/>
                    <w:right w:val="single" w:color="auto" w:sz="8" w:space="0"/>
                  </w:tcBorders>
                  <w:shd w:val="clear"/>
                  <w:vAlign w:val="center"/>
                </w:tcPr>
                <w:p w14:paraId="33EE535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热熔胶塑料袋</w:t>
                  </w:r>
                </w:p>
              </w:tc>
              <w:tc>
                <w:tcPr>
                  <w:tcW w:w="1702" w:type="dxa"/>
                  <w:tcBorders>
                    <w:top w:val="single" w:color="auto" w:sz="8" w:space="0"/>
                    <w:left w:val="single" w:color="auto" w:sz="8" w:space="0"/>
                    <w:bottom w:val="single" w:color="auto" w:sz="8" w:space="0"/>
                    <w:right w:val="single" w:color="auto" w:sz="8" w:space="0"/>
                  </w:tcBorders>
                  <w:shd w:val="clear"/>
                  <w:vAlign w:val="center"/>
                </w:tcPr>
                <w:p w14:paraId="153EA61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0.05</w:t>
                  </w:r>
                </w:p>
              </w:tc>
              <w:tc>
                <w:tcPr>
                  <w:tcW w:w="3390" w:type="dxa"/>
                  <w:gridSpan w:val="2"/>
                  <w:vMerge w:val="restart"/>
                  <w:tcBorders>
                    <w:top w:val="single" w:color="auto" w:sz="8" w:space="0"/>
                    <w:left w:val="single" w:color="auto" w:sz="8" w:space="0"/>
                    <w:bottom w:val="single" w:color="auto" w:sz="8" w:space="0"/>
                    <w:right w:val="nil"/>
                  </w:tcBorders>
                  <w:shd w:val="clear"/>
                  <w:vAlign w:val="center"/>
                </w:tcPr>
                <w:p w14:paraId="27134EE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由物资回收部门回收利用</w:t>
                  </w:r>
                </w:p>
              </w:tc>
            </w:tr>
            <w:tr w14:paraId="3E3AB26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57" w:type="dxa"/>
                  <w:bottom w:w="0" w:type="dxa"/>
                  <w:right w:w="57" w:type="dxa"/>
                </w:tblCellMar>
              </w:tblPrEx>
              <w:trPr>
                <w:trHeight w:val="91" w:hRule="atLeast"/>
                <w:jc w:val="center"/>
              </w:trPr>
              <w:tc>
                <w:tcPr>
                  <w:tcW w:w="600" w:type="dxa"/>
                  <w:vMerge w:val="continue"/>
                  <w:tcBorders>
                    <w:top w:val="single" w:color="auto" w:sz="8" w:space="0"/>
                    <w:left w:val="nil"/>
                    <w:bottom w:val="single" w:color="auto" w:sz="8" w:space="0"/>
                    <w:right w:val="single" w:color="auto" w:sz="8" w:space="0"/>
                  </w:tcBorders>
                  <w:shd w:val="clear"/>
                  <w:vAlign w:val="center"/>
                </w:tcPr>
                <w:p w14:paraId="5BFB5C48">
                  <w:pPr>
                    <w:rPr>
                      <w:rFonts w:hint="default" w:ascii="Calibri" w:hAnsi="Calibri" w:cs="Calibri"/>
                      <w:sz w:val="20"/>
                      <w:szCs w:val="20"/>
                    </w:rPr>
                  </w:pPr>
                </w:p>
              </w:tc>
              <w:tc>
                <w:tcPr>
                  <w:tcW w:w="2694" w:type="dxa"/>
                  <w:tcBorders>
                    <w:top w:val="single" w:color="auto" w:sz="8" w:space="0"/>
                    <w:left w:val="single" w:color="auto" w:sz="8" w:space="0"/>
                    <w:bottom w:val="single" w:color="auto" w:sz="8" w:space="0"/>
                    <w:right w:val="single" w:color="auto" w:sz="8" w:space="0"/>
                  </w:tcBorders>
                  <w:shd w:val="clear"/>
                  <w:vAlign w:val="center"/>
                </w:tcPr>
                <w:p w14:paraId="1C9F77A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废离型纸、废纸筒</w:t>
                  </w:r>
                </w:p>
              </w:tc>
              <w:tc>
                <w:tcPr>
                  <w:tcW w:w="1702" w:type="dxa"/>
                  <w:tcBorders>
                    <w:top w:val="single" w:color="auto" w:sz="8" w:space="0"/>
                    <w:left w:val="single" w:color="auto" w:sz="8" w:space="0"/>
                    <w:bottom w:val="single" w:color="auto" w:sz="8" w:space="0"/>
                    <w:right w:val="single" w:color="auto" w:sz="8" w:space="0"/>
                  </w:tcBorders>
                  <w:shd w:val="clear"/>
                  <w:vAlign w:val="center"/>
                </w:tcPr>
                <w:p w14:paraId="68DFB88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5.8</w:t>
                  </w:r>
                </w:p>
              </w:tc>
              <w:tc>
                <w:tcPr>
                  <w:tcW w:w="3390" w:type="dxa"/>
                  <w:gridSpan w:val="2"/>
                  <w:vMerge w:val="continue"/>
                  <w:tcBorders>
                    <w:top w:val="single" w:color="auto" w:sz="8" w:space="0"/>
                    <w:left w:val="single" w:color="auto" w:sz="8" w:space="0"/>
                    <w:bottom w:val="single" w:color="auto" w:sz="8" w:space="0"/>
                    <w:right w:val="nil"/>
                  </w:tcBorders>
                  <w:shd w:val="clear"/>
                  <w:vAlign w:val="center"/>
                </w:tcPr>
                <w:p w14:paraId="065A6F39">
                  <w:pPr>
                    <w:rPr>
                      <w:rFonts w:hint="default" w:ascii="Calibri" w:hAnsi="Calibri" w:cs="Calibri"/>
                      <w:sz w:val="20"/>
                      <w:szCs w:val="20"/>
                    </w:rPr>
                  </w:pPr>
                </w:p>
              </w:tc>
            </w:tr>
            <w:tr w14:paraId="2958A175">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57" w:type="dxa"/>
                  <w:bottom w:w="0" w:type="dxa"/>
                  <w:right w:w="57" w:type="dxa"/>
                </w:tblCellMar>
              </w:tblPrEx>
              <w:trPr>
                <w:trHeight w:val="78" w:hRule="atLeast"/>
                <w:jc w:val="center"/>
              </w:trPr>
              <w:tc>
                <w:tcPr>
                  <w:tcW w:w="600" w:type="dxa"/>
                  <w:vMerge w:val="continue"/>
                  <w:tcBorders>
                    <w:top w:val="single" w:color="auto" w:sz="8" w:space="0"/>
                    <w:left w:val="nil"/>
                    <w:bottom w:val="single" w:color="auto" w:sz="8" w:space="0"/>
                    <w:right w:val="single" w:color="auto" w:sz="8" w:space="0"/>
                  </w:tcBorders>
                  <w:shd w:val="clear"/>
                  <w:vAlign w:val="center"/>
                </w:tcPr>
                <w:p w14:paraId="2180FC9B">
                  <w:pPr>
                    <w:rPr>
                      <w:rFonts w:hint="default" w:ascii="Calibri" w:hAnsi="Calibri" w:cs="Calibri"/>
                      <w:sz w:val="20"/>
                      <w:szCs w:val="20"/>
                    </w:rPr>
                  </w:pPr>
                </w:p>
              </w:tc>
              <w:tc>
                <w:tcPr>
                  <w:tcW w:w="2694" w:type="dxa"/>
                  <w:tcBorders>
                    <w:top w:val="single" w:color="auto" w:sz="8" w:space="0"/>
                    <w:left w:val="single" w:color="auto" w:sz="8" w:space="0"/>
                    <w:bottom w:val="single" w:color="auto" w:sz="8" w:space="0"/>
                    <w:right w:val="single" w:color="auto" w:sz="8" w:space="0"/>
                  </w:tcBorders>
                  <w:shd w:val="clear"/>
                  <w:vAlign w:val="center"/>
                </w:tcPr>
                <w:p w14:paraId="00F7E7F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皮革、泡棉、云母板边角料</w:t>
                  </w:r>
                </w:p>
              </w:tc>
              <w:tc>
                <w:tcPr>
                  <w:tcW w:w="1702" w:type="dxa"/>
                  <w:tcBorders>
                    <w:top w:val="single" w:color="auto" w:sz="8" w:space="0"/>
                    <w:left w:val="single" w:color="auto" w:sz="8" w:space="0"/>
                    <w:bottom w:val="single" w:color="auto" w:sz="8" w:space="0"/>
                    <w:right w:val="single" w:color="auto" w:sz="8" w:space="0"/>
                  </w:tcBorders>
                  <w:shd w:val="clear"/>
                  <w:vAlign w:val="center"/>
                </w:tcPr>
                <w:p w14:paraId="745C2D15">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5</w:t>
                  </w:r>
                </w:p>
              </w:tc>
              <w:tc>
                <w:tcPr>
                  <w:tcW w:w="3390" w:type="dxa"/>
                  <w:gridSpan w:val="2"/>
                  <w:vMerge w:val="continue"/>
                  <w:tcBorders>
                    <w:top w:val="single" w:color="auto" w:sz="8" w:space="0"/>
                    <w:left w:val="single" w:color="auto" w:sz="8" w:space="0"/>
                    <w:bottom w:val="single" w:color="auto" w:sz="8" w:space="0"/>
                    <w:right w:val="nil"/>
                  </w:tcBorders>
                  <w:shd w:val="clear"/>
                  <w:vAlign w:val="center"/>
                </w:tcPr>
                <w:p w14:paraId="6F93819D">
                  <w:pPr>
                    <w:rPr>
                      <w:rFonts w:hint="default" w:ascii="Calibri" w:hAnsi="Calibri" w:cs="Calibri"/>
                      <w:sz w:val="20"/>
                      <w:szCs w:val="20"/>
                    </w:rPr>
                  </w:pPr>
                </w:p>
              </w:tc>
            </w:tr>
            <w:tr w14:paraId="6CCC62DE">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57" w:type="dxa"/>
                  <w:bottom w:w="0" w:type="dxa"/>
                  <w:right w:w="57" w:type="dxa"/>
                </w:tblCellMar>
              </w:tblPrEx>
              <w:trPr>
                <w:trHeight w:val="119" w:hRule="atLeast"/>
                <w:jc w:val="center"/>
              </w:trPr>
              <w:tc>
                <w:tcPr>
                  <w:tcW w:w="600" w:type="dxa"/>
                  <w:vMerge w:val="continue"/>
                  <w:tcBorders>
                    <w:top w:val="single" w:color="auto" w:sz="8" w:space="0"/>
                    <w:left w:val="nil"/>
                    <w:bottom w:val="single" w:color="auto" w:sz="8" w:space="0"/>
                    <w:right w:val="single" w:color="auto" w:sz="8" w:space="0"/>
                  </w:tcBorders>
                  <w:shd w:val="clear"/>
                  <w:vAlign w:val="center"/>
                </w:tcPr>
                <w:p w14:paraId="3DEB55C8">
                  <w:pPr>
                    <w:rPr>
                      <w:rFonts w:hint="default" w:ascii="Calibri" w:hAnsi="Calibri" w:cs="Calibri"/>
                      <w:sz w:val="20"/>
                      <w:szCs w:val="20"/>
                    </w:rPr>
                  </w:pPr>
                </w:p>
              </w:tc>
              <w:tc>
                <w:tcPr>
                  <w:tcW w:w="2694" w:type="dxa"/>
                  <w:tcBorders>
                    <w:top w:val="single" w:color="auto" w:sz="8" w:space="0"/>
                    <w:left w:val="single" w:color="auto" w:sz="8" w:space="0"/>
                    <w:bottom w:val="single" w:color="auto" w:sz="8" w:space="0"/>
                    <w:right w:val="single" w:color="auto" w:sz="8" w:space="0"/>
                  </w:tcBorders>
                  <w:shd w:val="clear"/>
                  <w:vAlign w:val="center"/>
                </w:tcPr>
                <w:p w14:paraId="5587CB4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不合格产品</w:t>
                  </w:r>
                </w:p>
              </w:tc>
              <w:tc>
                <w:tcPr>
                  <w:tcW w:w="1702" w:type="dxa"/>
                  <w:tcBorders>
                    <w:top w:val="single" w:color="auto" w:sz="8" w:space="0"/>
                    <w:left w:val="single" w:color="auto" w:sz="8" w:space="0"/>
                    <w:bottom w:val="single" w:color="auto" w:sz="8" w:space="0"/>
                    <w:right w:val="single" w:color="auto" w:sz="8" w:space="0"/>
                  </w:tcBorders>
                  <w:shd w:val="clear"/>
                  <w:vAlign w:val="center"/>
                </w:tcPr>
                <w:p w14:paraId="58BA9DF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0.8</w:t>
                  </w:r>
                </w:p>
              </w:tc>
              <w:tc>
                <w:tcPr>
                  <w:tcW w:w="3390" w:type="dxa"/>
                  <w:gridSpan w:val="2"/>
                  <w:vMerge w:val="continue"/>
                  <w:tcBorders>
                    <w:top w:val="single" w:color="auto" w:sz="8" w:space="0"/>
                    <w:left w:val="single" w:color="auto" w:sz="8" w:space="0"/>
                    <w:bottom w:val="single" w:color="auto" w:sz="8" w:space="0"/>
                    <w:right w:val="nil"/>
                  </w:tcBorders>
                  <w:shd w:val="clear"/>
                  <w:vAlign w:val="center"/>
                </w:tcPr>
                <w:p w14:paraId="67B2C658">
                  <w:pPr>
                    <w:rPr>
                      <w:rFonts w:hint="default" w:ascii="Calibri" w:hAnsi="Calibri" w:cs="Calibri"/>
                      <w:sz w:val="20"/>
                      <w:szCs w:val="20"/>
                    </w:rPr>
                  </w:pPr>
                </w:p>
              </w:tc>
            </w:tr>
            <w:tr w14:paraId="7E317449">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57" w:type="dxa"/>
                  <w:bottom w:w="0" w:type="dxa"/>
                  <w:right w:w="57" w:type="dxa"/>
                </w:tblCellMar>
              </w:tblPrEx>
              <w:trPr>
                <w:trHeight w:val="164" w:hRule="atLeast"/>
                <w:jc w:val="center"/>
              </w:trPr>
              <w:tc>
                <w:tcPr>
                  <w:tcW w:w="600" w:type="dxa"/>
                  <w:vMerge w:val="continue"/>
                  <w:tcBorders>
                    <w:top w:val="single" w:color="auto" w:sz="8" w:space="0"/>
                    <w:left w:val="nil"/>
                    <w:bottom w:val="single" w:color="auto" w:sz="8" w:space="0"/>
                    <w:right w:val="single" w:color="auto" w:sz="8" w:space="0"/>
                  </w:tcBorders>
                  <w:shd w:val="clear"/>
                  <w:vAlign w:val="center"/>
                </w:tcPr>
                <w:p w14:paraId="3E93CAFB">
                  <w:pPr>
                    <w:rPr>
                      <w:rFonts w:hint="default" w:ascii="Calibri" w:hAnsi="Calibri" w:cs="Calibri"/>
                      <w:sz w:val="20"/>
                      <w:szCs w:val="20"/>
                    </w:rPr>
                  </w:pPr>
                </w:p>
              </w:tc>
              <w:tc>
                <w:tcPr>
                  <w:tcW w:w="2694" w:type="dxa"/>
                  <w:tcBorders>
                    <w:top w:val="single" w:color="auto" w:sz="8" w:space="0"/>
                    <w:left w:val="single" w:color="auto" w:sz="8" w:space="0"/>
                    <w:bottom w:val="single" w:color="auto" w:sz="8" w:space="0"/>
                    <w:right w:val="single" w:color="auto" w:sz="8" w:space="0"/>
                  </w:tcBorders>
                  <w:shd w:val="clear"/>
                  <w:vAlign w:val="center"/>
                </w:tcPr>
                <w:p w14:paraId="6E8EF52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除尘器收集的粉尘</w:t>
                  </w:r>
                </w:p>
              </w:tc>
              <w:tc>
                <w:tcPr>
                  <w:tcW w:w="1702" w:type="dxa"/>
                  <w:tcBorders>
                    <w:top w:val="single" w:color="auto" w:sz="8" w:space="0"/>
                    <w:left w:val="single" w:color="auto" w:sz="8" w:space="0"/>
                    <w:bottom w:val="single" w:color="auto" w:sz="8" w:space="0"/>
                    <w:right w:val="single" w:color="auto" w:sz="8" w:space="0"/>
                  </w:tcBorders>
                  <w:shd w:val="clear"/>
                  <w:vAlign w:val="center"/>
                </w:tcPr>
                <w:p w14:paraId="44DFE453">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0.1</w:t>
                  </w:r>
                </w:p>
              </w:tc>
              <w:tc>
                <w:tcPr>
                  <w:tcW w:w="3390" w:type="dxa"/>
                  <w:gridSpan w:val="2"/>
                  <w:vMerge w:val="continue"/>
                  <w:tcBorders>
                    <w:top w:val="single" w:color="auto" w:sz="8" w:space="0"/>
                    <w:left w:val="single" w:color="auto" w:sz="8" w:space="0"/>
                    <w:bottom w:val="single" w:color="auto" w:sz="8" w:space="0"/>
                    <w:right w:val="nil"/>
                  </w:tcBorders>
                  <w:shd w:val="clear"/>
                  <w:vAlign w:val="center"/>
                </w:tcPr>
                <w:p w14:paraId="690D8AE3">
                  <w:pPr>
                    <w:rPr>
                      <w:rFonts w:hint="default" w:ascii="Calibri" w:hAnsi="Calibri" w:cs="Calibri"/>
                      <w:sz w:val="20"/>
                      <w:szCs w:val="20"/>
                    </w:rPr>
                  </w:pPr>
                </w:p>
              </w:tc>
            </w:tr>
            <w:tr w14:paraId="004D6012">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57" w:type="dxa"/>
                  <w:bottom w:w="0" w:type="dxa"/>
                  <w:right w:w="57" w:type="dxa"/>
                </w:tblCellMar>
              </w:tblPrEx>
              <w:trPr>
                <w:trHeight w:val="164" w:hRule="atLeast"/>
                <w:jc w:val="center"/>
              </w:trPr>
              <w:tc>
                <w:tcPr>
                  <w:tcW w:w="600" w:type="dxa"/>
                  <w:vMerge w:val="continue"/>
                  <w:tcBorders>
                    <w:top w:val="single" w:color="auto" w:sz="8" w:space="0"/>
                    <w:left w:val="nil"/>
                    <w:bottom w:val="single" w:color="auto" w:sz="8" w:space="0"/>
                    <w:right w:val="single" w:color="auto" w:sz="8" w:space="0"/>
                  </w:tcBorders>
                  <w:shd w:val="clear"/>
                  <w:vAlign w:val="center"/>
                </w:tcPr>
                <w:p w14:paraId="3DE94E8C">
                  <w:pPr>
                    <w:rPr>
                      <w:rFonts w:hint="default" w:ascii="Calibri" w:hAnsi="Calibri" w:cs="Calibri"/>
                      <w:sz w:val="20"/>
                      <w:szCs w:val="20"/>
                    </w:rPr>
                  </w:pPr>
                </w:p>
              </w:tc>
              <w:tc>
                <w:tcPr>
                  <w:tcW w:w="2694" w:type="dxa"/>
                  <w:tcBorders>
                    <w:top w:val="single" w:color="auto" w:sz="8" w:space="0"/>
                    <w:left w:val="single" w:color="auto" w:sz="8" w:space="0"/>
                    <w:bottom w:val="single" w:color="auto" w:sz="8" w:space="0"/>
                    <w:right w:val="single" w:color="auto" w:sz="8" w:space="0"/>
                  </w:tcBorders>
                  <w:shd w:val="clear"/>
                  <w:vAlign w:val="center"/>
                </w:tcPr>
                <w:p w14:paraId="51BD94D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废布袋</w:t>
                  </w:r>
                </w:p>
              </w:tc>
              <w:tc>
                <w:tcPr>
                  <w:tcW w:w="1702" w:type="dxa"/>
                  <w:tcBorders>
                    <w:top w:val="single" w:color="auto" w:sz="8" w:space="0"/>
                    <w:left w:val="single" w:color="auto" w:sz="8" w:space="0"/>
                    <w:bottom w:val="single" w:color="auto" w:sz="8" w:space="0"/>
                    <w:right w:val="single" w:color="auto" w:sz="8" w:space="0"/>
                  </w:tcBorders>
                  <w:shd w:val="clear"/>
                  <w:vAlign w:val="center"/>
                </w:tcPr>
                <w:p w14:paraId="22F4960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0.2</w:t>
                  </w:r>
                </w:p>
              </w:tc>
              <w:tc>
                <w:tcPr>
                  <w:tcW w:w="3390" w:type="dxa"/>
                  <w:gridSpan w:val="2"/>
                  <w:tcBorders>
                    <w:top w:val="single" w:color="auto" w:sz="8" w:space="0"/>
                    <w:left w:val="single" w:color="auto" w:sz="8" w:space="0"/>
                    <w:bottom w:val="single" w:color="auto" w:sz="8" w:space="0"/>
                    <w:right w:val="nil"/>
                  </w:tcBorders>
                  <w:shd w:val="clear"/>
                  <w:vAlign w:val="center"/>
                </w:tcPr>
                <w:p w14:paraId="3B71676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由设备厂家回收处置</w:t>
                  </w:r>
                </w:p>
              </w:tc>
            </w:tr>
            <w:tr w14:paraId="33F79005">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57" w:type="dxa"/>
                  <w:bottom w:w="0" w:type="dxa"/>
                  <w:right w:w="57" w:type="dxa"/>
                </w:tblCellMar>
              </w:tblPrEx>
              <w:trPr>
                <w:trHeight w:val="164" w:hRule="atLeast"/>
                <w:jc w:val="center"/>
              </w:trPr>
              <w:tc>
                <w:tcPr>
                  <w:tcW w:w="600" w:type="dxa"/>
                  <w:vMerge w:val="continue"/>
                  <w:tcBorders>
                    <w:top w:val="single" w:color="auto" w:sz="8" w:space="0"/>
                    <w:left w:val="nil"/>
                    <w:bottom w:val="single" w:color="auto" w:sz="8" w:space="0"/>
                    <w:right w:val="single" w:color="auto" w:sz="8" w:space="0"/>
                  </w:tcBorders>
                  <w:shd w:val="clear"/>
                  <w:vAlign w:val="center"/>
                </w:tcPr>
                <w:p w14:paraId="75924665">
                  <w:pPr>
                    <w:rPr>
                      <w:rFonts w:hint="default" w:ascii="Calibri" w:hAnsi="Calibri" w:cs="Calibri"/>
                      <w:sz w:val="20"/>
                      <w:szCs w:val="20"/>
                    </w:rPr>
                  </w:pPr>
                </w:p>
              </w:tc>
              <w:tc>
                <w:tcPr>
                  <w:tcW w:w="2694" w:type="dxa"/>
                  <w:tcBorders>
                    <w:top w:val="single" w:color="auto" w:sz="8" w:space="0"/>
                    <w:left w:val="single" w:color="auto" w:sz="8" w:space="0"/>
                    <w:bottom w:val="single" w:color="auto" w:sz="8" w:space="0"/>
                    <w:right w:val="single" w:color="auto" w:sz="8" w:space="0"/>
                  </w:tcBorders>
                  <w:shd w:val="clear"/>
                  <w:vAlign w:val="center"/>
                </w:tcPr>
                <w:p w14:paraId="623E39F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液体硅橡胶空桶</w:t>
                  </w:r>
                </w:p>
              </w:tc>
              <w:tc>
                <w:tcPr>
                  <w:tcW w:w="1702" w:type="dxa"/>
                  <w:tcBorders>
                    <w:top w:val="single" w:color="auto" w:sz="8" w:space="0"/>
                    <w:left w:val="single" w:color="auto" w:sz="8" w:space="0"/>
                    <w:bottom w:val="single" w:color="auto" w:sz="8" w:space="0"/>
                    <w:right w:val="single" w:color="auto" w:sz="8" w:space="0"/>
                  </w:tcBorders>
                  <w:shd w:val="clear"/>
                  <w:vAlign w:val="center"/>
                </w:tcPr>
                <w:p w14:paraId="1A827A1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0.005</w:t>
                  </w:r>
                </w:p>
              </w:tc>
              <w:tc>
                <w:tcPr>
                  <w:tcW w:w="3390" w:type="dxa"/>
                  <w:gridSpan w:val="2"/>
                  <w:tcBorders>
                    <w:top w:val="single" w:color="auto" w:sz="8" w:space="0"/>
                    <w:left w:val="single" w:color="auto" w:sz="8" w:space="0"/>
                    <w:bottom w:val="single" w:color="auto" w:sz="8" w:space="0"/>
                    <w:right w:val="nil"/>
                  </w:tcBorders>
                  <w:shd w:val="clear"/>
                  <w:vAlign w:val="center"/>
                </w:tcPr>
                <w:p w14:paraId="230C443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由物资回收部门回收利用</w:t>
                  </w:r>
                </w:p>
              </w:tc>
            </w:tr>
            <w:tr w14:paraId="33754FD4">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57" w:type="dxa"/>
                  <w:bottom w:w="0" w:type="dxa"/>
                  <w:right w:w="57" w:type="dxa"/>
                </w:tblCellMar>
              </w:tblPrEx>
              <w:trPr>
                <w:gridAfter w:val="1"/>
                <w:wAfter w:w="20" w:type="dxa"/>
                <w:trHeight w:val="226" w:hRule="atLeast"/>
                <w:jc w:val="center"/>
              </w:trPr>
              <w:tc>
                <w:tcPr>
                  <w:tcW w:w="600" w:type="dxa"/>
                  <w:vMerge w:val="restart"/>
                  <w:tcBorders>
                    <w:top w:val="single" w:color="auto" w:sz="8" w:space="0"/>
                    <w:left w:val="nil"/>
                    <w:bottom w:val="single" w:color="auto" w:sz="12" w:space="0"/>
                    <w:right w:val="single" w:color="auto" w:sz="8" w:space="0"/>
                  </w:tcBorders>
                  <w:shd w:val="clear"/>
                  <w:vAlign w:val="center"/>
                </w:tcPr>
                <w:p w14:paraId="2D59AF1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危险废物</w:t>
                  </w:r>
                </w:p>
              </w:tc>
              <w:tc>
                <w:tcPr>
                  <w:tcW w:w="2694" w:type="dxa"/>
                  <w:tcBorders>
                    <w:top w:val="single" w:color="auto" w:sz="8" w:space="0"/>
                    <w:left w:val="single" w:color="auto" w:sz="8" w:space="0"/>
                    <w:bottom w:val="single" w:color="auto" w:sz="8" w:space="0"/>
                    <w:right w:val="single" w:color="auto" w:sz="8" w:space="0"/>
                  </w:tcBorders>
                  <w:shd w:val="clear"/>
                  <w:vAlign w:val="center"/>
                </w:tcPr>
                <w:p w14:paraId="05FED28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废</w:t>
                  </w:r>
                  <w:r>
                    <w:rPr>
                      <w:rFonts w:hint="default" w:ascii="Times New Roman" w:hAnsi="Times New Roman" w:eastAsia="宋体" w:cs="Times New Roman"/>
                      <w:color w:val="000000"/>
                      <w:kern w:val="2"/>
                      <w:sz w:val="21"/>
                      <w:szCs w:val="21"/>
                      <w:bdr w:val="none" w:color="auto" w:sz="0" w:space="0"/>
                      <w:lang w:val="en-US" w:eastAsia="zh-CN" w:bidi="ar"/>
                    </w:rPr>
                    <w:t>UV</w:t>
                  </w:r>
                  <w:r>
                    <w:rPr>
                      <w:rFonts w:hint="eastAsia" w:ascii="Times New Roman" w:hAnsi="Calibri" w:eastAsia="宋体" w:cs="宋体"/>
                      <w:color w:val="000000"/>
                      <w:kern w:val="2"/>
                      <w:sz w:val="21"/>
                      <w:szCs w:val="21"/>
                      <w:bdr w:val="none" w:color="auto" w:sz="0" w:space="0"/>
                      <w:lang w:val="en-US" w:eastAsia="zh-CN" w:bidi="ar"/>
                    </w:rPr>
                    <w:t>灯管</w:t>
                  </w:r>
                </w:p>
              </w:tc>
              <w:tc>
                <w:tcPr>
                  <w:tcW w:w="1702" w:type="dxa"/>
                  <w:tcBorders>
                    <w:top w:val="single" w:color="auto" w:sz="8" w:space="0"/>
                    <w:left w:val="single" w:color="auto" w:sz="8" w:space="0"/>
                    <w:bottom w:val="single" w:color="auto" w:sz="8" w:space="0"/>
                    <w:right w:val="single" w:color="auto" w:sz="8" w:space="0"/>
                  </w:tcBorders>
                  <w:shd w:val="clear"/>
                  <w:vAlign w:val="center"/>
                </w:tcPr>
                <w:p w14:paraId="38E4AA3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0.03</w:t>
                  </w:r>
                </w:p>
              </w:tc>
              <w:tc>
                <w:tcPr>
                  <w:tcW w:w="3380" w:type="dxa"/>
                  <w:vMerge w:val="restart"/>
                  <w:tcBorders>
                    <w:top w:val="single" w:color="auto" w:sz="8" w:space="0"/>
                    <w:left w:val="single" w:color="auto" w:sz="8" w:space="0"/>
                    <w:bottom w:val="single" w:color="auto" w:sz="12" w:space="0"/>
                    <w:right w:val="nil"/>
                  </w:tcBorders>
                  <w:shd w:val="clear"/>
                  <w:vAlign w:val="center"/>
                </w:tcPr>
                <w:p w14:paraId="5F6279A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Calibri" w:eastAsia="宋体" w:cs="宋体"/>
                      <w:bCs/>
                      <w:color w:val="000000"/>
                      <w:kern w:val="2"/>
                      <w:sz w:val="21"/>
                      <w:szCs w:val="21"/>
                      <w:bdr w:val="none" w:color="auto" w:sz="0" w:space="0"/>
                      <w:lang w:val="en-US" w:eastAsia="zh-CN" w:bidi="ar"/>
                    </w:rPr>
                    <w:t>交有危废处理资质单位（重庆蓝泠羊环保科技有限公司）处理</w:t>
                  </w:r>
                </w:p>
              </w:tc>
            </w:tr>
            <w:tr w14:paraId="6215E03A">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57" w:type="dxa"/>
                  <w:bottom w:w="0" w:type="dxa"/>
                  <w:right w:w="57" w:type="dxa"/>
                </w:tblCellMar>
              </w:tblPrEx>
              <w:trPr>
                <w:gridAfter w:val="1"/>
                <w:wAfter w:w="20" w:type="dxa"/>
                <w:trHeight w:val="226" w:hRule="atLeast"/>
                <w:jc w:val="center"/>
              </w:trPr>
              <w:tc>
                <w:tcPr>
                  <w:tcW w:w="600" w:type="dxa"/>
                  <w:vMerge w:val="continue"/>
                  <w:tcBorders>
                    <w:top w:val="single" w:color="auto" w:sz="8" w:space="0"/>
                    <w:left w:val="nil"/>
                    <w:bottom w:val="single" w:color="auto" w:sz="12" w:space="0"/>
                    <w:right w:val="single" w:color="auto" w:sz="8" w:space="0"/>
                  </w:tcBorders>
                  <w:shd w:val="clear"/>
                  <w:vAlign w:val="center"/>
                </w:tcPr>
                <w:p w14:paraId="6DEB2EE0">
                  <w:pPr>
                    <w:rPr>
                      <w:rFonts w:hint="default" w:ascii="Calibri" w:hAnsi="Calibri" w:cs="Calibri"/>
                      <w:sz w:val="20"/>
                      <w:szCs w:val="20"/>
                    </w:rPr>
                  </w:pPr>
                </w:p>
              </w:tc>
              <w:tc>
                <w:tcPr>
                  <w:tcW w:w="2694" w:type="dxa"/>
                  <w:tcBorders>
                    <w:top w:val="single" w:color="auto" w:sz="8" w:space="0"/>
                    <w:left w:val="single" w:color="auto" w:sz="8" w:space="0"/>
                    <w:bottom w:val="single" w:color="auto" w:sz="8" w:space="0"/>
                    <w:right w:val="single" w:color="auto" w:sz="8" w:space="0"/>
                  </w:tcBorders>
                  <w:shd w:val="clear"/>
                  <w:vAlign w:val="center"/>
                </w:tcPr>
                <w:p w14:paraId="287B7FA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废背胶处理剂瓶</w:t>
                  </w:r>
                </w:p>
              </w:tc>
              <w:tc>
                <w:tcPr>
                  <w:tcW w:w="1702" w:type="dxa"/>
                  <w:tcBorders>
                    <w:top w:val="single" w:color="auto" w:sz="8" w:space="0"/>
                    <w:left w:val="single" w:color="auto" w:sz="8" w:space="0"/>
                    <w:bottom w:val="single" w:color="auto" w:sz="8" w:space="0"/>
                    <w:right w:val="single" w:color="auto" w:sz="8" w:space="0"/>
                  </w:tcBorders>
                  <w:shd w:val="clear"/>
                  <w:vAlign w:val="center"/>
                </w:tcPr>
                <w:p w14:paraId="72EA04D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0.06</w:t>
                  </w:r>
                </w:p>
              </w:tc>
              <w:tc>
                <w:tcPr>
                  <w:tcW w:w="3380" w:type="dxa"/>
                  <w:vMerge w:val="continue"/>
                  <w:tcBorders>
                    <w:top w:val="single" w:color="auto" w:sz="8" w:space="0"/>
                    <w:left w:val="single" w:color="auto" w:sz="8" w:space="0"/>
                    <w:bottom w:val="single" w:color="auto" w:sz="12" w:space="0"/>
                    <w:right w:val="nil"/>
                  </w:tcBorders>
                  <w:shd w:val="clear"/>
                  <w:vAlign w:val="center"/>
                </w:tcPr>
                <w:p w14:paraId="1AD3942A">
                  <w:pPr>
                    <w:rPr>
                      <w:rFonts w:hint="default" w:ascii="Calibri" w:hAnsi="Calibri" w:cs="Calibri"/>
                      <w:sz w:val="20"/>
                      <w:szCs w:val="20"/>
                    </w:rPr>
                  </w:pPr>
                </w:p>
              </w:tc>
            </w:tr>
            <w:tr w14:paraId="2067BCDE">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57" w:type="dxa"/>
                  <w:bottom w:w="0" w:type="dxa"/>
                  <w:right w:w="57" w:type="dxa"/>
                </w:tblCellMar>
              </w:tblPrEx>
              <w:trPr>
                <w:gridAfter w:val="1"/>
                <w:wAfter w:w="20" w:type="dxa"/>
                <w:trHeight w:val="226" w:hRule="atLeast"/>
                <w:jc w:val="center"/>
              </w:trPr>
              <w:tc>
                <w:tcPr>
                  <w:tcW w:w="600" w:type="dxa"/>
                  <w:vMerge w:val="continue"/>
                  <w:tcBorders>
                    <w:top w:val="single" w:color="auto" w:sz="8" w:space="0"/>
                    <w:left w:val="nil"/>
                    <w:bottom w:val="single" w:color="auto" w:sz="12" w:space="0"/>
                    <w:right w:val="single" w:color="auto" w:sz="8" w:space="0"/>
                  </w:tcBorders>
                  <w:shd w:val="clear"/>
                  <w:vAlign w:val="center"/>
                </w:tcPr>
                <w:p w14:paraId="35BB4CDD">
                  <w:pPr>
                    <w:rPr>
                      <w:rFonts w:hint="default" w:ascii="Calibri" w:hAnsi="Calibri" w:cs="Calibri"/>
                      <w:sz w:val="20"/>
                      <w:szCs w:val="20"/>
                    </w:rPr>
                  </w:pPr>
                </w:p>
              </w:tc>
              <w:tc>
                <w:tcPr>
                  <w:tcW w:w="2694" w:type="dxa"/>
                  <w:tcBorders>
                    <w:top w:val="single" w:color="auto" w:sz="8" w:space="0"/>
                    <w:left w:val="single" w:color="auto" w:sz="8" w:space="0"/>
                    <w:bottom w:val="single" w:color="auto" w:sz="8" w:space="0"/>
                    <w:right w:val="single" w:color="auto" w:sz="8" w:space="0"/>
                  </w:tcBorders>
                  <w:shd w:val="clear"/>
                  <w:vAlign w:val="center"/>
                </w:tcPr>
                <w:p w14:paraId="58249BB3">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废活性炭</w:t>
                  </w:r>
                </w:p>
              </w:tc>
              <w:tc>
                <w:tcPr>
                  <w:tcW w:w="1702" w:type="dxa"/>
                  <w:tcBorders>
                    <w:top w:val="single" w:color="auto" w:sz="8" w:space="0"/>
                    <w:left w:val="single" w:color="auto" w:sz="8" w:space="0"/>
                    <w:bottom w:val="single" w:color="auto" w:sz="8" w:space="0"/>
                    <w:right w:val="single" w:color="auto" w:sz="8" w:space="0"/>
                  </w:tcBorders>
                  <w:shd w:val="clear"/>
                  <w:vAlign w:val="center"/>
                </w:tcPr>
                <w:p w14:paraId="6C7CF98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0.56</w:t>
                  </w:r>
                </w:p>
              </w:tc>
              <w:tc>
                <w:tcPr>
                  <w:tcW w:w="3380" w:type="dxa"/>
                  <w:vMerge w:val="continue"/>
                  <w:tcBorders>
                    <w:top w:val="single" w:color="auto" w:sz="8" w:space="0"/>
                    <w:left w:val="single" w:color="auto" w:sz="8" w:space="0"/>
                    <w:bottom w:val="single" w:color="auto" w:sz="12" w:space="0"/>
                    <w:right w:val="nil"/>
                  </w:tcBorders>
                  <w:shd w:val="clear"/>
                  <w:vAlign w:val="center"/>
                </w:tcPr>
                <w:p w14:paraId="50C98995">
                  <w:pPr>
                    <w:rPr>
                      <w:rFonts w:hint="default" w:ascii="Calibri" w:hAnsi="Calibri" w:cs="Calibri"/>
                      <w:sz w:val="20"/>
                      <w:szCs w:val="20"/>
                    </w:rPr>
                  </w:pPr>
                </w:p>
              </w:tc>
            </w:tr>
            <w:tr w14:paraId="2650E0A8">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57" w:type="dxa"/>
                  <w:bottom w:w="0" w:type="dxa"/>
                  <w:right w:w="57" w:type="dxa"/>
                </w:tblCellMar>
              </w:tblPrEx>
              <w:trPr>
                <w:gridAfter w:val="1"/>
                <w:wAfter w:w="20" w:type="dxa"/>
                <w:trHeight w:val="226" w:hRule="atLeast"/>
                <w:jc w:val="center"/>
              </w:trPr>
              <w:tc>
                <w:tcPr>
                  <w:tcW w:w="600" w:type="dxa"/>
                  <w:vMerge w:val="continue"/>
                  <w:tcBorders>
                    <w:top w:val="single" w:color="auto" w:sz="8" w:space="0"/>
                    <w:left w:val="nil"/>
                    <w:bottom w:val="single" w:color="auto" w:sz="12" w:space="0"/>
                    <w:right w:val="single" w:color="auto" w:sz="8" w:space="0"/>
                  </w:tcBorders>
                  <w:shd w:val="clear"/>
                  <w:vAlign w:val="center"/>
                </w:tcPr>
                <w:p w14:paraId="7A0E092D">
                  <w:pPr>
                    <w:rPr>
                      <w:rFonts w:hint="default" w:ascii="Calibri" w:hAnsi="Calibri" w:cs="Calibri"/>
                      <w:sz w:val="20"/>
                      <w:szCs w:val="20"/>
                    </w:rPr>
                  </w:pPr>
                </w:p>
              </w:tc>
              <w:tc>
                <w:tcPr>
                  <w:tcW w:w="2694" w:type="dxa"/>
                  <w:tcBorders>
                    <w:top w:val="single" w:color="auto" w:sz="8" w:space="0"/>
                    <w:left w:val="single" w:color="auto" w:sz="8" w:space="0"/>
                    <w:bottom w:val="single" w:color="auto" w:sz="8" w:space="0"/>
                    <w:right w:val="single" w:color="auto" w:sz="8" w:space="0"/>
                  </w:tcBorders>
                  <w:shd w:val="clear"/>
                  <w:vAlign w:val="center"/>
                </w:tcPr>
                <w:p w14:paraId="31A828F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废润滑油</w:t>
                  </w:r>
                </w:p>
              </w:tc>
              <w:tc>
                <w:tcPr>
                  <w:tcW w:w="1702" w:type="dxa"/>
                  <w:tcBorders>
                    <w:top w:val="single" w:color="auto" w:sz="8" w:space="0"/>
                    <w:left w:val="single" w:color="auto" w:sz="8" w:space="0"/>
                    <w:bottom w:val="single" w:color="auto" w:sz="8" w:space="0"/>
                    <w:right w:val="single" w:color="auto" w:sz="8" w:space="0"/>
                  </w:tcBorders>
                  <w:shd w:val="clear"/>
                  <w:vAlign w:val="center"/>
                </w:tcPr>
                <w:p w14:paraId="3B0C9A1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0.036</w:t>
                  </w:r>
                </w:p>
              </w:tc>
              <w:tc>
                <w:tcPr>
                  <w:tcW w:w="3380" w:type="dxa"/>
                  <w:vMerge w:val="continue"/>
                  <w:tcBorders>
                    <w:top w:val="single" w:color="auto" w:sz="8" w:space="0"/>
                    <w:left w:val="single" w:color="auto" w:sz="8" w:space="0"/>
                    <w:bottom w:val="single" w:color="auto" w:sz="12" w:space="0"/>
                    <w:right w:val="nil"/>
                  </w:tcBorders>
                  <w:shd w:val="clear"/>
                  <w:vAlign w:val="center"/>
                </w:tcPr>
                <w:p w14:paraId="6901A751">
                  <w:pPr>
                    <w:rPr>
                      <w:rFonts w:hint="default" w:ascii="Calibri" w:hAnsi="Calibri" w:cs="Calibri"/>
                      <w:sz w:val="20"/>
                      <w:szCs w:val="20"/>
                    </w:rPr>
                  </w:pPr>
                </w:p>
              </w:tc>
            </w:tr>
            <w:tr w14:paraId="47FBC137">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57" w:type="dxa"/>
                  <w:bottom w:w="0" w:type="dxa"/>
                  <w:right w:w="57" w:type="dxa"/>
                </w:tblCellMar>
              </w:tblPrEx>
              <w:trPr>
                <w:gridAfter w:val="1"/>
                <w:wAfter w:w="20" w:type="dxa"/>
                <w:trHeight w:val="226" w:hRule="atLeast"/>
                <w:jc w:val="center"/>
              </w:trPr>
              <w:tc>
                <w:tcPr>
                  <w:tcW w:w="600" w:type="dxa"/>
                  <w:vMerge w:val="continue"/>
                  <w:tcBorders>
                    <w:top w:val="single" w:color="auto" w:sz="8" w:space="0"/>
                    <w:left w:val="nil"/>
                    <w:bottom w:val="single" w:color="auto" w:sz="12" w:space="0"/>
                    <w:right w:val="single" w:color="auto" w:sz="8" w:space="0"/>
                  </w:tcBorders>
                  <w:shd w:val="clear"/>
                  <w:vAlign w:val="center"/>
                </w:tcPr>
                <w:p w14:paraId="740242A1">
                  <w:pPr>
                    <w:rPr>
                      <w:rFonts w:hint="default" w:ascii="Calibri" w:hAnsi="Calibri" w:cs="Calibri"/>
                      <w:sz w:val="20"/>
                      <w:szCs w:val="20"/>
                    </w:rPr>
                  </w:pPr>
                </w:p>
              </w:tc>
              <w:tc>
                <w:tcPr>
                  <w:tcW w:w="2694" w:type="dxa"/>
                  <w:tcBorders>
                    <w:top w:val="single" w:color="auto" w:sz="8" w:space="0"/>
                    <w:left w:val="single" w:color="auto" w:sz="8" w:space="0"/>
                    <w:bottom w:val="single" w:color="auto" w:sz="8" w:space="0"/>
                    <w:right w:val="single" w:color="auto" w:sz="8" w:space="0"/>
                  </w:tcBorders>
                  <w:shd w:val="clear"/>
                  <w:vAlign w:val="center"/>
                </w:tcPr>
                <w:p w14:paraId="788F47B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废油桶</w:t>
                  </w:r>
                </w:p>
              </w:tc>
              <w:tc>
                <w:tcPr>
                  <w:tcW w:w="1702" w:type="dxa"/>
                  <w:tcBorders>
                    <w:top w:val="single" w:color="auto" w:sz="8" w:space="0"/>
                    <w:left w:val="single" w:color="auto" w:sz="8" w:space="0"/>
                    <w:bottom w:val="single" w:color="auto" w:sz="8" w:space="0"/>
                    <w:right w:val="single" w:color="auto" w:sz="8" w:space="0"/>
                  </w:tcBorders>
                  <w:shd w:val="clear"/>
                  <w:vAlign w:val="center"/>
                </w:tcPr>
                <w:p w14:paraId="6919CC3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0.015</w:t>
                  </w:r>
                </w:p>
              </w:tc>
              <w:tc>
                <w:tcPr>
                  <w:tcW w:w="3380" w:type="dxa"/>
                  <w:vMerge w:val="continue"/>
                  <w:tcBorders>
                    <w:top w:val="single" w:color="auto" w:sz="8" w:space="0"/>
                    <w:left w:val="single" w:color="auto" w:sz="8" w:space="0"/>
                    <w:bottom w:val="single" w:color="auto" w:sz="12" w:space="0"/>
                    <w:right w:val="nil"/>
                  </w:tcBorders>
                  <w:shd w:val="clear"/>
                  <w:vAlign w:val="center"/>
                </w:tcPr>
                <w:p w14:paraId="740F51C6">
                  <w:pPr>
                    <w:rPr>
                      <w:rFonts w:hint="default" w:ascii="Calibri" w:hAnsi="Calibri" w:cs="Calibri"/>
                      <w:sz w:val="20"/>
                      <w:szCs w:val="20"/>
                    </w:rPr>
                  </w:pPr>
                </w:p>
              </w:tc>
            </w:tr>
            <w:tr w14:paraId="24653CB7">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57" w:type="dxa"/>
                  <w:bottom w:w="0" w:type="dxa"/>
                  <w:right w:w="57" w:type="dxa"/>
                </w:tblCellMar>
              </w:tblPrEx>
              <w:trPr>
                <w:gridAfter w:val="1"/>
                <w:wAfter w:w="20" w:type="dxa"/>
                <w:trHeight w:val="226" w:hRule="atLeast"/>
                <w:jc w:val="center"/>
              </w:trPr>
              <w:tc>
                <w:tcPr>
                  <w:tcW w:w="600" w:type="dxa"/>
                  <w:vMerge w:val="continue"/>
                  <w:tcBorders>
                    <w:top w:val="single" w:color="auto" w:sz="8" w:space="0"/>
                    <w:left w:val="nil"/>
                    <w:bottom w:val="single" w:color="auto" w:sz="12" w:space="0"/>
                    <w:right w:val="single" w:color="auto" w:sz="8" w:space="0"/>
                  </w:tcBorders>
                  <w:shd w:val="clear"/>
                  <w:vAlign w:val="center"/>
                </w:tcPr>
                <w:p w14:paraId="321B7060">
                  <w:pPr>
                    <w:rPr>
                      <w:rFonts w:hint="default" w:ascii="Calibri" w:hAnsi="Calibri" w:cs="Calibri"/>
                      <w:sz w:val="20"/>
                      <w:szCs w:val="20"/>
                    </w:rPr>
                  </w:pPr>
                </w:p>
              </w:tc>
              <w:tc>
                <w:tcPr>
                  <w:tcW w:w="2694" w:type="dxa"/>
                  <w:tcBorders>
                    <w:top w:val="single" w:color="auto" w:sz="8" w:space="0"/>
                    <w:left w:val="single" w:color="auto" w:sz="8" w:space="0"/>
                    <w:bottom w:val="single" w:color="auto" w:sz="12" w:space="0"/>
                    <w:right w:val="single" w:color="auto" w:sz="8" w:space="0"/>
                  </w:tcBorders>
                  <w:shd w:val="clear"/>
                  <w:vAlign w:val="center"/>
                </w:tcPr>
                <w:p w14:paraId="486C946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废含油抹布</w:t>
                  </w:r>
                </w:p>
              </w:tc>
              <w:tc>
                <w:tcPr>
                  <w:tcW w:w="1702" w:type="dxa"/>
                  <w:tcBorders>
                    <w:top w:val="single" w:color="auto" w:sz="8" w:space="0"/>
                    <w:left w:val="single" w:color="auto" w:sz="8" w:space="0"/>
                    <w:bottom w:val="single" w:color="auto" w:sz="12" w:space="0"/>
                    <w:right w:val="single" w:color="auto" w:sz="8" w:space="0"/>
                  </w:tcBorders>
                  <w:shd w:val="clear"/>
                  <w:vAlign w:val="center"/>
                </w:tcPr>
                <w:p w14:paraId="57122EE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0.02</w:t>
                  </w:r>
                </w:p>
              </w:tc>
              <w:tc>
                <w:tcPr>
                  <w:tcW w:w="3380" w:type="dxa"/>
                  <w:vMerge w:val="continue"/>
                  <w:tcBorders>
                    <w:top w:val="single" w:color="auto" w:sz="8" w:space="0"/>
                    <w:left w:val="single" w:color="auto" w:sz="8" w:space="0"/>
                    <w:bottom w:val="single" w:color="auto" w:sz="12" w:space="0"/>
                    <w:right w:val="nil"/>
                  </w:tcBorders>
                  <w:shd w:val="clear"/>
                  <w:vAlign w:val="center"/>
                </w:tcPr>
                <w:p w14:paraId="0B49E846">
                  <w:pPr>
                    <w:rPr>
                      <w:rFonts w:hint="default" w:ascii="Calibri" w:hAnsi="Calibri" w:cs="Calibri"/>
                      <w:sz w:val="20"/>
                      <w:szCs w:val="20"/>
                    </w:rPr>
                  </w:pPr>
                </w:p>
              </w:tc>
            </w:tr>
          </w:tbl>
          <w:p w14:paraId="10D7956C">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Times New Roman" w:cs="Times New Roman"/>
                <w:b/>
                <w:bCs w:val="0"/>
                <w:color w:val="000000"/>
                <w:kern w:val="0"/>
                <w:sz w:val="24"/>
                <w:szCs w:val="24"/>
                <w:bdr w:val="none" w:color="auto" w:sz="0" w:space="0"/>
                <w:lang w:val="en-US"/>
              </w:rPr>
            </w:pPr>
            <w:r>
              <w:rPr>
                <w:rFonts w:hint="default" w:ascii="Times New Roman" w:hAnsi="Times New Roman" w:eastAsia="宋体" w:cs="Times New Roman"/>
                <w:b/>
                <w:bCs w:val="0"/>
                <w:color w:val="000000"/>
                <w:kern w:val="0"/>
                <w:sz w:val="24"/>
                <w:szCs w:val="24"/>
                <w:bdr w:val="none" w:color="auto" w:sz="0" w:space="0"/>
                <w:lang w:val="en-US" w:eastAsia="zh-CN" w:bidi="ar"/>
              </w:rPr>
              <w:t>2.12.6</w:t>
            </w:r>
            <w:r>
              <w:rPr>
                <w:rFonts w:hint="eastAsia" w:ascii="Times New Roman" w:hAnsi="Times New Roman" w:eastAsia="宋体" w:cs="宋体"/>
                <w:b/>
                <w:bCs w:val="0"/>
                <w:color w:val="000000"/>
                <w:kern w:val="0"/>
                <w:sz w:val="24"/>
                <w:szCs w:val="24"/>
                <w:bdr w:val="none" w:color="auto" w:sz="0" w:space="0"/>
                <w:lang w:val="en-US" w:eastAsia="zh-CN" w:bidi="ar"/>
              </w:rPr>
              <w:t>与项目有关的原有环境污染问题</w:t>
            </w:r>
          </w:p>
          <w:p w14:paraId="79FDE557">
            <w:pPr>
              <w:keepNext w:val="0"/>
              <w:keepLines w:val="0"/>
              <w:widowControl w:val="0"/>
              <w:suppressLineNumbers w:val="0"/>
              <w:spacing w:before="0" w:beforeAutospacing="0" w:after="0" w:afterAutospacing="0" w:line="460" w:lineRule="exact"/>
              <w:ind w:left="0" w:right="0" w:firstLine="480" w:firstLineChars="200"/>
              <w:jc w:val="both"/>
              <w:rPr>
                <w:rFonts w:hint="eastAsia" w:ascii="宋体" w:hAnsi="宋体" w:eastAsia="宋体" w:cs="宋体"/>
                <w:color w:val="000000"/>
                <w:sz w:val="24"/>
                <w:szCs w:val="24"/>
                <w:bdr w:val="none" w:color="auto" w:sz="0" w:space="0"/>
                <w:lang w:val="en-US"/>
              </w:rPr>
            </w:pPr>
            <w:r>
              <w:rPr>
                <w:rFonts w:hint="eastAsia" w:ascii="Calibri" w:hAnsi="Calibri" w:eastAsia="宋体" w:cs="宋体"/>
                <w:bCs/>
                <w:color w:val="000000"/>
                <w:kern w:val="2"/>
                <w:sz w:val="24"/>
                <w:szCs w:val="24"/>
                <w:bdr w:val="none" w:color="auto" w:sz="0" w:space="0"/>
                <w:lang w:val="en-US" w:eastAsia="zh-CN" w:bidi="ar"/>
              </w:rPr>
              <w:t>扩建项目</w:t>
            </w:r>
            <w:r>
              <w:rPr>
                <w:rFonts w:hint="eastAsia" w:ascii="Times New Roman" w:hAnsi="Calibri" w:eastAsia="宋体" w:cs="宋体"/>
                <w:color w:val="000000"/>
                <w:kern w:val="2"/>
                <w:sz w:val="24"/>
                <w:szCs w:val="24"/>
                <w:bdr w:val="none" w:color="auto" w:sz="0" w:space="0"/>
                <w:lang w:val="en-US" w:eastAsia="zh-CN" w:bidi="ar"/>
              </w:rPr>
              <w:t>在不改变现有生产线工艺流程的基础上新增生产设备数量，扩大产能</w:t>
            </w:r>
            <w:r>
              <w:rPr>
                <w:rFonts w:hint="eastAsia" w:ascii="Calibri" w:hAnsi="Calibri" w:eastAsia="宋体" w:cs="宋体"/>
                <w:bCs/>
                <w:color w:val="000000"/>
                <w:kern w:val="2"/>
                <w:sz w:val="24"/>
                <w:szCs w:val="24"/>
                <w:bdr w:val="none" w:color="auto" w:sz="0" w:space="0"/>
                <w:lang w:val="en-US" w:eastAsia="zh-CN" w:bidi="ar"/>
              </w:rPr>
              <w:t>。根据以上现有项目工程内容分析，</w:t>
            </w:r>
            <w:r>
              <w:rPr>
                <w:rFonts w:hint="eastAsia" w:ascii="Times New Roman" w:hAnsi="Calibri" w:eastAsia="宋体" w:cs="宋体"/>
                <w:color w:val="000000"/>
                <w:kern w:val="2"/>
                <w:sz w:val="24"/>
                <w:szCs w:val="24"/>
                <w:bdr w:val="none" w:color="auto" w:sz="0" w:space="0"/>
                <w:lang w:val="en-US" w:eastAsia="zh-CN" w:bidi="ar"/>
              </w:rPr>
              <w:t>永祺公司现有项目</w:t>
            </w:r>
            <w:r>
              <w:rPr>
                <w:rFonts w:hint="eastAsia" w:ascii="Calibri" w:hAnsi="Calibri" w:eastAsia="宋体" w:cs="宋体"/>
                <w:bCs/>
                <w:color w:val="000000"/>
                <w:kern w:val="2"/>
                <w:sz w:val="24"/>
                <w:szCs w:val="24"/>
                <w:bdr w:val="none" w:color="auto" w:sz="0" w:space="0"/>
                <w:lang w:val="en-US" w:eastAsia="zh-CN" w:bidi="ar"/>
              </w:rPr>
              <w:t>较好落实了环保“三同时”制度，采取的废水、废气、固废、噪声治理措施总体可行。根据竣工环保验收报告可知，现有项目各污染物排放浓度和排放总量能够满足达标排放要求；根据现场调查，现有项目拥有较为完善的废水、废气、噪声等治理措施，固体废物区设置较为完善，能够满足相应的环保要求；且各类污染物</w:t>
            </w:r>
            <w:r>
              <w:rPr>
                <w:rFonts w:hint="eastAsia" w:ascii="宋体" w:hAnsi="宋体" w:eastAsia="宋体" w:cs="宋体"/>
                <w:color w:val="000000"/>
                <w:kern w:val="2"/>
                <w:sz w:val="24"/>
                <w:szCs w:val="24"/>
                <w:bdr w:val="none" w:color="auto" w:sz="0" w:space="0"/>
                <w:lang w:val="en-US" w:eastAsia="zh-CN" w:bidi="ar"/>
              </w:rPr>
              <w:t>均能够实现达标排放的要求，环境风险防范措施有效。</w:t>
            </w:r>
          </w:p>
          <w:p w14:paraId="4D764E19">
            <w:pPr>
              <w:keepNext w:val="0"/>
              <w:keepLines w:val="0"/>
              <w:widowControl w:val="0"/>
              <w:suppressLineNumbers w:val="0"/>
              <w:spacing w:before="0" w:beforeAutospacing="0" w:after="0" w:afterAutospacing="0" w:line="460" w:lineRule="exact"/>
              <w:ind w:left="0" w:right="0" w:firstLine="480" w:firstLineChars="200"/>
              <w:jc w:val="both"/>
              <w:rPr>
                <w:color w:val="000000"/>
                <w:kern w:val="0"/>
                <w:sz w:val="24"/>
                <w:szCs w:val="24"/>
                <w:bdr w:val="none" w:color="auto" w:sz="0" w:space="0"/>
                <w:lang w:val="en-US"/>
              </w:rPr>
            </w:pPr>
            <w:r>
              <w:rPr>
                <w:rFonts w:hint="eastAsia" w:ascii="Calibri" w:hAnsi="Calibri" w:eastAsia="宋体" w:cs="宋体"/>
                <w:color w:val="000000"/>
                <w:kern w:val="0"/>
                <w:sz w:val="24"/>
                <w:szCs w:val="24"/>
                <w:bdr w:val="none" w:color="auto" w:sz="0" w:space="0"/>
                <w:lang w:val="en-US" w:eastAsia="zh-CN" w:bidi="ar"/>
              </w:rPr>
              <w:t>现场踏勘调查表明，其厂房地面无污染痕迹和其他工业固废。因此，不存在原有环境污染问题。</w:t>
            </w:r>
          </w:p>
          <w:p w14:paraId="407A7D6C">
            <w:pPr>
              <w:keepNext w:val="0"/>
              <w:keepLines w:val="0"/>
              <w:widowControl w:val="0"/>
              <w:suppressLineNumbers w:val="0"/>
              <w:spacing w:before="0" w:beforeAutospacing="0" w:after="0" w:afterAutospacing="0" w:line="460" w:lineRule="exact"/>
              <w:ind w:left="0" w:right="0" w:firstLine="480" w:firstLineChars="200"/>
              <w:jc w:val="both"/>
              <w:rPr>
                <w:color w:val="000000"/>
                <w:kern w:val="0"/>
                <w:sz w:val="24"/>
                <w:szCs w:val="24"/>
                <w:bdr w:val="none" w:color="auto" w:sz="0" w:space="0"/>
                <w:lang w:val="en-US"/>
              </w:rPr>
            </w:pPr>
          </w:p>
          <w:p w14:paraId="380AE91F">
            <w:pPr>
              <w:keepNext w:val="0"/>
              <w:keepLines w:val="0"/>
              <w:widowControl w:val="0"/>
              <w:suppressLineNumbers w:val="0"/>
              <w:spacing w:before="0" w:beforeAutospacing="0" w:after="0" w:afterAutospacing="0" w:line="460" w:lineRule="exact"/>
              <w:ind w:left="0" w:right="0" w:firstLine="480" w:firstLineChars="200"/>
              <w:jc w:val="both"/>
              <w:rPr>
                <w:color w:val="000000"/>
                <w:kern w:val="0"/>
                <w:sz w:val="24"/>
                <w:szCs w:val="24"/>
                <w:bdr w:val="none" w:color="auto" w:sz="0" w:space="0"/>
                <w:lang w:val="en-US"/>
              </w:rPr>
            </w:pPr>
          </w:p>
          <w:p w14:paraId="7A110CCF">
            <w:pPr>
              <w:keepNext w:val="0"/>
              <w:keepLines w:val="0"/>
              <w:widowControl w:val="0"/>
              <w:suppressLineNumbers w:val="0"/>
              <w:spacing w:before="0" w:beforeAutospacing="0" w:after="0" w:afterAutospacing="0" w:line="460" w:lineRule="exact"/>
              <w:ind w:left="0" w:right="0" w:firstLine="480" w:firstLineChars="200"/>
              <w:jc w:val="both"/>
              <w:rPr>
                <w:color w:val="000000"/>
                <w:kern w:val="0"/>
                <w:sz w:val="24"/>
                <w:szCs w:val="24"/>
                <w:bdr w:val="none" w:color="auto" w:sz="0" w:space="0"/>
                <w:lang w:val="en-US"/>
              </w:rPr>
            </w:pPr>
          </w:p>
          <w:p w14:paraId="64D097B1">
            <w:pPr>
              <w:keepNext w:val="0"/>
              <w:keepLines w:val="0"/>
              <w:widowControl w:val="0"/>
              <w:suppressLineNumbers w:val="0"/>
              <w:spacing w:before="0" w:beforeAutospacing="0" w:after="0" w:afterAutospacing="0" w:line="460" w:lineRule="exact"/>
              <w:ind w:left="0" w:right="0" w:firstLine="480" w:firstLineChars="200"/>
              <w:jc w:val="both"/>
              <w:rPr>
                <w:color w:val="000000"/>
                <w:kern w:val="0"/>
                <w:sz w:val="24"/>
                <w:szCs w:val="24"/>
                <w:bdr w:val="none" w:color="auto" w:sz="0" w:space="0"/>
                <w:lang w:val="en-US"/>
              </w:rPr>
            </w:pPr>
          </w:p>
          <w:p w14:paraId="7B1676AE">
            <w:pPr>
              <w:keepNext w:val="0"/>
              <w:keepLines w:val="0"/>
              <w:widowControl w:val="0"/>
              <w:suppressLineNumbers w:val="0"/>
              <w:spacing w:before="0" w:beforeAutospacing="0" w:after="0" w:afterAutospacing="0" w:line="460" w:lineRule="exact"/>
              <w:ind w:left="0" w:right="0" w:firstLine="480" w:firstLineChars="200"/>
              <w:jc w:val="both"/>
              <w:rPr>
                <w:color w:val="000000"/>
                <w:kern w:val="0"/>
                <w:sz w:val="24"/>
                <w:szCs w:val="24"/>
                <w:bdr w:val="none" w:color="auto" w:sz="0" w:space="0"/>
                <w:lang w:val="en-US"/>
              </w:rPr>
            </w:pPr>
          </w:p>
          <w:p w14:paraId="1B49DC2E">
            <w:pPr>
              <w:keepNext w:val="0"/>
              <w:keepLines w:val="0"/>
              <w:widowControl w:val="0"/>
              <w:suppressLineNumbers w:val="0"/>
              <w:spacing w:before="0" w:beforeAutospacing="0" w:after="0" w:afterAutospacing="0" w:line="460" w:lineRule="exact"/>
              <w:ind w:left="0" w:right="0" w:firstLine="480" w:firstLineChars="200"/>
              <w:jc w:val="both"/>
              <w:rPr>
                <w:color w:val="000000"/>
                <w:kern w:val="0"/>
                <w:sz w:val="24"/>
                <w:szCs w:val="24"/>
                <w:bdr w:val="none" w:color="auto" w:sz="0" w:space="0"/>
                <w:lang w:val="en-US"/>
              </w:rPr>
            </w:pPr>
          </w:p>
          <w:p w14:paraId="4D690E31">
            <w:pPr>
              <w:keepNext w:val="0"/>
              <w:keepLines w:val="0"/>
              <w:widowControl w:val="0"/>
              <w:suppressLineNumbers w:val="0"/>
              <w:spacing w:before="0" w:beforeAutospacing="0" w:after="0" w:afterAutospacing="0" w:line="460" w:lineRule="exact"/>
              <w:ind w:left="0" w:right="0" w:firstLine="480" w:firstLineChars="200"/>
              <w:jc w:val="both"/>
              <w:rPr>
                <w:color w:val="000000"/>
                <w:kern w:val="0"/>
                <w:sz w:val="24"/>
                <w:szCs w:val="24"/>
                <w:bdr w:val="none" w:color="auto" w:sz="0" w:space="0"/>
                <w:lang w:val="en-US"/>
              </w:rPr>
            </w:pPr>
          </w:p>
          <w:p w14:paraId="6F75DFCD">
            <w:pPr>
              <w:keepNext w:val="0"/>
              <w:keepLines w:val="0"/>
              <w:widowControl w:val="0"/>
              <w:suppressLineNumbers w:val="0"/>
              <w:spacing w:before="0" w:beforeAutospacing="0" w:after="0" w:afterAutospacing="0" w:line="460" w:lineRule="exact"/>
              <w:ind w:left="0" w:right="0" w:firstLine="480" w:firstLineChars="200"/>
              <w:jc w:val="both"/>
              <w:rPr>
                <w:color w:val="000000"/>
                <w:kern w:val="0"/>
                <w:sz w:val="24"/>
                <w:szCs w:val="24"/>
                <w:bdr w:val="none" w:color="auto" w:sz="0" w:space="0"/>
                <w:lang w:val="en-US"/>
              </w:rPr>
            </w:pPr>
          </w:p>
          <w:p w14:paraId="433F0849">
            <w:pPr>
              <w:keepNext w:val="0"/>
              <w:keepLines w:val="0"/>
              <w:widowControl w:val="0"/>
              <w:suppressLineNumbers w:val="0"/>
              <w:spacing w:before="0" w:beforeAutospacing="0" w:after="0" w:afterAutospacing="0" w:line="460" w:lineRule="exact"/>
              <w:ind w:left="0" w:right="0" w:firstLine="480" w:firstLineChars="200"/>
              <w:jc w:val="both"/>
              <w:rPr>
                <w:color w:val="000000"/>
                <w:kern w:val="0"/>
                <w:sz w:val="24"/>
                <w:szCs w:val="24"/>
                <w:bdr w:val="none" w:color="auto" w:sz="0" w:space="0"/>
                <w:lang w:val="en-US"/>
              </w:rPr>
            </w:pPr>
          </w:p>
        </w:tc>
      </w:tr>
    </w:tbl>
    <w:p w14:paraId="1A46BE68">
      <w:pPr>
        <w:rPr>
          <w:rFonts w:hint="eastAsia" w:ascii="黑体" w:hAnsi="宋体" w:eastAsia="黑体" w:cs="Times New Roman"/>
          <w:snapToGrid w:val="0"/>
          <w:color w:val="000000"/>
          <w:sz w:val="36"/>
          <w:szCs w:val="36"/>
          <w:lang w:bidi="ar"/>
        </w:rPr>
        <w:sectPr>
          <w:pgSz w:w="11906" w:h="16838"/>
          <w:pgMar w:top="1418" w:right="1418" w:bottom="1418" w:left="1418" w:header="851" w:footer="851" w:gutter="0"/>
          <w:paperSrc/>
          <w:pgNumType w:start="1"/>
          <w:cols w:space="425" w:num="1"/>
          <w:docGrid w:type="lines" w:linePitch="312" w:charSpace="0"/>
        </w:sectPr>
      </w:pPr>
    </w:p>
    <w:p w14:paraId="2985308B">
      <w:pPr>
        <w:pStyle w:val="14"/>
        <w:widowControl/>
        <w:adjustRightInd w:val="0"/>
        <w:snapToGrid w:val="0"/>
        <w:spacing w:before="0" w:beforeAutospacing="0" w:after="0" w:afterAutospacing="0" w:line="12" w:lineRule="auto"/>
        <w:ind w:left="0" w:right="0"/>
        <w:jc w:val="center"/>
        <w:outlineLvl w:val="0"/>
        <w:rPr>
          <w:rFonts w:hint="eastAsia" w:ascii="黑体" w:hAnsi="宋体" w:eastAsia="黑体" w:cs="黑体"/>
          <w:snapToGrid w:val="0"/>
          <w:color w:val="000000"/>
          <w:sz w:val="30"/>
          <w:szCs w:val="30"/>
          <w:lang/>
        </w:rPr>
      </w:pPr>
    </w:p>
    <w:p w14:paraId="3751EB2D">
      <w:pPr>
        <w:pStyle w:val="14"/>
        <w:widowControl/>
        <w:jc w:val="center"/>
        <w:outlineLvl w:val="0"/>
        <w:rPr>
          <w:rFonts w:hint="eastAsia" w:ascii="黑体" w:hAnsi="宋体" w:eastAsia="黑体" w:cs="黑体"/>
          <w:snapToGrid w:val="0"/>
          <w:color w:val="000000"/>
          <w:sz w:val="30"/>
          <w:szCs w:val="30"/>
          <w:lang/>
        </w:rPr>
      </w:pPr>
      <w:r>
        <w:rPr>
          <w:rFonts w:hint="eastAsia" w:ascii="黑体" w:hAnsi="宋体" w:eastAsia="黑体" w:cs="黑体"/>
          <w:snapToGrid w:val="0"/>
          <w:color w:val="000000"/>
          <w:sz w:val="30"/>
          <w:szCs w:val="30"/>
          <w:lang/>
        </w:rPr>
        <w:t>三、区域环境质量现状、环境保护目标及评价标准</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tblLayout w:type="fixed"/>
        <w:tblCellMar>
          <w:top w:w="0" w:type="dxa"/>
          <w:left w:w="108" w:type="dxa"/>
          <w:bottom w:w="0" w:type="dxa"/>
          <w:right w:w="108" w:type="dxa"/>
        </w:tblCellMar>
      </w:tblPr>
      <w:tblGrid>
        <w:gridCol w:w="800"/>
        <w:gridCol w:w="8190"/>
      </w:tblGrid>
      <w:tr w14:paraId="0DFAD7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tblCellMar>
            <w:top w:w="0" w:type="dxa"/>
            <w:left w:w="108" w:type="dxa"/>
            <w:bottom w:w="0" w:type="dxa"/>
            <w:right w:w="108" w:type="dxa"/>
          </w:tblCellMar>
        </w:tblPrEx>
        <w:trPr>
          <w:trHeight w:val="400" w:hRule="atLeast"/>
          <w:jc w:val="center"/>
        </w:trPr>
        <w:tc>
          <w:tcPr>
            <w:tcW w:w="800" w:type="dxa"/>
            <w:tcBorders>
              <w:top w:val="single" w:color="auto" w:sz="8" w:space="0"/>
              <w:left w:val="single" w:color="auto" w:sz="8" w:space="0"/>
              <w:bottom w:val="single" w:color="auto" w:sz="4" w:space="0"/>
              <w:right w:val="single" w:color="auto" w:sz="4" w:space="0"/>
            </w:tcBorders>
            <w:shd w:val="clear"/>
            <w:vAlign w:val="center"/>
          </w:tcPr>
          <w:p w14:paraId="46C9C9D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4"/>
                <w:szCs w:val="24"/>
                <w:bdr w:val="none" w:color="auto" w:sz="0" w:space="0"/>
                <w:lang w:val="en-US"/>
              </w:rPr>
            </w:pPr>
            <w:r>
              <w:rPr>
                <w:rFonts w:hint="eastAsia" w:ascii="Times New Roman" w:hAnsi="宋体" w:eastAsia="宋体" w:cs="宋体"/>
                <w:color w:val="000000"/>
                <w:kern w:val="0"/>
                <w:sz w:val="24"/>
                <w:szCs w:val="24"/>
                <w:bdr w:val="none" w:color="auto" w:sz="0" w:space="0"/>
                <w:lang w:val="en-US" w:eastAsia="zh-CN" w:bidi="ar"/>
              </w:rPr>
              <w:t>区域</w:t>
            </w:r>
          </w:p>
          <w:p w14:paraId="67D9208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4"/>
                <w:szCs w:val="24"/>
                <w:bdr w:val="none" w:color="auto" w:sz="0" w:space="0"/>
                <w:lang w:val="en-US"/>
              </w:rPr>
            </w:pPr>
            <w:r>
              <w:rPr>
                <w:rFonts w:hint="eastAsia" w:ascii="Times New Roman" w:hAnsi="宋体" w:eastAsia="宋体" w:cs="宋体"/>
                <w:color w:val="000000"/>
                <w:kern w:val="0"/>
                <w:sz w:val="24"/>
                <w:szCs w:val="24"/>
                <w:bdr w:val="none" w:color="auto" w:sz="0" w:space="0"/>
                <w:lang w:val="en-US" w:eastAsia="zh-CN" w:bidi="ar"/>
              </w:rPr>
              <w:t>环境</w:t>
            </w:r>
          </w:p>
          <w:p w14:paraId="1A64924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4"/>
                <w:szCs w:val="24"/>
                <w:bdr w:val="none" w:color="auto" w:sz="0" w:space="0"/>
                <w:lang w:val="en-US"/>
              </w:rPr>
            </w:pPr>
            <w:r>
              <w:rPr>
                <w:rFonts w:hint="eastAsia" w:ascii="Times New Roman" w:hAnsi="宋体" w:eastAsia="宋体" w:cs="宋体"/>
                <w:color w:val="000000"/>
                <w:kern w:val="0"/>
                <w:sz w:val="24"/>
                <w:szCs w:val="24"/>
                <w:bdr w:val="none" w:color="auto" w:sz="0" w:space="0"/>
                <w:lang w:val="en-US" w:eastAsia="zh-CN" w:bidi="ar"/>
              </w:rPr>
              <w:t>质量</w:t>
            </w:r>
          </w:p>
          <w:p w14:paraId="032B8E1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4"/>
                <w:szCs w:val="24"/>
                <w:bdr w:val="none" w:color="auto" w:sz="0" w:space="0"/>
                <w:lang w:val="en-US"/>
              </w:rPr>
            </w:pPr>
            <w:r>
              <w:rPr>
                <w:rFonts w:hint="eastAsia" w:ascii="Times New Roman" w:hAnsi="宋体" w:eastAsia="宋体" w:cs="宋体"/>
                <w:color w:val="000000"/>
                <w:kern w:val="0"/>
                <w:sz w:val="24"/>
                <w:szCs w:val="24"/>
                <w:bdr w:val="none" w:color="auto" w:sz="0" w:space="0"/>
                <w:lang w:val="en-US" w:eastAsia="zh-CN" w:bidi="ar"/>
              </w:rPr>
              <w:t>现状</w:t>
            </w:r>
          </w:p>
        </w:tc>
        <w:tc>
          <w:tcPr>
            <w:tcW w:w="8190" w:type="dxa"/>
            <w:tcBorders>
              <w:top w:val="single" w:color="auto" w:sz="8" w:space="0"/>
              <w:left w:val="single" w:color="auto" w:sz="4" w:space="0"/>
              <w:bottom w:val="single" w:color="auto" w:sz="4" w:space="0"/>
              <w:right w:val="single" w:color="auto" w:sz="8" w:space="0"/>
            </w:tcBorders>
            <w:shd w:val="clear"/>
            <w:vAlign w:val="top"/>
          </w:tcPr>
          <w:p w14:paraId="257F3375">
            <w:pPr>
              <w:keepNext w:val="0"/>
              <w:keepLines w:val="0"/>
              <w:widowControl w:val="0"/>
              <w:suppressLineNumbers w:val="0"/>
              <w:spacing w:before="0" w:beforeAutospacing="0" w:after="0" w:afterAutospacing="0" w:line="440" w:lineRule="exact"/>
              <w:ind w:left="0" w:right="0"/>
              <w:jc w:val="both"/>
              <w:outlineLvl w:val="1"/>
              <w:rPr>
                <w:rFonts w:hint="default" w:ascii="Times New Roman" w:hAnsi="Times New Roman" w:cs="Times New Roman"/>
                <w:b/>
                <w:bCs w:val="0"/>
                <w:color w:val="000000"/>
                <w:kern w:val="0"/>
                <w:sz w:val="24"/>
                <w:szCs w:val="24"/>
                <w:bdr w:val="none" w:color="auto" w:sz="0" w:space="0"/>
                <w:lang w:val="en-US"/>
              </w:rPr>
            </w:pPr>
            <w:r>
              <w:rPr>
                <w:rFonts w:hint="default" w:ascii="Times New Roman" w:hAnsi="Times New Roman" w:eastAsia="宋体" w:cs="Times New Roman"/>
                <w:b/>
                <w:bCs w:val="0"/>
                <w:color w:val="000000"/>
                <w:kern w:val="0"/>
                <w:sz w:val="24"/>
                <w:szCs w:val="24"/>
                <w:bdr w:val="none" w:color="auto" w:sz="0" w:space="0"/>
                <w:lang w:val="en-US" w:eastAsia="zh-CN" w:bidi="ar"/>
              </w:rPr>
              <w:t>3.1</w:t>
            </w:r>
            <w:r>
              <w:rPr>
                <w:rFonts w:hint="eastAsia" w:ascii="Times New Roman" w:hAnsi="Times New Roman" w:eastAsia="宋体" w:cs="宋体"/>
                <w:b/>
                <w:bCs w:val="0"/>
                <w:color w:val="000000"/>
                <w:kern w:val="0"/>
                <w:sz w:val="24"/>
                <w:szCs w:val="24"/>
                <w:bdr w:val="none" w:color="auto" w:sz="0" w:space="0"/>
                <w:lang w:val="en-US" w:eastAsia="zh-CN" w:bidi="ar"/>
              </w:rPr>
              <w:t>环境空气质量现状</w:t>
            </w:r>
          </w:p>
          <w:p w14:paraId="72775BA5">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bCs/>
                <w:sz w:val="24"/>
                <w:szCs w:val="18"/>
                <w:bdr w:val="none" w:color="auto" w:sz="0" w:space="0"/>
                <w:lang w:val="en-US"/>
              </w:rPr>
            </w:pPr>
            <w:r>
              <w:rPr>
                <w:rStyle w:val="54"/>
                <w:rFonts w:hint="eastAsia" w:ascii="Times New Roman" w:hAnsi="Calibri" w:eastAsia="宋体" w:cs="宋体"/>
                <w:bCs/>
                <w:kern w:val="2"/>
                <w:sz w:val="24"/>
                <w:szCs w:val="18"/>
                <w:bdr w:val="none" w:color="auto" w:sz="0" w:space="0"/>
                <w:lang w:val="en-US" w:eastAsia="zh-CN" w:bidi="ar"/>
              </w:rPr>
              <w:t>根据《重庆市人民政府关于印发重庆市环境空气质量功能区划分规定的通知》（渝府发</w:t>
            </w:r>
            <w:r>
              <w:rPr>
                <w:rStyle w:val="54"/>
                <w:rFonts w:hint="default" w:ascii="Times New Roman" w:hAnsi="Times New Roman" w:eastAsia="宋体" w:cs="Times New Roman"/>
                <w:bCs/>
                <w:kern w:val="2"/>
                <w:sz w:val="24"/>
                <w:szCs w:val="18"/>
                <w:bdr w:val="none" w:color="auto" w:sz="0" w:space="0"/>
                <w:lang w:val="en-US" w:eastAsia="zh-CN" w:bidi="ar"/>
              </w:rPr>
              <w:t>[2016]19</w:t>
            </w:r>
            <w:r>
              <w:rPr>
                <w:rStyle w:val="54"/>
                <w:rFonts w:hint="eastAsia" w:ascii="Times New Roman" w:hAnsi="Calibri" w:eastAsia="宋体" w:cs="宋体"/>
                <w:bCs/>
                <w:kern w:val="2"/>
                <w:sz w:val="24"/>
                <w:szCs w:val="18"/>
                <w:bdr w:val="none" w:color="auto" w:sz="0" w:space="0"/>
                <w:lang w:val="en-US" w:eastAsia="zh-CN" w:bidi="ar"/>
              </w:rPr>
              <w:t>号）规定，项目所在地为环境空气二类功能区，环境空气执行《环境空气质量标准》（</w:t>
            </w:r>
            <w:r>
              <w:rPr>
                <w:rStyle w:val="54"/>
                <w:rFonts w:hint="default" w:ascii="Times New Roman" w:hAnsi="Times New Roman" w:eastAsia="宋体" w:cs="Times New Roman"/>
                <w:bCs/>
                <w:kern w:val="2"/>
                <w:sz w:val="24"/>
                <w:szCs w:val="18"/>
                <w:bdr w:val="none" w:color="auto" w:sz="0" w:space="0"/>
                <w:lang w:val="en-US" w:eastAsia="zh-CN" w:bidi="ar"/>
              </w:rPr>
              <w:t>GB3095-2012</w:t>
            </w:r>
            <w:r>
              <w:rPr>
                <w:rStyle w:val="54"/>
                <w:rFonts w:hint="eastAsia" w:ascii="Times New Roman" w:hAnsi="Calibri" w:eastAsia="宋体" w:cs="宋体"/>
                <w:bCs/>
                <w:kern w:val="2"/>
                <w:sz w:val="24"/>
                <w:szCs w:val="18"/>
                <w:bdr w:val="none" w:color="auto" w:sz="0" w:space="0"/>
                <w:lang w:val="en-US" w:eastAsia="zh-CN" w:bidi="ar"/>
              </w:rPr>
              <w:t>）二级标准。</w:t>
            </w:r>
          </w:p>
          <w:p w14:paraId="51C5AEAA">
            <w:pPr>
              <w:keepNext w:val="0"/>
              <w:keepLines w:val="0"/>
              <w:widowControl w:val="0"/>
              <w:suppressLineNumbers w:val="0"/>
              <w:spacing w:before="0" w:beforeAutospacing="0" w:after="0" w:afterAutospacing="0" w:line="440" w:lineRule="exact"/>
              <w:ind w:left="0" w:right="0" w:firstLine="480"/>
              <w:jc w:val="both"/>
              <w:rPr>
                <w:rFonts w:hint="default" w:ascii="Times New Roman" w:hAnsi="宋体" w:cs="Times New Roman"/>
                <w:b/>
                <w:bCs w:val="0"/>
                <w:color w:val="000000"/>
                <w:sz w:val="24"/>
                <w:szCs w:val="24"/>
                <w:bdr w:val="none" w:color="auto" w:sz="0" w:space="0"/>
                <w:lang w:val="en-US"/>
              </w:rPr>
            </w:pPr>
            <w:r>
              <w:rPr>
                <w:rFonts w:hint="eastAsia" w:ascii="Times New Roman" w:hAnsi="宋体" w:eastAsia="宋体" w:cs="宋体"/>
                <w:b/>
                <w:bCs w:val="0"/>
                <w:color w:val="000000"/>
                <w:kern w:val="2"/>
                <w:sz w:val="24"/>
                <w:szCs w:val="24"/>
                <w:bdr w:val="none" w:color="auto" w:sz="0" w:space="0"/>
                <w:lang w:val="en-US" w:eastAsia="zh-CN" w:bidi="ar"/>
              </w:rPr>
              <w:t>（</w:t>
            </w:r>
            <w:r>
              <w:rPr>
                <w:rFonts w:hint="default" w:ascii="Times New Roman" w:hAnsi="宋体" w:eastAsia="宋体" w:cs="Times New Roman"/>
                <w:b/>
                <w:bCs w:val="0"/>
                <w:color w:val="000000"/>
                <w:kern w:val="2"/>
                <w:sz w:val="24"/>
                <w:szCs w:val="24"/>
                <w:bdr w:val="none" w:color="auto" w:sz="0" w:space="0"/>
                <w:lang w:val="en-US" w:eastAsia="zh-CN" w:bidi="ar"/>
              </w:rPr>
              <w:t>1</w:t>
            </w:r>
            <w:r>
              <w:rPr>
                <w:rFonts w:hint="eastAsia" w:ascii="Times New Roman" w:hAnsi="宋体" w:eastAsia="宋体" w:cs="宋体"/>
                <w:b/>
                <w:bCs w:val="0"/>
                <w:color w:val="000000"/>
                <w:kern w:val="2"/>
                <w:sz w:val="24"/>
                <w:szCs w:val="24"/>
                <w:bdr w:val="none" w:color="auto" w:sz="0" w:space="0"/>
                <w:lang w:val="en-US" w:eastAsia="zh-CN" w:bidi="ar"/>
              </w:rPr>
              <w:t>）常规污染物</w:t>
            </w:r>
          </w:p>
          <w:p w14:paraId="7676D6F6">
            <w:pPr>
              <w:keepNext w:val="0"/>
              <w:keepLines w:val="0"/>
              <w:widowControl w:val="0"/>
              <w:suppressLineNumbers w:val="0"/>
              <w:spacing w:before="0" w:beforeAutospacing="0" w:after="0" w:afterAutospacing="0" w:line="440" w:lineRule="exact"/>
              <w:ind w:left="0" w:right="0" w:firstLine="48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本评价常规污染物引用重庆市生态环境局发布的</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2023</w:t>
            </w:r>
            <w:r>
              <w:rPr>
                <w:rFonts w:hint="eastAsia" w:ascii="Times New Roman" w:hAnsi="Times New Roman" w:eastAsia="宋体" w:cs="宋体"/>
                <w:color w:val="000000"/>
                <w:kern w:val="2"/>
                <w:sz w:val="24"/>
                <w:szCs w:val="24"/>
                <w:bdr w:val="none" w:color="auto" w:sz="0" w:space="0"/>
                <w:lang w:val="en-US" w:eastAsia="zh-CN" w:bidi="ar"/>
              </w:rPr>
              <w:t>年重庆市生态环境状况</w:t>
            </w:r>
            <w:r>
              <w:rPr>
                <w:rFonts w:hint="eastAsia" w:ascii="Times New Roman" w:hAnsi="宋体" w:eastAsia="宋体" w:cs="宋体"/>
                <w:color w:val="000000"/>
                <w:kern w:val="2"/>
                <w:sz w:val="24"/>
                <w:szCs w:val="24"/>
                <w:bdr w:val="none" w:color="auto" w:sz="0" w:space="0"/>
                <w:lang w:val="en-US" w:eastAsia="zh-CN" w:bidi="ar"/>
              </w:rPr>
              <w:t>公报》中合川区大气环境质量数据进行区域达标评价。区域达标评价判断见下表。</w:t>
            </w:r>
          </w:p>
          <w:p w14:paraId="7994021C">
            <w:pPr>
              <w:keepNext w:val="0"/>
              <w:keepLines w:val="0"/>
              <w:widowControl w:val="0"/>
              <w:suppressLineNumbers w:val="0"/>
              <w:spacing w:before="0" w:beforeAutospacing="0" w:after="0" w:afterAutospacing="0" w:line="440" w:lineRule="exact"/>
              <w:ind w:left="0" w:right="0" w:firstLine="480"/>
              <w:jc w:val="center"/>
              <w:rPr>
                <w:rFonts w:hint="default" w:ascii="Times New Roman" w:hAnsi="Times New Roman" w:cs="Times New Roman"/>
                <w:b/>
                <w:bCs/>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表</w:t>
            </w:r>
            <w:r>
              <w:rPr>
                <w:rFonts w:hint="default" w:ascii="Times New Roman" w:hAnsi="Times New Roman" w:eastAsia="宋体" w:cs="Times New Roman"/>
                <w:color w:val="000000"/>
                <w:kern w:val="2"/>
                <w:sz w:val="24"/>
                <w:szCs w:val="24"/>
                <w:bdr w:val="none" w:color="auto" w:sz="0" w:space="0"/>
                <w:lang w:val="en-US" w:eastAsia="zh-CN" w:bidi="ar"/>
              </w:rPr>
              <w:t xml:space="preserve">3.1-1 </w:t>
            </w:r>
            <w:r>
              <w:rPr>
                <w:rFonts w:hint="eastAsia" w:ascii="Times New Roman" w:hAnsi="Times New Roman" w:eastAsia="宋体" w:cs="宋体"/>
                <w:color w:val="000000"/>
                <w:kern w:val="2"/>
                <w:sz w:val="24"/>
                <w:szCs w:val="24"/>
                <w:bdr w:val="none" w:color="auto" w:sz="0" w:space="0"/>
                <w:lang w:val="en-US" w:eastAsia="zh-CN" w:bidi="ar"/>
              </w:rPr>
              <w:t>合川区环境空气质量现状（</w:t>
            </w:r>
            <w:r>
              <w:rPr>
                <w:rFonts w:hint="default" w:ascii="Times New Roman" w:hAnsi="Times New Roman" w:eastAsia="宋体" w:cs="Times New Roman"/>
                <w:color w:val="000000"/>
                <w:kern w:val="2"/>
                <w:sz w:val="24"/>
                <w:szCs w:val="24"/>
                <w:bdr w:val="none" w:color="auto" w:sz="0" w:space="0"/>
                <w:lang w:val="en-US" w:eastAsia="zh-CN" w:bidi="ar"/>
              </w:rPr>
              <w:t>2023</w:t>
            </w:r>
            <w:r>
              <w:rPr>
                <w:rFonts w:hint="eastAsia" w:ascii="Times New Roman" w:hAnsi="Times New Roman" w:eastAsia="宋体" w:cs="宋体"/>
                <w:color w:val="000000"/>
                <w:kern w:val="2"/>
                <w:sz w:val="24"/>
                <w:szCs w:val="24"/>
                <w:bdr w:val="none" w:color="auto" w:sz="0" w:space="0"/>
                <w:lang w:val="en-US" w:eastAsia="zh-CN" w:bidi="ar"/>
              </w:rPr>
              <w:t>年）</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Layout w:type="fixed"/>
              <w:tblCellMar>
                <w:top w:w="0" w:type="dxa"/>
                <w:left w:w="108" w:type="dxa"/>
                <w:bottom w:w="0" w:type="dxa"/>
                <w:right w:w="108" w:type="dxa"/>
              </w:tblCellMar>
            </w:tblPr>
            <w:tblGrid>
              <w:gridCol w:w="895"/>
              <w:gridCol w:w="850"/>
              <w:gridCol w:w="1842"/>
              <w:gridCol w:w="1135"/>
              <w:gridCol w:w="850"/>
              <w:gridCol w:w="1276"/>
              <w:gridCol w:w="1125"/>
            </w:tblGrid>
            <w:tr w14:paraId="794B8F8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CellMar>
                  <w:top w:w="0" w:type="dxa"/>
                  <w:left w:w="108" w:type="dxa"/>
                  <w:bottom w:w="0" w:type="dxa"/>
                  <w:right w:w="108" w:type="dxa"/>
                </w:tblCellMar>
              </w:tblPrEx>
              <w:trPr>
                <w:trHeight w:val="300" w:hRule="atLeast"/>
                <w:jc w:val="center"/>
              </w:trPr>
              <w:tc>
                <w:tcPr>
                  <w:tcW w:w="895" w:type="dxa"/>
                  <w:tcBorders>
                    <w:top w:val="single" w:color="auto" w:sz="12" w:space="0"/>
                    <w:left w:val="nil"/>
                    <w:bottom w:val="single" w:color="auto" w:sz="4" w:space="0"/>
                    <w:right w:val="single" w:color="auto" w:sz="4" w:space="0"/>
                  </w:tcBorders>
                  <w:shd w:val="clear"/>
                  <w:vAlign w:val="center"/>
                </w:tcPr>
                <w:p w14:paraId="6A95E8E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污染物</w:t>
                  </w:r>
                </w:p>
              </w:tc>
              <w:tc>
                <w:tcPr>
                  <w:tcW w:w="851" w:type="dxa"/>
                  <w:tcBorders>
                    <w:top w:val="single" w:color="auto" w:sz="12" w:space="0"/>
                    <w:left w:val="single" w:color="auto" w:sz="4" w:space="0"/>
                    <w:bottom w:val="single" w:color="auto" w:sz="4" w:space="0"/>
                    <w:right w:val="single" w:color="auto" w:sz="4" w:space="0"/>
                  </w:tcBorders>
                  <w:shd w:val="clear"/>
                  <w:vAlign w:val="center"/>
                </w:tcPr>
                <w:p w14:paraId="75836D33">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单位</w:t>
                  </w:r>
                </w:p>
              </w:tc>
              <w:tc>
                <w:tcPr>
                  <w:tcW w:w="1842" w:type="dxa"/>
                  <w:tcBorders>
                    <w:top w:val="single" w:color="auto" w:sz="12" w:space="0"/>
                    <w:left w:val="single" w:color="auto" w:sz="4" w:space="0"/>
                    <w:bottom w:val="single" w:color="auto" w:sz="4" w:space="0"/>
                    <w:right w:val="single" w:color="auto" w:sz="4" w:space="0"/>
                  </w:tcBorders>
                  <w:shd w:val="clear"/>
                  <w:vAlign w:val="center"/>
                </w:tcPr>
                <w:p w14:paraId="55EEA52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年评价指标</w:t>
                  </w:r>
                </w:p>
              </w:tc>
              <w:tc>
                <w:tcPr>
                  <w:tcW w:w="1135" w:type="dxa"/>
                  <w:tcBorders>
                    <w:top w:val="single" w:color="auto" w:sz="12" w:space="0"/>
                    <w:left w:val="single" w:color="auto" w:sz="4" w:space="0"/>
                    <w:bottom w:val="single" w:color="auto" w:sz="4" w:space="0"/>
                    <w:right w:val="single" w:color="auto" w:sz="4" w:space="0"/>
                  </w:tcBorders>
                  <w:shd w:val="clear"/>
                  <w:vAlign w:val="center"/>
                </w:tcPr>
                <w:p w14:paraId="69604353">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现状浓度</w:t>
                  </w:r>
                </w:p>
              </w:tc>
              <w:tc>
                <w:tcPr>
                  <w:tcW w:w="851" w:type="dxa"/>
                  <w:tcBorders>
                    <w:top w:val="single" w:color="auto" w:sz="12" w:space="0"/>
                    <w:left w:val="single" w:color="auto" w:sz="4" w:space="0"/>
                    <w:bottom w:val="single" w:color="auto" w:sz="4" w:space="0"/>
                    <w:right w:val="single" w:color="auto" w:sz="4" w:space="0"/>
                  </w:tcBorders>
                  <w:shd w:val="clear"/>
                  <w:vAlign w:val="center"/>
                </w:tcPr>
                <w:p w14:paraId="1E8144A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标准值</w:t>
                  </w:r>
                </w:p>
              </w:tc>
              <w:tc>
                <w:tcPr>
                  <w:tcW w:w="1276" w:type="dxa"/>
                  <w:tcBorders>
                    <w:top w:val="single" w:color="auto" w:sz="12" w:space="0"/>
                    <w:left w:val="single" w:color="auto" w:sz="4" w:space="0"/>
                    <w:bottom w:val="single" w:color="auto" w:sz="4" w:space="0"/>
                    <w:right w:val="single" w:color="auto" w:sz="4" w:space="0"/>
                  </w:tcBorders>
                  <w:shd w:val="clear"/>
                  <w:vAlign w:val="center"/>
                </w:tcPr>
                <w:p w14:paraId="45625CE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占标率</w:t>
                  </w:r>
                  <w:r>
                    <w:rPr>
                      <w:rFonts w:hint="default" w:ascii="Times New Roman" w:hAnsi="Times New Roman" w:eastAsia="宋体" w:cs="Times New Roman"/>
                      <w:color w:val="000000"/>
                      <w:kern w:val="2"/>
                      <w:sz w:val="21"/>
                      <w:szCs w:val="21"/>
                      <w:bdr w:val="none" w:color="auto" w:sz="0" w:space="0"/>
                      <w:lang w:val="en-US" w:eastAsia="zh-CN" w:bidi="ar"/>
                    </w:rPr>
                    <w:t>/%</w:t>
                  </w:r>
                </w:p>
              </w:tc>
              <w:tc>
                <w:tcPr>
                  <w:tcW w:w="1125" w:type="dxa"/>
                  <w:tcBorders>
                    <w:top w:val="single" w:color="auto" w:sz="12" w:space="0"/>
                    <w:left w:val="single" w:color="auto" w:sz="4" w:space="0"/>
                    <w:bottom w:val="single" w:color="auto" w:sz="4" w:space="0"/>
                    <w:right w:val="nil"/>
                  </w:tcBorders>
                  <w:shd w:val="clear"/>
                  <w:vAlign w:val="center"/>
                </w:tcPr>
                <w:p w14:paraId="6DE961AD">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达标情况</w:t>
                  </w:r>
                </w:p>
              </w:tc>
            </w:tr>
            <w:tr w14:paraId="06BE390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tcBorders>
                    <w:top w:val="single" w:color="auto" w:sz="4" w:space="0"/>
                    <w:left w:val="nil"/>
                    <w:bottom w:val="single" w:color="auto" w:sz="4" w:space="0"/>
                    <w:right w:val="single" w:color="auto" w:sz="4" w:space="0"/>
                  </w:tcBorders>
                  <w:shd w:val="clear"/>
                  <w:vAlign w:val="center"/>
                </w:tcPr>
                <w:p w14:paraId="46E34F5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SO</w:t>
                  </w:r>
                  <w:r>
                    <w:rPr>
                      <w:rFonts w:hint="default" w:ascii="Times New Roman" w:hAnsi="Times New Roman" w:eastAsia="宋体" w:cs="Times New Roman"/>
                      <w:color w:val="000000"/>
                      <w:kern w:val="2"/>
                      <w:sz w:val="21"/>
                      <w:szCs w:val="21"/>
                      <w:bdr w:val="none" w:color="auto" w:sz="0" w:space="0"/>
                      <w:vertAlign w:val="subscript"/>
                      <w:lang w:val="en-US" w:eastAsia="zh-CN" w:bidi="ar"/>
                    </w:rPr>
                    <w:t>2</w:t>
                  </w:r>
                </w:p>
              </w:tc>
              <w:tc>
                <w:tcPr>
                  <w:tcW w:w="851" w:type="dxa"/>
                  <w:vMerge w:val="restart"/>
                  <w:tcBorders>
                    <w:top w:val="single" w:color="auto" w:sz="4" w:space="0"/>
                    <w:left w:val="single" w:color="auto" w:sz="4" w:space="0"/>
                    <w:bottom w:val="single" w:color="auto" w:sz="4" w:space="0"/>
                    <w:right w:val="single" w:color="auto" w:sz="4" w:space="0"/>
                  </w:tcBorders>
                  <w:shd w:val="clear"/>
                  <w:vAlign w:val="center"/>
                </w:tcPr>
                <w:p w14:paraId="12B18A2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µg/m</w:t>
                  </w:r>
                  <w:r>
                    <w:rPr>
                      <w:rFonts w:hint="default" w:ascii="Times New Roman" w:hAnsi="Times New Roman" w:eastAsia="宋体" w:cs="Times New Roman"/>
                      <w:color w:val="000000"/>
                      <w:kern w:val="2"/>
                      <w:sz w:val="21"/>
                      <w:szCs w:val="21"/>
                      <w:bdr w:val="none" w:color="auto" w:sz="0" w:space="0"/>
                      <w:vertAlign w:val="superscript"/>
                      <w:lang w:val="en-US" w:eastAsia="zh-CN" w:bidi="ar"/>
                    </w:rPr>
                    <w:t>3</w:t>
                  </w:r>
                </w:p>
              </w:tc>
              <w:tc>
                <w:tcPr>
                  <w:tcW w:w="1842" w:type="dxa"/>
                  <w:vMerge w:val="restart"/>
                  <w:tcBorders>
                    <w:top w:val="single" w:color="auto" w:sz="4" w:space="0"/>
                    <w:left w:val="single" w:color="auto" w:sz="4" w:space="0"/>
                    <w:bottom w:val="single" w:color="auto" w:sz="4" w:space="0"/>
                    <w:right w:val="single" w:color="auto" w:sz="4" w:space="0"/>
                  </w:tcBorders>
                  <w:shd w:val="clear"/>
                  <w:vAlign w:val="center"/>
                </w:tcPr>
                <w:p w14:paraId="5FCDECA5">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年均浓度</w:t>
                  </w:r>
                </w:p>
              </w:tc>
              <w:tc>
                <w:tcPr>
                  <w:tcW w:w="1135" w:type="dxa"/>
                  <w:tcBorders>
                    <w:top w:val="single" w:color="auto" w:sz="4" w:space="0"/>
                    <w:left w:val="single" w:color="auto" w:sz="4" w:space="0"/>
                    <w:bottom w:val="single" w:color="auto" w:sz="4" w:space="0"/>
                    <w:right w:val="single" w:color="auto" w:sz="4" w:space="0"/>
                  </w:tcBorders>
                  <w:shd w:val="clear"/>
                  <w:vAlign w:val="center"/>
                </w:tcPr>
                <w:p w14:paraId="785B302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10</w:t>
                  </w:r>
                </w:p>
              </w:tc>
              <w:tc>
                <w:tcPr>
                  <w:tcW w:w="851" w:type="dxa"/>
                  <w:tcBorders>
                    <w:top w:val="single" w:color="auto" w:sz="4" w:space="0"/>
                    <w:left w:val="single" w:color="auto" w:sz="4" w:space="0"/>
                    <w:bottom w:val="single" w:color="auto" w:sz="4" w:space="0"/>
                    <w:right w:val="single" w:color="auto" w:sz="4" w:space="0"/>
                  </w:tcBorders>
                  <w:shd w:val="clear"/>
                  <w:vAlign w:val="center"/>
                </w:tcPr>
                <w:p w14:paraId="18AB599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60</w:t>
                  </w:r>
                </w:p>
              </w:tc>
              <w:tc>
                <w:tcPr>
                  <w:tcW w:w="1276" w:type="dxa"/>
                  <w:tcBorders>
                    <w:top w:val="single" w:color="auto" w:sz="4" w:space="0"/>
                    <w:left w:val="single" w:color="auto" w:sz="4" w:space="0"/>
                    <w:bottom w:val="single" w:color="auto" w:sz="4" w:space="0"/>
                    <w:right w:val="single" w:color="auto" w:sz="4" w:space="0"/>
                  </w:tcBorders>
                  <w:shd w:val="clear"/>
                  <w:vAlign w:val="center"/>
                </w:tcPr>
                <w:p w14:paraId="386F699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16.7</w:t>
                  </w:r>
                </w:p>
              </w:tc>
              <w:tc>
                <w:tcPr>
                  <w:tcW w:w="1125" w:type="dxa"/>
                  <w:tcBorders>
                    <w:top w:val="single" w:color="auto" w:sz="4" w:space="0"/>
                    <w:left w:val="single" w:color="auto" w:sz="4" w:space="0"/>
                    <w:bottom w:val="single" w:color="auto" w:sz="4" w:space="0"/>
                    <w:right w:val="nil"/>
                  </w:tcBorders>
                  <w:shd w:val="clear"/>
                  <w:vAlign w:val="center"/>
                </w:tcPr>
                <w:p w14:paraId="0775856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达标</w:t>
                  </w:r>
                </w:p>
              </w:tc>
            </w:tr>
            <w:tr w14:paraId="13B3195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895" w:type="dxa"/>
                  <w:tcBorders>
                    <w:top w:val="single" w:color="auto" w:sz="4" w:space="0"/>
                    <w:left w:val="nil"/>
                    <w:bottom w:val="single" w:color="auto" w:sz="4" w:space="0"/>
                    <w:right w:val="single" w:color="auto" w:sz="4" w:space="0"/>
                  </w:tcBorders>
                  <w:shd w:val="clear"/>
                  <w:vAlign w:val="center"/>
                </w:tcPr>
                <w:p w14:paraId="49DD24A3">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NO</w:t>
                  </w:r>
                  <w:r>
                    <w:rPr>
                      <w:rFonts w:hint="default" w:ascii="Times New Roman" w:hAnsi="Times New Roman" w:eastAsia="宋体" w:cs="Times New Roman"/>
                      <w:color w:val="000000"/>
                      <w:kern w:val="2"/>
                      <w:sz w:val="21"/>
                      <w:szCs w:val="21"/>
                      <w:bdr w:val="none" w:color="auto" w:sz="0" w:space="0"/>
                      <w:vertAlign w:val="subscript"/>
                      <w:lang w:val="en-US" w:eastAsia="zh-CN" w:bidi="ar"/>
                    </w:rPr>
                    <w:t>2</w:t>
                  </w:r>
                </w:p>
              </w:tc>
              <w:tc>
                <w:tcPr>
                  <w:tcW w:w="851" w:type="dxa"/>
                  <w:vMerge w:val="continue"/>
                  <w:tcBorders>
                    <w:top w:val="single" w:color="auto" w:sz="4" w:space="0"/>
                    <w:left w:val="single" w:color="auto" w:sz="4" w:space="0"/>
                    <w:bottom w:val="single" w:color="auto" w:sz="4" w:space="0"/>
                    <w:right w:val="single" w:color="auto" w:sz="4" w:space="0"/>
                  </w:tcBorders>
                  <w:shd w:val="clear"/>
                  <w:vAlign w:val="center"/>
                </w:tcPr>
                <w:p w14:paraId="066141ED">
                  <w:pPr>
                    <w:rPr>
                      <w:rFonts w:hint="default" w:ascii="Calibri" w:hAnsi="Calibri" w:cs="Calibri"/>
                      <w:sz w:val="20"/>
                      <w:szCs w:val="20"/>
                    </w:rPr>
                  </w:pPr>
                </w:p>
              </w:tc>
              <w:tc>
                <w:tcPr>
                  <w:tcW w:w="1842" w:type="dxa"/>
                  <w:vMerge w:val="continue"/>
                  <w:tcBorders>
                    <w:top w:val="single" w:color="auto" w:sz="4" w:space="0"/>
                    <w:left w:val="single" w:color="auto" w:sz="4" w:space="0"/>
                    <w:bottom w:val="single" w:color="auto" w:sz="4" w:space="0"/>
                    <w:right w:val="single" w:color="auto" w:sz="4" w:space="0"/>
                  </w:tcBorders>
                  <w:shd w:val="clear"/>
                  <w:vAlign w:val="center"/>
                </w:tcPr>
                <w:p w14:paraId="44EEE3B4">
                  <w:pPr>
                    <w:rPr>
                      <w:rFonts w:hint="default" w:ascii="Calibri" w:hAnsi="Calibri" w:cs="Calibri"/>
                      <w:sz w:val="20"/>
                      <w:szCs w:val="20"/>
                    </w:rPr>
                  </w:pPr>
                </w:p>
              </w:tc>
              <w:tc>
                <w:tcPr>
                  <w:tcW w:w="1135" w:type="dxa"/>
                  <w:tcBorders>
                    <w:top w:val="single" w:color="auto" w:sz="4" w:space="0"/>
                    <w:left w:val="single" w:color="auto" w:sz="4" w:space="0"/>
                    <w:bottom w:val="single" w:color="auto" w:sz="4" w:space="0"/>
                    <w:right w:val="single" w:color="auto" w:sz="4" w:space="0"/>
                  </w:tcBorders>
                  <w:shd w:val="clear"/>
                  <w:vAlign w:val="center"/>
                </w:tcPr>
                <w:p w14:paraId="579A93E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26</w:t>
                  </w:r>
                </w:p>
              </w:tc>
              <w:tc>
                <w:tcPr>
                  <w:tcW w:w="851" w:type="dxa"/>
                  <w:tcBorders>
                    <w:top w:val="single" w:color="auto" w:sz="4" w:space="0"/>
                    <w:left w:val="single" w:color="auto" w:sz="4" w:space="0"/>
                    <w:bottom w:val="single" w:color="auto" w:sz="4" w:space="0"/>
                    <w:right w:val="single" w:color="auto" w:sz="4" w:space="0"/>
                  </w:tcBorders>
                  <w:shd w:val="clear"/>
                  <w:vAlign w:val="center"/>
                </w:tcPr>
                <w:p w14:paraId="6197248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40</w:t>
                  </w:r>
                </w:p>
              </w:tc>
              <w:tc>
                <w:tcPr>
                  <w:tcW w:w="1276" w:type="dxa"/>
                  <w:tcBorders>
                    <w:top w:val="single" w:color="auto" w:sz="4" w:space="0"/>
                    <w:left w:val="single" w:color="auto" w:sz="4" w:space="0"/>
                    <w:bottom w:val="single" w:color="auto" w:sz="4" w:space="0"/>
                    <w:right w:val="single" w:color="auto" w:sz="4" w:space="0"/>
                  </w:tcBorders>
                  <w:shd w:val="clear"/>
                  <w:vAlign w:val="center"/>
                </w:tcPr>
                <w:p w14:paraId="5C56979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65.0</w:t>
                  </w:r>
                </w:p>
              </w:tc>
              <w:tc>
                <w:tcPr>
                  <w:tcW w:w="1125" w:type="dxa"/>
                  <w:tcBorders>
                    <w:top w:val="single" w:color="auto" w:sz="4" w:space="0"/>
                    <w:left w:val="single" w:color="auto" w:sz="4" w:space="0"/>
                    <w:bottom w:val="single" w:color="auto" w:sz="4" w:space="0"/>
                    <w:right w:val="nil"/>
                  </w:tcBorders>
                  <w:shd w:val="clear"/>
                  <w:vAlign w:val="center"/>
                </w:tcPr>
                <w:p w14:paraId="591257A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达标</w:t>
                  </w:r>
                </w:p>
              </w:tc>
            </w:tr>
            <w:tr w14:paraId="7DCB095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895" w:type="dxa"/>
                  <w:tcBorders>
                    <w:top w:val="single" w:color="auto" w:sz="4" w:space="0"/>
                    <w:left w:val="nil"/>
                    <w:bottom w:val="single" w:color="auto" w:sz="4" w:space="0"/>
                    <w:right w:val="single" w:color="auto" w:sz="4" w:space="0"/>
                  </w:tcBorders>
                  <w:shd w:val="clear"/>
                  <w:vAlign w:val="center"/>
                </w:tcPr>
                <w:p w14:paraId="7121047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PM</w:t>
                  </w:r>
                  <w:r>
                    <w:rPr>
                      <w:rFonts w:hint="default" w:ascii="Times New Roman" w:hAnsi="Times New Roman" w:eastAsia="宋体" w:cs="Times New Roman"/>
                      <w:color w:val="000000"/>
                      <w:kern w:val="2"/>
                      <w:sz w:val="21"/>
                      <w:szCs w:val="21"/>
                      <w:bdr w:val="none" w:color="auto" w:sz="0" w:space="0"/>
                      <w:vertAlign w:val="subscript"/>
                      <w:lang w:val="en-US" w:eastAsia="zh-CN" w:bidi="ar"/>
                    </w:rPr>
                    <w:t>10</w:t>
                  </w:r>
                </w:p>
              </w:tc>
              <w:tc>
                <w:tcPr>
                  <w:tcW w:w="851" w:type="dxa"/>
                  <w:vMerge w:val="continue"/>
                  <w:tcBorders>
                    <w:top w:val="single" w:color="auto" w:sz="4" w:space="0"/>
                    <w:left w:val="single" w:color="auto" w:sz="4" w:space="0"/>
                    <w:bottom w:val="single" w:color="auto" w:sz="4" w:space="0"/>
                    <w:right w:val="single" w:color="auto" w:sz="4" w:space="0"/>
                  </w:tcBorders>
                  <w:shd w:val="clear"/>
                  <w:vAlign w:val="center"/>
                </w:tcPr>
                <w:p w14:paraId="72E5D66F">
                  <w:pPr>
                    <w:rPr>
                      <w:rFonts w:hint="default" w:ascii="Calibri" w:hAnsi="Calibri" w:cs="Calibri"/>
                      <w:sz w:val="20"/>
                      <w:szCs w:val="20"/>
                    </w:rPr>
                  </w:pPr>
                </w:p>
              </w:tc>
              <w:tc>
                <w:tcPr>
                  <w:tcW w:w="1842" w:type="dxa"/>
                  <w:vMerge w:val="continue"/>
                  <w:tcBorders>
                    <w:top w:val="single" w:color="auto" w:sz="4" w:space="0"/>
                    <w:left w:val="single" w:color="auto" w:sz="4" w:space="0"/>
                    <w:bottom w:val="single" w:color="auto" w:sz="4" w:space="0"/>
                    <w:right w:val="single" w:color="auto" w:sz="4" w:space="0"/>
                  </w:tcBorders>
                  <w:shd w:val="clear"/>
                  <w:vAlign w:val="center"/>
                </w:tcPr>
                <w:p w14:paraId="6836A49E">
                  <w:pPr>
                    <w:rPr>
                      <w:rFonts w:hint="default" w:ascii="Calibri" w:hAnsi="Calibri" w:cs="Calibri"/>
                      <w:sz w:val="20"/>
                      <w:szCs w:val="20"/>
                    </w:rPr>
                  </w:pPr>
                </w:p>
              </w:tc>
              <w:tc>
                <w:tcPr>
                  <w:tcW w:w="1135" w:type="dxa"/>
                  <w:tcBorders>
                    <w:top w:val="single" w:color="auto" w:sz="4" w:space="0"/>
                    <w:left w:val="single" w:color="auto" w:sz="4" w:space="0"/>
                    <w:bottom w:val="single" w:color="auto" w:sz="4" w:space="0"/>
                    <w:right w:val="single" w:color="auto" w:sz="4" w:space="0"/>
                  </w:tcBorders>
                  <w:shd w:val="clear"/>
                  <w:vAlign w:val="center"/>
                </w:tcPr>
                <w:p w14:paraId="4A340E8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58</w:t>
                  </w:r>
                </w:p>
              </w:tc>
              <w:tc>
                <w:tcPr>
                  <w:tcW w:w="851" w:type="dxa"/>
                  <w:tcBorders>
                    <w:top w:val="single" w:color="auto" w:sz="4" w:space="0"/>
                    <w:left w:val="single" w:color="auto" w:sz="4" w:space="0"/>
                    <w:bottom w:val="single" w:color="auto" w:sz="4" w:space="0"/>
                    <w:right w:val="single" w:color="auto" w:sz="4" w:space="0"/>
                  </w:tcBorders>
                  <w:shd w:val="clear"/>
                  <w:vAlign w:val="center"/>
                </w:tcPr>
                <w:p w14:paraId="6146D1F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70</w:t>
                  </w:r>
                </w:p>
              </w:tc>
              <w:tc>
                <w:tcPr>
                  <w:tcW w:w="1276" w:type="dxa"/>
                  <w:tcBorders>
                    <w:top w:val="single" w:color="auto" w:sz="4" w:space="0"/>
                    <w:left w:val="single" w:color="auto" w:sz="4" w:space="0"/>
                    <w:bottom w:val="single" w:color="auto" w:sz="4" w:space="0"/>
                    <w:right w:val="single" w:color="auto" w:sz="4" w:space="0"/>
                  </w:tcBorders>
                  <w:shd w:val="clear"/>
                  <w:vAlign w:val="center"/>
                </w:tcPr>
                <w:p w14:paraId="2C2E320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82.9</w:t>
                  </w:r>
                </w:p>
              </w:tc>
              <w:tc>
                <w:tcPr>
                  <w:tcW w:w="1125" w:type="dxa"/>
                  <w:tcBorders>
                    <w:top w:val="single" w:color="auto" w:sz="4" w:space="0"/>
                    <w:left w:val="single" w:color="auto" w:sz="4" w:space="0"/>
                    <w:bottom w:val="single" w:color="auto" w:sz="4" w:space="0"/>
                    <w:right w:val="nil"/>
                  </w:tcBorders>
                  <w:shd w:val="clear"/>
                  <w:vAlign w:val="center"/>
                </w:tcPr>
                <w:p w14:paraId="51F3973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达标</w:t>
                  </w:r>
                </w:p>
              </w:tc>
            </w:tr>
            <w:tr w14:paraId="4A7602C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95" w:type="dxa"/>
                  <w:tcBorders>
                    <w:top w:val="single" w:color="auto" w:sz="4" w:space="0"/>
                    <w:left w:val="nil"/>
                    <w:bottom w:val="single" w:color="auto" w:sz="4" w:space="0"/>
                    <w:right w:val="single" w:color="auto" w:sz="4" w:space="0"/>
                  </w:tcBorders>
                  <w:shd w:val="clear"/>
                  <w:vAlign w:val="center"/>
                </w:tcPr>
                <w:p w14:paraId="646026F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PM</w:t>
                  </w:r>
                  <w:r>
                    <w:rPr>
                      <w:rFonts w:hint="default" w:ascii="Times New Roman" w:hAnsi="Times New Roman" w:eastAsia="宋体" w:cs="Times New Roman"/>
                      <w:color w:val="000000"/>
                      <w:kern w:val="2"/>
                      <w:sz w:val="21"/>
                      <w:szCs w:val="21"/>
                      <w:bdr w:val="none" w:color="auto" w:sz="0" w:space="0"/>
                      <w:vertAlign w:val="subscript"/>
                      <w:lang w:val="en-US" w:eastAsia="zh-CN" w:bidi="ar"/>
                    </w:rPr>
                    <w:t>2.5</w:t>
                  </w:r>
                </w:p>
              </w:tc>
              <w:tc>
                <w:tcPr>
                  <w:tcW w:w="851" w:type="dxa"/>
                  <w:vMerge w:val="continue"/>
                  <w:tcBorders>
                    <w:top w:val="single" w:color="auto" w:sz="4" w:space="0"/>
                    <w:left w:val="single" w:color="auto" w:sz="4" w:space="0"/>
                    <w:bottom w:val="single" w:color="auto" w:sz="4" w:space="0"/>
                    <w:right w:val="single" w:color="auto" w:sz="4" w:space="0"/>
                  </w:tcBorders>
                  <w:shd w:val="clear"/>
                  <w:vAlign w:val="center"/>
                </w:tcPr>
                <w:p w14:paraId="003615C8">
                  <w:pPr>
                    <w:rPr>
                      <w:rFonts w:hint="default" w:ascii="Calibri" w:hAnsi="Calibri" w:cs="Calibri"/>
                      <w:sz w:val="20"/>
                      <w:szCs w:val="20"/>
                    </w:rPr>
                  </w:pPr>
                </w:p>
              </w:tc>
              <w:tc>
                <w:tcPr>
                  <w:tcW w:w="1842" w:type="dxa"/>
                  <w:vMerge w:val="continue"/>
                  <w:tcBorders>
                    <w:top w:val="single" w:color="auto" w:sz="4" w:space="0"/>
                    <w:left w:val="single" w:color="auto" w:sz="4" w:space="0"/>
                    <w:bottom w:val="single" w:color="auto" w:sz="4" w:space="0"/>
                    <w:right w:val="single" w:color="auto" w:sz="4" w:space="0"/>
                  </w:tcBorders>
                  <w:shd w:val="clear"/>
                  <w:vAlign w:val="center"/>
                </w:tcPr>
                <w:p w14:paraId="2B15B2E3">
                  <w:pPr>
                    <w:rPr>
                      <w:rFonts w:hint="default" w:ascii="Calibri" w:hAnsi="Calibri" w:cs="Calibri"/>
                      <w:sz w:val="20"/>
                      <w:szCs w:val="20"/>
                    </w:rPr>
                  </w:pPr>
                </w:p>
              </w:tc>
              <w:tc>
                <w:tcPr>
                  <w:tcW w:w="1135" w:type="dxa"/>
                  <w:tcBorders>
                    <w:top w:val="single" w:color="auto" w:sz="4" w:space="0"/>
                    <w:left w:val="single" w:color="auto" w:sz="4" w:space="0"/>
                    <w:bottom w:val="single" w:color="auto" w:sz="4" w:space="0"/>
                    <w:right w:val="single" w:color="auto" w:sz="4" w:space="0"/>
                  </w:tcBorders>
                  <w:shd w:val="clear"/>
                  <w:vAlign w:val="center"/>
                </w:tcPr>
                <w:p w14:paraId="6C209B6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47</w:t>
                  </w:r>
                </w:p>
              </w:tc>
              <w:tc>
                <w:tcPr>
                  <w:tcW w:w="851" w:type="dxa"/>
                  <w:tcBorders>
                    <w:top w:val="single" w:color="auto" w:sz="4" w:space="0"/>
                    <w:left w:val="single" w:color="auto" w:sz="4" w:space="0"/>
                    <w:bottom w:val="single" w:color="auto" w:sz="4" w:space="0"/>
                    <w:right w:val="single" w:color="auto" w:sz="4" w:space="0"/>
                  </w:tcBorders>
                  <w:shd w:val="clear"/>
                  <w:vAlign w:val="center"/>
                </w:tcPr>
                <w:p w14:paraId="0DDC0E8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35</w:t>
                  </w:r>
                </w:p>
              </w:tc>
              <w:tc>
                <w:tcPr>
                  <w:tcW w:w="1276" w:type="dxa"/>
                  <w:tcBorders>
                    <w:top w:val="single" w:color="auto" w:sz="4" w:space="0"/>
                    <w:left w:val="single" w:color="auto" w:sz="4" w:space="0"/>
                    <w:bottom w:val="single" w:color="auto" w:sz="4" w:space="0"/>
                    <w:right w:val="single" w:color="auto" w:sz="4" w:space="0"/>
                  </w:tcBorders>
                  <w:shd w:val="clear"/>
                  <w:vAlign w:val="center"/>
                </w:tcPr>
                <w:p w14:paraId="6783D8C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b/>
                      <w:bCs w:val="0"/>
                      <w:color w:val="000000"/>
                      <w:szCs w:val="21"/>
                      <w:bdr w:val="none" w:color="auto" w:sz="0" w:space="0"/>
                      <w:lang w:val="en-US"/>
                    </w:rPr>
                  </w:pPr>
                  <w:r>
                    <w:rPr>
                      <w:rFonts w:hint="default" w:ascii="Times New Roman" w:hAnsi="Times New Roman" w:eastAsia="宋体" w:cs="Times New Roman"/>
                      <w:b/>
                      <w:bCs w:val="0"/>
                      <w:color w:val="000000"/>
                      <w:kern w:val="2"/>
                      <w:sz w:val="21"/>
                      <w:szCs w:val="21"/>
                      <w:bdr w:val="none" w:color="auto" w:sz="0" w:space="0"/>
                      <w:lang w:val="en-US" w:eastAsia="zh-CN" w:bidi="ar"/>
                    </w:rPr>
                    <w:t>134.3</w:t>
                  </w:r>
                </w:p>
              </w:tc>
              <w:tc>
                <w:tcPr>
                  <w:tcW w:w="1125" w:type="dxa"/>
                  <w:tcBorders>
                    <w:top w:val="single" w:color="auto" w:sz="4" w:space="0"/>
                    <w:left w:val="single" w:color="auto" w:sz="4" w:space="0"/>
                    <w:bottom w:val="single" w:color="auto" w:sz="4" w:space="0"/>
                    <w:right w:val="nil"/>
                  </w:tcBorders>
                  <w:shd w:val="clear"/>
                  <w:vAlign w:val="center"/>
                </w:tcPr>
                <w:p w14:paraId="30514E6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
                      <w:bCs w:val="0"/>
                      <w:color w:val="000000"/>
                      <w:szCs w:val="21"/>
                      <w:bdr w:val="none" w:color="auto" w:sz="0" w:space="0"/>
                      <w:lang w:val="en-US"/>
                    </w:rPr>
                  </w:pPr>
                  <w:r>
                    <w:rPr>
                      <w:rFonts w:hint="eastAsia" w:ascii="Times New Roman" w:hAnsi="Times New Roman" w:eastAsia="宋体" w:cs="宋体"/>
                      <w:b/>
                      <w:bCs w:val="0"/>
                      <w:color w:val="000000"/>
                      <w:kern w:val="2"/>
                      <w:sz w:val="21"/>
                      <w:szCs w:val="21"/>
                      <w:bdr w:val="none" w:color="auto" w:sz="0" w:space="0"/>
                      <w:lang w:val="en-US" w:eastAsia="zh-CN" w:bidi="ar"/>
                    </w:rPr>
                    <w:t>不达标</w:t>
                  </w:r>
                </w:p>
              </w:tc>
            </w:tr>
            <w:tr w14:paraId="3802B1F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tcBorders>
                    <w:top w:val="single" w:color="auto" w:sz="4" w:space="0"/>
                    <w:left w:val="nil"/>
                    <w:bottom w:val="single" w:color="auto" w:sz="4" w:space="0"/>
                    <w:right w:val="single" w:color="auto" w:sz="4" w:space="0"/>
                  </w:tcBorders>
                  <w:shd w:val="clear"/>
                  <w:vAlign w:val="center"/>
                </w:tcPr>
                <w:p w14:paraId="67767C3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CO</w:t>
                  </w:r>
                </w:p>
              </w:tc>
              <w:tc>
                <w:tcPr>
                  <w:tcW w:w="851" w:type="dxa"/>
                  <w:tcBorders>
                    <w:top w:val="single" w:color="auto" w:sz="4" w:space="0"/>
                    <w:left w:val="single" w:color="auto" w:sz="4" w:space="0"/>
                    <w:bottom w:val="single" w:color="auto" w:sz="4" w:space="0"/>
                    <w:right w:val="single" w:color="auto" w:sz="4" w:space="0"/>
                  </w:tcBorders>
                  <w:shd w:val="clear"/>
                  <w:vAlign w:val="center"/>
                </w:tcPr>
                <w:p w14:paraId="05F6E83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mg/m</w:t>
                  </w:r>
                  <w:r>
                    <w:rPr>
                      <w:rFonts w:hint="default" w:ascii="Times New Roman" w:hAnsi="Times New Roman" w:eastAsia="宋体" w:cs="Times New Roman"/>
                      <w:color w:val="000000"/>
                      <w:kern w:val="2"/>
                      <w:sz w:val="21"/>
                      <w:szCs w:val="21"/>
                      <w:bdr w:val="none" w:color="auto" w:sz="0" w:space="0"/>
                      <w:vertAlign w:val="superscript"/>
                      <w:lang w:val="en-US" w:eastAsia="zh-CN" w:bidi="ar"/>
                    </w:rPr>
                    <w:t>3</w:t>
                  </w:r>
                </w:p>
              </w:tc>
              <w:tc>
                <w:tcPr>
                  <w:tcW w:w="1842" w:type="dxa"/>
                  <w:tcBorders>
                    <w:top w:val="single" w:color="auto" w:sz="4" w:space="0"/>
                    <w:left w:val="single" w:color="auto" w:sz="4" w:space="0"/>
                    <w:bottom w:val="single" w:color="auto" w:sz="4" w:space="0"/>
                    <w:right w:val="single" w:color="auto" w:sz="4" w:space="0"/>
                  </w:tcBorders>
                  <w:shd w:val="clear"/>
                  <w:vAlign w:val="center"/>
                </w:tcPr>
                <w:p w14:paraId="6B0646C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日均浓度第</w:t>
                  </w:r>
                  <w:r>
                    <w:rPr>
                      <w:rFonts w:hint="default" w:ascii="Times New Roman" w:hAnsi="Times New Roman" w:eastAsia="宋体" w:cs="Times New Roman"/>
                      <w:color w:val="000000"/>
                      <w:kern w:val="2"/>
                      <w:sz w:val="21"/>
                      <w:szCs w:val="21"/>
                      <w:bdr w:val="none" w:color="auto" w:sz="0" w:space="0"/>
                      <w:lang w:val="en-US" w:eastAsia="zh-CN" w:bidi="ar"/>
                    </w:rPr>
                    <w:t>95</w:t>
                  </w:r>
                  <w:r>
                    <w:rPr>
                      <w:rFonts w:hint="eastAsia" w:ascii="Times New Roman" w:hAnsi="Times New Roman" w:eastAsia="宋体" w:cs="宋体"/>
                      <w:color w:val="000000"/>
                      <w:kern w:val="2"/>
                      <w:sz w:val="21"/>
                      <w:szCs w:val="21"/>
                      <w:bdr w:val="none" w:color="auto" w:sz="0" w:space="0"/>
                      <w:lang w:val="en-US" w:eastAsia="zh-CN" w:bidi="ar"/>
                    </w:rPr>
                    <w:t>百分位数</w:t>
                  </w:r>
                </w:p>
              </w:tc>
              <w:tc>
                <w:tcPr>
                  <w:tcW w:w="1135" w:type="dxa"/>
                  <w:tcBorders>
                    <w:top w:val="single" w:color="auto" w:sz="4" w:space="0"/>
                    <w:left w:val="single" w:color="auto" w:sz="4" w:space="0"/>
                    <w:bottom w:val="single" w:color="auto" w:sz="4" w:space="0"/>
                    <w:right w:val="single" w:color="auto" w:sz="4" w:space="0"/>
                  </w:tcBorders>
                  <w:shd w:val="clear"/>
                  <w:vAlign w:val="center"/>
                </w:tcPr>
                <w:p w14:paraId="643CBE2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w:t>
                  </w:r>
                </w:p>
              </w:tc>
              <w:tc>
                <w:tcPr>
                  <w:tcW w:w="851" w:type="dxa"/>
                  <w:tcBorders>
                    <w:top w:val="single" w:color="auto" w:sz="4" w:space="0"/>
                    <w:left w:val="single" w:color="auto" w:sz="4" w:space="0"/>
                    <w:bottom w:val="single" w:color="auto" w:sz="4" w:space="0"/>
                    <w:right w:val="single" w:color="auto" w:sz="4" w:space="0"/>
                  </w:tcBorders>
                  <w:shd w:val="clear"/>
                  <w:vAlign w:val="center"/>
                </w:tcPr>
                <w:p w14:paraId="404086B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4</w:t>
                  </w:r>
                </w:p>
              </w:tc>
              <w:tc>
                <w:tcPr>
                  <w:tcW w:w="1276" w:type="dxa"/>
                  <w:tcBorders>
                    <w:top w:val="single" w:color="auto" w:sz="4" w:space="0"/>
                    <w:left w:val="single" w:color="auto" w:sz="4" w:space="0"/>
                    <w:bottom w:val="single" w:color="auto" w:sz="4" w:space="0"/>
                    <w:right w:val="single" w:color="auto" w:sz="4" w:space="0"/>
                  </w:tcBorders>
                  <w:shd w:val="clear"/>
                  <w:vAlign w:val="center"/>
                </w:tcPr>
                <w:p w14:paraId="19AB938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25.0</w:t>
                  </w:r>
                </w:p>
              </w:tc>
              <w:tc>
                <w:tcPr>
                  <w:tcW w:w="1125" w:type="dxa"/>
                  <w:tcBorders>
                    <w:top w:val="single" w:color="auto" w:sz="4" w:space="0"/>
                    <w:left w:val="single" w:color="auto" w:sz="4" w:space="0"/>
                    <w:bottom w:val="single" w:color="auto" w:sz="4" w:space="0"/>
                    <w:right w:val="nil"/>
                  </w:tcBorders>
                  <w:shd w:val="clear"/>
                  <w:vAlign w:val="center"/>
                </w:tcPr>
                <w:p w14:paraId="3A7FA4D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达标</w:t>
                  </w:r>
                </w:p>
              </w:tc>
            </w:tr>
            <w:tr w14:paraId="019E3B0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tcBorders>
                    <w:top w:val="single" w:color="auto" w:sz="4" w:space="0"/>
                    <w:left w:val="nil"/>
                    <w:bottom w:val="single" w:color="auto" w:sz="12" w:space="0"/>
                    <w:right w:val="single" w:color="auto" w:sz="4" w:space="0"/>
                  </w:tcBorders>
                  <w:shd w:val="clear"/>
                  <w:vAlign w:val="center"/>
                </w:tcPr>
                <w:p w14:paraId="4781B68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O</w:t>
                  </w:r>
                  <w:r>
                    <w:rPr>
                      <w:rFonts w:hint="default" w:ascii="Times New Roman" w:hAnsi="Times New Roman" w:eastAsia="宋体" w:cs="Times New Roman"/>
                      <w:color w:val="000000"/>
                      <w:kern w:val="2"/>
                      <w:sz w:val="21"/>
                      <w:szCs w:val="21"/>
                      <w:bdr w:val="none" w:color="auto" w:sz="0" w:space="0"/>
                      <w:vertAlign w:val="subscript"/>
                      <w:lang w:val="en-US" w:eastAsia="zh-CN" w:bidi="ar"/>
                    </w:rPr>
                    <w:t>3</w:t>
                  </w:r>
                </w:p>
              </w:tc>
              <w:tc>
                <w:tcPr>
                  <w:tcW w:w="851" w:type="dxa"/>
                  <w:tcBorders>
                    <w:top w:val="single" w:color="auto" w:sz="4" w:space="0"/>
                    <w:left w:val="single" w:color="auto" w:sz="4" w:space="0"/>
                    <w:bottom w:val="single" w:color="auto" w:sz="12" w:space="0"/>
                    <w:right w:val="single" w:color="auto" w:sz="4" w:space="0"/>
                  </w:tcBorders>
                  <w:shd w:val="clear"/>
                  <w:vAlign w:val="center"/>
                </w:tcPr>
                <w:p w14:paraId="04DA635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µg/m</w:t>
                  </w:r>
                  <w:r>
                    <w:rPr>
                      <w:rFonts w:hint="default" w:ascii="Times New Roman" w:hAnsi="Times New Roman" w:eastAsia="宋体" w:cs="Times New Roman"/>
                      <w:color w:val="000000"/>
                      <w:kern w:val="2"/>
                      <w:sz w:val="21"/>
                      <w:szCs w:val="21"/>
                      <w:bdr w:val="none" w:color="auto" w:sz="0" w:space="0"/>
                      <w:vertAlign w:val="superscript"/>
                      <w:lang w:val="en-US" w:eastAsia="zh-CN" w:bidi="ar"/>
                    </w:rPr>
                    <w:t>3</w:t>
                  </w:r>
                </w:p>
              </w:tc>
              <w:tc>
                <w:tcPr>
                  <w:tcW w:w="1842" w:type="dxa"/>
                  <w:tcBorders>
                    <w:top w:val="single" w:color="auto" w:sz="4" w:space="0"/>
                    <w:left w:val="single" w:color="auto" w:sz="4" w:space="0"/>
                    <w:bottom w:val="single" w:color="auto" w:sz="12" w:space="0"/>
                    <w:right w:val="single" w:color="auto" w:sz="4" w:space="0"/>
                  </w:tcBorders>
                  <w:shd w:val="clear"/>
                  <w:vAlign w:val="center"/>
                </w:tcPr>
                <w:p w14:paraId="2F8A984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日最大</w:t>
                  </w:r>
                  <w:r>
                    <w:rPr>
                      <w:rFonts w:hint="default" w:ascii="Times New Roman" w:hAnsi="Times New Roman" w:eastAsia="宋体" w:cs="Times New Roman"/>
                      <w:color w:val="000000"/>
                      <w:kern w:val="2"/>
                      <w:sz w:val="21"/>
                      <w:szCs w:val="21"/>
                      <w:bdr w:val="none" w:color="auto" w:sz="0" w:space="0"/>
                      <w:lang w:val="en-US" w:eastAsia="zh-CN" w:bidi="ar"/>
                    </w:rPr>
                    <w:t>8h</w:t>
                  </w:r>
                  <w:r>
                    <w:rPr>
                      <w:rFonts w:hint="eastAsia" w:ascii="Times New Roman" w:hAnsi="Times New Roman" w:eastAsia="宋体" w:cs="宋体"/>
                      <w:color w:val="000000"/>
                      <w:kern w:val="2"/>
                      <w:sz w:val="21"/>
                      <w:szCs w:val="21"/>
                      <w:bdr w:val="none" w:color="auto" w:sz="0" w:space="0"/>
                      <w:lang w:val="en-US" w:eastAsia="zh-CN" w:bidi="ar"/>
                    </w:rPr>
                    <w:t>平均值的第</w:t>
                  </w:r>
                  <w:r>
                    <w:rPr>
                      <w:rFonts w:hint="default" w:ascii="Times New Roman" w:hAnsi="Times New Roman" w:eastAsia="宋体" w:cs="Times New Roman"/>
                      <w:color w:val="000000"/>
                      <w:kern w:val="2"/>
                      <w:sz w:val="21"/>
                      <w:szCs w:val="21"/>
                      <w:bdr w:val="none" w:color="auto" w:sz="0" w:space="0"/>
                      <w:lang w:val="en-US" w:eastAsia="zh-CN" w:bidi="ar"/>
                    </w:rPr>
                    <w:t>90</w:t>
                  </w:r>
                  <w:r>
                    <w:rPr>
                      <w:rFonts w:hint="eastAsia" w:ascii="Times New Roman" w:hAnsi="Times New Roman" w:eastAsia="宋体" w:cs="宋体"/>
                      <w:color w:val="000000"/>
                      <w:kern w:val="2"/>
                      <w:sz w:val="21"/>
                      <w:szCs w:val="21"/>
                      <w:bdr w:val="none" w:color="auto" w:sz="0" w:space="0"/>
                      <w:lang w:val="en-US" w:eastAsia="zh-CN" w:bidi="ar"/>
                    </w:rPr>
                    <w:t>百分位数</w:t>
                  </w:r>
                </w:p>
              </w:tc>
              <w:tc>
                <w:tcPr>
                  <w:tcW w:w="1135" w:type="dxa"/>
                  <w:tcBorders>
                    <w:top w:val="single" w:color="auto" w:sz="4" w:space="0"/>
                    <w:left w:val="single" w:color="auto" w:sz="4" w:space="0"/>
                    <w:bottom w:val="single" w:color="auto" w:sz="12" w:space="0"/>
                    <w:right w:val="single" w:color="auto" w:sz="4" w:space="0"/>
                  </w:tcBorders>
                  <w:shd w:val="clear"/>
                  <w:vAlign w:val="center"/>
                </w:tcPr>
                <w:p w14:paraId="755C594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158</w:t>
                  </w:r>
                </w:p>
              </w:tc>
              <w:tc>
                <w:tcPr>
                  <w:tcW w:w="851" w:type="dxa"/>
                  <w:tcBorders>
                    <w:top w:val="single" w:color="auto" w:sz="4" w:space="0"/>
                    <w:left w:val="single" w:color="auto" w:sz="4" w:space="0"/>
                    <w:bottom w:val="single" w:color="auto" w:sz="12" w:space="0"/>
                    <w:right w:val="single" w:color="auto" w:sz="4" w:space="0"/>
                  </w:tcBorders>
                  <w:shd w:val="clear"/>
                  <w:vAlign w:val="center"/>
                </w:tcPr>
                <w:p w14:paraId="425EF67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160</w:t>
                  </w:r>
                </w:p>
              </w:tc>
              <w:tc>
                <w:tcPr>
                  <w:tcW w:w="1276" w:type="dxa"/>
                  <w:tcBorders>
                    <w:top w:val="single" w:color="auto" w:sz="4" w:space="0"/>
                    <w:left w:val="single" w:color="auto" w:sz="4" w:space="0"/>
                    <w:bottom w:val="single" w:color="auto" w:sz="12" w:space="0"/>
                    <w:right w:val="single" w:color="auto" w:sz="4" w:space="0"/>
                  </w:tcBorders>
                  <w:shd w:val="clear"/>
                  <w:vAlign w:val="center"/>
                </w:tcPr>
                <w:p w14:paraId="6CF6376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98.8</w:t>
                  </w:r>
                </w:p>
              </w:tc>
              <w:tc>
                <w:tcPr>
                  <w:tcW w:w="1125" w:type="dxa"/>
                  <w:tcBorders>
                    <w:top w:val="single" w:color="auto" w:sz="4" w:space="0"/>
                    <w:left w:val="single" w:color="auto" w:sz="4" w:space="0"/>
                    <w:bottom w:val="single" w:color="auto" w:sz="12" w:space="0"/>
                    <w:right w:val="nil"/>
                  </w:tcBorders>
                  <w:shd w:val="clear"/>
                  <w:vAlign w:val="center"/>
                </w:tcPr>
                <w:p w14:paraId="463601D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达标</w:t>
                  </w:r>
                </w:p>
              </w:tc>
            </w:tr>
          </w:tbl>
          <w:p w14:paraId="00FB1060">
            <w:pPr>
              <w:keepNext w:val="0"/>
              <w:keepLines w:val="0"/>
              <w:widowControl w:val="0"/>
              <w:suppressLineNumbers w:val="0"/>
              <w:spacing w:before="0" w:beforeAutospacing="0" w:after="0" w:afterAutospacing="0" w:line="440" w:lineRule="exact"/>
              <w:ind w:left="0" w:right="0" w:firstLine="482"/>
              <w:jc w:val="both"/>
              <w:rPr>
                <w:rFonts w:hint="eastAsia" w:ascii="宋体" w:hAnsi="宋体" w:eastAsia="宋体" w:cs="宋体"/>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由上表可知，</w:t>
            </w:r>
            <w:r>
              <w:rPr>
                <w:rFonts w:hint="default" w:ascii="Times New Roman" w:hAnsi="宋体" w:eastAsia="宋体" w:cs="Times New Roman"/>
                <w:color w:val="000000"/>
                <w:kern w:val="2"/>
                <w:sz w:val="24"/>
                <w:szCs w:val="24"/>
                <w:bdr w:val="none" w:color="auto" w:sz="0" w:space="0"/>
                <w:lang w:val="en-US" w:eastAsia="zh-CN" w:bidi="ar"/>
              </w:rPr>
              <w:t>2023</w:t>
            </w:r>
            <w:r>
              <w:rPr>
                <w:rFonts w:hint="eastAsia" w:ascii="Times New Roman" w:hAnsi="宋体" w:eastAsia="宋体" w:cs="宋体"/>
                <w:color w:val="000000"/>
                <w:kern w:val="2"/>
                <w:sz w:val="24"/>
                <w:szCs w:val="24"/>
                <w:bdr w:val="none" w:color="auto" w:sz="0" w:space="0"/>
                <w:lang w:val="en-US" w:eastAsia="zh-CN" w:bidi="ar"/>
              </w:rPr>
              <w:t>年合川区域环境空气质量中</w:t>
            </w:r>
            <w:r>
              <w:rPr>
                <w:rFonts w:hint="default" w:ascii="Times New Roman" w:hAnsi="宋体" w:eastAsia="宋体" w:cs="Times New Roman"/>
                <w:color w:val="000000"/>
                <w:kern w:val="2"/>
                <w:sz w:val="24"/>
                <w:szCs w:val="24"/>
                <w:bdr w:val="none" w:color="auto" w:sz="0" w:space="0"/>
                <w:lang w:val="en-US" w:eastAsia="zh-CN" w:bidi="ar"/>
              </w:rPr>
              <w:t>PM</w:t>
            </w:r>
            <w:r>
              <w:rPr>
                <w:rFonts w:hint="default" w:ascii="Times New Roman" w:hAnsi="宋体" w:eastAsia="宋体" w:cs="Times New Roman"/>
                <w:color w:val="000000"/>
                <w:kern w:val="2"/>
                <w:sz w:val="24"/>
                <w:szCs w:val="24"/>
                <w:bdr w:val="none" w:color="auto" w:sz="0" w:space="0"/>
                <w:vertAlign w:val="subscript"/>
                <w:lang w:val="en-US" w:eastAsia="zh-CN" w:bidi="ar"/>
              </w:rPr>
              <w:t>2.5</w:t>
            </w:r>
            <w:r>
              <w:rPr>
                <w:rFonts w:hint="eastAsia" w:ascii="Times New Roman" w:hAnsi="宋体" w:eastAsia="宋体" w:cs="宋体"/>
                <w:color w:val="000000"/>
                <w:kern w:val="2"/>
                <w:sz w:val="24"/>
                <w:szCs w:val="24"/>
                <w:bdr w:val="none" w:color="auto" w:sz="0" w:space="0"/>
                <w:lang w:val="en-US" w:eastAsia="zh-CN" w:bidi="ar"/>
              </w:rPr>
              <w:t>年均浓度不满足《环境空气质量标准》（</w:t>
            </w:r>
            <w:r>
              <w:rPr>
                <w:rFonts w:hint="default" w:ascii="Times New Roman" w:hAnsi="宋体" w:eastAsia="宋体" w:cs="Times New Roman"/>
                <w:color w:val="000000"/>
                <w:kern w:val="2"/>
                <w:sz w:val="24"/>
                <w:szCs w:val="24"/>
                <w:bdr w:val="none" w:color="auto" w:sz="0" w:space="0"/>
                <w:lang w:val="en-US" w:eastAsia="zh-CN" w:bidi="ar"/>
              </w:rPr>
              <w:t>GB3095-2012</w:t>
            </w:r>
            <w:r>
              <w:rPr>
                <w:rFonts w:hint="eastAsia" w:ascii="Times New Roman" w:hAnsi="宋体" w:eastAsia="宋体" w:cs="宋体"/>
                <w:color w:val="000000"/>
                <w:kern w:val="2"/>
                <w:sz w:val="24"/>
                <w:szCs w:val="24"/>
                <w:bdr w:val="none" w:color="auto" w:sz="0" w:space="0"/>
                <w:lang w:val="en-US" w:eastAsia="zh-CN" w:bidi="ar"/>
              </w:rPr>
              <w:t>）二类区域标准，合川区</w:t>
            </w:r>
            <w:r>
              <w:rPr>
                <w:rFonts w:hint="default" w:ascii="Times New Roman" w:hAnsi="Times New Roman" w:eastAsia="宋体" w:cs="Times New Roman"/>
                <w:color w:val="000000"/>
                <w:kern w:val="2"/>
                <w:sz w:val="24"/>
                <w:szCs w:val="24"/>
                <w:bdr w:val="none" w:color="auto" w:sz="0" w:space="0"/>
                <w:lang w:val="en-US" w:eastAsia="zh-CN" w:bidi="ar"/>
              </w:rPr>
              <w:t>2023</w:t>
            </w:r>
            <w:r>
              <w:rPr>
                <w:rFonts w:hint="eastAsia" w:ascii="Times New Roman" w:hAnsi="宋体" w:eastAsia="宋体" w:cs="宋体"/>
                <w:color w:val="000000"/>
                <w:kern w:val="2"/>
                <w:sz w:val="24"/>
                <w:szCs w:val="24"/>
                <w:bdr w:val="none" w:color="auto" w:sz="0" w:space="0"/>
                <w:lang w:val="en-US" w:eastAsia="zh-CN" w:bidi="ar"/>
              </w:rPr>
              <w:t>年</w:t>
            </w:r>
            <w:r>
              <w:rPr>
                <w:rFonts w:hint="eastAsia" w:ascii="宋体" w:hAnsi="宋体" w:eastAsia="宋体" w:cs="宋体"/>
                <w:color w:val="000000"/>
                <w:kern w:val="2"/>
                <w:sz w:val="24"/>
                <w:szCs w:val="24"/>
                <w:bdr w:val="none" w:color="auto" w:sz="0" w:space="0"/>
                <w:lang w:val="en-US" w:eastAsia="zh-CN" w:bidi="ar"/>
              </w:rPr>
              <w:t>为环境空气质量不达标区。</w:t>
            </w:r>
          </w:p>
          <w:p w14:paraId="62EF91F8">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目前，合川区已制定合川区环境空气质量达标规划，根据《合川区大气环境质量限期达标规划》（发布稿）（</w:t>
            </w:r>
            <w:r>
              <w:rPr>
                <w:rFonts w:hint="default" w:ascii="Times New Roman" w:hAnsi="宋体" w:eastAsia="宋体" w:cs="Times New Roman"/>
                <w:color w:val="000000"/>
                <w:kern w:val="2"/>
                <w:sz w:val="24"/>
                <w:szCs w:val="24"/>
                <w:bdr w:val="none" w:color="auto" w:sz="0" w:space="0"/>
                <w:lang w:val="en-US" w:eastAsia="zh-CN" w:bidi="ar"/>
              </w:rPr>
              <w:t>2019</w:t>
            </w:r>
            <w:r>
              <w:rPr>
                <w:rFonts w:hint="eastAsia" w:ascii="Times New Roman" w:hAnsi="宋体" w:eastAsia="宋体" w:cs="宋体"/>
                <w:color w:val="000000"/>
                <w:kern w:val="2"/>
                <w:sz w:val="24"/>
                <w:szCs w:val="24"/>
                <w:bdr w:val="none" w:color="auto" w:sz="0" w:space="0"/>
                <w:lang w:val="en-US" w:eastAsia="zh-CN" w:bidi="ar"/>
              </w:rPr>
              <w:t>年</w:t>
            </w:r>
            <w:r>
              <w:rPr>
                <w:rFonts w:hint="default" w:ascii="Times New Roman" w:hAnsi="宋体" w:eastAsia="宋体" w:cs="Times New Roman"/>
                <w:color w:val="000000"/>
                <w:kern w:val="2"/>
                <w:sz w:val="24"/>
                <w:szCs w:val="24"/>
                <w:bdr w:val="none" w:color="auto" w:sz="0" w:space="0"/>
                <w:lang w:val="en-US" w:eastAsia="zh-CN" w:bidi="ar"/>
              </w:rPr>
              <w:t>12</w:t>
            </w:r>
            <w:r>
              <w:rPr>
                <w:rFonts w:hint="eastAsia" w:ascii="Times New Roman" w:hAnsi="宋体" w:eastAsia="宋体" w:cs="宋体"/>
                <w:color w:val="000000"/>
                <w:kern w:val="2"/>
                <w:sz w:val="24"/>
                <w:szCs w:val="24"/>
                <w:bdr w:val="none" w:color="auto" w:sz="0" w:space="0"/>
                <w:lang w:val="en-US" w:eastAsia="zh-CN" w:bidi="ar"/>
              </w:rPr>
              <w:t>月），“主要任务与措施”如下：</w:t>
            </w:r>
          </w:p>
          <w:p w14:paraId="0DEDACBD">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（一）提高能源效率，优化能源结构：控制煤炭消费总量、提升能源利用效率、加快清洁能源替代利用、推进建筑节能和绿色建筑。</w:t>
            </w:r>
          </w:p>
          <w:p w14:paraId="3DA32039">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（二）优化产业布局，推进绿色发展：优化产业布局、严格环保准入、优化工业结构、推进绿色发展。</w:t>
            </w:r>
          </w:p>
          <w:p w14:paraId="40A3364C">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（三）加大防治力度，控制工业污染：推进燃煤电厂超低排放改造、强化工业废气综合治理、深化工业源挥发性有机物污染防治、加快推进“散乱污”企业综合整治、实施企业错峰生产、加强污染源监督监测。</w:t>
            </w:r>
          </w:p>
          <w:p w14:paraId="03891366">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四）强化监督管理，控制交通污染：强化在用机动车监管、加强机动车环保达标监管、加强车用燃油品质达标监管、强化成品油储运系统油气排放污染控制、强化非道路移动机械和船舶污染控制、大力发展新能源汽车。</w:t>
            </w:r>
            <w:r>
              <w:rPr>
                <w:rFonts w:hint="default" w:ascii="Times New Roman" w:hAnsi="宋体" w:eastAsia="宋体" w:cs="Times New Roman"/>
                <w:color w:val="000000"/>
                <w:kern w:val="2"/>
                <w:sz w:val="24"/>
                <w:szCs w:val="24"/>
                <w:bdr w:val="none" w:color="auto" w:sz="0" w:space="0"/>
                <w:lang w:val="en-US" w:eastAsia="zh-CN" w:bidi="ar"/>
              </w:rPr>
              <w:t xml:space="preserve">  </w:t>
            </w:r>
          </w:p>
          <w:p w14:paraId="392AECEE">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（五）提升管理水平，严格控制扬尘：强化道路扬尘防治、严格施工扬尘管理、加强生产经营过程的扬尘控制、开展重点扬尘污染源在线监控、加强城市裸露土地管理。</w:t>
            </w:r>
          </w:p>
          <w:p w14:paraId="21CBCAFD">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（六）加大治理力度，控制生活污染：巩固和扩大高污染燃料禁燃区、加强餐饮油烟污染治理、控制生活类挥发性有机物污染、加强露天烧烤和烟熏腊肉综合防治、严控露天焚烧行为。</w:t>
            </w:r>
          </w:p>
          <w:p w14:paraId="701EDD3D">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（七）加强综合利用，控制农业污染：加强生物质燃烧管理、减少化肥使用过程氨排放、控制畜禽养殖氨污染。</w:t>
            </w:r>
          </w:p>
          <w:p w14:paraId="237E33CA">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（八）落实法规制度，增强监管能力：贯彻落实相关法规政策、强化应急预警机制、强化环保督查考核机制、提高环境监管能力、加大环保执法力度、实施环境信息公开。</w:t>
            </w:r>
          </w:p>
          <w:p w14:paraId="5CA082E3">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（九）深化区域协作，提升科研支撑：加强污染区域联防联控、加强大气环境监测能力、建立空气质量管理辅助决策支撑系统、强化大气环境科研支撑作用。</w:t>
            </w:r>
          </w:p>
          <w:p w14:paraId="7AC62CC0">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（十）加强宣传教育，推动全民参与：加大宣传教育力度、实行环境信息公开、健全公众参与机制。</w:t>
            </w:r>
          </w:p>
          <w:p w14:paraId="591158FF">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在合川区范围内执行相应的整治措施后，可改善区域环境质量达标情况。</w:t>
            </w:r>
          </w:p>
          <w:p w14:paraId="4FCEE8E9">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b/>
                <w:bCs w:val="0"/>
                <w:color w:val="000000"/>
                <w:kern w:val="0"/>
                <w:sz w:val="24"/>
                <w:szCs w:val="24"/>
                <w:bdr w:val="none" w:color="auto" w:sz="0" w:space="0"/>
                <w:lang w:val="en-US"/>
              </w:rPr>
            </w:pPr>
            <w:r>
              <w:rPr>
                <w:rFonts w:hint="eastAsia" w:ascii="Times New Roman" w:hAnsi="Times New Roman" w:eastAsia="宋体" w:cs="宋体"/>
                <w:b/>
                <w:bCs w:val="0"/>
                <w:color w:val="000000"/>
                <w:kern w:val="0"/>
                <w:sz w:val="24"/>
                <w:szCs w:val="24"/>
                <w:bdr w:val="none" w:color="auto" w:sz="0" w:space="0"/>
                <w:lang w:val="en-US" w:eastAsia="zh-CN" w:bidi="ar"/>
              </w:rPr>
              <w:t>（</w:t>
            </w:r>
            <w:r>
              <w:rPr>
                <w:rFonts w:hint="default" w:ascii="Times New Roman" w:hAnsi="Times New Roman" w:eastAsia="宋体" w:cs="Times New Roman"/>
                <w:b/>
                <w:bCs w:val="0"/>
                <w:color w:val="000000"/>
                <w:kern w:val="0"/>
                <w:sz w:val="24"/>
                <w:szCs w:val="24"/>
                <w:bdr w:val="none" w:color="auto" w:sz="0" w:space="0"/>
                <w:lang w:val="en-US" w:eastAsia="zh-CN" w:bidi="ar"/>
              </w:rPr>
              <w:t>2</w:t>
            </w:r>
            <w:r>
              <w:rPr>
                <w:rFonts w:hint="eastAsia" w:ascii="Times New Roman" w:hAnsi="Times New Roman" w:eastAsia="宋体" w:cs="宋体"/>
                <w:b/>
                <w:bCs w:val="0"/>
                <w:color w:val="000000"/>
                <w:kern w:val="0"/>
                <w:sz w:val="24"/>
                <w:szCs w:val="24"/>
                <w:bdr w:val="none" w:color="auto" w:sz="0" w:space="0"/>
                <w:lang w:val="en-US" w:eastAsia="zh-CN" w:bidi="ar"/>
              </w:rPr>
              <w:t>）特征污染物</w:t>
            </w:r>
          </w:p>
          <w:p w14:paraId="5CF1B7FF">
            <w:pPr>
              <w:keepNext w:val="0"/>
              <w:keepLines w:val="0"/>
              <w:widowControl/>
              <w:suppressLineNumbers w:val="0"/>
              <w:spacing w:before="0" w:beforeAutospacing="0" w:after="0" w:afterAutospacing="0" w:line="440" w:lineRule="exact"/>
              <w:ind w:left="0" w:right="0" w:firstLine="480"/>
              <w:jc w:val="left"/>
              <w:rPr>
                <w:rFonts w:hint="default" w:ascii="Times New Roman" w:hAnsi="Times New Roman" w:cs="Times New Roman"/>
                <w:color w:val="000000"/>
                <w:kern w:val="0"/>
                <w:sz w:val="24"/>
                <w:szCs w:val="24"/>
                <w:bdr w:val="none" w:color="auto" w:sz="0" w:space="0"/>
                <w:lang w:val="en-US"/>
              </w:rPr>
            </w:pPr>
            <w:r>
              <w:rPr>
                <w:rFonts w:hint="eastAsia" w:ascii="Times New Roman" w:hAnsi="Times New Roman" w:eastAsia="宋体" w:cs="宋体"/>
                <w:color w:val="000000"/>
                <w:kern w:val="0"/>
                <w:sz w:val="24"/>
                <w:szCs w:val="24"/>
                <w:bdr w:val="none" w:color="auto" w:sz="0" w:space="0"/>
                <w:lang w:val="en-US" w:eastAsia="zh-CN" w:bidi="ar"/>
              </w:rPr>
              <w:t>扩建项目特征污染物为非甲烷总烃和</w:t>
            </w:r>
            <w:r>
              <w:rPr>
                <w:rFonts w:hint="default" w:ascii="Times New Roman" w:hAnsi="Times New Roman" w:eastAsia="宋体" w:cs="Times New Roman"/>
                <w:color w:val="000000"/>
                <w:kern w:val="0"/>
                <w:sz w:val="24"/>
                <w:szCs w:val="24"/>
                <w:bdr w:val="none" w:color="auto" w:sz="0" w:space="0"/>
                <w:lang w:val="en-US" w:eastAsia="zh-CN" w:bidi="ar"/>
              </w:rPr>
              <w:t>TSP</w:t>
            </w:r>
            <w:r>
              <w:rPr>
                <w:rFonts w:hint="eastAsia" w:ascii="Times New Roman" w:hAnsi="Times New Roman" w:eastAsia="宋体" w:cs="宋体"/>
                <w:color w:val="000000"/>
                <w:kern w:val="0"/>
                <w:sz w:val="24"/>
                <w:szCs w:val="24"/>
                <w:bdr w:val="none" w:color="auto" w:sz="0" w:space="0"/>
                <w:lang w:val="en-US" w:eastAsia="zh-CN" w:bidi="ar"/>
              </w:rPr>
              <w:t>。非甲烷总烃引用“永测通厂区建设项目”</w:t>
            </w:r>
            <w:r>
              <w:rPr>
                <w:rFonts w:hint="default" w:ascii="Times New Roman" w:hAnsi="Times New Roman" w:eastAsia="宋体" w:cs="Times New Roman"/>
                <w:color w:val="000000"/>
                <w:kern w:val="0"/>
                <w:sz w:val="24"/>
                <w:szCs w:val="24"/>
                <w:bdr w:val="none" w:color="auto" w:sz="0" w:space="0"/>
                <w:lang w:val="en-US" w:eastAsia="zh-CN" w:bidi="ar"/>
              </w:rPr>
              <w:t>2024</w:t>
            </w:r>
            <w:r>
              <w:rPr>
                <w:rFonts w:hint="eastAsia" w:ascii="Times New Roman" w:hAnsi="Times New Roman" w:eastAsia="宋体" w:cs="宋体"/>
                <w:color w:val="000000"/>
                <w:kern w:val="0"/>
                <w:sz w:val="24"/>
                <w:szCs w:val="24"/>
                <w:bdr w:val="none" w:color="auto" w:sz="0" w:space="0"/>
                <w:lang w:val="en-US" w:eastAsia="zh-CN" w:bidi="ar"/>
              </w:rPr>
              <w:t>年的环境质量现状监测数据（渝大安</w:t>
            </w:r>
            <w:r>
              <w:rPr>
                <w:rFonts w:hint="default" w:ascii="Times New Roman" w:hAnsi="Times New Roman" w:eastAsia="宋体" w:cs="Times New Roman"/>
                <w:color w:val="000000"/>
                <w:kern w:val="0"/>
                <w:sz w:val="24"/>
                <w:szCs w:val="24"/>
                <w:bdr w:val="none" w:color="auto" w:sz="0" w:space="0"/>
                <w:lang w:val="en-US" w:eastAsia="zh-CN" w:bidi="ar"/>
              </w:rPr>
              <w:t>(</w:t>
            </w:r>
            <w:r>
              <w:rPr>
                <w:rFonts w:hint="eastAsia" w:ascii="Times New Roman" w:hAnsi="Times New Roman" w:eastAsia="宋体" w:cs="宋体"/>
                <w:color w:val="000000"/>
                <w:kern w:val="0"/>
                <w:sz w:val="24"/>
                <w:szCs w:val="24"/>
                <w:bdr w:val="none" w:color="auto" w:sz="0" w:space="0"/>
                <w:lang w:val="en-US" w:eastAsia="zh-CN" w:bidi="ar"/>
              </w:rPr>
              <w:t>环</w:t>
            </w:r>
            <w:r>
              <w:rPr>
                <w:rFonts w:hint="default" w:ascii="Times New Roman" w:hAnsi="Times New Roman" w:eastAsia="宋体" w:cs="Times New Roman"/>
                <w:color w:val="000000"/>
                <w:kern w:val="0"/>
                <w:sz w:val="24"/>
                <w:szCs w:val="24"/>
                <w:bdr w:val="none" w:color="auto" w:sz="0" w:space="0"/>
                <w:lang w:val="en-US" w:eastAsia="zh-CN" w:bidi="ar"/>
              </w:rPr>
              <w:t>)</w:t>
            </w:r>
            <w:r>
              <w:rPr>
                <w:rFonts w:hint="eastAsia" w:ascii="Times New Roman" w:hAnsi="Times New Roman" w:eastAsia="宋体" w:cs="宋体"/>
                <w:color w:val="000000"/>
                <w:kern w:val="0"/>
                <w:sz w:val="24"/>
                <w:szCs w:val="24"/>
                <w:bdr w:val="none" w:color="auto" w:sz="0" w:space="0"/>
                <w:lang w:val="en-US" w:eastAsia="zh-CN" w:bidi="ar"/>
              </w:rPr>
              <w:t>检</w:t>
            </w:r>
            <w:r>
              <w:rPr>
                <w:rFonts w:hint="default" w:ascii="Times New Roman" w:hAnsi="Times New Roman" w:eastAsia="宋体" w:cs="Times New Roman"/>
                <w:color w:val="000000"/>
                <w:kern w:val="0"/>
                <w:sz w:val="24"/>
                <w:szCs w:val="24"/>
                <w:bdr w:val="none" w:color="auto" w:sz="0" w:space="0"/>
                <w:lang w:val="en-US" w:eastAsia="zh-CN" w:bidi="ar"/>
              </w:rPr>
              <w:t>[2024]</w:t>
            </w:r>
            <w:r>
              <w:rPr>
                <w:rFonts w:hint="eastAsia" w:ascii="Times New Roman" w:hAnsi="Times New Roman" w:eastAsia="宋体" w:cs="宋体"/>
                <w:color w:val="000000"/>
                <w:kern w:val="0"/>
                <w:sz w:val="24"/>
                <w:szCs w:val="24"/>
                <w:bdr w:val="none" w:color="auto" w:sz="0" w:space="0"/>
                <w:lang w:val="en-US" w:eastAsia="zh-CN" w:bidi="ar"/>
              </w:rPr>
              <w:t>第</w:t>
            </w:r>
            <w:r>
              <w:rPr>
                <w:rFonts w:hint="default" w:ascii="Times New Roman" w:hAnsi="Times New Roman" w:eastAsia="宋体" w:cs="Times New Roman"/>
                <w:color w:val="000000"/>
                <w:kern w:val="0"/>
                <w:sz w:val="24"/>
                <w:szCs w:val="24"/>
                <w:bdr w:val="none" w:color="auto" w:sz="0" w:space="0"/>
                <w:lang w:val="en-US" w:eastAsia="zh-CN" w:bidi="ar"/>
              </w:rPr>
              <w:t>HP029</w:t>
            </w:r>
            <w:r>
              <w:rPr>
                <w:rFonts w:hint="eastAsia" w:ascii="Times New Roman" w:hAnsi="Times New Roman" w:eastAsia="宋体" w:cs="宋体"/>
                <w:color w:val="000000"/>
                <w:kern w:val="0"/>
                <w:sz w:val="24"/>
                <w:szCs w:val="24"/>
                <w:bdr w:val="none" w:color="auto" w:sz="0" w:space="0"/>
                <w:lang w:val="en-US" w:eastAsia="zh-CN" w:bidi="ar"/>
              </w:rPr>
              <w:t>号）进行达标分析，引用监测点距离扩建项目约</w:t>
            </w:r>
            <w:r>
              <w:rPr>
                <w:rFonts w:hint="default" w:ascii="Times New Roman" w:hAnsi="Times New Roman" w:eastAsia="宋体" w:cs="Times New Roman"/>
                <w:color w:val="000000"/>
                <w:kern w:val="0"/>
                <w:sz w:val="24"/>
                <w:szCs w:val="24"/>
                <w:bdr w:val="none" w:color="auto" w:sz="0" w:space="0"/>
                <w:lang w:val="en-US" w:eastAsia="zh-CN" w:bidi="ar"/>
              </w:rPr>
              <w:t>550m</w:t>
            </w:r>
            <w:r>
              <w:rPr>
                <w:rFonts w:hint="eastAsia" w:ascii="Times New Roman" w:hAnsi="Times New Roman" w:eastAsia="宋体" w:cs="宋体"/>
                <w:color w:val="000000"/>
                <w:kern w:val="0"/>
                <w:sz w:val="24"/>
                <w:szCs w:val="24"/>
                <w:bdr w:val="none" w:color="auto" w:sz="0" w:space="0"/>
                <w:lang w:val="en-US" w:eastAsia="zh-CN" w:bidi="ar"/>
              </w:rPr>
              <w:t>；</w:t>
            </w:r>
            <w:r>
              <w:rPr>
                <w:rFonts w:hint="default" w:ascii="Times New Roman" w:hAnsi="Times New Roman" w:eastAsia="宋体" w:cs="Times New Roman"/>
                <w:color w:val="000000"/>
                <w:kern w:val="0"/>
                <w:sz w:val="24"/>
                <w:szCs w:val="24"/>
                <w:bdr w:val="none" w:color="auto" w:sz="0" w:space="0"/>
                <w:lang w:val="en-US" w:eastAsia="zh-CN" w:bidi="ar"/>
              </w:rPr>
              <w:t>TSP</w:t>
            </w:r>
            <w:r>
              <w:rPr>
                <w:rFonts w:hint="eastAsia" w:ascii="Times New Roman" w:hAnsi="Times New Roman" w:eastAsia="宋体" w:cs="宋体"/>
                <w:color w:val="000000"/>
                <w:kern w:val="0"/>
                <w:sz w:val="24"/>
                <w:szCs w:val="24"/>
                <w:bdr w:val="none" w:color="auto" w:sz="0" w:space="0"/>
                <w:lang w:val="en-US" w:eastAsia="zh-CN" w:bidi="ar"/>
              </w:rPr>
              <w:t>引用</w:t>
            </w:r>
            <w:r>
              <w:rPr>
                <w:rFonts w:hint="eastAsia" w:ascii="Calibri" w:hAnsi="宋体" w:eastAsia="宋体" w:cs="宋体"/>
                <w:color w:val="000000"/>
                <w:kern w:val="0"/>
                <w:sz w:val="24"/>
                <w:szCs w:val="24"/>
                <w:bdr w:val="none" w:color="auto" w:sz="0" w:space="0"/>
                <w:lang w:val="en-US" w:eastAsia="zh-CN" w:bidi="ar"/>
              </w:rPr>
              <w:t>“</w:t>
            </w:r>
            <w:r>
              <w:rPr>
                <w:rFonts w:hint="eastAsia" w:ascii="Calibri" w:hAnsi="宋体" w:eastAsia="宋体" w:cs="宋体"/>
                <w:color w:val="000000"/>
                <w:kern w:val="2"/>
                <w:sz w:val="24"/>
                <w:szCs w:val="24"/>
                <w:bdr w:val="none" w:color="auto" w:sz="0" w:space="0"/>
                <w:lang w:val="en-US" w:eastAsia="zh-CN" w:bidi="ar"/>
              </w:rPr>
              <w:t>重庆永祺胶粘制品有限公司迁建项目</w:t>
            </w:r>
            <w:r>
              <w:rPr>
                <w:rFonts w:hint="eastAsia" w:ascii="Calibri" w:hAnsi="宋体" w:eastAsia="宋体" w:cs="宋体"/>
                <w:color w:val="000000"/>
                <w:kern w:val="0"/>
                <w:sz w:val="24"/>
                <w:szCs w:val="24"/>
                <w:bdr w:val="none" w:color="auto" w:sz="0" w:space="0"/>
                <w:lang w:val="en-US" w:eastAsia="zh-CN" w:bidi="ar"/>
              </w:rPr>
              <w:t>”</w:t>
            </w:r>
            <w:r>
              <w:rPr>
                <w:rFonts w:hint="default" w:ascii="Times New Roman" w:hAnsi="Times New Roman" w:eastAsia="宋体" w:cs="Times New Roman"/>
                <w:color w:val="000000"/>
                <w:kern w:val="0"/>
                <w:sz w:val="24"/>
                <w:szCs w:val="24"/>
                <w:bdr w:val="none" w:color="auto" w:sz="0" w:space="0"/>
                <w:lang w:val="en-US" w:eastAsia="zh-CN" w:bidi="ar"/>
              </w:rPr>
              <w:t>2023</w:t>
            </w:r>
            <w:r>
              <w:rPr>
                <w:rFonts w:hint="eastAsia" w:ascii="Times New Roman" w:hAnsi="Times New Roman" w:eastAsia="宋体" w:cs="宋体"/>
                <w:color w:val="000000"/>
                <w:kern w:val="0"/>
                <w:sz w:val="24"/>
                <w:szCs w:val="24"/>
                <w:bdr w:val="none" w:color="auto" w:sz="0" w:space="0"/>
                <w:lang w:val="en-US" w:eastAsia="zh-CN" w:bidi="ar"/>
              </w:rPr>
              <w:t>年的环境质量现状监测数据（博环</w:t>
            </w:r>
            <w:r>
              <w:rPr>
                <w:rFonts w:hint="default" w:ascii="Times New Roman" w:hAnsi="Times New Roman" w:eastAsia="宋体" w:cs="Times New Roman"/>
                <w:color w:val="000000"/>
                <w:kern w:val="0"/>
                <w:sz w:val="24"/>
                <w:szCs w:val="24"/>
                <w:bdr w:val="none" w:color="auto" w:sz="0" w:space="0"/>
                <w:lang w:val="en-US" w:eastAsia="zh-CN" w:bidi="ar"/>
              </w:rPr>
              <w:t>(</w:t>
            </w:r>
            <w:r>
              <w:rPr>
                <w:rFonts w:hint="eastAsia" w:ascii="Times New Roman" w:hAnsi="Times New Roman" w:eastAsia="宋体" w:cs="宋体"/>
                <w:color w:val="000000"/>
                <w:kern w:val="0"/>
                <w:sz w:val="24"/>
                <w:szCs w:val="24"/>
                <w:bdr w:val="none" w:color="auto" w:sz="0" w:space="0"/>
                <w:lang w:val="en-US" w:eastAsia="zh-CN" w:bidi="ar"/>
              </w:rPr>
              <w:t>环</w:t>
            </w:r>
            <w:r>
              <w:rPr>
                <w:rFonts w:hint="default" w:ascii="Times New Roman" w:hAnsi="Times New Roman" w:eastAsia="宋体" w:cs="Times New Roman"/>
                <w:color w:val="000000"/>
                <w:kern w:val="0"/>
                <w:sz w:val="24"/>
                <w:szCs w:val="24"/>
                <w:bdr w:val="none" w:color="auto" w:sz="0" w:space="0"/>
                <w:lang w:val="en-US" w:eastAsia="zh-CN" w:bidi="ar"/>
              </w:rPr>
              <w:t>)</w:t>
            </w:r>
            <w:r>
              <w:rPr>
                <w:rFonts w:hint="eastAsia" w:ascii="Times New Roman" w:hAnsi="Times New Roman" w:eastAsia="宋体" w:cs="宋体"/>
                <w:color w:val="000000"/>
                <w:kern w:val="0"/>
                <w:sz w:val="24"/>
                <w:szCs w:val="24"/>
                <w:bdr w:val="none" w:color="auto" w:sz="0" w:space="0"/>
                <w:lang w:val="en-US" w:eastAsia="zh-CN" w:bidi="ar"/>
              </w:rPr>
              <w:t>检</w:t>
            </w:r>
            <w:r>
              <w:rPr>
                <w:rFonts w:hint="default" w:ascii="Times New Roman" w:hAnsi="Times New Roman" w:eastAsia="宋体" w:cs="Times New Roman"/>
                <w:color w:val="000000"/>
                <w:kern w:val="0"/>
                <w:sz w:val="24"/>
                <w:szCs w:val="24"/>
                <w:bdr w:val="none" w:color="auto" w:sz="0" w:space="0"/>
                <w:lang w:val="en-US" w:eastAsia="zh-CN" w:bidi="ar"/>
              </w:rPr>
              <w:t>[2023]</w:t>
            </w:r>
            <w:r>
              <w:rPr>
                <w:rFonts w:hint="eastAsia" w:ascii="Times New Roman" w:hAnsi="Times New Roman" w:eastAsia="宋体" w:cs="宋体"/>
                <w:color w:val="000000"/>
                <w:kern w:val="0"/>
                <w:sz w:val="24"/>
                <w:szCs w:val="24"/>
                <w:bdr w:val="none" w:color="auto" w:sz="0" w:space="0"/>
                <w:lang w:val="en-US" w:eastAsia="zh-CN" w:bidi="ar"/>
              </w:rPr>
              <w:t>第</w:t>
            </w:r>
            <w:r>
              <w:rPr>
                <w:rFonts w:hint="default" w:ascii="Times New Roman" w:hAnsi="Times New Roman" w:eastAsia="宋体" w:cs="Times New Roman"/>
                <w:color w:val="000000"/>
                <w:kern w:val="0"/>
                <w:sz w:val="24"/>
                <w:szCs w:val="24"/>
                <w:bdr w:val="none" w:color="auto" w:sz="0" w:space="0"/>
                <w:lang w:val="en-US" w:eastAsia="zh-CN" w:bidi="ar"/>
              </w:rPr>
              <w:t>HP0011</w:t>
            </w:r>
            <w:r>
              <w:rPr>
                <w:rFonts w:hint="eastAsia" w:ascii="Times New Roman" w:hAnsi="Times New Roman" w:eastAsia="宋体" w:cs="宋体"/>
                <w:color w:val="000000"/>
                <w:kern w:val="0"/>
                <w:sz w:val="24"/>
                <w:szCs w:val="24"/>
                <w:bdr w:val="none" w:color="auto" w:sz="0" w:space="0"/>
                <w:lang w:val="en-US" w:eastAsia="zh-CN" w:bidi="ar"/>
              </w:rPr>
              <w:t>号）进行达标分析，引用监测点距离扩建项目约</w:t>
            </w:r>
            <w:r>
              <w:rPr>
                <w:rFonts w:hint="default" w:ascii="Times New Roman" w:hAnsi="Times New Roman" w:eastAsia="宋体" w:cs="Times New Roman"/>
                <w:color w:val="000000"/>
                <w:kern w:val="0"/>
                <w:sz w:val="24"/>
                <w:szCs w:val="24"/>
                <w:bdr w:val="none" w:color="auto" w:sz="0" w:space="0"/>
                <w:lang w:val="en-US" w:eastAsia="zh-CN" w:bidi="ar"/>
              </w:rPr>
              <w:t>260m</w:t>
            </w:r>
            <w:r>
              <w:rPr>
                <w:rFonts w:hint="eastAsia" w:ascii="Times New Roman" w:hAnsi="Times New Roman" w:eastAsia="宋体" w:cs="宋体"/>
                <w:color w:val="000000"/>
                <w:kern w:val="0"/>
                <w:sz w:val="24"/>
                <w:szCs w:val="24"/>
                <w:bdr w:val="none" w:color="auto" w:sz="0" w:space="0"/>
                <w:lang w:val="en-US" w:eastAsia="zh-CN" w:bidi="ar"/>
              </w:rPr>
              <w:t>。以上监测数据在</w:t>
            </w:r>
            <w:r>
              <w:rPr>
                <w:rFonts w:hint="default" w:ascii="Times New Roman" w:hAnsi="Times New Roman" w:eastAsia="宋体" w:cs="Times New Roman"/>
                <w:color w:val="000000"/>
                <w:kern w:val="0"/>
                <w:sz w:val="24"/>
                <w:szCs w:val="24"/>
                <w:bdr w:val="none" w:color="auto" w:sz="0" w:space="0"/>
                <w:lang w:val="en-US" w:eastAsia="zh-CN" w:bidi="ar"/>
              </w:rPr>
              <w:t>3</w:t>
            </w:r>
            <w:r>
              <w:rPr>
                <w:rFonts w:hint="eastAsia" w:ascii="Times New Roman" w:hAnsi="Times New Roman" w:eastAsia="宋体" w:cs="宋体"/>
                <w:color w:val="000000"/>
                <w:kern w:val="0"/>
                <w:sz w:val="24"/>
                <w:szCs w:val="24"/>
                <w:bdr w:val="none" w:color="auto" w:sz="0" w:space="0"/>
                <w:lang w:val="en-US" w:eastAsia="zh-CN" w:bidi="ar"/>
              </w:rPr>
              <w:t>年有效时间内，监测以来附近区域无重大污染项目投产，尚未对区域</w:t>
            </w:r>
            <w:r>
              <w:rPr>
                <w:rFonts w:hint="eastAsia" w:ascii="Times New Roman" w:hAnsi="宋体" w:eastAsia="宋体" w:cs="宋体"/>
                <w:color w:val="000000"/>
                <w:kern w:val="2"/>
                <w:sz w:val="24"/>
                <w:szCs w:val="24"/>
                <w:bdr w:val="none" w:color="auto" w:sz="0" w:space="0"/>
                <w:lang w:val="en-US" w:eastAsia="zh-CN" w:bidi="ar"/>
              </w:rPr>
              <w:t>环境空气质量</w:t>
            </w:r>
            <w:r>
              <w:rPr>
                <w:rFonts w:hint="eastAsia" w:ascii="Times New Roman" w:hAnsi="Times New Roman" w:eastAsia="宋体" w:cs="宋体"/>
                <w:color w:val="000000"/>
                <w:kern w:val="0"/>
                <w:sz w:val="24"/>
                <w:szCs w:val="24"/>
                <w:bdr w:val="none" w:color="auto" w:sz="0" w:space="0"/>
                <w:lang w:val="en-US" w:eastAsia="zh-CN" w:bidi="ar"/>
              </w:rPr>
              <w:t>造成重大影响，引用的监测数据有效。</w:t>
            </w:r>
            <w:r>
              <w:rPr>
                <w:rFonts w:hint="eastAsia" w:ascii="Times New Roman" w:hAnsi="宋体" w:eastAsia="宋体" w:cs="宋体"/>
                <w:color w:val="000000"/>
                <w:kern w:val="2"/>
                <w:sz w:val="24"/>
                <w:szCs w:val="24"/>
                <w:bdr w:val="none" w:color="auto" w:sz="0" w:space="0"/>
                <w:lang w:val="en-US" w:eastAsia="zh-CN" w:bidi="ar"/>
              </w:rPr>
              <w:t>监测评价结果见表</w:t>
            </w:r>
            <w:r>
              <w:rPr>
                <w:rFonts w:hint="default" w:ascii="Times New Roman" w:hAnsi="宋体" w:eastAsia="宋体" w:cs="Times New Roman"/>
                <w:color w:val="000000"/>
                <w:kern w:val="2"/>
                <w:sz w:val="24"/>
                <w:szCs w:val="24"/>
                <w:bdr w:val="none" w:color="auto" w:sz="0" w:space="0"/>
                <w:lang w:val="en-US" w:eastAsia="zh-CN" w:bidi="ar"/>
              </w:rPr>
              <w:t>3.1-2</w:t>
            </w:r>
            <w:r>
              <w:rPr>
                <w:rFonts w:hint="eastAsia" w:ascii="Times New Roman" w:hAnsi="宋体" w:eastAsia="宋体" w:cs="宋体"/>
                <w:color w:val="000000"/>
                <w:kern w:val="2"/>
                <w:sz w:val="24"/>
                <w:szCs w:val="24"/>
                <w:bdr w:val="none" w:color="auto" w:sz="0" w:space="0"/>
                <w:lang w:val="en-US" w:eastAsia="zh-CN" w:bidi="ar"/>
              </w:rPr>
              <w:t>。</w:t>
            </w:r>
          </w:p>
          <w:p w14:paraId="5A802927">
            <w:pPr>
              <w:keepNext w:val="0"/>
              <w:keepLines w:val="0"/>
              <w:widowControl/>
              <w:suppressLineNumbers w:val="0"/>
              <w:spacing w:before="0" w:beforeAutospacing="0" w:after="0" w:afterAutospacing="0" w:line="440" w:lineRule="exact"/>
              <w:ind w:left="0" w:right="0" w:firstLine="480"/>
              <w:jc w:val="center"/>
              <w:rPr>
                <w:rFonts w:hint="default" w:ascii="Times New Roman" w:hAnsi="Times New Roman"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表</w:t>
            </w:r>
            <w:r>
              <w:rPr>
                <w:rFonts w:hint="default" w:ascii="Times New Roman" w:hAnsi="Times New Roman" w:eastAsia="宋体" w:cs="Times New Roman"/>
                <w:color w:val="000000"/>
                <w:kern w:val="2"/>
                <w:sz w:val="24"/>
                <w:szCs w:val="24"/>
                <w:bdr w:val="none" w:color="auto" w:sz="0" w:space="0"/>
                <w:lang w:val="en-US" w:eastAsia="zh-CN" w:bidi="ar"/>
              </w:rPr>
              <w:t xml:space="preserve">3.1-2 </w:t>
            </w:r>
            <w:r>
              <w:rPr>
                <w:rFonts w:hint="eastAsia" w:ascii="Times New Roman" w:hAnsi="Times New Roman" w:eastAsia="宋体" w:cs="宋体"/>
                <w:color w:val="000000"/>
                <w:kern w:val="0"/>
                <w:sz w:val="24"/>
                <w:szCs w:val="24"/>
                <w:bdr w:val="none" w:color="auto" w:sz="0" w:space="0"/>
                <w:lang w:val="en-US" w:eastAsia="zh-CN" w:bidi="ar"/>
              </w:rPr>
              <w:t>环境质量现状</w:t>
            </w:r>
            <w:r>
              <w:rPr>
                <w:rFonts w:hint="eastAsia" w:ascii="Times New Roman" w:hAnsi="宋体" w:eastAsia="宋体" w:cs="宋体"/>
                <w:color w:val="000000"/>
                <w:kern w:val="2"/>
                <w:sz w:val="24"/>
                <w:szCs w:val="24"/>
                <w:bdr w:val="none" w:color="auto" w:sz="0" w:space="0"/>
                <w:lang w:val="en-US" w:eastAsia="zh-CN" w:bidi="ar"/>
              </w:rPr>
              <w:t>监测及评价结果</w:t>
            </w:r>
            <w:r>
              <w:rPr>
                <w:rFonts w:hint="default" w:ascii="Times New Roman" w:hAnsi="Times New Roman" w:eastAsia="宋体" w:cs="Times New Roman"/>
                <w:color w:val="000000"/>
                <w:kern w:val="2"/>
                <w:sz w:val="24"/>
                <w:szCs w:val="24"/>
                <w:bdr w:val="none" w:color="auto" w:sz="0" w:space="0"/>
                <w:lang w:val="en-US" w:eastAsia="zh-CN" w:bidi="ar"/>
              </w:rPr>
              <w:t xml:space="preserve">   </w:t>
            </w:r>
            <w:r>
              <w:rPr>
                <w:rFonts w:hint="eastAsia" w:ascii="Times New Roman" w:hAnsi="宋体" w:eastAsia="宋体" w:cs="宋体"/>
                <w:color w:val="000000"/>
                <w:kern w:val="2"/>
                <w:sz w:val="24"/>
                <w:szCs w:val="24"/>
                <w:bdr w:val="none" w:color="auto" w:sz="0" w:space="0"/>
                <w:lang w:val="en-US" w:eastAsia="zh-CN" w:bidi="ar"/>
              </w:rPr>
              <w:t>单位：</w:t>
            </w:r>
            <w:r>
              <w:rPr>
                <w:rFonts w:hint="default" w:ascii="Times New Roman" w:hAnsi="Times New Roman" w:eastAsia="宋体" w:cs="Times New Roman"/>
                <w:color w:val="000000"/>
                <w:kern w:val="2"/>
                <w:sz w:val="24"/>
                <w:szCs w:val="24"/>
                <w:bdr w:val="none" w:color="auto" w:sz="0" w:space="0"/>
                <w:lang w:val="en-US" w:eastAsia="zh-CN" w:bidi="ar"/>
              </w:rPr>
              <w:t>mg/m</w:t>
            </w:r>
            <w:r>
              <w:rPr>
                <w:rFonts w:hint="default" w:ascii="Times New Roman" w:hAnsi="Times New Roman" w:eastAsia="宋体" w:cs="Times New Roman"/>
                <w:color w:val="000000"/>
                <w:kern w:val="2"/>
                <w:sz w:val="24"/>
                <w:szCs w:val="24"/>
                <w:bdr w:val="none" w:color="auto" w:sz="0" w:space="0"/>
                <w:vertAlign w:val="superscript"/>
                <w:lang w:val="en-US" w:eastAsia="zh-CN" w:bidi="ar"/>
              </w:rPr>
              <w:t>3</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tblLayout w:type="fixed"/>
              <w:tblCellMar>
                <w:top w:w="0" w:type="dxa"/>
                <w:left w:w="108" w:type="dxa"/>
                <w:bottom w:w="0" w:type="dxa"/>
                <w:right w:w="108" w:type="dxa"/>
              </w:tblCellMar>
            </w:tblPr>
            <w:tblGrid>
              <w:gridCol w:w="1320"/>
              <w:gridCol w:w="2127"/>
              <w:gridCol w:w="1275"/>
              <w:gridCol w:w="851"/>
              <w:gridCol w:w="1276"/>
              <w:gridCol w:w="1125"/>
            </w:tblGrid>
            <w:tr w14:paraId="5060A2FF">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tblCellMar>
                  <w:top w:w="0" w:type="dxa"/>
                  <w:left w:w="108" w:type="dxa"/>
                  <w:bottom w:w="0" w:type="dxa"/>
                  <w:right w:w="108" w:type="dxa"/>
                </w:tblCellMar>
              </w:tblPrEx>
              <w:trPr>
                <w:trHeight w:val="50" w:hRule="atLeast"/>
                <w:jc w:val="center"/>
              </w:trPr>
              <w:tc>
                <w:tcPr>
                  <w:tcW w:w="1320" w:type="dxa"/>
                  <w:tcBorders>
                    <w:top w:val="single" w:color="auto" w:sz="12" w:space="0"/>
                    <w:left w:val="nil"/>
                    <w:bottom w:val="single" w:color="auto" w:sz="6" w:space="0"/>
                    <w:right w:val="single" w:color="auto" w:sz="6" w:space="0"/>
                  </w:tcBorders>
                  <w:shd w:val="clear"/>
                  <w:vAlign w:val="center"/>
                </w:tcPr>
                <w:p w14:paraId="65F9F31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监测因子</w:t>
                  </w:r>
                </w:p>
              </w:tc>
              <w:tc>
                <w:tcPr>
                  <w:tcW w:w="2127" w:type="dxa"/>
                  <w:tcBorders>
                    <w:top w:val="single" w:color="auto" w:sz="12" w:space="0"/>
                    <w:left w:val="single" w:color="auto" w:sz="6" w:space="0"/>
                    <w:bottom w:val="single" w:color="auto" w:sz="6" w:space="0"/>
                    <w:right w:val="single" w:color="auto" w:sz="6" w:space="0"/>
                  </w:tcBorders>
                  <w:shd w:val="clear"/>
                  <w:vAlign w:val="center"/>
                </w:tcPr>
                <w:p w14:paraId="5074155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监测时间</w:t>
                  </w:r>
                </w:p>
              </w:tc>
              <w:tc>
                <w:tcPr>
                  <w:tcW w:w="1275" w:type="dxa"/>
                  <w:tcBorders>
                    <w:top w:val="single" w:color="auto" w:sz="12" w:space="0"/>
                    <w:left w:val="single" w:color="auto" w:sz="6" w:space="0"/>
                    <w:bottom w:val="single" w:color="auto" w:sz="6" w:space="0"/>
                    <w:right w:val="single" w:color="auto" w:sz="6" w:space="0"/>
                  </w:tcBorders>
                  <w:shd w:val="clear"/>
                  <w:vAlign w:val="center"/>
                </w:tcPr>
                <w:p w14:paraId="0AC5016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监测浓度</w:t>
                  </w:r>
                </w:p>
              </w:tc>
              <w:tc>
                <w:tcPr>
                  <w:tcW w:w="851" w:type="dxa"/>
                  <w:tcBorders>
                    <w:top w:val="single" w:color="auto" w:sz="12" w:space="0"/>
                    <w:left w:val="single" w:color="auto" w:sz="6" w:space="0"/>
                    <w:bottom w:val="single" w:color="auto" w:sz="6" w:space="0"/>
                    <w:right w:val="single" w:color="auto" w:sz="6" w:space="0"/>
                  </w:tcBorders>
                  <w:shd w:val="clear"/>
                  <w:vAlign w:val="center"/>
                </w:tcPr>
                <w:p w14:paraId="4DB44DB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标准值</w:t>
                  </w:r>
                </w:p>
              </w:tc>
              <w:tc>
                <w:tcPr>
                  <w:tcW w:w="1276" w:type="dxa"/>
                  <w:tcBorders>
                    <w:top w:val="single" w:color="auto" w:sz="12" w:space="0"/>
                    <w:left w:val="single" w:color="auto" w:sz="6" w:space="0"/>
                    <w:bottom w:val="single" w:color="auto" w:sz="6" w:space="0"/>
                    <w:right w:val="single" w:color="auto" w:sz="6" w:space="0"/>
                  </w:tcBorders>
                  <w:shd w:val="clear"/>
                  <w:vAlign w:val="center"/>
                </w:tcPr>
                <w:p w14:paraId="2B7ACD5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最大占标率</w:t>
                  </w:r>
                </w:p>
              </w:tc>
              <w:tc>
                <w:tcPr>
                  <w:tcW w:w="1125" w:type="dxa"/>
                  <w:tcBorders>
                    <w:top w:val="single" w:color="auto" w:sz="12" w:space="0"/>
                    <w:left w:val="single" w:color="auto" w:sz="6" w:space="0"/>
                    <w:bottom w:val="single" w:color="auto" w:sz="6" w:space="0"/>
                    <w:right w:val="nil"/>
                  </w:tcBorders>
                  <w:shd w:val="clear"/>
                  <w:vAlign w:val="center"/>
                </w:tcPr>
                <w:p w14:paraId="1FF2D9C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达标情况</w:t>
                  </w:r>
                </w:p>
              </w:tc>
            </w:tr>
            <w:tr w14:paraId="7215B7FD">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1320" w:type="dxa"/>
                  <w:tcBorders>
                    <w:top w:val="single" w:color="auto" w:sz="6" w:space="0"/>
                    <w:left w:val="nil"/>
                    <w:bottom w:val="single" w:color="auto" w:sz="6" w:space="0"/>
                    <w:right w:val="single" w:color="auto" w:sz="6" w:space="0"/>
                  </w:tcBorders>
                  <w:shd w:val="clear"/>
                  <w:vAlign w:val="center"/>
                </w:tcPr>
                <w:p w14:paraId="293710B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bdr w:val="none" w:color="auto" w:sz="0" w:space="0"/>
                      <w:lang w:val="en-US"/>
                    </w:rPr>
                  </w:pPr>
                  <w:r>
                    <w:rPr>
                      <w:rFonts w:hint="eastAsia" w:ascii="Times New Roman" w:hAnsi="宋体" w:eastAsia="宋体" w:cs="宋体"/>
                      <w:color w:val="000000"/>
                      <w:kern w:val="2"/>
                      <w:sz w:val="21"/>
                      <w:szCs w:val="24"/>
                      <w:bdr w:val="none" w:color="auto" w:sz="0" w:space="0"/>
                      <w:lang w:val="en-US" w:eastAsia="zh-CN" w:bidi="ar"/>
                    </w:rPr>
                    <w:t>非甲烷总烃</w:t>
                  </w:r>
                </w:p>
              </w:tc>
              <w:tc>
                <w:tcPr>
                  <w:tcW w:w="2127" w:type="dxa"/>
                  <w:tcBorders>
                    <w:top w:val="single" w:color="auto" w:sz="6" w:space="0"/>
                    <w:left w:val="single" w:color="auto" w:sz="6" w:space="0"/>
                    <w:bottom w:val="single" w:color="auto" w:sz="6" w:space="0"/>
                    <w:right w:val="single" w:color="auto" w:sz="6" w:space="0"/>
                  </w:tcBorders>
                  <w:shd w:val="clear"/>
                  <w:vAlign w:val="center"/>
                </w:tcPr>
                <w:p w14:paraId="77ECD4B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highlight w:val="yellow"/>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2024.5.16~2024.5.18</w:t>
                  </w:r>
                </w:p>
              </w:tc>
              <w:tc>
                <w:tcPr>
                  <w:tcW w:w="1275" w:type="dxa"/>
                  <w:tcBorders>
                    <w:top w:val="single" w:color="auto" w:sz="6" w:space="0"/>
                    <w:left w:val="single" w:color="auto" w:sz="6" w:space="0"/>
                    <w:bottom w:val="single" w:color="auto" w:sz="6" w:space="0"/>
                    <w:right w:val="single" w:color="auto" w:sz="6" w:space="0"/>
                  </w:tcBorders>
                  <w:shd w:val="clear"/>
                  <w:vAlign w:val="center"/>
                </w:tcPr>
                <w:p w14:paraId="10FB6F0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highlight w:val="yellow"/>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0.63~0.70</w:t>
                  </w:r>
                </w:p>
              </w:tc>
              <w:tc>
                <w:tcPr>
                  <w:tcW w:w="851" w:type="dxa"/>
                  <w:tcBorders>
                    <w:top w:val="single" w:color="auto" w:sz="6" w:space="0"/>
                    <w:left w:val="single" w:color="auto" w:sz="6" w:space="0"/>
                    <w:bottom w:val="single" w:color="auto" w:sz="6" w:space="0"/>
                    <w:right w:val="single" w:color="auto" w:sz="6" w:space="0"/>
                  </w:tcBorders>
                  <w:shd w:val="clear"/>
                  <w:vAlign w:val="center"/>
                </w:tcPr>
                <w:p w14:paraId="7170B99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2.0</w:t>
                  </w:r>
                </w:p>
              </w:tc>
              <w:tc>
                <w:tcPr>
                  <w:tcW w:w="1276" w:type="dxa"/>
                  <w:tcBorders>
                    <w:top w:val="single" w:color="auto" w:sz="6" w:space="0"/>
                    <w:left w:val="single" w:color="auto" w:sz="6" w:space="0"/>
                    <w:bottom w:val="single" w:color="auto" w:sz="6" w:space="0"/>
                    <w:right w:val="single" w:color="auto" w:sz="6" w:space="0"/>
                  </w:tcBorders>
                  <w:shd w:val="clear"/>
                  <w:vAlign w:val="center"/>
                </w:tcPr>
                <w:p w14:paraId="58734FA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35%</w:t>
                  </w:r>
                </w:p>
              </w:tc>
              <w:tc>
                <w:tcPr>
                  <w:tcW w:w="1125" w:type="dxa"/>
                  <w:tcBorders>
                    <w:top w:val="single" w:color="auto" w:sz="6" w:space="0"/>
                    <w:left w:val="single" w:color="auto" w:sz="6" w:space="0"/>
                    <w:bottom w:val="single" w:color="auto" w:sz="6" w:space="0"/>
                    <w:right w:val="nil"/>
                  </w:tcBorders>
                  <w:shd w:val="clear"/>
                  <w:vAlign w:val="center"/>
                </w:tcPr>
                <w:p w14:paraId="04AE345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达标</w:t>
                  </w:r>
                </w:p>
              </w:tc>
            </w:tr>
            <w:tr w14:paraId="098E217F">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1320" w:type="dxa"/>
                  <w:tcBorders>
                    <w:top w:val="single" w:color="auto" w:sz="6" w:space="0"/>
                    <w:left w:val="nil"/>
                    <w:bottom w:val="single" w:color="auto" w:sz="12" w:space="0"/>
                    <w:right w:val="single" w:color="auto" w:sz="6" w:space="0"/>
                  </w:tcBorders>
                  <w:shd w:val="clear"/>
                  <w:vAlign w:val="center"/>
                </w:tcPr>
                <w:p w14:paraId="77F98F3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bdr w:val="none" w:color="auto" w:sz="0" w:space="0"/>
                      <w:lang w:val="en-US"/>
                    </w:rPr>
                  </w:pPr>
                  <w:r>
                    <w:rPr>
                      <w:rFonts w:hint="default" w:ascii="Times New Roman" w:hAnsi="宋体" w:eastAsia="宋体" w:cs="Times New Roman"/>
                      <w:color w:val="000000"/>
                      <w:kern w:val="2"/>
                      <w:sz w:val="21"/>
                      <w:szCs w:val="24"/>
                      <w:bdr w:val="none" w:color="auto" w:sz="0" w:space="0"/>
                      <w:lang w:val="en-US" w:eastAsia="zh-CN" w:bidi="ar"/>
                    </w:rPr>
                    <w:t>TSP</w:t>
                  </w:r>
                </w:p>
              </w:tc>
              <w:tc>
                <w:tcPr>
                  <w:tcW w:w="2127" w:type="dxa"/>
                  <w:tcBorders>
                    <w:top w:val="single" w:color="auto" w:sz="6" w:space="0"/>
                    <w:left w:val="single" w:color="auto" w:sz="6" w:space="0"/>
                    <w:bottom w:val="single" w:color="auto" w:sz="12" w:space="0"/>
                    <w:right w:val="single" w:color="auto" w:sz="6" w:space="0"/>
                  </w:tcBorders>
                  <w:shd w:val="clear"/>
                  <w:vAlign w:val="center"/>
                </w:tcPr>
                <w:p w14:paraId="6BDA6DA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2023.7.10~2023.7.12</w:t>
                  </w:r>
                </w:p>
              </w:tc>
              <w:tc>
                <w:tcPr>
                  <w:tcW w:w="1275" w:type="dxa"/>
                  <w:tcBorders>
                    <w:top w:val="single" w:color="auto" w:sz="6" w:space="0"/>
                    <w:left w:val="single" w:color="auto" w:sz="6" w:space="0"/>
                    <w:bottom w:val="single" w:color="auto" w:sz="12" w:space="0"/>
                    <w:right w:val="single" w:color="auto" w:sz="6" w:space="0"/>
                  </w:tcBorders>
                  <w:shd w:val="clear"/>
                  <w:vAlign w:val="center"/>
                </w:tcPr>
                <w:p w14:paraId="539114C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0.14~0.17</w:t>
                  </w:r>
                </w:p>
              </w:tc>
              <w:tc>
                <w:tcPr>
                  <w:tcW w:w="851" w:type="dxa"/>
                  <w:tcBorders>
                    <w:top w:val="single" w:color="auto" w:sz="6" w:space="0"/>
                    <w:left w:val="single" w:color="auto" w:sz="6" w:space="0"/>
                    <w:bottom w:val="single" w:color="auto" w:sz="12" w:space="0"/>
                    <w:right w:val="single" w:color="auto" w:sz="6" w:space="0"/>
                  </w:tcBorders>
                  <w:shd w:val="clear"/>
                  <w:vAlign w:val="center"/>
                </w:tcPr>
                <w:p w14:paraId="3DBC436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0.3</w:t>
                  </w:r>
                </w:p>
              </w:tc>
              <w:tc>
                <w:tcPr>
                  <w:tcW w:w="1276" w:type="dxa"/>
                  <w:tcBorders>
                    <w:top w:val="single" w:color="auto" w:sz="6" w:space="0"/>
                    <w:left w:val="single" w:color="auto" w:sz="6" w:space="0"/>
                    <w:bottom w:val="single" w:color="auto" w:sz="12" w:space="0"/>
                    <w:right w:val="single" w:color="auto" w:sz="6" w:space="0"/>
                  </w:tcBorders>
                  <w:shd w:val="clear"/>
                  <w:vAlign w:val="center"/>
                </w:tcPr>
                <w:p w14:paraId="28F9B73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57%</w:t>
                  </w:r>
                </w:p>
              </w:tc>
              <w:tc>
                <w:tcPr>
                  <w:tcW w:w="1125" w:type="dxa"/>
                  <w:tcBorders>
                    <w:top w:val="single" w:color="auto" w:sz="6" w:space="0"/>
                    <w:left w:val="single" w:color="auto" w:sz="6" w:space="0"/>
                    <w:bottom w:val="single" w:color="auto" w:sz="12" w:space="0"/>
                    <w:right w:val="nil"/>
                  </w:tcBorders>
                  <w:shd w:val="clear"/>
                  <w:vAlign w:val="center"/>
                </w:tcPr>
                <w:p w14:paraId="6C8D052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达标</w:t>
                  </w:r>
                </w:p>
              </w:tc>
            </w:tr>
          </w:tbl>
          <w:p w14:paraId="61318671">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bdr w:val="none" w:color="auto" w:sz="0" w:space="0"/>
                <w:lang w:val="en-US"/>
              </w:rPr>
            </w:pPr>
            <w:r>
              <w:rPr>
                <w:rFonts w:hint="eastAsia" w:ascii="Times New Roman" w:hAnsi="Times New Roman" w:eastAsia="宋体" w:cs="宋体"/>
                <w:color w:val="000000"/>
                <w:kern w:val="0"/>
                <w:sz w:val="24"/>
                <w:szCs w:val="24"/>
                <w:bdr w:val="none" w:color="auto" w:sz="0" w:space="0"/>
                <w:lang w:val="en-US" w:eastAsia="zh-CN" w:bidi="ar"/>
              </w:rPr>
              <w:t>由上表可知，扩建项目评价区域内</w:t>
            </w:r>
            <w:r>
              <w:rPr>
                <w:rFonts w:hint="default" w:ascii="Times New Roman" w:hAnsi="宋体" w:eastAsia="宋体" w:cs="Times New Roman"/>
                <w:color w:val="000000"/>
                <w:kern w:val="2"/>
                <w:sz w:val="24"/>
                <w:szCs w:val="24"/>
                <w:bdr w:val="none" w:color="auto" w:sz="0" w:space="0"/>
                <w:lang w:val="en-US" w:eastAsia="zh-CN" w:bidi="ar"/>
              </w:rPr>
              <w:t>TSP</w:t>
            </w:r>
            <w:r>
              <w:rPr>
                <w:rFonts w:hint="eastAsia" w:ascii="Times New Roman" w:hAnsi="宋体" w:eastAsia="宋体" w:cs="宋体"/>
                <w:color w:val="000000"/>
                <w:kern w:val="2"/>
                <w:sz w:val="24"/>
                <w:szCs w:val="24"/>
                <w:bdr w:val="none" w:color="auto" w:sz="0" w:space="0"/>
                <w:lang w:val="en-US" w:eastAsia="zh-CN" w:bidi="ar"/>
              </w:rPr>
              <w:t>满足《环境空气质量标准》</w:t>
            </w:r>
            <w:r>
              <w:rPr>
                <w:rFonts w:hint="default" w:ascii="Times New Roman" w:hAnsi="宋体" w:eastAsia="宋体" w:cs="Times New Roman"/>
                <w:color w:val="000000"/>
                <w:kern w:val="2"/>
                <w:sz w:val="24"/>
                <w:szCs w:val="24"/>
                <w:bdr w:val="none" w:color="auto" w:sz="0" w:space="0"/>
                <w:lang w:val="en-US" w:eastAsia="zh-CN" w:bidi="ar"/>
              </w:rPr>
              <w:t>(GB3095-2012)</w:t>
            </w:r>
            <w:r>
              <w:rPr>
                <w:rFonts w:hint="eastAsia" w:ascii="Times New Roman" w:hAnsi="宋体" w:eastAsia="宋体" w:cs="宋体"/>
                <w:color w:val="000000"/>
                <w:kern w:val="2"/>
                <w:sz w:val="24"/>
                <w:szCs w:val="24"/>
                <w:bdr w:val="none" w:color="auto" w:sz="0" w:space="0"/>
                <w:lang w:val="en-US" w:eastAsia="zh-CN" w:bidi="ar"/>
              </w:rPr>
              <w:t>要求；</w:t>
            </w:r>
            <w:r>
              <w:rPr>
                <w:rFonts w:hint="eastAsia" w:ascii="Times New Roman" w:hAnsi="Times New Roman" w:eastAsia="宋体" w:cs="宋体"/>
                <w:color w:val="000000"/>
                <w:kern w:val="0"/>
                <w:sz w:val="24"/>
                <w:szCs w:val="24"/>
                <w:bdr w:val="none" w:color="auto" w:sz="0" w:space="0"/>
                <w:lang w:val="en-US" w:eastAsia="zh-CN" w:bidi="ar"/>
              </w:rPr>
              <w:t>非甲烷总烃满足参照河北省地方标准《环境空气质量</w:t>
            </w:r>
            <w:r>
              <w:rPr>
                <w:rFonts w:hint="default" w:ascii="Times New Roman" w:hAnsi="Times New Roman" w:eastAsia="宋体" w:cs="Times New Roman"/>
                <w:color w:val="000000"/>
                <w:kern w:val="0"/>
                <w:sz w:val="24"/>
                <w:szCs w:val="24"/>
                <w:bdr w:val="none" w:color="auto" w:sz="0" w:space="0"/>
                <w:lang w:val="en-US" w:eastAsia="zh-CN" w:bidi="ar"/>
              </w:rPr>
              <w:t xml:space="preserve"> </w:t>
            </w:r>
            <w:r>
              <w:rPr>
                <w:rFonts w:hint="eastAsia" w:ascii="Times New Roman" w:hAnsi="Times New Roman" w:eastAsia="宋体" w:cs="宋体"/>
                <w:color w:val="000000"/>
                <w:kern w:val="0"/>
                <w:sz w:val="24"/>
                <w:szCs w:val="24"/>
                <w:bdr w:val="none" w:color="auto" w:sz="0" w:space="0"/>
                <w:lang w:val="en-US" w:eastAsia="zh-CN" w:bidi="ar"/>
              </w:rPr>
              <w:t>非甲烷总烃限值》（</w:t>
            </w:r>
            <w:r>
              <w:rPr>
                <w:rFonts w:hint="default" w:ascii="Times New Roman" w:hAnsi="Times New Roman" w:eastAsia="宋体" w:cs="Times New Roman"/>
                <w:color w:val="000000"/>
                <w:kern w:val="0"/>
                <w:sz w:val="24"/>
                <w:szCs w:val="24"/>
                <w:bdr w:val="none" w:color="auto" w:sz="0" w:space="0"/>
                <w:lang w:val="en-US" w:eastAsia="zh-CN" w:bidi="ar"/>
              </w:rPr>
              <w:t>DB13/1577-2012</w:t>
            </w:r>
            <w:r>
              <w:rPr>
                <w:rFonts w:hint="eastAsia" w:ascii="Times New Roman" w:hAnsi="Times New Roman" w:eastAsia="宋体" w:cs="宋体"/>
                <w:color w:val="000000"/>
                <w:kern w:val="0"/>
                <w:sz w:val="24"/>
                <w:szCs w:val="24"/>
                <w:bdr w:val="none" w:color="auto" w:sz="0" w:space="0"/>
                <w:lang w:val="en-US" w:eastAsia="zh-CN" w:bidi="ar"/>
              </w:rPr>
              <w:t>）二级标准。</w:t>
            </w:r>
          </w:p>
          <w:p w14:paraId="69B854E7">
            <w:pPr>
              <w:keepNext w:val="0"/>
              <w:keepLines w:val="0"/>
              <w:widowControl w:val="0"/>
              <w:suppressLineNumbers w:val="0"/>
              <w:spacing w:before="0" w:beforeAutospacing="0" w:after="0" w:afterAutospacing="0" w:line="440" w:lineRule="exact"/>
              <w:ind w:left="0" w:right="0"/>
              <w:jc w:val="both"/>
              <w:outlineLvl w:val="1"/>
              <w:rPr>
                <w:rFonts w:hint="default" w:ascii="Times New Roman" w:hAnsi="Times New Roman" w:cs="Times New Roman"/>
                <w:b/>
                <w:bCs w:val="0"/>
                <w:color w:val="000000"/>
                <w:kern w:val="0"/>
                <w:sz w:val="24"/>
                <w:szCs w:val="24"/>
                <w:bdr w:val="none" w:color="auto" w:sz="0" w:space="0"/>
                <w:lang w:val="en-US"/>
              </w:rPr>
            </w:pPr>
            <w:r>
              <w:rPr>
                <w:rFonts w:hint="default" w:ascii="Times New Roman" w:hAnsi="Times New Roman" w:eastAsia="宋体" w:cs="Times New Roman"/>
                <w:b/>
                <w:bCs w:val="0"/>
                <w:color w:val="000000"/>
                <w:kern w:val="0"/>
                <w:sz w:val="24"/>
                <w:szCs w:val="24"/>
                <w:bdr w:val="none" w:color="auto" w:sz="0" w:space="0"/>
                <w:lang w:val="en-US" w:eastAsia="zh-CN" w:bidi="ar"/>
              </w:rPr>
              <w:t>3.2</w:t>
            </w:r>
            <w:r>
              <w:rPr>
                <w:rFonts w:hint="eastAsia" w:ascii="Times New Roman" w:hAnsi="Times New Roman" w:eastAsia="宋体" w:cs="宋体"/>
                <w:b/>
                <w:bCs w:val="0"/>
                <w:color w:val="000000"/>
                <w:kern w:val="0"/>
                <w:sz w:val="24"/>
                <w:szCs w:val="24"/>
                <w:bdr w:val="none" w:color="auto" w:sz="0" w:space="0"/>
                <w:lang w:val="en-US" w:eastAsia="zh-CN" w:bidi="ar"/>
              </w:rPr>
              <w:t>地表水环境质量现状</w:t>
            </w:r>
          </w:p>
          <w:p w14:paraId="2F7BB614">
            <w:pPr>
              <w:keepNext w:val="0"/>
              <w:keepLines w:val="0"/>
              <w:widowControl w:val="0"/>
              <w:suppressLineNumbers w:val="0"/>
              <w:snapToGrid w:val="0"/>
              <w:spacing w:before="0" w:beforeAutospacing="0" w:after="0" w:afterAutospacing="0" w:line="460" w:lineRule="exact"/>
              <w:ind w:left="0" w:right="0" w:firstLine="480" w:firstLineChars="200"/>
              <w:jc w:val="both"/>
              <w:rPr>
                <w:rFonts w:hint="default" w:ascii="Times New Roman" w:hAnsi="Times New Roman" w:cs="Times New Roman"/>
                <w:bCs/>
                <w:color w:val="000000"/>
                <w:sz w:val="24"/>
                <w:szCs w:val="24"/>
                <w:bdr w:val="none" w:color="auto" w:sz="0" w:space="0"/>
                <w:lang w:val="en-US"/>
              </w:rPr>
            </w:pPr>
            <w:r>
              <w:rPr>
                <w:rFonts w:hint="eastAsia" w:ascii="Times New Roman" w:hAnsi="Calibri" w:eastAsia="宋体" w:cs="宋体"/>
                <w:bCs/>
                <w:color w:val="000000"/>
                <w:kern w:val="2"/>
                <w:sz w:val="24"/>
                <w:szCs w:val="24"/>
                <w:bdr w:val="none" w:color="auto" w:sz="0" w:space="0"/>
                <w:lang w:val="en-US" w:eastAsia="zh-CN" w:bidi="ar"/>
              </w:rPr>
              <w:t>扩建项目废水经园区污水处理厂处理达标后排入嘉陵江，根据《重庆市人民政府批转重庆市地表水环境功能类别调整方案的通知》</w:t>
            </w:r>
            <w:r>
              <w:rPr>
                <w:rFonts w:hint="default" w:ascii="Times New Roman" w:hAnsi="Times New Roman" w:eastAsia="宋体" w:cs="Times New Roman"/>
                <w:bCs/>
                <w:color w:val="000000"/>
                <w:kern w:val="2"/>
                <w:sz w:val="24"/>
                <w:szCs w:val="24"/>
                <w:bdr w:val="none" w:color="auto" w:sz="0" w:space="0"/>
                <w:lang w:val="en-US" w:eastAsia="zh-CN" w:bidi="ar"/>
              </w:rPr>
              <w:t>(</w:t>
            </w:r>
            <w:r>
              <w:rPr>
                <w:rFonts w:hint="eastAsia" w:ascii="Times New Roman" w:hAnsi="Calibri" w:eastAsia="宋体" w:cs="宋体"/>
                <w:bCs/>
                <w:color w:val="000000"/>
                <w:kern w:val="2"/>
                <w:sz w:val="24"/>
                <w:szCs w:val="24"/>
                <w:bdr w:val="none" w:color="auto" w:sz="0" w:space="0"/>
                <w:lang w:val="en-US" w:eastAsia="zh-CN" w:bidi="ar"/>
              </w:rPr>
              <w:t>渝府发〔</w:t>
            </w:r>
            <w:r>
              <w:rPr>
                <w:rFonts w:hint="default" w:ascii="Times New Roman" w:hAnsi="Times New Roman" w:eastAsia="宋体" w:cs="Times New Roman"/>
                <w:bCs/>
                <w:color w:val="000000"/>
                <w:kern w:val="2"/>
                <w:sz w:val="24"/>
                <w:szCs w:val="24"/>
                <w:bdr w:val="none" w:color="auto" w:sz="0" w:space="0"/>
                <w:lang w:val="en-US" w:eastAsia="zh-CN" w:bidi="ar"/>
              </w:rPr>
              <w:t>2012</w:t>
            </w:r>
            <w:r>
              <w:rPr>
                <w:rFonts w:hint="eastAsia" w:ascii="Times New Roman" w:hAnsi="Calibri" w:eastAsia="宋体" w:cs="宋体"/>
                <w:bCs/>
                <w:color w:val="000000"/>
                <w:kern w:val="2"/>
                <w:sz w:val="24"/>
                <w:szCs w:val="24"/>
                <w:bdr w:val="none" w:color="auto" w:sz="0" w:space="0"/>
                <w:lang w:val="en-US" w:eastAsia="zh-CN" w:bidi="ar"/>
              </w:rPr>
              <w:t>〕</w:t>
            </w:r>
            <w:r>
              <w:rPr>
                <w:rFonts w:hint="default" w:ascii="Times New Roman" w:hAnsi="Times New Roman" w:eastAsia="宋体" w:cs="Times New Roman"/>
                <w:bCs/>
                <w:color w:val="000000"/>
                <w:kern w:val="2"/>
                <w:sz w:val="24"/>
                <w:szCs w:val="24"/>
                <w:bdr w:val="none" w:color="auto" w:sz="0" w:space="0"/>
                <w:lang w:val="en-US" w:eastAsia="zh-CN" w:bidi="ar"/>
              </w:rPr>
              <w:t>4</w:t>
            </w:r>
            <w:r>
              <w:rPr>
                <w:rFonts w:hint="eastAsia" w:ascii="Times New Roman" w:hAnsi="Calibri" w:eastAsia="宋体" w:cs="宋体"/>
                <w:bCs/>
                <w:color w:val="000000"/>
                <w:kern w:val="2"/>
                <w:sz w:val="24"/>
                <w:szCs w:val="24"/>
                <w:bdr w:val="none" w:color="auto" w:sz="0" w:space="0"/>
                <w:lang w:val="en-US" w:eastAsia="zh-CN" w:bidi="ar"/>
              </w:rPr>
              <w:t>号</w:t>
            </w:r>
            <w:r>
              <w:rPr>
                <w:rFonts w:hint="default" w:ascii="Times New Roman" w:hAnsi="Times New Roman" w:eastAsia="宋体" w:cs="Times New Roman"/>
                <w:bCs/>
                <w:color w:val="000000"/>
                <w:kern w:val="2"/>
                <w:sz w:val="24"/>
                <w:szCs w:val="24"/>
                <w:bdr w:val="none" w:color="auto" w:sz="0" w:space="0"/>
                <w:lang w:val="en-US" w:eastAsia="zh-CN" w:bidi="ar"/>
              </w:rPr>
              <w:t>)</w:t>
            </w:r>
            <w:r>
              <w:rPr>
                <w:rFonts w:hint="eastAsia" w:ascii="Times New Roman" w:hAnsi="Calibri" w:eastAsia="宋体" w:cs="宋体"/>
                <w:bCs/>
                <w:color w:val="000000"/>
                <w:kern w:val="2"/>
                <w:sz w:val="24"/>
                <w:szCs w:val="24"/>
                <w:bdr w:val="none" w:color="auto" w:sz="0" w:space="0"/>
                <w:lang w:val="en-US" w:eastAsia="zh-CN" w:bidi="ar"/>
              </w:rPr>
              <w:t>，嘉陵江水域功能类别</w:t>
            </w:r>
            <w:r>
              <w:rPr>
                <w:rFonts w:hint="eastAsia" w:ascii="Times New Roman" w:hAnsi="Times New Roman" w:eastAsia="宋体" w:cs="宋体"/>
                <w:bCs/>
                <w:color w:val="000000"/>
                <w:kern w:val="2"/>
                <w:sz w:val="24"/>
                <w:szCs w:val="24"/>
                <w:bdr w:val="none" w:color="auto" w:sz="0" w:space="0"/>
                <w:lang w:val="en-US" w:eastAsia="zh-CN" w:bidi="ar"/>
              </w:rPr>
              <w:t>为</w:t>
            </w:r>
            <w:r>
              <w:rPr>
                <w:rFonts w:hint="default" w:ascii="Times New Roman" w:hAnsi="Calibri" w:eastAsia="宋体" w:cs="Times New Roman"/>
                <w:color w:val="000000"/>
                <w:kern w:val="2"/>
                <w:sz w:val="24"/>
                <w:szCs w:val="24"/>
                <w:bdr w:val="none" w:color="auto" w:sz="0" w:space="0"/>
                <w:lang w:val="en-US" w:eastAsia="zh-CN" w:bidi="ar"/>
              </w:rPr>
              <w:t>Ⅲ</w:t>
            </w:r>
            <w:r>
              <w:rPr>
                <w:rFonts w:hint="eastAsia" w:ascii="Times New Roman" w:hAnsi="Times New Roman" w:eastAsia="宋体" w:cs="宋体"/>
                <w:bCs/>
                <w:color w:val="000000"/>
                <w:kern w:val="2"/>
                <w:sz w:val="24"/>
                <w:szCs w:val="24"/>
                <w:bdr w:val="none" w:color="auto" w:sz="0" w:space="0"/>
                <w:lang w:val="en-US" w:eastAsia="zh-CN" w:bidi="ar"/>
              </w:rPr>
              <w:t>类，执行《地表水环境质量标准》</w:t>
            </w:r>
            <w:r>
              <w:rPr>
                <w:rFonts w:hint="default" w:ascii="Times New Roman" w:hAnsi="Times New Roman" w:eastAsia="宋体" w:cs="Times New Roman"/>
                <w:bCs/>
                <w:color w:val="000000"/>
                <w:kern w:val="2"/>
                <w:sz w:val="24"/>
                <w:szCs w:val="24"/>
                <w:bdr w:val="none" w:color="auto" w:sz="0" w:space="0"/>
                <w:lang w:val="en-US" w:eastAsia="zh-CN" w:bidi="ar"/>
              </w:rPr>
              <w:t xml:space="preserve">(GB3838-2002) </w:t>
            </w:r>
            <w:r>
              <w:rPr>
                <w:rFonts w:hint="default" w:ascii="Times New Roman" w:hAnsi="Calibri" w:eastAsia="宋体" w:cs="Times New Roman"/>
                <w:color w:val="000000"/>
                <w:kern w:val="2"/>
                <w:sz w:val="24"/>
                <w:szCs w:val="24"/>
                <w:bdr w:val="none" w:color="auto" w:sz="0" w:space="0"/>
                <w:lang w:val="en-US" w:eastAsia="zh-CN" w:bidi="ar"/>
              </w:rPr>
              <w:t>Ⅲ</w:t>
            </w:r>
            <w:r>
              <w:rPr>
                <w:rFonts w:hint="eastAsia" w:ascii="Times New Roman" w:hAnsi="Times New Roman" w:eastAsia="宋体" w:cs="宋体"/>
                <w:bCs/>
                <w:color w:val="000000"/>
                <w:kern w:val="2"/>
                <w:sz w:val="24"/>
                <w:szCs w:val="24"/>
                <w:bdr w:val="none" w:color="auto" w:sz="0" w:space="0"/>
                <w:lang w:val="en-US" w:eastAsia="zh-CN" w:bidi="ar"/>
              </w:rPr>
              <w:t>类水域标准。</w:t>
            </w:r>
          </w:p>
          <w:p w14:paraId="79CE0087">
            <w:pPr>
              <w:keepNext w:val="0"/>
              <w:keepLines w:val="0"/>
              <w:widowControl w:val="0"/>
              <w:suppressLineNumbers w:val="0"/>
              <w:snapToGrid w:val="0"/>
              <w:spacing w:before="0" w:beforeAutospacing="0" w:after="0" w:afterAutospacing="0" w:line="460" w:lineRule="exact"/>
              <w:ind w:left="0" w:right="0" w:firstLine="480" w:firstLineChars="200"/>
              <w:jc w:val="both"/>
              <w:rPr>
                <w:rFonts w:hint="default" w:ascii="Times New Roman" w:hAnsi="Calibri" w:cs="Times New Roman"/>
                <w:bCs/>
                <w:color w:val="000000"/>
                <w:sz w:val="24"/>
                <w:szCs w:val="24"/>
                <w:bdr w:val="none" w:color="auto" w:sz="0" w:space="0"/>
                <w:lang w:val="en-US"/>
              </w:rPr>
            </w:pPr>
            <w:r>
              <w:rPr>
                <w:rFonts w:hint="eastAsia" w:ascii="Times New Roman" w:hAnsi="Calibri" w:eastAsia="宋体" w:cs="宋体"/>
                <w:bCs/>
                <w:color w:val="000000"/>
                <w:kern w:val="2"/>
                <w:sz w:val="24"/>
                <w:szCs w:val="24"/>
                <w:bdr w:val="none" w:color="auto" w:sz="0" w:space="0"/>
                <w:lang w:val="en-US" w:eastAsia="zh-CN" w:bidi="ar"/>
              </w:rPr>
              <w:t>按照《环境影响评价技术导则</w:t>
            </w:r>
            <w:r>
              <w:rPr>
                <w:rFonts w:hint="default" w:ascii="Times New Roman" w:hAnsi="Calibri" w:eastAsia="宋体" w:cs="Times New Roman"/>
                <w:bCs/>
                <w:color w:val="000000"/>
                <w:kern w:val="2"/>
                <w:sz w:val="24"/>
                <w:szCs w:val="24"/>
                <w:bdr w:val="none" w:color="auto" w:sz="0" w:space="0"/>
                <w:lang w:val="en-US" w:eastAsia="zh-CN" w:bidi="ar"/>
              </w:rPr>
              <w:t xml:space="preserve"> </w:t>
            </w:r>
            <w:r>
              <w:rPr>
                <w:rFonts w:hint="eastAsia" w:ascii="Times New Roman" w:hAnsi="Calibri" w:eastAsia="宋体" w:cs="宋体"/>
                <w:bCs/>
                <w:color w:val="000000"/>
                <w:kern w:val="2"/>
                <w:sz w:val="24"/>
                <w:szCs w:val="24"/>
                <w:bdr w:val="none" w:color="auto" w:sz="0" w:space="0"/>
                <w:lang w:val="en-US" w:eastAsia="zh-CN" w:bidi="ar"/>
              </w:rPr>
              <w:t>地表水环境》</w:t>
            </w:r>
            <w:r>
              <w:rPr>
                <w:rFonts w:hint="default" w:ascii="Times New Roman" w:hAnsi="Calibri" w:eastAsia="宋体" w:cs="Times New Roman"/>
                <w:bCs/>
                <w:color w:val="000000"/>
                <w:kern w:val="2"/>
                <w:sz w:val="24"/>
                <w:szCs w:val="24"/>
                <w:bdr w:val="none" w:color="auto" w:sz="0" w:space="0"/>
                <w:lang w:val="en-US" w:eastAsia="zh-CN" w:bidi="ar"/>
              </w:rPr>
              <w:t>(HJ2.3-2018)</w:t>
            </w:r>
            <w:r>
              <w:rPr>
                <w:rFonts w:hint="eastAsia" w:ascii="Times New Roman" w:hAnsi="Calibri" w:eastAsia="宋体" w:cs="宋体"/>
                <w:bCs/>
                <w:color w:val="000000"/>
                <w:kern w:val="2"/>
                <w:sz w:val="24"/>
                <w:szCs w:val="24"/>
                <w:bdr w:val="none" w:color="auto" w:sz="0" w:space="0"/>
                <w:lang w:val="en-US" w:eastAsia="zh-CN" w:bidi="ar"/>
              </w:rPr>
              <w:t>规定，可采用生态环境保护主管部门统一发布的水环境状况信息进行评价分析。</w:t>
            </w:r>
            <w:r>
              <w:rPr>
                <w:rFonts w:hint="eastAsia" w:ascii="Times New Roman" w:hAnsi="Times New Roman" w:eastAsia="宋体" w:cs="宋体"/>
                <w:color w:val="000000"/>
                <w:kern w:val="2"/>
                <w:sz w:val="24"/>
                <w:szCs w:val="24"/>
                <w:bdr w:val="none" w:color="auto" w:sz="0" w:space="0"/>
                <w:lang w:val="en-US" w:eastAsia="zh-CN" w:bidi="ar"/>
              </w:rPr>
              <w:t>根据</w:t>
            </w:r>
            <w:r>
              <w:rPr>
                <w:rFonts w:hint="eastAsia" w:ascii="Times New Roman" w:hAnsi="Times New Roman" w:eastAsia="宋体" w:cs="宋体"/>
                <w:color w:val="000000"/>
                <w:kern w:val="0"/>
                <w:sz w:val="24"/>
                <w:szCs w:val="24"/>
                <w:bdr w:val="none" w:color="auto" w:sz="0" w:space="0"/>
                <w:lang w:val="en-US" w:eastAsia="zh-CN" w:bidi="ar"/>
              </w:rPr>
              <w:t>重庆市合川区生态环境局官方网站公布的每月《合川区水环境质量状况》可知，合川嘉陵江金子断面</w:t>
            </w:r>
            <w:r>
              <w:rPr>
                <w:rFonts w:hint="default" w:ascii="Times New Roman" w:hAnsi="Times New Roman" w:eastAsia="宋体" w:cs="Times New Roman"/>
                <w:color w:val="000000"/>
                <w:kern w:val="0"/>
                <w:sz w:val="24"/>
                <w:szCs w:val="24"/>
                <w:bdr w:val="none" w:color="auto" w:sz="0" w:space="0"/>
                <w:lang w:val="en-US" w:eastAsia="zh-CN" w:bidi="ar"/>
              </w:rPr>
              <w:t>2024</w:t>
            </w:r>
            <w:r>
              <w:rPr>
                <w:rFonts w:hint="eastAsia" w:ascii="Times New Roman" w:hAnsi="Times New Roman" w:eastAsia="宋体" w:cs="宋体"/>
                <w:color w:val="000000"/>
                <w:kern w:val="0"/>
                <w:sz w:val="24"/>
                <w:szCs w:val="24"/>
                <w:bdr w:val="none" w:color="auto" w:sz="0" w:space="0"/>
                <w:lang w:val="en-US" w:eastAsia="zh-CN" w:bidi="ar"/>
              </w:rPr>
              <w:t>年</w:t>
            </w:r>
            <w:r>
              <w:rPr>
                <w:rFonts w:hint="default" w:ascii="Times New Roman" w:hAnsi="Times New Roman" w:eastAsia="宋体" w:cs="Times New Roman"/>
                <w:color w:val="000000"/>
                <w:kern w:val="0"/>
                <w:sz w:val="24"/>
                <w:szCs w:val="24"/>
                <w:bdr w:val="none" w:color="auto" w:sz="0" w:space="0"/>
                <w:lang w:val="en-US" w:eastAsia="zh-CN" w:bidi="ar"/>
              </w:rPr>
              <w:t>8</w:t>
            </w:r>
            <w:r>
              <w:rPr>
                <w:rFonts w:hint="eastAsia" w:ascii="Times New Roman" w:hAnsi="Times New Roman" w:eastAsia="宋体" w:cs="宋体"/>
                <w:color w:val="000000"/>
                <w:kern w:val="0"/>
                <w:sz w:val="24"/>
                <w:szCs w:val="24"/>
                <w:bdr w:val="none" w:color="auto" w:sz="0" w:space="0"/>
                <w:lang w:val="en-US" w:eastAsia="zh-CN" w:bidi="ar"/>
              </w:rPr>
              <w:t>月</w:t>
            </w:r>
            <w:r>
              <w:rPr>
                <w:rFonts w:hint="default" w:ascii="Times New Roman" w:hAnsi="Times New Roman" w:eastAsia="宋体" w:cs="Times New Roman"/>
                <w:color w:val="000000"/>
                <w:kern w:val="0"/>
                <w:sz w:val="24"/>
                <w:szCs w:val="24"/>
                <w:bdr w:val="none" w:color="auto" w:sz="0" w:space="0"/>
                <w:lang w:val="en-US" w:eastAsia="zh-CN" w:bidi="ar"/>
              </w:rPr>
              <w:t>~11</w:t>
            </w:r>
            <w:r>
              <w:rPr>
                <w:rFonts w:hint="eastAsia" w:ascii="Times New Roman" w:hAnsi="Times New Roman" w:eastAsia="宋体" w:cs="宋体"/>
                <w:color w:val="000000"/>
                <w:kern w:val="0"/>
                <w:sz w:val="24"/>
                <w:szCs w:val="24"/>
                <w:bdr w:val="none" w:color="auto" w:sz="0" w:space="0"/>
                <w:lang w:val="en-US" w:eastAsia="zh-CN" w:bidi="ar"/>
              </w:rPr>
              <w:t>月水质均达到</w:t>
            </w:r>
            <w:r>
              <w:rPr>
                <w:rFonts w:hint="default" w:ascii="Times New Roman" w:hAnsi="Calibri" w:eastAsia="宋体" w:cs="Times New Roman"/>
                <w:color w:val="000000"/>
                <w:kern w:val="2"/>
                <w:sz w:val="24"/>
                <w:szCs w:val="24"/>
                <w:bdr w:val="none" w:color="auto" w:sz="0" w:space="0"/>
                <w:lang w:val="en-US" w:eastAsia="zh-CN" w:bidi="ar"/>
              </w:rPr>
              <w:t>Ⅲ</w:t>
            </w:r>
            <w:r>
              <w:rPr>
                <w:rFonts w:hint="eastAsia" w:ascii="Times New Roman" w:hAnsi="Times New Roman" w:eastAsia="宋体" w:cs="宋体"/>
                <w:color w:val="000000"/>
                <w:kern w:val="0"/>
                <w:sz w:val="24"/>
                <w:szCs w:val="24"/>
                <w:bdr w:val="none" w:color="auto" w:sz="0" w:space="0"/>
                <w:lang w:val="en-US" w:eastAsia="zh-CN" w:bidi="ar"/>
              </w:rPr>
              <w:t>类地表水环境质量标准，因此，项目所在嘉陵江段水质满足标准要求。</w:t>
            </w:r>
          </w:p>
          <w:p w14:paraId="2D7D2FD0">
            <w:pPr>
              <w:keepNext w:val="0"/>
              <w:keepLines w:val="0"/>
              <w:widowControl w:val="0"/>
              <w:suppressLineNumbers w:val="0"/>
              <w:spacing w:before="0" w:beforeAutospacing="0" w:after="0" w:afterAutospacing="0" w:line="440" w:lineRule="exact"/>
              <w:ind w:left="0" w:right="0"/>
              <w:jc w:val="both"/>
              <w:outlineLvl w:val="1"/>
              <w:rPr>
                <w:rFonts w:hint="default" w:ascii="Times New Roman" w:hAnsi="Times New Roman" w:cs="Times New Roman"/>
                <w:b/>
                <w:bCs w:val="0"/>
                <w:color w:val="000000"/>
                <w:kern w:val="0"/>
                <w:sz w:val="24"/>
                <w:szCs w:val="24"/>
                <w:bdr w:val="none" w:color="auto" w:sz="0" w:space="0"/>
                <w:lang w:val="en-US"/>
              </w:rPr>
            </w:pPr>
            <w:r>
              <w:rPr>
                <w:rFonts w:hint="default" w:ascii="Times New Roman" w:hAnsi="Times New Roman" w:eastAsia="宋体" w:cs="Times New Roman"/>
                <w:b/>
                <w:bCs w:val="0"/>
                <w:color w:val="000000"/>
                <w:kern w:val="0"/>
                <w:sz w:val="24"/>
                <w:szCs w:val="24"/>
                <w:bdr w:val="none" w:color="auto" w:sz="0" w:space="0"/>
                <w:lang w:val="en-US" w:eastAsia="zh-CN" w:bidi="ar"/>
              </w:rPr>
              <w:t>3.3</w:t>
            </w:r>
            <w:r>
              <w:rPr>
                <w:rFonts w:hint="eastAsia" w:ascii="Times New Roman" w:hAnsi="Times New Roman" w:eastAsia="宋体" w:cs="宋体"/>
                <w:b/>
                <w:bCs w:val="0"/>
                <w:color w:val="000000"/>
                <w:kern w:val="0"/>
                <w:sz w:val="24"/>
                <w:szCs w:val="24"/>
                <w:bdr w:val="none" w:color="auto" w:sz="0" w:space="0"/>
                <w:lang w:val="en-US" w:eastAsia="zh-CN" w:bidi="ar"/>
              </w:rPr>
              <w:t>噪声环境质量现状</w:t>
            </w:r>
          </w:p>
          <w:p w14:paraId="54D02368">
            <w:pPr>
              <w:keepNext w:val="0"/>
              <w:keepLines w:val="0"/>
              <w:widowControl w:val="0"/>
              <w:suppressLineNumbers w:val="0"/>
              <w:snapToGrid w:val="0"/>
              <w:spacing w:before="0" w:beforeAutospacing="0" w:after="0" w:afterAutospacing="0" w:line="460" w:lineRule="exact"/>
              <w:ind w:left="0" w:right="0" w:firstLine="480" w:firstLineChars="200"/>
              <w:jc w:val="both"/>
              <w:rPr>
                <w:color w:val="000000"/>
                <w:sz w:val="24"/>
                <w:szCs w:val="24"/>
                <w:bdr w:val="none" w:color="auto" w:sz="0" w:space="0"/>
                <w:lang w:val="en-US"/>
              </w:rPr>
            </w:pPr>
            <w:r>
              <w:rPr>
                <w:rFonts w:hint="eastAsia" w:ascii="Times New Roman" w:hAnsi="Calibri" w:eastAsia="宋体" w:cs="宋体"/>
                <w:bCs/>
                <w:color w:val="000000"/>
                <w:kern w:val="2"/>
                <w:sz w:val="24"/>
                <w:szCs w:val="24"/>
                <w:bdr w:val="none" w:color="auto" w:sz="0" w:space="0"/>
                <w:lang w:val="en-US" w:eastAsia="zh-CN" w:bidi="ar"/>
              </w:rPr>
              <w:t>扩建项目周围</w:t>
            </w:r>
            <w:r>
              <w:rPr>
                <w:rFonts w:hint="default" w:ascii="Times New Roman" w:hAnsi="Calibri" w:eastAsia="宋体" w:cs="Times New Roman"/>
                <w:bCs/>
                <w:color w:val="000000"/>
                <w:kern w:val="2"/>
                <w:sz w:val="24"/>
                <w:szCs w:val="24"/>
                <w:bdr w:val="none" w:color="auto" w:sz="0" w:space="0"/>
                <w:lang w:val="en-US" w:eastAsia="zh-CN" w:bidi="ar"/>
              </w:rPr>
              <w:t>50m</w:t>
            </w:r>
            <w:r>
              <w:rPr>
                <w:rFonts w:hint="eastAsia" w:ascii="Times New Roman" w:hAnsi="Calibri" w:eastAsia="宋体" w:cs="宋体"/>
                <w:bCs/>
                <w:color w:val="000000"/>
                <w:kern w:val="2"/>
                <w:sz w:val="24"/>
                <w:szCs w:val="24"/>
                <w:bdr w:val="none" w:color="auto" w:sz="0" w:space="0"/>
                <w:lang w:val="en-US" w:eastAsia="zh-CN" w:bidi="ar"/>
              </w:rPr>
              <w:t>范围内声环境保护目标为园区管委会和园区宿舍楼，根据《建设项目环境影响报告表编制技术指南（污染影响类）（试行）》，</w:t>
            </w:r>
            <w:r>
              <w:rPr>
                <w:rFonts w:hint="eastAsia" w:ascii="Calibri" w:hAnsi="Calibri" w:eastAsia="宋体" w:cs="宋体"/>
                <w:color w:val="000000"/>
                <w:kern w:val="2"/>
                <w:sz w:val="24"/>
                <w:szCs w:val="24"/>
                <w:bdr w:val="none" w:color="auto" w:sz="0" w:space="0"/>
                <w:lang w:val="en-US" w:eastAsia="zh-CN" w:bidi="ar"/>
              </w:rPr>
              <w:t>本评价开展了声环境质量现状监测。</w:t>
            </w:r>
          </w:p>
          <w:p w14:paraId="7CB0BF9D">
            <w:pPr>
              <w:keepNext w:val="0"/>
              <w:keepLines w:val="0"/>
              <w:widowControl w:val="0"/>
              <w:suppressLineNumbers w:val="0"/>
              <w:snapToGrid w:val="0"/>
              <w:spacing w:before="0" w:beforeAutospacing="0" w:after="0" w:afterAutospacing="0" w:line="46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本次评价委托重庆中合检测技术有限公司于</w:t>
            </w:r>
            <w:r>
              <w:rPr>
                <w:rFonts w:hint="default" w:ascii="Times New Roman" w:hAnsi="Times New Roman" w:eastAsia="宋体" w:cs="Times New Roman"/>
                <w:color w:val="000000"/>
                <w:kern w:val="2"/>
                <w:sz w:val="24"/>
                <w:szCs w:val="24"/>
                <w:bdr w:val="none" w:color="auto" w:sz="0" w:space="0"/>
                <w:lang w:val="en-US" w:eastAsia="zh-CN" w:bidi="ar"/>
              </w:rPr>
              <w:t>2025</w:t>
            </w:r>
            <w:r>
              <w:rPr>
                <w:rFonts w:hint="eastAsia" w:ascii="Times New Roman" w:hAnsi="Calibri" w:eastAsia="宋体" w:cs="宋体"/>
                <w:color w:val="000000"/>
                <w:kern w:val="2"/>
                <w:sz w:val="24"/>
                <w:szCs w:val="24"/>
                <w:bdr w:val="none" w:color="auto" w:sz="0" w:space="0"/>
                <w:lang w:val="en-US" w:eastAsia="zh-CN" w:bidi="ar"/>
              </w:rPr>
              <w:t>年</w:t>
            </w:r>
            <w:r>
              <w:rPr>
                <w:rFonts w:hint="default" w:ascii="Times New Roman" w:hAnsi="Times New Roman" w:eastAsia="宋体" w:cs="Times New Roman"/>
                <w:color w:val="000000"/>
                <w:kern w:val="2"/>
                <w:sz w:val="24"/>
                <w:szCs w:val="24"/>
                <w:bdr w:val="none" w:color="auto" w:sz="0" w:space="0"/>
                <w:lang w:val="en-US" w:eastAsia="zh-CN" w:bidi="ar"/>
              </w:rPr>
              <w:t>1</w:t>
            </w:r>
            <w:r>
              <w:rPr>
                <w:rFonts w:hint="eastAsia" w:ascii="Times New Roman" w:hAnsi="Calibri" w:eastAsia="宋体" w:cs="宋体"/>
                <w:color w:val="000000"/>
                <w:kern w:val="2"/>
                <w:sz w:val="24"/>
                <w:szCs w:val="24"/>
                <w:bdr w:val="none" w:color="auto" w:sz="0" w:space="0"/>
                <w:lang w:val="en-US" w:eastAsia="zh-CN" w:bidi="ar"/>
              </w:rPr>
              <w:t>月</w:t>
            </w:r>
            <w:r>
              <w:rPr>
                <w:rFonts w:hint="default" w:ascii="Times New Roman" w:hAnsi="Times New Roman" w:eastAsia="宋体" w:cs="Times New Roman"/>
                <w:color w:val="000000"/>
                <w:kern w:val="2"/>
                <w:sz w:val="24"/>
                <w:szCs w:val="24"/>
                <w:bdr w:val="none" w:color="auto" w:sz="0" w:space="0"/>
                <w:lang w:val="en-US" w:eastAsia="zh-CN" w:bidi="ar"/>
              </w:rPr>
              <w:t>8</w:t>
            </w:r>
            <w:r>
              <w:rPr>
                <w:rFonts w:hint="eastAsia" w:ascii="Times New Roman" w:hAnsi="Calibri" w:eastAsia="宋体" w:cs="宋体"/>
                <w:color w:val="000000"/>
                <w:kern w:val="2"/>
                <w:sz w:val="24"/>
                <w:szCs w:val="24"/>
                <w:bdr w:val="none" w:color="auto" w:sz="0" w:space="0"/>
                <w:lang w:val="en-US" w:eastAsia="zh-CN" w:bidi="ar"/>
              </w:rPr>
              <w:t>日对项目西北侧的声环境保护目标（园区管委会和园区宿舍楼）的声环境进行了昼间、夜间现状监测，监测结果见表</w:t>
            </w:r>
            <w:r>
              <w:rPr>
                <w:rFonts w:hint="default" w:ascii="Times New Roman" w:hAnsi="Calibri" w:eastAsia="宋体" w:cs="Times New Roman"/>
                <w:color w:val="000000"/>
                <w:kern w:val="2"/>
                <w:sz w:val="24"/>
                <w:szCs w:val="24"/>
                <w:bdr w:val="none" w:color="auto" w:sz="0" w:space="0"/>
                <w:lang w:val="en-US" w:eastAsia="zh-CN" w:bidi="ar"/>
              </w:rPr>
              <w:t>3.3-1</w:t>
            </w:r>
            <w:r>
              <w:rPr>
                <w:rFonts w:hint="eastAsia" w:ascii="Times New Roman" w:hAnsi="Calibri" w:eastAsia="宋体" w:cs="宋体"/>
                <w:color w:val="000000"/>
                <w:kern w:val="2"/>
                <w:sz w:val="24"/>
                <w:szCs w:val="24"/>
                <w:bdr w:val="none" w:color="auto" w:sz="0" w:space="0"/>
                <w:lang w:val="en-US" w:eastAsia="zh-CN" w:bidi="ar"/>
              </w:rPr>
              <w:t>。</w:t>
            </w:r>
          </w:p>
          <w:p w14:paraId="308AA8A7">
            <w:pPr>
              <w:keepNext w:val="0"/>
              <w:keepLines w:val="0"/>
              <w:widowControl/>
              <w:suppressLineNumbers w:val="0"/>
              <w:spacing w:before="0" w:beforeAutospacing="0" w:after="0" w:afterAutospacing="0" w:line="440" w:lineRule="exact"/>
              <w:ind w:left="0" w:right="0" w:firstLine="480"/>
              <w:jc w:val="center"/>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表</w:t>
            </w:r>
            <w:r>
              <w:rPr>
                <w:rFonts w:hint="default" w:ascii="Times New Roman" w:hAnsi="宋体" w:eastAsia="宋体" w:cs="Times New Roman"/>
                <w:color w:val="000000"/>
                <w:kern w:val="2"/>
                <w:sz w:val="24"/>
                <w:szCs w:val="24"/>
                <w:bdr w:val="none" w:color="auto" w:sz="0" w:space="0"/>
                <w:lang w:val="en-US" w:eastAsia="zh-CN" w:bidi="ar"/>
              </w:rPr>
              <w:t xml:space="preserve">3.3-1  </w:t>
            </w:r>
            <w:r>
              <w:rPr>
                <w:rFonts w:hint="eastAsia" w:ascii="Calibri" w:hAnsi="Calibri" w:eastAsia="宋体" w:cs="宋体"/>
                <w:color w:val="000000"/>
                <w:kern w:val="2"/>
                <w:sz w:val="24"/>
                <w:szCs w:val="24"/>
                <w:bdr w:val="none" w:color="auto" w:sz="0" w:space="0"/>
                <w:lang w:val="en-US" w:eastAsia="zh-CN" w:bidi="ar"/>
              </w:rPr>
              <w:t>声环境质量现状监测</w:t>
            </w:r>
            <w:r>
              <w:rPr>
                <w:rFonts w:hint="eastAsia" w:ascii="Times New Roman" w:hAnsi="宋体" w:eastAsia="宋体" w:cs="宋体"/>
                <w:color w:val="000000"/>
                <w:kern w:val="2"/>
                <w:sz w:val="24"/>
                <w:szCs w:val="24"/>
                <w:bdr w:val="none" w:color="auto" w:sz="0" w:space="0"/>
                <w:lang w:val="en-US" w:eastAsia="zh-CN" w:bidi="ar"/>
              </w:rPr>
              <w:t>结果</w:t>
            </w:r>
            <w:r>
              <w:rPr>
                <w:rFonts w:hint="default" w:ascii="Times New Roman" w:hAnsi="宋体" w:eastAsia="宋体" w:cs="Times New Roman"/>
                <w:color w:val="000000"/>
                <w:kern w:val="2"/>
                <w:sz w:val="24"/>
                <w:szCs w:val="24"/>
                <w:bdr w:val="none" w:color="auto" w:sz="0" w:space="0"/>
                <w:lang w:val="en-US" w:eastAsia="zh-CN" w:bidi="ar"/>
              </w:rPr>
              <w:t xml:space="preserve">   </w:t>
            </w:r>
            <w:r>
              <w:rPr>
                <w:rFonts w:hint="eastAsia" w:ascii="Times New Roman" w:hAnsi="宋体" w:eastAsia="宋体" w:cs="宋体"/>
                <w:color w:val="000000"/>
                <w:kern w:val="2"/>
                <w:sz w:val="24"/>
                <w:szCs w:val="24"/>
                <w:bdr w:val="none" w:color="auto" w:sz="0" w:space="0"/>
                <w:lang w:val="en-US" w:eastAsia="zh-CN" w:bidi="ar"/>
              </w:rPr>
              <w:t>单位：</w:t>
            </w:r>
            <w:r>
              <w:rPr>
                <w:rFonts w:hint="default" w:ascii="Times New Roman" w:hAnsi="宋体" w:eastAsia="宋体" w:cs="Times New Roman"/>
                <w:color w:val="000000"/>
                <w:kern w:val="2"/>
                <w:sz w:val="24"/>
                <w:szCs w:val="24"/>
                <w:bdr w:val="none" w:color="auto" w:sz="0" w:space="0"/>
                <w:lang w:val="en-US" w:eastAsia="zh-CN" w:bidi="ar"/>
              </w:rPr>
              <w:t>Leq dB</w:t>
            </w:r>
            <w:r>
              <w:rPr>
                <w:rFonts w:hint="eastAsia" w:ascii="Times New Roman" w:hAnsi="宋体" w:eastAsia="宋体" w:cs="宋体"/>
                <w:color w:val="000000"/>
                <w:kern w:val="2"/>
                <w:sz w:val="24"/>
                <w:szCs w:val="24"/>
                <w:bdr w:val="none" w:color="auto" w:sz="0" w:space="0"/>
                <w:lang w:val="en-US" w:eastAsia="zh-CN" w:bidi="ar"/>
              </w:rPr>
              <w:t>（</w:t>
            </w:r>
            <w:r>
              <w:rPr>
                <w:rFonts w:hint="default" w:ascii="Times New Roman" w:hAnsi="宋体" w:eastAsia="宋体" w:cs="Times New Roman"/>
                <w:color w:val="000000"/>
                <w:kern w:val="2"/>
                <w:sz w:val="24"/>
                <w:szCs w:val="24"/>
                <w:bdr w:val="none" w:color="auto" w:sz="0" w:space="0"/>
                <w:lang w:val="en-US" w:eastAsia="zh-CN" w:bidi="ar"/>
              </w:rPr>
              <w:t>A</w:t>
            </w:r>
            <w:r>
              <w:rPr>
                <w:rFonts w:hint="eastAsia" w:ascii="Times New Roman" w:hAnsi="宋体" w:eastAsia="宋体" w:cs="宋体"/>
                <w:color w:val="000000"/>
                <w:kern w:val="2"/>
                <w:sz w:val="24"/>
                <w:szCs w:val="24"/>
                <w:bdr w:val="none" w:color="auto" w:sz="0" w:space="0"/>
                <w:lang w:val="en-US" w:eastAsia="zh-CN" w:bidi="ar"/>
              </w:rPr>
              <w:t>）</w:t>
            </w:r>
          </w:p>
          <w:tbl>
            <w:tblPr>
              <w:tblStyle w:val="18"/>
              <w:tblW w:w="7980" w:type="dxa"/>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tblLayout w:type="fixed"/>
              <w:tblCellMar>
                <w:top w:w="0" w:type="dxa"/>
                <w:left w:w="108" w:type="dxa"/>
                <w:bottom w:w="0" w:type="dxa"/>
                <w:right w:w="108" w:type="dxa"/>
              </w:tblCellMar>
            </w:tblPr>
            <w:tblGrid>
              <w:gridCol w:w="2113"/>
              <w:gridCol w:w="1273"/>
              <w:gridCol w:w="1054"/>
              <w:gridCol w:w="991"/>
              <w:gridCol w:w="1477"/>
              <w:gridCol w:w="1069"/>
            </w:tblGrid>
            <w:tr w14:paraId="032C6C0F">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tblCellMar>
                  <w:top w:w="0" w:type="dxa"/>
                  <w:left w:w="108" w:type="dxa"/>
                  <w:bottom w:w="0" w:type="dxa"/>
                  <w:right w:w="108" w:type="dxa"/>
                </w:tblCellMar>
              </w:tblPrEx>
              <w:trPr>
                <w:jc w:val="center"/>
              </w:trPr>
              <w:tc>
                <w:tcPr>
                  <w:tcW w:w="1324" w:type="pct"/>
                  <w:vMerge w:val="restart"/>
                  <w:tcBorders>
                    <w:top w:val="single" w:color="auto" w:sz="12" w:space="0"/>
                    <w:left w:val="nil"/>
                    <w:bottom w:val="single" w:color="auto" w:sz="6" w:space="0"/>
                    <w:right w:val="single" w:color="auto" w:sz="6" w:space="0"/>
                  </w:tcBorders>
                  <w:shd w:val="clear"/>
                  <w:vAlign w:val="center"/>
                </w:tcPr>
                <w:p w14:paraId="0B596A7A">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bCs/>
                      <w:color w:val="000000"/>
                      <w:kern w:val="0"/>
                      <w:szCs w:val="21"/>
                      <w:bdr w:val="none" w:color="auto" w:sz="0" w:space="0"/>
                      <w:lang w:val="en-US"/>
                    </w:rPr>
                  </w:pPr>
                  <w:r>
                    <w:rPr>
                      <w:rFonts w:hint="eastAsia" w:ascii="Times New Roman" w:hAnsi="Times New Roman" w:eastAsia="宋体" w:cs="宋体"/>
                      <w:bCs/>
                      <w:color w:val="000000"/>
                      <w:kern w:val="0"/>
                      <w:sz w:val="21"/>
                      <w:szCs w:val="21"/>
                      <w:bdr w:val="none" w:color="auto" w:sz="0" w:space="0"/>
                      <w:lang w:val="en-US" w:eastAsia="zh-CN" w:bidi="ar"/>
                    </w:rPr>
                    <w:t>监测位置</w:t>
                  </w:r>
                </w:p>
              </w:tc>
              <w:tc>
                <w:tcPr>
                  <w:tcW w:w="798" w:type="pct"/>
                  <w:vMerge w:val="restart"/>
                  <w:tcBorders>
                    <w:top w:val="single" w:color="auto" w:sz="12" w:space="0"/>
                    <w:left w:val="single" w:color="auto" w:sz="6" w:space="0"/>
                    <w:bottom w:val="single" w:color="auto" w:sz="6" w:space="0"/>
                    <w:right w:val="single" w:color="auto" w:sz="6" w:space="0"/>
                  </w:tcBorders>
                  <w:shd w:val="clear"/>
                  <w:vAlign w:val="center"/>
                </w:tcPr>
                <w:p w14:paraId="21E82BCF">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bCs/>
                      <w:color w:val="000000"/>
                      <w:kern w:val="0"/>
                      <w:szCs w:val="21"/>
                      <w:bdr w:val="none" w:color="auto" w:sz="0" w:space="0"/>
                      <w:lang w:val="en-US"/>
                    </w:rPr>
                  </w:pPr>
                  <w:r>
                    <w:rPr>
                      <w:rFonts w:hint="eastAsia" w:ascii="Times New Roman" w:hAnsi="Times New Roman" w:eastAsia="宋体" w:cs="宋体"/>
                      <w:bCs/>
                      <w:color w:val="000000"/>
                      <w:kern w:val="0"/>
                      <w:sz w:val="21"/>
                      <w:szCs w:val="21"/>
                      <w:bdr w:val="none" w:color="auto" w:sz="0" w:space="0"/>
                      <w:lang w:val="en-US" w:eastAsia="zh-CN" w:bidi="ar"/>
                    </w:rPr>
                    <w:t>距厂界最近距离</w:t>
                  </w:r>
                </w:p>
              </w:tc>
              <w:tc>
                <w:tcPr>
                  <w:tcW w:w="1282" w:type="pct"/>
                  <w:gridSpan w:val="2"/>
                  <w:tcBorders>
                    <w:top w:val="single" w:color="auto" w:sz="12" w:space="0"/>
                    <w:left w:val="single" w:color="auto" w:sz="6" w:space="0"/>
                    <w:bottom w:val="single" w:color="auto" w:sz="6" w:space="0"/>
                    <w:right w:val="single" w:color="auto" w:sz="6" w:space="0"/>
                  </w:tcBorders>
                  <w:shd w:val="clear"/>
                  <w:vAlign w:val="center"/>
                </w:tcPr>
                <w:p w14:paraId="3A8BC444">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bCs/>
                      <w:color w:val="000000"/>
                      <w:kern w:val="0"/>
                      <w:szCs w:val="21"/>
                      <w:bdr w:val="none" w:color="auto" w:sz="0" w:space="0"/>
                      <w:lang w:val="en-US"/>
                    </w:rPr>
                  </w:pPr>
                  <w:r>
                    <w:rPr>
                      <w:rFonts w:hint="eastAsia" w:ascii="Times New Roman" w:hAnsi="Times New Roman" w:eastAsia="宋体" w:cs="宋体"/>
                      <w:bCs/>
                      <w:color w:val="000000"/>
                      <w:kern w:val="0"/>
                      <w:sz w:val="21"/>
                      <w:szCs w:val="21"/>
                      <w:bdr w:val="none" w:color="auto" w:sz="0" w:space="0"/>
                      <w:lang w:val="en-US" w:eastAsia="zh-CN" w:bidi="ar"/>
                    </w:rPr>
                    <w:t>监测结果</w:t>
                  </w:r>
                </w:p>
              </w:tc>
              <w:tc>
                <w:tcPr>
                  <w:tcW w:w="926" w:type="pct"/>
                  <w:vMerge w:val="restart"/>
                  <w:tcBorders>
                    <w:top w:val="single" w:color="auto" w:sz="12" w:space="0"/>
                    <w:left w:val="single" w:color="auto" w:sz="6" w:space="0"/>
                    <w:bottom w:val="single" w:color="auto" w:sz="6" w:space="0"/>
                    <w:right w:val="single" w:color="auto" w:sz="6" w:space="0"/>
                  </w:tcBorders>
                  <w:shd w:val="clear"/>
                  <w:vAlign w:val="center"/>
                </w:tcPr>
                <w:p w14:paraId="6854D552">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bCs/>
                      <w:color w:val="000000"/>
                      <w:kern w:val="0"/>
                      <w:szCs w:val="21"/>
                      <w:bdr w:val="none" w:color="auto" w:sz="0" w:space="0"/>
                      <w:lang w:val="en-US"/>
                    </w:rPr>
                  </w:pPr>
                  <w:r>
                    <w:rPr>
                      <w:rFonts w:hint="eastAsia" w:ascii="Times New Roman" w:hAnsi="Calibri" w:eastAsia="宋体" w:cs="宋体"/>
                      <w:bCs/>
                      <w:color w:val="000000"/>
                      <w:kern w:val="0"/>
                      <w:sz w:val="21"/>
                      <w:szCs w:val="21"/>
                      <w:bdr w:val="none" w:color="auto" w:sz="0" w:space="0"/>
                      <w:lang w:val="en-US" w:eastAsia="zh-CN" w:bidi="ar"/>
                    </w:rPr>
                    <w:t>标准限值</w:t>
                  </w:r>
                </w:p>
              </w:tc>
              <w:tc>
                <w:tcPr>
                  <w:tcW w:w="669" w:type="pct"/>
                  <w:vMerge w:val="restart"/>
                  <w:tcBorders>
                    <w:top w:val="single" w:color="auto" w:sz="12" w:space="0"/>
                    <w:left w:val="single" w:color="auto" w:sz="6" w:space="0"/>
                    <w:bottom w:val="single" w:color="auto" w:sz="6" w:space="0"/>
                    <w:right w:val="nil"/>
                  </w:tcBorders>
                  <w:shd w:val="clear"/>
                  <w:vAlign w:val="center"/>
                </w:tcPr>
                <w:p w14:paraId="45E83D65">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bCs/>
                      <w:color w:val="000000"/>
                      <w:kern w:val="0"/>
                      <w:szCs w:val="21"/>
                      <w:bdr w:val="none" w:color="auto" w:sz="0" w:space="0"/>
                      <w:lang w:val="en-US"/>
                    </w:rPr>
                  </w:pPr>
                  <w:r>
                    <w:rPr>
                      <w:rFonts w:hint="eastAsia" w:ascii="Times New Roman" w:hAnsi="Calibri" w:eastAsia="宋体" w:cs="宋体"/>
                      <w:bCs/>
                      <w:color w:val="000000"/>
                      <w:kern w:val="0"/>
                      <w:sz w:val="21"/>
                      <w:szCs w:val="21"/>
                      <w:bdr w:val="none" w:color="auto" w:sz="0" w:space="0"/>
                      <w:lang w:val="en-US" w:eastAsia="zh-CN" w:bidi="ar"/>
                    </w:rPr>
                    <w:t>达标情况</w:t>
                  </w:r>
                </w:p>
              </w:tc>
            </w:tr>
            <w:tr w14:paraId="7295FC67">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24" w:type="pct"/>
                  <w:vMerge w:val="continue"/>
                  <w:tcBorders>
                    <w:top w:val="single" w:color="auto" w:sz="12" w:space="0"/>
                    <w:left w:val="nil"/>
                    <w:bottom w:val="single" w:color="auto" w:sz="6" w:space="0"/>
                    <w:right w:val="single" w:color="auto" w:sz="6" w:space="0"/>
                  </w:tcBorders>
                  <w:shd w:val="clear"/>
                  <w:vAlign w:val="center"/>
                </w:tcPr>
                <w:p w14:paraId="71A8DD34">
                  <w:pPr>
                    <w:rPr>
                      <w:rFonts w:hint="default" w:ascii="Calibri" w:hAnsi="Calibri" w:cs="Calibri"/>
                      <w:sz w:val="20"/>
                      <w:szCs w:val="20"/>
                    </w:rPr>
                  </w:pPr>
                </w:p>
              </w:tc>
              <w:tc>
                <w:tcPr>
                  <w:tcW w:w="798" w:type="pct"/>
                  <w:vMerge w:val="continue"/>
                  <w:tcBorders>
                    <w:top w:val="single" w:color="auto" w:sz="12" w:space="0"/>
                    <w:left w:val="single" w:color="auto" w:sz="6" w:space="0"/>
                    <w:bottom w:val="single" w:color="auto" w:sz="6" w:space="0"/>
                    <w:right w:val="single" w:color="auto" w:sz="6" w:space="0"/>
                  </w:tcBorders>
                  <w:shd w:val="clear"/>
                  <w:vAlign w:val="center"/>
                </w:tcPr>
                <w:p w14:paraId="0E60F570">
                  <w:pPr>
                    <w:rPr>
                      <w:rFonts w:hint="default" w:ascii="Calibri" w:hAnsi="Calibri" w:cs="Calibri"/>
                      <w:sz w:val="20"/>
                      <w:szCs w:val="20"/>
                    </w:rPr>
                  </w:pPr>
                </w:p>
              </w:tc>
              <w:tc>
                <w:tcPr>
                  <w:tcW w:w="661" w:type="pct"/>
                  <w:tcBorders>
                    <w:top w:val="single" w:color="auto" w:sz="6" w:space="0"/>
                    <w:left w:val="single" w:color="auto" w:sz="6" w:space="0"/>
                    <w:bottom w:val="single" w:color="auto" w:sz="6" w:space="0"/>
                    <w:right w:val="single" w:color="auto" w:sz="6" w:space="0"/>
                  </w:tcBorders>
                  <w:shd w:val="clear"/>
                  <w:vAlign w:val="center"/>
                </w:tcPr>
                <w:p w14:paraId="2838653C">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bCs/>
                      <w:color w:val="000000"/>
                      <w:kern w:val="0"/>
                      <w:szCs w:val="21"/>
                      <w:bdr w:val="none" w:color="auto" w:sz="0" w:space="0"/>
                      <w:lang w:val="en-US"/>
                    </w:rPr>
                  </w:pPr>
                  <w:r>
                    <w:rPr>
                      <w:rFonts w:hint="eastAsia" w:ascii="Times New Roman" w:hAnsi="Times New Roman" w:eastAsia="宋体" w:cs="宋体"/>
                      <w:bCs/>
                      <w:color w:val="000000"/>
                      <w:kern w:val="0"/>
                      <w:sz w:val="21"/>
                      <w:szCs w:val="21"/>
                      <w:bdr w:val="none" w:color="auto" w:sz="0" w:space="0"/>
                      <w:lang w:val="en-US" w:eastAsia="zh-CN" w:bidi="ar"/>
                    </w:rPr>
                    <w:t>昼间</w:t>
                  </w:r>
                </w:p>
              </w:tc>
              <w:tc>
                <w:tcPr>
                  <w:tcW w:w="621" w:type="pct"/>
                  <w:tcBorders>
                    <w:top w:val="single" w:color="auto" w:sz="6" w:space="0"/>
                    <w:left w:val="single" w:color="auto" w:sz="6" w:space="0"/>
                    <w:bottom w:val="single" w:color="auto" w:sz="6" w:space="0"/>
                    <w:right w:val="single" w:color="auto" w:sz="6" w:space="0"/>
                  </w:tcBorders>
                  <w:shd w:val="clear"/>
                  <w:vAlign w:val="center"/>
                </w:tcPr>
                <w:p w14:paraId="4CDDE8F1">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bCs/>
                      <w:color w:val="000000"/>
                      <w:kern w:val="0"/>
                      <w:szCs w:val="21"/>
                      <w:bdr w:val="none" w:color="auto" w:sz="0" w:space="0"/>
                      <w:lang w:val="en-US"/>
                    </w:rPr>
                  </w:pPr>
                  <w:r>
                    <w:rPr>
                      <w:rFonts w:hint="eastAsia" w:ascii="Times New Roman" w:hAnsi="Calibri" w:eastAsia="宋体" w:cs="宋体"/>
                      <w:bCs/>
                      <w:color w:val="000000"/>
                      <w:kern w:val="0"/>
                      <w:sz w:val="21"/>
                      <w:szCs w:val="21"/>
                      <w:bdr w:val="none" w:color="auto" w:sz="0" w:space="0"/>
                      <w:lang w:val="en-US" w:eastAsia="zh-CN" w:bidi="ar"/>
                    </w:rPr>
                    <w:t>夜间</w:t>
                  </w:r>
                </w:p>
              </w:tc>
              <w:tc>
                <w:tcPr>
                  <w:tcW w:w="926" w:type="pct"/>
                  <w:vMerge w:val="continue"/>
                  <w:tcBorders>
                    <w:top w:val="single" w:color="auto" w:sz="12" w:space="0"/>
                    <w:left w:val="single" w:color="auto" w:sz="6" w:space="0"/>
                    <w:bottom w:val="single" w:color="auto" w:sz="6" w:space="0"/>
                    <w:right w:val="single" w:color="auto" w:sz="6" w:space="0"/>
                  </w:tcBorders>
                  <w:shd w:val="clear"/>
                  <w:vAlign w:val="center"/>
                </w:tcPr>
                <w:p w14:paraId="7D0F8EC3">
                  <w:pPr>
                    <w:rPr>
                      <w:rFonts w:hint="default" w:ascii="Calibri" w:hAnsi="Calibri" w:cs="Calibri"/>
                      <w:sz w:val="20"/>
                      <w:szCs w:val="20"/>
                    </w:rPr>
                  </w:pPr>
                </w:p>
              </w:tc>
              <w:tc>
                <w:tcPr>
                  <w:tcW w:w="669" w:type="pct"/>
                  <w:vMerge w:val="continue"/>
                  <w:tcBorders>
                    <w:top w:val="single" w:color="auto" w:sz="12" w:space="0"/>
                    <w:left w:val="single" w:color="auto" w:sz="6" w:space="0"/>
                    <w:bottom w:val="single" w:color="auto" w:sz="6" w:space="0"/>
                    <w:right w:val="nil"/>
                  </w:tcBorders>
                  <w:shd w:val="clear"/>
                  <w:vAlign w:val="center"/>
                </w:tcPr>
                <w:p w14:paraId="2BF49AFE">
                  <w:pPr>
                    <w:rPr>
                      <w:rFonts w:hint="default" w:ascii="Calibri" w:hAnsi="Calibri" w:cs="Calibri"/>
                      <w:sz w:val="20"/>
                      <w:szCs w:val="20"/>
                    </w:rPr>
                  </w:pPr>
                </w:p>
              </w:tc>
            </w:tr>
            <w:tr w14:paraId="184BC373">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24" w:type="pct"/>
                  <w:tcBorders>
                    <w:top w:val="single" w:color="auto" w:sz="6" w:space="0"/>
                    <w:left w:val="nil"/>
                    <w:bottom w:val="single" w:color="auto" w:sz="12" w:space="0"/>
                    <w:right w:val="single" w:color="auto" w:sz="6" w:space="0"/>
                  </w:tcBorders>
                  <w:shd w:val="clear"/>
                  <w:vAlign w:val="center"/>
                </w:tcPr>
                <w:p w14:paraId="6FF4A3EF">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厂界西北侧</w:t>
                  </w:r>
                  <w:r>
                    <w:rPr>
                      <w:rFonts w:hint="eastAsia" w:ascii="Times New Roman" w:hAnsi="Calibri" w:eastAsia="宋体" w:cs="宋体"/>
                      <w:color w:val="000000"/>
                      <w:kern w:val="2"/>
                      <w:sz w:val="21"/>
                      <w:szCs w:val="21"/>
                      <w:bdr w:val="none" w:color="auto" w:sz="0" w:space="0"/>
                      <w:lang w:val="en-US" w:eastAsia="zh-CN" w:bidi="ar"/>
                    </w:rPr>
                    <w:t>园区管委会和园区宿舍楼处</w:t>
                  </w:r>
                </w:p>
              </w:tc>
              <w:tc>
                <w:tcPr>
                  <w:tcW w:w="798" w:type="pct"/>
                  <w:tcBorders>
                    <w:top w:val="single" w:color="auto" w:sz="6" w:space="0"/>
                    <w:left w:val="single" w:color="auto" w:sz="6" w:space="0"/>
                    <w:bottom w:val="single" w:color="auto" w:sz="12" w:space="0"/>
                    <w:right w:val="single" w:color="auto" w:sz="6" w:space="0"/>
                  </w:tcBorders>
                  <w:shd w:val="clear"/>
                  <w:vAlign w:val="center"/>
                </w:tcPr>
                <w:p w14:paraId="14DFB4D2">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21m</w:t>
                  </w:r>
                </w:p>
              </w:tc>
              <w:tc>
                <w:tcPr>
                  <w:tcW w:w="661" w:type="pct"/>
                  <w:tcBorders>
                    <w:top w:val="single" w:color="auto" w:sz="6" w:space="0"/>
                    <w:left w:val="single" w:color="auto" w:sz="6" w:space="0"/>
                    <w:bottom w:val="single" w:color="auto" w:sz="12" w:space="0"/>
                    <w:right w:val="single" w:color="auto" w:sz="6" w:space="0"/>
                  </w:tcBorders>
                  <w:shd w:val="clear"/>
                  <w:vAlign w:val="center"/>
                </w:tcPr>
                <w:p w14:paraId="6A4E3ECD">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56</w:t>
                  </w:r>
                </w:p>
              </w:tc>
              <w:tc>
                <w:tcPr>
                  <w:tcW w:w="621" w:type="pct"/>
                  <w:tcBorders>
                    <w:top w:val="single" w:color="auto" w:sz="6" w:space="0"/>
                    <w:left w:val="single" w:color="auto" w:sz="6" w:space="0"/>
                    <w:bottom w:val="single" w:color="auto" w:sz="12" w:space="0"/>
                    <w:right w:val="single" w:color="auto" w:sz="6" w:space="0"/>
                  </w:tcBorders>
                  <w:shd w:val="clear"/>
                  <w:vAlign w:val="center"/>
                </w:tcPr>
                <w:p w14:paraId="44A3670F">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50</w:t>
                  </w:r>
                </w:p>
              </w:tc>
              <w:tc>
                <w:tcPr>
                  <w:tcW w:w="926" w:type="pct"/>
                  <w:tcBorders>
                    <w:top w:val="single" w:color="auto" w:sz="6" w:space="0"/>
                    <w:left w:val="single" w:color="auto" w:sz="6" w:space="0"/>
                    <w:bottom w:val="single" w:color="auto" w:sz="12" w:space="0"/>
                    <w:right w:val="single" w:color="auto" w:sz="6" w:space="0"/>
                  </w:tcBorders>
                  <w:shd w:val="clear"/>
                  <w:vAlign w:val="center"/>
                </w:tcPr>
                <w:p w14:paraId="71EA0BFC">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昼间：</w:t>
                  </w:r>
                  <w:r>
                    <w:rPr>
                      <w:rFonts w:hint="default" w:ascii="Times New Roman" w:hAnsi="Times New Roman" w:eastAsia="宋体" w:cs="Times New Roman"/>
                      <w:color w:val="000000"/>
                      <w:kern w:val="0"/>
                      <w:sz w:val="21"/>
                      <w:szCs w:val="21"/>
                      <w:bdr w:val="none" w:color="auto" w:sz="0" w:space="0"/>
                      <w:lang w:val="en-US" w:eastAsia="zh-CN" w:bidi="ar"/>
                    </w:rPr>
                    <w:t>65</w:t>
                  </w:r>
                </w:p>
                <w:p w14:paraId="5392E783">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夜间：</w:t>
                  </w:r>
                  <w:r>
                    <w:rPr>
                      <w:rFonts w:hint="default" w:ascii="Times New Roman" w:hAnsi="Times New Roman" w:eastAsia="宋体" w:cs="Times New Roman"/>
                      <w:color w:val="000000"/>
                      <w:kern w:val="0"/>
                      <w:sz w:val="21"/>
                      <w:szCs w:val="21"/>
                      <w:bdr w:val="none" w:color="auto" w:sz="0" w:space="0"/>
                      <w:lang w:val="en-US" w:eastAsia="zh-CN" w:bidi="ar"/>
                    </w:rPr>
                    <w:t>55</w:t>
                  </w:r>
                </w:p>
              </w:tc>
              <w:tc>
                <w:tcPr>
                  <w:tcW w:w="669" w:type="pct"/>
                  <w:tcBorders>
                    <w:top w:val="single" w:color="auto" w:sz="6" w:space="0"/>
                    <w:left w:val="single" w:color="auto" w:sz="6" w:space="0"/>
                    <w:bottom w:val="single" w:color="auto" w:sz="12" w:space="0"/>
                    <w:right w:val="nil"/>
                  </w:tcBorders>
                  <w:shd w:val="clear"/>
                  <w:vAlign w:val="center"/>
                </w:tcPr>
                <w:p w14:paraId="173AAE53">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达标</w:t>
                  </w:r>
                </w:p>
              </w:tc>
            </w:tr>
          </w:tbl>
          <w:p w14:paraId="3DE5823F">
            <w:pPr>
              <w:keepNext w:val="0"/>
              <w:keepLines w:val="0"/>
              <w:widowControl w:val="0"/>
              <w:suppressLineNumbers w:val="0"/>
              <w:autoSpaceDE w:val="0"/>
              <w:autoSpaceDN w:val="0"/>
              <w:adjustRightInd w:val="0"/>
              <w:spacing w:before="0" w:beforeAutospacing="0" w:after="0" w:afterAutospacing="0" w:line="460" w:lineRule="atLeast"/>
              <w:ind w:left="0" w:right="0" w:firstLine="480" w:firstLineChars="200"/>
              <w:jc w:val="left"/>
              <w:rPr>
                <w:snapToGrid w:val="0"/>
                <w:color w:val="000000"/>
                <w:kern w:val="0"/>
                <w:sz w:val="24"/>
                <w:szCs w:val="24"/>
                <w:bdr w:val="none" w:color="auto" w:sz="0" w:space="0"/>
                <w:lang w:val="en-US"/>
              </w:rPr>
            </w:pPr>
            <w:r>
              <w:rPr>
                <w:rFonts w:hint="eastAsia" w:ascii="Calibri" w:hAnsi="Calibri" w:eastAsia="宋体" w:cs="宋体"/>
                <w:color w:val="000000"/>
                <w:kern w:val="2"/>
                <w:sz w:val="24"/>
                <w:szCs w:val="24"/>
                <w:bdr w:val="none" w:color="auto" w:sz="0" w:space="0"/>
                <w:lang w:val="en-US" w:eastAsia="zh-CN" w:bidi="ar"/>
              </w:rPr>
              <w:t>监测统计结果表明，西北侧</w:t>
            </w:r>
            <w:r>
              <w:rPr>
                <w:rFonts w:hint="eastAsia" w:ascii="Calibri" w:hAnsi="Calibri" w:eastAsia="宋体" w:cs="宋体"/>
                <w:snapToGrid w:val="0"/>
                <w:color w:val="000000"/>
                <w:kern w:val="0"/>
                <w:sz w:val="24"/>
                <w:szCs w:val="24"/>
                <w:bdr w:val="none" w:color="auto" w:sz="0" w:space="0"/>
                <w:lang w:val="en-US" w:eastAsia="zh-CN" w:bidi="ar"/>
              </w:rPr>
              <w:t>声环境保护目标处声环境质量现状昼间、夜间监测值满</w:t>
            </w:r>
            <w:r>
              <w:rPr>
                <w:rFonts w:hint="eastAsia" w:ascii="Times New Roman" w:hAnsi="Calibri" w:eastAsia="宋体" w:cs="宋体"/>
                <w:snapToGrid w:val="0"/>
                <w:color w:val="000000"/>
                <w:kern w:val="0"/>
                <w:sz w:val="24"/>
                <w:szCs w:val="24"/>
                <w:bdr w:val="none" w:color="auto" w:sz="0" w:space="0"/>
                <w:lang w:val="en-US" w:eastAsia="zh-CN" w:bidi="ar"/>
              </w:rPr>
              <w:t>足《声环境质量标准》</w:t>
            </w:r>
            <w:r>
              <w:rPr>
                <w:rFonts w:hint="default" w:ascii="Times New Roman" w:hAnsi="Times New Roman" w:eastAsia="宋体" w:cs="Times New Roman"/>
                <w:snapToGrid w:val="0"/>
                <w:color w:val="000000"/>
                <w:kern w:val="0"/>
                <w:sz w:val="24"/>
                <w:szCs w:val="24"/>
                <w:bdr w:val="none" w:color="auto" w:sz="0" w:space="0"/>
                <w:lang w:val="en-US" w:eastAsia="zh-CN" w:bidi="ar"/>
              </w:rPr>
              <w:t>(GB3096</w:t>
            </w:r>
            <w:r>
              <w:rPr>
                <w:rFonts w:hint="eastAsia" w:ascii="Times New Roman" w:hAnsi="Calibri" w:eastAsia="宋体" w:cs="宋体"/>
                <w:snapToGrid w:val="0"/>
                <w:color w:val="000000"/>
                <w:kern w:val="0"/>
                <w:sz w:val="24"/>
                <w:szCs w:val="24"/>
                <w:bdr w:val="none" w:color="auto" w:sz="0" w:space="0"/>
                <w:lang w:val="en-US" w:eastAsia="zh-CN" w:bidi="ar"/>
              </w:rPr>
              <w:t>－</w:t>
            </w:r>
            <w:r>
              <w:rPr>
                <w:rFonts w:hint="default" w:ascii="Times New Roman" w:hAnsi="Times New Roman" w:eastAsia="宋体" w:cs="Times New Roman"/>
                <w:snapToGrid w:val="0"/>
                <w:color w:val="000000"/>
                <w:kern w:val="0"/>
                <w:sz w:val="24"/>
                <w:szCs w:val="24"/>
                <w:bdr w:val="none" w:color="auto" w:sz="0" w:space="0"/>
                <w:lang w:val="en-US" w:eastAsia="zh-CN" w:bidi="ar"/>
              </w:rPr>
              <w:t>2008)</w:t>
            </w:r>
            <w:r>
              <w:rPr>
                <w:rFonts w:hint="eastAsia" w:ascii="Times New Roman" w:hAnsi="Times New Roman" w:eastAsia="宋体" w:cs="宋体"/>
                <w:snapToGrid w:val="0"/>
                <w:color w:val="000000"/>
                <w:kern w:val="0"/>
                <w:sz w:val="24"/>
                <w:szCs w:val="24"/>
                <w:bdr w:val="none" w:color="auto" w:sz="0" w:space="0"/>
                <w:lang w:val="en-US" w:eastAsia="zh-CN" w:bidi="ar"/>
              </w:rPr>
              <w:t>中</w:t>
            </w:r>
            <w:r>
              <w:rPr>
                <w:rFonts w:hint="default" w:ascii="Times New Roman" w:hAnsi="Times New Roman" w:eastAsia="宋体" w:cs="Times New Roman"/>
                <w:snapToGrid w:val="0"/>
                <w:color w:val="000000"/>
                <w:kern w:val="0"/>
                <w:sz w:val="24"/>
                <w:szCs w:val="24"/>
                <w:bdr w:val="none" w:color="auto" w:sz="0" w:space="0"/>
                <w:lang w:val="en-US" w:eastAsia="zh-CN" w:bidi="ar"/>
              </w:rPr>
              <w:t>3</w:t>
            </w:r>
            <w:r>
              <w:rPr>
                <w:rFonts w:hint="eastAsia" w:ascii="Times New Roman" w:hAnsi="Calibri" w:eastAsia="宋体" w:cs="宋体"/>
                <w:snapToGrid w:val="0"/>
                <w:color w:val="000000"/>
                <w:kern w:val="0"/>
                <w:sz w:val="24"/>
                <w:szCs w:val="24"/>
                <w:bdr w:val="none" w:color="auto" w:sz="0" w:space="0"/>
                <w:lang w:val="en-US" w:eastAsia="zh-CN" w:bidi="ar"/>
              </w:rPr>
              <w:t>类标准要求</w:t>
            </w:r>
            <w:r>
              <w:rPr>
                <w:rFonts w:hint="eastAsia" w:ascii="Times New Roman" w:hAnsi="Calibri" w:eastAsia="宋体" w:cs="宋体"/>
                <w:color w:val="000000"/>
                <w:kern w:val="2"/>
                <w:sz w:val="24"/>
                <w:szCs w:val="24"/>
                <w:bdr w:val="none" w:color="auto" w:sz="0" w:space="0"/>
                <w:lang w:val="en-US" w:eastAsia="zh-CN" w:bidi="ar"/>
              </w:rPr>
              <w:t>。</w:t>
            </w:r>
          </w:p>
          <w:p w14:paraId="4FDF6EA3">
            <w:pPr>
              <w:keepNext w:val="0"/>
              <w:keepLines w:val="0"/>
              <w:widowControl w:val="0"/>
              <w:suppressLineNumbers w:val="0"/>
              <w:spacing w:before="0" w:beforeAutospacing="0" w:after="0" w:afterAutospacing="0" w:line="440" w:lineRule="exact"/>
              <w:ind w:left="0" w:right="0"/>
              <w:jc w:val="both"/>
              <w:outlineLvl w:val="1"/>
              <w:rPr>
                <w:rFonts w:hint="default" w:ascii="Times New Roman" w:hAnsi="Times New Roman" w:cs="Times New Roman"/>
                <w:b/>
                <w:bCs w:val="0"/>
                <w:color w:val="000000"/>
                <w:kern w:val="0"/>
                <w:sz w:val="24"/>
                <w:szCs w:val="24"/>
                <w:bdr w:val="none" w:color="auto" w:sz="0" w:space="0"/>
                <w:lang w:val="en-US"/>
              </w:rPr>
            </w:pPr>
            <w:r>
              <w:rPr>
                <w:rFonts w:hint="default" w:ascii="Times New Roman" w:hAnsi="Times New Roman" w:eastAsia="宋体" w:cs="Times New Roman"/>
                <w:b/>
                <w:bCs w:val="0"/>
                <w:color w:val="000000"/>
                <w:kern w:val="0"/>
                <w:sz w:val="24"/>
                <w:szCs w:val="24"/>
                <w:bdr w:val="none" w:color="auto" w:sz="0" w:space="0"/>
                <w:lang w:val="en-US" w:eastAsia="zh-CN" w:bidi="ar"/>
              </w:rPr>
              <w:t>3.4</w:t>
            </w:r>
            <w:r>
              <w:rPr>
                <w:rFonts w:hint="eastAsia" w:ascii="Times New Roman" w:hAnsi="Times New Roman" w:eastAsia="宋体" w:cs="宋体"/>
                <w:b/>
                <w:bCs w:val="0"/>
                <w:color w:val="000000"/>
                <w:kern w:val="0"/>
                <w:sz w:val="24"/>
                <w:szCs w:val="24"/>
                <w:bdr w:val="none" w:color="auto" w:sz="0" w:space="0"/>
                <w:lang w:val="en-US" w:eastAsia="zh-CN" w:bidi="ar"/>
              </w:rPr>
              <w:t>地下水、土壤环境质量现状</w:t>
            </w:r>
          </w:p>
          <w:p w14:paraId="66544701">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kern w:val="0"/>
                <w:sz w:val="24"/>
                <w:szCs w:val="24"/>
                <w:bdr w:val="none" w:color="auto" w:sz="0" w:space="0"/>
                <w:lang w:val="en-US"/>
              </w:rPr>
            </w:pPr>
            <w:r>
              <w:rPr>
                <w:rFonts w:hint="eastAsia" w:ascii="Times New Roman" w:hAnsi="Times New Roman" w:eastAsia="宋体" w:cs="宋体"/>
                <w:color w:val="000000"/>
                <w:kern w:val="0"/>
                <w:sz w:val="24"/>
                <w:szCs w:val="24"/>
                <w:bdr w:val="none" w:color="auto" w:sz="0" w:space="0"/>
                <w:lang w:val="en-US" w:eastAsia="zh-CN" w:bidi="ar"/>
              </w:rPr>
              <w:t>根据《建设项目环境影响报告表编制技术指南（污染影响类）（试行）》相关规定：地下水、土壤环境原则上不开展环境质量现状调查。建设项目存在土壤、地下水环境污染途径的，应结合污染源、保护目标分布情况开展现状调查以留作背景值。</w:t>
            </w:r>
          </w:p>
          <w:p w14:paraId="62AA2CBF">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kern w:val="0"/>
                <w:sz w:val="24"/>
                <w:szCs w:val="24"/>
                <w:bdr w:val="none" w:color="auto" w:sz="0" w:space="0"/>
                <w:lang w:val="en-US"/>
              </w:rPr>
            </w:pPr>
            <w:r>
              <w:rPr>
                <w:rFonts w:hint="eastAsia" w:ascii="Times New Roman" w:hAnsi="Times New Roman" w:eastAsia="宋体" w:cs="宋体"/>
                <w:color w:val="000000"/>
                <w:kern w:val="0"/>
                <w:sz w:val="24"/>
                <w:szCs w:val="24"/>
                <w:bdr w:val="none" w:color="auto" w:sz="0" w:space="0"/>
                <w:lang w:val="en-US" w:eastAsia="zh-CN" w:bidi="ar"/>
              </w:rPr>
              <w:t>由于扩建项目不存在土壤、地下水环境污染途径，因此，本次评价不开展土壤和地下水调查。</w:t>
            </w:r>
          </w:p>
          <w:p w14:paraId="57E8473D">
            <w:pPr>
              <w:keepNext w:val="0"/>
              <w:keepLines w:val="0"/>
              <w:widowControl w:val="0"/>
              <w:suppressLineNumbers w:val="0"/>
              <w:spacing w:before="0" w:beforeAutospacing="0" w:after="0" w:afterAutospacing="0" w:line="440" w:lineRule="exact"/>
              <w:ind w:left="0" w:right="0"/>
              <w:jc w:val="both"/>
              <w:outlineLvl w:val="1"/>
              <w:rPr>
                <w:rFonts w:hint="default" w:ascii="Times New Roman" w:hAnsi="Times New Roman" w:cs="Times New Roman"/>
                <w:b/>
                <w:bCs w:val="0"/>
                <w:color w:val="000000"/>
                <w:kern w:val="0"/>
                <w:sz w:val="24"/>
                <w:szCs w:val="24"/>
                <w:bdr w:val="none" w:color="auto" w:sz="0" w:space="0"/>
                <w:lang w:val="en-US"/>
              </w:rPr>
            </w:pPr>
            <w:r>
              <w:rPr>
                <w:rFonts w:hint="default" w:ascii="Times New Roman" w:hAnsi="Times New Roman" w:eastAsia="宋体" w:cs="Times New Roman"/>
                <w:b/>
                <w:bCs w:val="0"/>
                <w:color w:val="000000"/>
                <w:kern w:val="0"/>
                <w:sz w:val="24"/>
                <w:szCs w:val="24"/>
                <w:bdr w:val="none" w:color="auto" w:sz="0" w:space="0"/>
                <w:lang w:val="en-US" w:eastAsia="zh-CN" w:bidi="ar"/>
              </w:rPr>
              <w:t>3.5</w:t>
            </w:r>
            <w:r>
              <w:rPr>
                <w:rFonts w:hint="eastAsia" w:ascii="Times New Roman" w:hAnsi="Times New Roman" w:eastAsia="宋体" w:cs="宋体"/>
                <w:b/>
                <w:bCs w:val="0"/>
                <w:color w:val="000000"/>
                <w:kern w:val="0"/>
                <w:sz w:val="24"/>
                <w:szCs w:val="24"/>
                <w:bdr w:val="none" w:color="auto" w:sz="0" w:space="0"/>
                <w:lang w:val="en-US" w:eastAsia="zh-CN" w:bidi="ar"/>
              </w:rPr>
              <w:t>生态环境质量现状</w:t>
            </w:r>
          </w:p>
          <w:p w14:paraId="7967ED97">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kern w:val="0"/>
                <w:sz w:val="24"/>
                <w:szCs w:val="24"/>
                <w:bdr w:val="none" w:color="auto" w:sz="0" w:space="0"/>
                <w:lang w:val="en-US"/>
              </w:rPr>
            </w:pPr>
            <w:r>
              <w:rPr>
                <w:rFonts w:hint="eastAsia" w:ascii="Times New Roman" w:hAnsi="Times New Roman" w:eastAsia="宋体" w:cs="宋体"/>
                <w:color w:val="000000"/>
                <w:kern w:val="0"/>
                <w:sz w:val="24"/>
                <w:szCs w:val="24"/>
                <w:bdr w:val="none" w:color="auto" w:sz="0" w:space="0"/>
                <w:lang w:val="en-US" w:eastAsia="zh-CN" w:bidi="ar"/>
              </w:rPr>
              <w:t>扩建项目所在地为规划的工业用地，周围生态环境简单，不属于生态敏感与脆弱区，区内无珍稀动植物、文物保护单位、饮用水源保护点、自然保护区、风景名胜区、生态功能保护区及水土流失重点防治区等，且不涉及生态红线。</w:t>
            </w:r>
          </w:p>
        </w:tc>
      </w:tr>
      <w:tr w14:paraId="309B2F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9" w:hRule="atLeast"/>
          <w:jc w:val="center"/>
        </w:trPr>
        <w:tc>
          <w:tcPr>
            <w:tcW w:w="800" w:type="dxa"/>
            <w:tcBorders>
              <w:top w:val="single" w:color="auto" w:sz="4" w:space="0"/>
              <w:left w:val="single" w:color="auto" w:sz="8" w:space="0"/>
              <w:bottom w:val="single" w:color="auto" w:sz="4" w:space="0"/>
              <w:right w:val="single" w:color="auto" w:sz="4" w:space="0"/>
            </w:tcBorders>
            <w:shd w:val="clear"/>
            <w:vAlign w:val="center"/>
          </w:tcPr>
          <w:p w14:paraId="23DF43C7">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kern w:val="0"/>
                <w:sz w:val="24"/>
                <w:szCs w:val="24"/>
                <w:bdr w:val="none" w:color="auto" w:sz="0" w:space="0"/>
                <w:lang w:val="en-US"/>
              </w:rPr>
            </w:pPr>
            <w:r>
              <w:rPr>
                <w:rFonts w:hint="eastAsia" w:ascii="宋体" w:hAnsi="宋体" w:eastAsia="宋体" w:cs="宋体"/>
                <w:color w:val="000000"/>
                <w:kern w:val="0"/>
                <w:sz w:val="24"/>
                <w:szCs w:val="24"/>
                <w:bdr w:val="none" w:color="auto" w:sz="0" w:space="0"/>
                <w:lang w:val="en-US" w:eastAsia="zh-CN" w:bidi="ar"/>
              </w:rPr>
              <w:t>环境</w:t>
            </w:r>
          </w:p>
          <w:p w14:paraId="6169E378">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kern w:val="0"/>
                <w:sz w:val="24"/>
                <w:szCs w:val="24"/>
                <w:bdr w:val="none" w:color="auto" w:sz="0" w:space="0"/>
                <w:lang w:val="en-US"/>
              </w:rPr>
            </w:pPr>
            <w:r>
              <w:rPr>
                <w:rFonts w:hint="eastAsia" w:ascii="宋体" w:hAnsi="宋体" w:eastAsia="宋体" w:cs="宋体"/>
                <w:color w:val="000000"/>
                <w:kern w:val="0"/>
                <w:sz w:val="24"/>
                <w:szCs w:val="24"/>
                <w:bdr w:val="none" w:color="auto" w:sz="0" w:space="0"/>
                <w:lang w:val="en-US" w:eastAsia="zh-CN" w:bidi="ar"/>
              </w:rPr>
              <w:t>保护</w:t>
            </w:r>
          </w:p>
          <w:p w14:paraId="2A4E6613">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kern w:val="0"/>
                <w:szCs w:val="21"/>
                <w:bdr w:val="none" w:color="auto" w:sz="0" w:space="0"/>
                <w:lang w:val="en-US"/>
              </w:rPr>
            </w:pPr>
            <w:r>
              <w:rPr>
                <w:rFonts w:hint="eastAsia" w:ascii="宋体" w:hAnsi="宋体" w:eastAsia="宋体" w:cs="宋体"/>
                <w:color w:val="000000"/>
                <w:kern w:val="0"/>
                <w:sz w:val="24"/>
                <w:szCs w:val="24"/>
                <w:bdr w:val="none" w:color="auto" w:sz="0" w:space="0"/>
                <w:lang w:val="en-US" w:eastAsia="zh-CN" w:bidi="ar"/>
              </w:rPr>
              <w:t>目标</w:t>
            </w:r>
          </w:p>
        </w:tc>
        <w:tc>
          <w:tcPr>
            <w:tcW w:w="8190" w:type="dxa"/>
            <w:tcBorders>
              <w:top w:val="single" w:color="auto" w:sz="4" w:space="0"/>
              <w:left w:val="single" w:color="auto" w:sz="4" w:space="0"/>
              <w:bottom w:val="single" w:color="auto" w:sz="4" w:space="0"/>
              <w:right w:val="single" w:color="auto" w:sz="8" w:space="0"/>
            </w:tcBorders>
            <w:shd w:val="clear"/>
            <w:vAlign w:val="center"/>
          </w:tcPr>
          <w:p w14:paraId="73813501">
            <w:pPr>
              <w:keepNext w:val="0"/>
              <w:keepLines w:val="0"/>
              <w:widowControl w:val="0"/>
              <w:suppressLineNumbers w:val="0"/>
              <w:spacing w:before="0" w:beforeAutospacing="0" w:after="0" w:afterAutospacing="0" w:line="440" w:lineRule="exact"/>
              <w:ind w:left="0" w:right="0"/>
              <w:jc w:val="both"/>
              <w:outlineLvl w:val="1"/>
              <w:rPr>
                <w:rFonts w:hint="default" w:ascii="Times New Roman" w:hAnsi="Times New Roman" w:cs="Times New Roman"/>
                <w:b/>
                <w:bCs w:val="0"/>
                <w:color w:val="000000"/>
                <w:kern w:val="0"/>
                <w:sz w:val="24"/>
                <w:szCs w:val="24"/>
                <w:bdr w:val="none" w:color="auto" w:sz="0" w:space="0"/>
                <w:lang w:val="en-US"/>
              </w:rPr>
            </w:pPr>
            <w:r>
              <w:rPr>
                <w:rFonts w:hint="default" w:ascii="Times New Roman" w:hAnsi="Times New Roman" w:eastAsia="宋体" w:cs="Times New Roman"/>
                <w:b/>
                <w:bCs w:val="0"/>
                <w:color w:val="000000"/>
                <w:kern w:val="0"/>
                <w:sz w:val="24"/>
                <w:szCs w:val="24"/>
                <w:bdr w:val="none" w:color="auto" w:sz="0" w:space="0"/>
                <w:lang w:val="en-US" w:eastAsia="zh-CN" w:bidi="ar"/>
              </w:rPr>
              <w:t xml:space="preserve">3.6 </w:t>
            </w:r>
            <w:r>
              <w:rPr>
                <w:rFonts w:hint="eastAsia" w:ascii="Times New Roman" w:hAnsi="Times New Roman" w:eastAsia="宋体" w:cs="宋体"/>
                <w:b/>
                <w:bCs w:val="0"/>
                <w:color w:val="000000"/>
                <w:kern w:val="0"/>
                <w:sz w:val="24"/>
                <w:szCs w:val="24"/>
                <w:bdr w:val="none" w:color="auto" w:sz="0" w:space="0"/>
                <w:lang w:val="en-US" w:eastAsia="zh-CN" w:bidi="ar"/>
              </w:rPr>
              <w:t>环境保护目标</w:t>
            </w:r>
          </w:p>
          <w:p w14:paraId="2F74F5A3">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Times New Roman" w:cs="Times New Roman"/>
                <w:b/>
                <w:bCs w:val="0"/>
                <w:color w:val="000000"/>
                <w:kern w:val="0"/>
                <w:sz w:val="24"/>
                <w:szCs w:val="24"/>
                <w:bdr w:val="none" w:color="auto" w:sz="0" w:space="0"/>
                <w:lang w:val="en-US"/>
              </w:rPr>
            </w:pPr>
            <w:r>
              <w:rPr>
                <w:rFonts w:hint="default" w:ascii="Times New Roman" w:hAnsi="Times New Roman" w:eastAsia="宋体" w:cs="Times New Roman"/>
                <w:b/>
                <w:bCs w:val="0"/>
                <w:color w:val="000000"/>
                <w:kern w:val="0"/>
                <w:sz w:val="24"/>
                <w:szCs w:val="24"/>
                <w:bdr w:val="none" w:color="auto" w:sz="0" w:space="0"/>
                <w:lang w:val="en-US" w:eastAsia="zh-CN" w:bidi="ar"/>
              </w:rPr>
              <w:t>3.6.1</w:t>
            </w:r>
            <w:r>
              <w:rPr>
                <w:rFonts w:hint="eastAsia" w:ascii="Times New Roman" w:hAnsi="Times New Roman" w:eastAsia="宋体" w:cs="宋体"/>
                <w:b/>
                <w:bCs w:val="0"/>
                <w:color w:val="000000"/>
                <w:kern w:val="0"/>
                <w:sz w:val="24"/>
                <w:szCs w:val="24"/>
                <w:bdr w:val="none" w:color="auto" w:sz="0" w:space="0"/>
                <w:lang w:val="en-US" w:eastAsia="zh-CN" w:bidi="ar"/>
              </w:rPr>
              <w:t>大气环境保护目标</w:t>
            </w:r>
          </w:p>
          <w:p w14:paraId="78E9D517">
            <w:pPr>
              <w:keepNext w:val="0"/>
              <w:keepLines w:val="0"/>
              <w:widowControl w:val="0"/>
              <w:suppressLineNumbers w:val="0"/>
              <w:spacing w:before="0" w:beforeAutospacing="0" w:after="0" w:afterAutospacing="0" w:line="440" w:lineRule="exact"/>
              <w:ind w:left="0" w:right="0" w:firstLine="482"/>
              <w:jc w:val="both"/>
              <w:rPr>
                <w:rFonts w:hint="default" w:ascii="Times New Roman" w:hAnsi="Times New Roman" w:cs="Times New Roman"/>
                <w:color w:val="000000"/>
                <w:kern w:val="0"/>
                <w:sz w:val="24"/>
                <w:szCs w:val="24"/>
                <w:bdr w:val="none" w:color="auto" w:sz="0" w:space="0"/>
                <w:lang w:val="en-US"/>
              </w:rPr>
            </w:pPr>
            <w:r>
              <w:rPr>
                <w:rFonts w:hint="eastAsia" w:ascii="Times New Roman" w:hAnsi="Times New Roman" w:eastAsia="宋体" w:cs="宋体"/>
                <w:color w:val="000000"/>
                <w:kern w:val="0"/>
                <w:sz w:val="24"/>
                <w:szCs w:val="24"/>
                <w:bdr w:val="none" w:color="auto" w:sz="0" w:space="0"/>
                <w:lang w:val="en-US" w:eastAsia="zh-CN" w:bidi="ar"/>
              </w:rPr>
              <w:t>扩建项目厂界外</w:t>
            </w:r>
            <w:r>
              <w:rPr>
                <w:rFonts w:hint="default" w:ascii="Times New Roman" w:hAnsi="Times New Roman" w:eastAsia="宋体" w:cs="Times New Roman"/>
                <w:color w:val="000000"/>
                <w:kern w:val="0"/>
                <w:sz w:val="24"/>
                <w:szCs w:val="24"/>
                <w:bdr w:val="none" w:color="auto" w:sz="0" w:space="0"/>
                <w:lang w:val="en-US" w:eastAsia="zh-CN" w:bidi="ar"/>
              </w:rPr>
              <w:t>500m</w:t>
            </w:r>
            <w:r>
              <w:rPr>
                <w:rFonts w:hint="eastAsia" w:ascii="Times New Roman" w:hAnsi="Times New Roman" w:eastAsia="宋体" w:cs="宋体"/>
                <w:color w:val="000000"/>
                <w:kern w:val="0"/>
                <w:sz w:val="24"/>
                <w:szCs w:val="24"/>
                <w:bdr w:val="none" w:color="auto" w:sz="0" w:space="0"/>
                <w:lang w:val="en-US" w:eastAsia="zh-CN" w:bidi="ar"/>
              </w:rPr>
              <w:t>范围内无自然保护区、风景名胜区、文化区等保护目标。</w:t>
            </w:r>
            <w:r>
              <w:rPr>
                <w:rFonts w:hint="default" w:ascii="Times New Roman" w:hAnsi="Times New Roman" w:eastAsia="宋体" w:cs="Times New Roman"/>
                <w:color w:val="000000"/>
                <w:kern w:val="0"/>
                <w:sz w:val="24"/>
                <w:szCs w:val="24"/>
                <w:bdr w:val="none" w:color="auto" w:sz="0" w:space="0"/>
                <w:lang w:val="en-US" w:eastAsia="zh-CN" w:bidi="ar"/>
              </w:rPr>
              <w:t>500m</w:t>
            </w:r>
            <w:r>
              <w:rPr>
                <w:rFonts w:hint="eastAsia" w:ascii="Times New Roman" w:hAnsi="Times New Roman" w:eastAsia="宋体" w:cs="宋体"/>
                <w:color w:val="000000"/>
                <w:kern w:val="0"/>
                <w:sz w:val="24"/>
                <w:szCs w:val="24"/>
                <w:bdr w:val="none" w:color="auto" w:sz="0" w:space="0"/>
                <w:lang w:val="en-US" w:eastAsia="zh-CN" w:bidi="ar"/>
              </w:rPr>
              <w:t>范围内存在环境保护目标，大气环境保护目标见表</w:t>
            </w:r>
            <w:r>
              <w:rPr>
                <w:rFonts w:hint="default" w:ascii="Times New Roman" w:hAnsi="Times New Roman" w:eastAsia="宋体" w:cs="Times New Roman"/>
                <w:color w:val="000000"/>
                <w:kern w:val="0"/>
                <w:sz w:val="24"/>
                <w:szCs w:val="24"/>
                <w:bdr w:val="none" w:color="auto" w:sz="0" w:space="0"/>
                <w:lang w:val="en-US" w:eastAsia="zh-CN" w:bidi="ar"/>
              </w:rPr>
              <w:t>3.6-1</w:t>
            </w:r>
            <w:r>
              <w:rPr>
                <w:rFonts w:hint="eastAsia" w:ascii="Times New Roman" w:hAnsi="Times New Roman" w:eastAsia="宋体" w:cs="宋体"/>
                <w:color w:val="000000"/>
                <w:kern w:val="0"/>
                <w:sz w:val="24"/>
                <w:szCs w:val="24"/>
                <w:bdr w:val="none" w:color="auto" w:sz="0" w:space="0"/>
                <w:lang w:val="en-US" w:eastAsia="zh-CN" w:bidi="ar"/>
              </w:rPr>
              <w:t>。</w:t>
            </w:r>
          </w:p>
          <w:p w14:paraId="7EFDD7E4">
            <w:pPr>
              <w:keepNext w:val="0"/>
              <w:keepLines w:val="0"/>
              <w:widowControl w:val="0"/>
              <w:suppressLineNumbers w:val="0"/>
              <w:spacing w:before="0" w:beforeAutospacing="0" w:after="0" w:afterAutospacing="0" w:line="440" w:lineRule="exact"/>
              <w:ind w:left="0" w:right="0" w:firstLine="480"/>
              <w:jc w:val="center"/>
              <w:rPr>
                <w:rFonts w:hint="default" w:ascii="Times New Roman" w:hAnsi="Times New Roman" w:cs="Times New Roman"/>
                <w:color w:val="000000"/>
                <w:kern w:val="0"/>
                <w:sz w:val="24"/>
                <w:szCs w:val="24"/>
                <w:bdr w:val="none" w:color="auto" w:sz="0" w:space="0"/>
                <w:lang w:val="en-US"/>
              </w:rPr>
            </w:pPr>
            <w:r>
              <w:rPr>
                <w:rFonts w:hint="eastAsia" w:ascii="Times New Roman" w:hAnsi="Times New Roman" w:eastAsia="宋体" w:cs="宋体"/>
                <w:color w:val="000000"/>
                <w:kern w:val="0"/>
                <w:sz w:val="24"/>
                <w:szCs w:val="24"/>
                <w:bdr w:val="none" w:color="auto" w:sz="0" w:space="0"/>
                <w:lang w:val="en-US" w:eastAsia="zh-CN" w:bidi="ar"/>
              </w:rPr>
              <w:t>表</w:t>
            </w:r>
            <w:r>
              <w:rPr>
                <w:rFonts w:hint="default" w:ascii="Times New Roman" w:hAnsi="Times New Roman" w:eastAsia="宋体" w:cs="Times New Roman"/>
                <w:color w:val="000000"/>
                <w:kern w:val="0"/>
                <w:sz w:val="24"/>
                <w:szCs w:val="24"/>
                <w:bdr w:val="none" w:color="auto" w:sz="0" w:space="0"/>
                <w:lang w:val="en-US" w:eastAsia="zh-CN" w:bidi="ar"/>
              </w:rPr>
              <w:t xml:space="preserve">3.6-1 </w:t>
            </w:r>
            <w:r>
              <w:rPr>
                <w:rFonts w:hint="eastAsia" w:ascii="Times New Roman" w:hAnsi="Times New Roman" w:eastAsia="宋体" w:cs="宋体"/>
                <w:color w:val="000000"/>
                <w:kern w:val="0"/>
                <w:sz w:val="24"/>
                <w:szCs w:val="24"/>
                <w:bdr w:val="none" w:color="auto" w:sz="0" w:space="0"/>
                <w:lang w:val="en-US" w:eastAsia="zh-CN" w:bidi="ar"/>
              </w:rPr>
              <w:t>大气环境保护目标</w:t>
            </w:r>
            <w:r>
              <w:rPr>
                <w:rFonts w:hint="default" w:ascii="Times New Roman" w:hAnsi="Times New Roman" w:eastAsia="宋体" w:cs="Times New Roman"/>
                <w:color w:val="000000"/>
                <w:kern w:val="0"/>
                <w:sz w:val="24"/>
                <w:szCs w:val="24"/>
                <w:bdr w:val="none" w:color="auto" w:sz="0" w:space="0"/>
                <w:lang w:val="en-US" w:eastAsia="zh-CN" w:bidi="ar"/>
              </w:rPr>
              <w:t>(500m</w:t>
            </w:r>
            <w:r>
              <w:rPr>
                <w:rFonts w:hint="eastAsia" w:ascii="Times New Roman" w:hAnsi="Times New Roman" w:eastAsia="宋体" w:cs="宋体"/>
                <w:color w:val="000000"/>
                <w:kern w:val="0"/>
                <w:sz w:val="24"/>
                <w:szCs w:val="24"/>
                <w:bdr w:val="none" w:color="auto" w:sz="0" w:space="0"/>
                <w:lang w:val="en-US" w:eastAsia="zh-CN" w:bidi="ar"/>
              </w:rPr>
              <w:t>范围内</w:t>
            </w:r>
            <w:r>
              <w:rPr>
                <w:rFonts w:hint="default" w:ascii="Times New Roman" w:hAnsi="Times New Roman" w:eastAsia="宋体" w:cs="Times New Roman"/>
                <w:color w:val="000000"/>
                <w:kern w:val="0"/>
                <w:sz w:val="24"/>
                <w:szCs w:val="24"/>
                <w:bdr w:val="none" w:color="auto" w:sz="0" w:space="0"/>
                <w:lang w:val="en-US" w:eastAsia="zh-CN" w:bidi="ar"/>
              </w:rPr>
              <w:t>)</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tblLayout w:type="fixed"/>
              <w:tblCellMar>
                <w:top w:w="0" w:type="dxa"/>
                <w:left w:w="108" w:type="dxa"/>
                <w:bottom w:w="0" w:type="dxa"/>
                <w:right w:w="108" w:type="dxa"/>
              </w:tblCellMar>
            </w:tblPr>
            <w:tblGrid>
              <w:gridCol w:w="475"/>
              <w:gridCol w:w="1554"/>
              <w:gridCol w:w="709"/>
              <w:gridCol w:w="850"/>
              <w:gridCol w:w="850"/>
              <w:gridCol w:w="1560"/>
              <w:gridCol w:w="992"/>
              <w:gridCol w:w="984"/>
            </w:tblGrid>
            <w:tr w14:paraId="6FE09700">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tblCellMar>
                  <w:top w:w="0" w:type="dxa"/>
                  <w:left w:w="108" w:type="dxa"/>
                  <w:bottom w:w="0" w:type="dxa"/>
                  <w:right w:w="108" w:type="dxa"/>
                </w:tblCellMar>
              </w:tblPrEx>
              <w:trPr>
                <w:trHeight w:val="232" w:hRule="atLeast"/>
                <w:jc w:val="center"/>
              </w:trPr>
              <w:tc>
                <w:tcPr>
                  <w:tcW w:w="298" w:type="pct"/>
                  <w:vMerge w:val="restart"/>
                  <w:tcBorders>
                    <w:top w:val="single" w:color="auto" w:sz="12" w:space="0"/>
                    <w:left w:val="nil"/>
                    <w:bottom w:val="single" w:color="auto" w:sz="8" w:space="0"/>
                    <w:right w:val="single" w:color="auto" w:sz="8" w:space="0"/>
                  </w:tcBorders>
                  <w:shd w:val="clear"/>
                  <w:vAlign w:val="center"/>
                </w:tcPr>
                <w:p w14:paraId="62243EC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序号</w:t>
                  </w:r>
                </w:p>
              </w:tc>
              <w:tc>
                <w:tcPr>
                  <w:tcW w:w="974" w:type="pct"/>
                  <w:vMerge w:val="restart"/>
                  <w:tcBorders>
                    <w:top w:val="single" w:color="auto" w:sz="12" w:space="0"/>
                    <w:left w:val="single" w:color="auto" w:sz="8" w:space="0"/>
                    <w:bottom w:val="single" w:color="auto" w:sz="8" w:space="0"/>
                    <w:right w:val="single" w:color="auto" w:sz="8" w:space="0"/>
                  </w:tcBorders>
                  <w:shd w:val="clear"/>
                  <w:vAlign w:val="center"/>
                </w:tcPr>
                <w:p w14:paraId="0C6A167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名称</w:t>
                  </w:r>
                </w:p>
              </w:tc>
              <w:tc>
                <w:tcPr>
                  <w:tcW w:w="978" w:type="pct"/>
                  <w:gridSpan w:val="2"/>
                  <w:tcBorders>
                    <w:top w:val="single" w:color="auto" w:sz="12" w:space="0"/>
                    <w:left w:val="single" w:color="auto" w:sz="8" w:space="0"/>
                    <w:bottom w:val="single" w:color="auto" w:sz="8" w:space="0"/>
                    <w:right w:val="single" w:color="auto" w:sz="8" w:space="0"/>
                  </w:tcBorders>
                  <w:shd w:val="clear"/>
                  <w:vAlign w:val="center"/>
                </w:tcPr>
                <w:p w14:paraId="3FE9D39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相对坐标</w:t>
                  </w:r>
                </w:p>
              </w:tc>
              <w:tc>
                <w:tcPr>
                  <w:tcW w:w="533" w:type="pct"/>
                  <w:vMerge w:val="restart"/>
                  <w:tcBorders>
                    <w:top w:val="single" w:color="auto" w:sz="12" w:space="0"/>
                    <w:left w:val="single" w:color="auto" w:sz="8" w:space="0"/>
                    <w:bottom w:val="single" w:color="auto" w:sz="8" w:space="0"/>
                    <w:right w:val="single" w:color="auto" w:sz="8" w:space="0"/>
                  </w:tcBorders>
                  <w:shd w:val="clear"/>
                  <w:vAlign w:val="center"/>
                </w:tcPr>
                <w:p w14:paraId="49F8EF6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相对厂址</w:t>
                  </w:r>
                  <w:r>
                    <w:rPr>
                      <w:rFonts w:hint="eastAsia" w:ascii="Times New Roman" w:hAnsi="Calibri" w:eastAsia="宋体" w:cs="宋体"/>
                      <w:color w:val="000000"/>
                      <w:kern w:val="2"/>
                      <w:sz w:val="21"/>
                      <w:szCs w:val="21"/>
                      <w:bdr w:val="none" w:color="auto" w:sz="0" w:space="0"/>
                      <w:lang w:val="en-US" w:eastAsia="zh-CN" w:bidi="ar"/>
                    </w:rPr>
                    <w:t>方位</w:t>
                  </w:r>
                </w:p>
              </w:tc>
              <w:tc>
                <w:tcPr>
                  <w:tcW w:w="978" w:type="pct"/>
                  <w:vMerge w:val="restart"/>
                  <w:tcBorders>
                    <w:top w:val="single" w:color="auto" w:sz="12" w:space="0"/>
                    <w:left w:val="single" w:color="auto" w:sz="8" w:space="0"/>
                    <w:bottom w:val="single" w:color="auto" w:sz="8" w:space="0"/>
                    <w:right w:val="single" w:color="auto" w:sz="8" w:space="0"/>
                  </w:tcBorders>
                  <w:shd w:val="clear"/>
                  <w:vAlign w:val="center"/>
                </w:tcPr>
                <w:p w14:paraId="1FAFC19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保护对象</w:t>
                  </w:r>
                </w:p>
              </w:tc>
              <w:tc>
                <w:tcPr>
                  <w:tcW w:w="622" w:type="pct"/>
                  <w:vMerge w:val="restart"/>
                  <w:tcBorders>
                    <w:top w:val="single" w:color="auto" w:sz="12" w:space="0"/>
                    <w:left w:val="single" w:color="auto" w:sz="8" w:space="0"/>
                    <w:bottom w:val="single" w:color="auto" w:sz="8" w:space="0"/>
                    <w:right w:val="single" w:color="auto" w:sz="8" w:space="0"/>
                  </w:tcBorders>
                  <w:shd w:val="clear"/>
                  <w:vAlign w:val="center"/>
                </w:tcPr>
                <w:p w14:paraId="3DEE625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最近距离（</w:t>
                  </w:r>
                  <w:r>
                    <w:rPr>
                      <w:rFonts w:hint="default" w:ascii="Times New Roman" w:hAnsi="Times New Roman" w:eastAsia="宋体" w:cs="Times New Roman"/>
                      <w:color w:val="000000"/>
                      <w:kern w:val="2"/>
                      <w:sz w:val="21"/>
                      <w:szCs w:val="21"/>
                      <w:bdr w:val="none" w:color="auto" w:sz="0" w:space="0"/>
                      <w:lang w:val="en-US" w:eastAsia="zh-CN" w:bidi="ar"/>
                    </w:rPr>
                    <w:t>m</w:t>
                  </w:r>
                  <w:r>
                    <w:rPr>
                      <w:rFonts w:hint="eastAsia" w:ascii="Times New Roman" w:hAnsi="Calibri" w:eastAsia="宋体" w:cs="宋体"/>
                      <w:color w:val="000000"/>
                      <w:kern w:val="2"/>
                      <w:sz w:val="21"/>
                      <w:szCs w:val="21"/>
                      <w:bdr w:val="none" w:color="auto" w:sz="0" w:space="0"/>
                      <w:lang w:val="en-US" w:eastAsia="zh-CN" w:bidi="ar"/>
                    </w:rPr>
                    <w:t>）</w:t>
                  </w:r>
                </w:p>
              </w:tc>
              <w:tc>
                <w:tcPr>
                  <w:tcW w:w="617" w:type="pct"/>
                  <w:vMerge w:val="restart"/>
                  <w:tcBorders>
                    <w:top w:val="single" w:color="auto" w:sz="12" w:space="0"/>
                    <w:left w:val="single" w:color="auto" w:sz="8" w:space="0"/>
                    <w:bottom w:val="single" w:color="auto" w:sz="8" w:space="0"/>
                    <w:right w:val="nil"/>
                  </w:tcBorders>
                  <w:shd w:val="clear"/>
                  <w:vAlign w:val="center"/>
                </w:tcPr>
                <w:p w14:paraId="225C3C53">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环境</w:t>
                  </w:r>
                </w:p>
                <w:p w14:paraId="68F2101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功能</w:t>
                  </w:r>
                </w:p>
              </w:tc>
            </w:tr>
            <w:tr w14:paraId="17277959">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30" w:hRule="atLeast"/>
                <w:jc w:val="center"/>
              </w:trPr>
              <w:tc>
                <w:tcPr>
                  <w:tcW w:w="298" w:type="pct"/>
                  <w:vMerge w:val="continue"/>
                  <w:tcBorders>
                    <w:top w:val="single" w:color="auto" w:sz="12" w:space="0"/>
                    <w:left w:val="nil"/>
                    <w:bottom w:val="single" w:color="auto" w:sz="8" w:space="0"/>
                    <w:right w:val="single" w:color="auto" w:sz="8" w:space="0"/>
                  </w:tcBorders>
                  <w:shd w:val="clear"/>
                  <w:vAlign w:val="center"/>
                </w:tcPr>
                <w:p w14:paraId="3F89D65B">
                  <w:pPr>
                    <w:rPr>
                      <w:rFonts w:hint="default" w:ascii="Calibri" w:hAnsi="Calibri" w:cs="Calibri"/>
                      <w:sz w:val="20"/>
                      <w:szCs w:val="20"/>
                    </w:rPr>
                  </w:pPr>
                </w:p>
              </w:tc>
              <w:tc>
                <w:tcPr>
                  <w:tcW w:w="974" w:type="pct"/>
                  <w:vMerge w:val="continue"/>
                  <w:tcBorders>
                    <w:top w:val="single" w:color="auto" w:sz="12" w:space="0"/>
                    <w:left w:val="single" w:color="auto" w:sz="8" w:space="0"/>
                    <w:bottom w:val="single" w:color="auto" w:sz="8" w:space="0"/>
                    <w:right w:val="single" w:color="auto" w:sz="8" w:space="0"/>
                  </w:tcBorders>
                  <w:shd w:val="clear"/>
                  <w:vAlign w:val="center"/>
                </w:tcPr>
                <w:p w14:paraId="3462F132">
                  <w:pPr>
                    <w:rPr>
                      <w:rFonts w:hint="default" w:ascii="Calibri" w:hAnsi="Calibri" w:cs="Calibri"/>
                      <w:sz w:val="20"/>
                      <w:szCs w:val="20"/>
                    </w:rPr>
                  </w:pPr>
                </w:p>
              </w:tc>
              <w:tc>
                <w:tcPr>
                  <w:tcW w:w="445" w:type="pct"/>
                  <w:tcBorders>
                    <w:top w:val="single" w:color="auto" w:sz="8" w:space="0"/>
                    <w:left w:val="single" w:color="auto" w:sz="8" w:space="0"/>
                    <w:bottom w:val="single" w:color="auto" w:sz="8" w:space="0"/>
                    <w:right w:val="single" w:color="auto" w:sz="8" w:space="0"/>
                  </w:tcBorders>
                  <w:shd w:val="clear"/>
                  <w:vAlign w:val="center"/>
                </w:tcPr>
                <w:p w14:paraId="126C96E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X</w:t>
                  </w:r>
                </w:p>
              </w:tc>
              <w:tc>
                <w:tcPr>
                  <w:tcW w:w="533" w:type="pct"/>
                  <w:tcBorders>
                    <w:top w:val="single" w:color="auto" w:sz="8" w:space="0"/>
                    <w:left w:val="single" w:color="auto" w:sz="8" w:space="0"/>
                    <w:bottom w:val="single" w:color="auto" w:sz="8" w:space="0"/>
                    <w:right w:val="single" w:color="auto" w:sz="8" w:space="0"/>
                  </w:tcBorders>
                  <w:shd w:val="clear"/>
                  <w:vAlign w:val="center"/>
                </w:tcPr>
                <w:p w14:paraId="2956B9CD">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Y</w:t>
                  </w:r>
                </w:p>
              </w:tc>
              <w:tc>
                <w:tcPr>
                  <w:tcW w:w="533" w:type="pct"/>
                  <w:vMerge w:val="continue"/>
                  <w:tcBorders>
                    <w:top w:val="single" w:color="auto" w:sz="12" w:space="0"/>
                    <w:left w:val="single" w:color="auto" w:sz="8" w:space="0"/>
                    <w:bottom w:val="single" w:color="auto" w:sz="8" w:space="0"/>
                    <w:right w:val="single" w:color="auto" w:sz="8" w:space="0"/>
                  </w:tcBorders>
                  <w:shd w:val="clear"/>
                  <w:vAlign w:val="center"/>
                </w:tcPr>
                <w:p w14:paraId="7859A236">
                  <w:pPr>
                    <w:rPr>
                      <w:rFonts w:hint="default" w:ascii="Calibri" w:hAnsi="Calibri" w:cs="Calibri"/>
                      <w:sz w:val="20"/>
                      <w:szCs w:val="20"/>
                    </w:rPr>
                  </w:pPr>
                </w:p>
              </w:tc>
              <w:tc>
                <w:tcPr>
                  <w:tcW w:w="978" w:type="pct"/>
                  <w:vMerge w:val="continue"/>
                  <w:tcBorders>
                    <w:top w:val="single" w:color="auto" w:sz="12" w:space="0"/>
                    <w:left w:val="single" w:color="auto" w:sz="8" w:space="0"/>
                    <w:bottom w:val="single" w:color="auto" w:sz="8" w:space="0"/>
                    <w:right w:val="single" w:color="auto" w:sz="8" w:space="0"/>
                  </w:tcBorders>
                  <w:shd w:val="clear"/>
                  <w:vAlign w:val="center"/>
                </w:tcPr>
                <w:p w14:paraId="79752CE8">
                  <w:pPr>
                    <w:rPr>
                      <w:rFonts w:hint="default" w:ascii="Calibri" w:hAnsi="Calibri" w:cs="Calibri"/>
                      <w:sz w:val="20"/>
                      <w:szCs w:val="20"/>
                    </w:rPr>
                  </w:pPr>
                </w:p>
              </w:tc>
              <w:tc>
                <w:tcPr>
                  <w:tcW w:w="622" w:type="pct"/>
                  <w:vMerge w:val="continue"/>
                  <w:tcBorders>
                    <w:top w:val="single" w:color="auto" w:sz="12" w:space="0"/>
                    <w:left w:val="single" w:color="auto" w:sz="8" w:space="0"/>
                    <w:bottom w:val="single" w:color="auto" w:sz="8" w:space="0"/>
                    <w:right w:val="single" w:color="auto" w:sz="8" w:space="0"/>
                  </w:tcBorders>
                  <w:shd w:val="clear"/>
                  <w:vAlign w:val="center"/>
                </w:tcPr>
                <w:p w14:paraId="3A84E6C6">
                  <w:pPr>
                    <w:rPr>
                      <w:rFonts w:hint="default" w:ascii="Calibri" w:hAnsi="Calibri" w:cs="Calibri"/>
                      <w:sz w:val="20"/>
                      <w:szCs w:val="20"/>
                    </w:rPr>
                  </w:pPr>
                </w:p>
              </w:tc>
              <w:tc>
                <w:tcPr>
                  <w:tcW w:w="617" w:type="pct"/>
                  <w:vMerge w:val="continue"/>
                  <w:tcBorders>
                    <w:top w:val="single" w:color="auto" w:sz="12" w:space="0"/>
                    <w:left w:val="single" w:color="auto" w:sz="8" w:space="0"/>
                    <w:bottom w:val="single" w:color="auto" w:sz="8" w:space="0"/>
                    <w:right w:val="nil"/>
                  </w:tcBorders>
                  <w:shd w:val="clear"/>
                  <w:vAlign w:val="center"/>
                </w:tcPr>
                <w:p w14:paraId="3E25CB16">
                  <w:pPr>
                    <w:rPr>
                      <w:rFonts w:hint="default" w:ascii="Calibri" w:hAnsi="Calibri" w:cs="Calibri"/>
                      <w:sz w:val="20"/>
                      <w:szCs w:val="20"/>
                    </w:rPr>
                  </w:pPr>
                </w:p>
              </w:tc>
            </w:tr>
            <w:tr w14:paraId="5BD2C5B8">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127" w:hRule="atLeast"/>
                <w:jc w:val="center"/>
              </w:trPr>
              <w:tc>
                <w:tcPr>
                  <w:tcW w:w="298" w:type="pct"/>
                  <w:tcBorders>
                    <w:top w:val="single" w:color="auto" w:sz="8" w:space="0"/>
                    <w:left w:val="nil"/>
                    <w:bottom w:val="single" w:color="auto" w:sz="8" w:space="0"/>
                    <w:right w:val="single" w:color="auto" w:sz="8" w:space="0"/>
                  </w:tcBorders>
                  <w:shd w:val="clear"/>
                  <w:vAlign w:val="center"/>
                </w:tcPr>
                <w:p w14:paraId="2D706A2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w:t>
                  </w:r>
                </w:p>
              </w:tc>
              <w:tc>
                <w:tcPr>
                  <w:tcW w:w="974" w:type="pct"/>
                  <w:tcBorders>
                    <w:top w:val="single" w:color="auto" w:sz="8" w:space="0"/>
                    <w:left w:val="single" w:color="auto" w:sz="8" w:space="0"/>
                    <w:bottom w:val="single" w:color="auto" w:sz="8" w:space="0"/>
                    <w:right w:val="single" w:color="auto" w:sz="8" w:space="0"/>
                  </w:tcBorders>
                  <w:shd w:val="clear"/>
                  <w:vAlign w:val="center"/>
                </w:tcPr>
                <w:p w14:paraId="767CCF24">
                  <w:pPr>
                    <w:pStyle w:val="56"/>
                    <w:widowControl/>
                    <w:rPr>
                      <w:color w:val="000000"/>
                      <w:bdr w:val="none" w:color="auto" w:sz="0" w:space="0"/>
                      <w:lang w:val="en-US"/>
                    </w:rPr>
                  </w:pPr>
                  <w:r>
                    <w:rPr>
                      <w:rFonts w:hint="eastAsia" w:ascii="Tahoma" w:hAnsi="Tahoma" w:eastAsia="宋体" w:cs="宋体"/>
                      <w:color w:val="000000"/>
                      <w:bdr w:val="none" w:color="auto" w:sz="0" w:space="0"/>
                    </w:rPr>
                    <w:t>园区管委会办公楼及园区宿舍楼</w:t>
                  </w:r>
                </w:p>
              </w:tc>
              <w:tc>
                <w:tcPr>
                  <w:tcW w:w="445" w:type="pct"/>
                  <w:tcBorders>
                    <w:top w:val="single" w:color="auto" w:sz="8" w:space="0"/>
                    <w:left w:val="single" w:color="auto" w:sz="8" w:space="0"/>
                    <w:bottom w:val="single" w:color="auto" w:sz="8" w:space="0"/>
                    <w:right w:val="single" w:color="auto" w:sz="8" w:space="0"/>
                  </w:tcBorders>
                  <w:shd w:val="clear"/>
                  <w:vAlign w:val="center"/>
                </w:tcPr>
                <w:p w14:paraId="759072F5">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-15</w:t>
                  </w:r>
                </w:p>
              </w:tc>
              <w:tc>
                <w:tcPr>
                  <w:tcW w:w="533" w:type="pct"/>
                  <w:tcBorders>
                    <w:top w:val="single" w:color="auto" w:sz="8" w:space="0"/>
                    <w:left w:val="single" w:color="auto" w:sz="8" w:space="0"/>
                    <w:bottom w:val="single" w:color="auto" w:sz="8" w:space="0"/>
                    <w:right w:val="single" w:color="auto" w:sz="8" w:space="0"/>
                  </w:tcBorders>
                  <w:shd w:val="clear"/>
                  <w:vAlign w:val="center"/>
                </w:tcPr>
                <w:p w14:paraId="42F4FF10">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15</w:t>
                  </w:r>
                </w:p>
              </w:tc>
              <w:tc>
                <w:tcPr>
                  <w:tcW w:w="533" w:type="pct"/>
                  <w:tcBorders>
                    <w:top w:val="single" w:color="auto" w:sz="8" w:space="0"/>
                    <w:left w:val="single" w:color="auto" w:sz="8" w:space="0"/>
                    <w:bottom w:val="single" w:color="auto" w:sz="8" w:space="0"/>
                    <w:right w:val="single" w:color="auto" w:sz="8" w:space="0"/>
                  </w:tcBorders>
                  <w:shd w:val="clear"/>
                  <w:vAlign w:val="center"/>
                </w:tcPr>
                <w:p w14:paraId="6075A2C6">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NW</w:t>
                  </w:r>
                </w:p>
              </w:tc>
              <w:tc>
                <w:tcPr>
                  <w:tcW w:w="978" w:type="pct"/>
                  <w:tcBorders>
                    <w:top w:val="single" w:color="auto" w:sz="8" w:space="0"/>
                    <w:left w:val="single" w:color="auto" w:sz="8" w:space="0"/>
                    <w:bottom w:val="single" w:color="auto" w:sz="8" w:space="0"/>
                    <w:right w:val="single" w:color="auto" w:sz="8" w:space="0"/>
                  </w:tcBorders>
                  <w:shd w:val="clear"/>
                  <w:vAlign w:val="center"/>
                </w:tcPr>
                <w:p w14:paraId="48D73B9F">
                  <w:pPr>
                    <w:pStyle w:val="56"/>
                    <w:widowControl/>
                    <w:rPr>
                      <w:rFonts w:hint="default" w:ascii="Times New Roman" w:hAnsi="Times New Roman" w:cs="Tahoma"/>
                      <w:color w:val="000000"/>
                      <w:bdr w:val="none" w:color="auto" w:sz="0" w:space="0"/>
                      <w:lang w:val="en-US"/>
                    </w:rPr>
                  </w:pPr>
                  <w:r>
                    <w:rPr>
                      <w:rFonts w:hint="eastAsia" w:ascii="Times New Roman" w:hAnsi="Tahoma" w:eastAsia="宋体" w:cs="宋体"/>
                      <w:color w:val="000000"/>
                      <w:bdr w:val="none" w:color="auto" w:sz="0" w:space="0"/>
                    </w:rPr>
                    <w:t>约</w:t>
                  </w:r>
                  <w:r>
                    <w:rPr>
                      <w:rFonts w:hint="default" w:ascii="Times New Roman" w:hAnsi="Times New Roman" w:cs="Tahoma"/>
                      <w:color w:val="000000"/>
                      <w:bdr w:val="none" w:color="auto" w:sz="0" w:space="0"/>
                      <w:lang w:val="en-US"/>
                    </w:rPr>
                    <w:t>300</w:t>
                  </w:r>
                  <w:r>
                    <w:rPr>
                      <w:rFonts w:hint="eastAsia" w:ascii="Times New Roman" w:hAnsi="Tahoma" w:eastAsia="宋体" w:cs="宋体"/>
                      <w:color w:val="000000"/>
                      <w:bdr w:val="none" w:color="auto" w:sz="0" w:space="0"/>
                    </w:rPr>
                    <w:t>人</w:t>
                  </w:r>
                </w:p>
              </w:tc>
              <w:tc>
                <w:tcPr>
                  <w:tcW w:w="622" w:type="pct"/>
                  <w:tcBorders>
                    <w:top w:val="single" w:color="auto" w:sz="8" w:space="0"/>
                    <w:left w:val="single" w:color="auto" w:sz="8" w:space="0"/>
                    <w:bottom w:val="single" w:color="auto" w:sz="8" w:space="0"/>
                    <w:right w:val="single" w:color="auto" w:sz="8" w:space="0"/>
                  </w:tcBorders>
                  <w:shd w:val="clear"/>
                  <w:vAlign w:val="center"/>
                </w:tcPr>
                <w:p w14:paraId="5B44E54B">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21</w:t>
                  </w:r>
                </w:p>
              </w:tc>
              <w:tc>
                <w:tcPr>
                  <w:tcW w:w="617" w:type="pct"/>
                  <w:vMerge w:val="restart"/>
                  <w:tcBorders>
                    <w:top w:val="single" w:color="auto" w:sz="8" w:space="0"/>
                    <w:left w:val="single" w:color="auto" w:sz="8" w:space="0"/>
                    <w:bottom w:val="single" w:color="auto" w:sz="8" w:space="0"/>
                    <w:right w:val="nil"/>
                  </w:tcBorders>
                  <w:shd w:val="clear"/>
                  <w:vAlign w:val="center"/>
                </w:tcPr>
                <w:p w14:paraId="77FA577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环境空气二类功能区</w:t>
                  </w:r>
                </w:p>
              </w:tc>
            </w:tr>
            <w:tr w14:paraId="31D369F1">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31" w:hRule="atLeast"/>
                <w:jc w:val="center"/>
              </w:trPr>
              <w:tc>
                <w:tcPr>
                  <w:tcW w:w="298" w:type="pct"/>
                  <w:tcBorders>
                    <w:top w:val="single" w:color="auto" w:sz="8" w:space="0"/>
                    <w:left w:val="nil"/>
                    <w:bottom w:val="single" w:color="auto" w:sz="8" w:space="0"/>
                    <w:right w:val="single" w:color="auto" w:sz="8" w:space="0"/>
                  </w:tcBorders>
                  <w:shd w:val="clear"/>
                  <w:vAlign w:val="center"/>
                </w:tcPr>
                <w:p w14:paraId="4648815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2</w:t>
                  </w:r>
                </w:p>
              </w:tc>
              <w:tc>
                <w:tcPr>
                  <w:tcW w:w="974" w:type="pct"/>
                  <w:tcBorders>
                    <w:top w:val="single" w:color="auto" w:sz="8" w:space="0"/>
                    <w:left w:val="single" w:color="auto" w:sz="8" w:space="0"/>
                    <w:bottom w:val="single" w:color="auto" w:sz="8" w:space="0"/>
                    <w:right w:val="single" w:color="auto" w:sz="8" w:space="0"/>
                  </w:tcBorders>
                  <w:shd w:val="clear"/>
                  <w:vAlign w:val="center"/>
                </w:tcPr>
                <w:p w14:paraId="660624FB">
                  <w:pPr>
                    <w:pStyle w:val="56"/>
                    <w:widowControl/>
                    <w:rPr>
                      <w:color w:val="000000"/>
                      <w:bdr w:val="none" w:color="auto" w:sz="0" w:space="0"/>
                      <w:lang w:val="en-US"/>
                    </w:rPr>
                  </w:pPr>
                  <w:r>
                    <w:rPr>
                      <w:color w:val="000000"/>
                      <w:bdr w:val="none" w:color="auto" w:sz="0" w:space="0"/>
                      <w:lang w:val="en-US"/>
                    </w:rPr>
                    <w:t>1#</w:t>
                  </w:r>
                  <w:r>
                    <w:rPr>
                      <w:rFonts w:hint="eastAsia" w:ascii="Tahoma" w:hAnsi="Tahoma" w:eastAsia="宋体" w:cs="宋体"/>
                      <w:color w:val="000000"/>
                      <w:bdr w:val="none" w:color="auto" w:sz="0" w:space="0"/>
                    </w:rPr>
                    <w:t>散户居民</w:t>
                  </w:r>
                </w:p>
              </w:tc>
              <w:tc>
                <w:tcPr>
                  <w:tcW w:w="445" w:type="pct"/>
                  <w:tcBorders>
                    <w:top w:val="single" w:color="auto" w:sz="8" w:space="0"/>
                    <w:left w:val="single" w:color="auto" w:sz="8" w:space="0"/>
                    <w:bottom w:val="single" w:color="auto" w:sz="8" w:space="0"/>
                    <w:right w:val="single" w:color="auto" w:sz="8" w:space="0"/>
                  </w:tcBorders>
                  <w:shd w:val="clear"/>
                  <w:vAlign w:val="center"/>
                </w:tcPr>
                <w:p w14:paraId="772928D5">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-220</w:t>
                  </w:r>
                </w:p>
              </w:tc>
              <w:tc>
                <w:tcPr>
                  <w:tcW w:w="533" w:type="pct"/>
                  <w:tcBorders>
                    <w:top w:val="single" w:color="auto" w:sz="8" w:space="0"/>
                    <w:left w:val="single" w:color="auto" w:sz="8" w:space="0"/>
                    <w:bottom w:val="single" w:color="auto" w:sz="8" w:space="0"/>
                    <w:right w:val="single" w:color="auto" w:sz="8" w:space="0"/>
                  </w:tcBorders>
                  <w:shd w:val="clear"/>
                  <w:vAlign w:val="center"/>
                </w:tcPr>
                <w:p w14:paraId="11F130C6">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-170</w:t>
                  </w:r>
                </w:p>
              </w:tc>
              <w:tc>
                <w:tcPr>
                  <w:tcW w:w="533" w:type="pct"/>
                  <w:tcBorders>
                    <w:top w:val="single" w:color="auto" w:sz="8" w:space="0"/>
                    <w:left w:val="single" w:color="auto" w:sz="8" w:space="0"/>
                    <w:bottom w:val="single" w:color="auto" w:sz="8" w:space="0"/>
                    <w:right w:val="single" w:color="auto" w:sz="8" w:space="0"/>
                  </w:tcBorders>
                  <w:shd w:val="clear"/>
                  <w:vAlign w:val="center"/>
                </w:tcPr>
                <w:p w14:paraId="5AD2EAC8">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SW</w:t>
                  </w:r>
                </w:p>
              </w:tc>
              <w:tc>
                <w:tcPr>
                  <w:tcW w:w="978" w:type="pct"/>
                  <w:tcBorders>
                    <w:top w:val="single" w:color="auto" w:sz="8" w:space="0"/>
                    <w:left w:val="single" w:color="auto" w:sz="8" w:space="0"/>
                    <w:bottom w:val="single" w:color="auto" w:sz="8" w:space="0"/>
                    <w:right w:val="single" w:color="auto" w:sz="8" w:space="0"/>
                  </w:tcBorders>
                  <w:shd w:val="clear"/>
                  <w:vAlign w:val="center"/>
                </w:tcPr>
                <w:p w14:paraId="2CA4179F">
                  <w:pPr>
                    <w:pStyle w:val="56"/>
                    <w:widowControl/>
                    <w:rPr>
                      <w:rFonts w:hint="default" w:ascii="Times New Roman" w:hAnsi="Times New Roman" w:cs="Tahoma"/>
                      <w:color w:val="000000"/>
                      <w:bdr w:val="none" w:color="auto" w:sz="0" w:space="0"/>
                      <w:lang w:val="en-US"/>
                    </w:rPr>
                  </w:pPr>
                  <w:r>
                    <w:rPr>
                      <w:rFonts w:hint="eastAsia" w:ascii="Times New Roman" w:hAnsi="Tahoma" w:eastAsia="宋体" w:cs="宋体"/>
                      <w:color w:val="000000"/>
                      <w:bdr w:val="none" w:color="auto" w:sz="0" w:space="0"/>
                    </w:rPr>
                    <w:t>约</w:t>
                  </w:r>
                  <w:r>
                    <w:rPr>
                      <w:rFonts w:hint="default" w:ascii="Times New Roman" w:hAnsi="Times New Roman" w:cs="Tahoma"/>
                      <w:color w:val="000000"/>
                      <w:bdr w:val="none" w:color="auto" w:sz="0" w:space="0"/>
                      <w:lang w:val="en-US"/>
                    </w:rPr>
                    <w:t>30</w:t>
                  </w:r>
                  <w:r>
                    <w:rPr>
                      <w:rFonts w:hint="eastAsia" w:ascii="Times New Roman" w:hAnsi="Tahoma" w:eastAsia="宋体" w:cs="宋体"/>
                      <w:color w:val="000000"/>
                      <w:bdr w:val="none" w:color="auto" w:sz="0" w:space="0"/>
                    </w:rPr>
                    <w:t>人</w:t>
                  </w:r>
                </w:p>
              </w:tc>
              <w:tc>
                <w:tcPr>
                  <w:tcW w:w="622" w:type="pct"/>
                  <w:tcBorders>
                    <w:top w:val="single" w:color="auto" w:sz="8" w:space="0"/>
                    <w:left w:val="single" w:color="auto" w:sz="8" w:space="0"/>
                    <w:bottom w:val="single" w:color="auto" w:sz="8" w:space="0"/>
                    <w:right w:val="single" w:color="auto" w:sz="8" w:space="0"/>
                  </w:tcBorders>
                  <w:shd w:val="clear"/>
                  <w:vAlign w:val="center"/>
                </w:tcPr>
                <w:p w14:paraId="6ECD27C6">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215</w:t>
                  </w:r>
                </w:p>
              </w:tc>
              <w:tc>
                <w:tcPr>
                  <w:tcW w:w="617" w:type="pct"/>
                  <w:vMerge w:val="continue"/>
                  <w:tcBorders>
                    <w:top w:val="single" w:color="auto" w:sz="8" w:space="0"/>
                    <w:left w:val="single" w:color="auto" w:sz="8" w:space="0"/>
                    <w:bottom w:val="single" w:color="auto" w:sz="8" w:space="0"/>
                    <w:right w:val="nil"/>
                  </w:tcBorders>
                  <w:shd w:val="clear"/>
                  <w:vAlign w:val="center"/>
                </w:tcPr>
                <w:p w14:paraId="523C9A31">
                  <w:pPr>
                    <w:rPr>
                      <w:rFonts w:hint="default" w:ascii="Calibri" w:hAnsi="Calibri" w:cs="Calibri"/>
                      <w:sz w:val="20"/>
                      <w:szCs w:val="20"/>
                    </w:rPr>
                  </w:pPr>
                </w:p>
              </w:tc>
            </w:tr>
            <w:tr w14:paraId="2E4CCE84">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08" w:hRule="atLeast"/>
                <w:jc w:val="center"/>
              </w:trPr>
              <w:tc>
                <w:tcPr>
                  <w:tcW w:w="298" w:type="pct"/>
                  <w:tcBorders>
                    <w:top w:val="single" w:color="auto" w:sz="8" w:space="0"/>
                    <w:left w:val="nil"/>
                    <w:bottom w:val="single" w:color="auto" w:sz="8" w:space="0"/>
                    <w:right w:val="single" w:color="auto" w:sz="8" w:space="0"/>
                  </w:tcBorders>
                  <w:shd w:val="clear"/>
                  <w:vAlign w:val="center"/>
                </w:tcPr>
                <w:p w14:paraId="3610BF43">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3</w:t>
                  </w:r>
                </w:p>
              </w:tc>
              <w:tc>
                <w:tcPr>
                  <w:tcW w:w="974" w:type="pct"/>
                  <w:tcBorders>
                    <w:top w:val="single" w:color="auto" w:sz="8" w:space="0"/>
                    <w:left w:val="single" w:color="auto" w:sz="8" w:space="0"/>
                    <w:bottom w:val="single" w:color="auto" w:sz="8" w:space="0"/>
                    <w:right w:val="single" w:color="auto" w:sz="8" w:space="0"/>
                  </w:tcBorders>
                  <w:shd w:val="clear"/>
                  <w:vAlign w:val="center"/>
                </w:tcPr>
                <w:p w14:paraId="5B5130FA">
                  <w:pPr>
                    <w:pStyle w:val="56"/>
                    <w:widowControl/>
                    <w:rPr>
                      <w:color w:val="000000"/>
                      <w:bdr w:val="none" w:color="auto" w:sz="0" w:space="0"/>
                      <w:lang w:val="en-US"/>
                    </w:rPr>
                  </w:pPr>
                  <w:r>
                    <w:rPr>
                      <w:color w:val="000000"/>
                      <w:bdr w:val="none" w:color="auto" w:sz="0" w:space="0"/>
                      <w:lang w:val="en-US"/>
                    </w:rPr>
                    <w:t>2#</w:t>
                  </w:r>
                  <w:r>
                    <w:rPr>
                      <w:rFonts w:hint="eastAsia" w:ascii="Tahoma" w:hAnsi="Tahoma" w:eastAsia="宋体" w:cs="宋体"/>
                      <w:color w:val="000000"/>
                      <w:bdr w:val="none" w:color="auto" w:sz="0" w:space="0"/>
                    </w:rPr>
                    <w:t>散户居民</w:t>
                  </w:r>
                </w:p>
              </w:tc>
              <w:tc>
                <w:tcPr>
                  <w:tcW w:w="445" w:type="pct"/>
                  <w:tcBorders>
                    <w:top w:val="single" w:color="auto" w:sz="8" w:space="0"/>
                    <w:left w:val="single" w:color="auto" w:sz="8" w:space="0"/>
                    <w:bottom w:val="single" w:color="auto" w:sz="8" w:space="0"/>
                    <w:right w:val="single" w:color="auto" w:sz="8" w:space="0"/>
                  </w:tcBorders>
                  <w:shd w:val="clear"/>
                  <w:vAlign w:val="center"/>
                </w:tcPr>
                <w:p w14:paraId="38B90A0F">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-60</w:t>
                  </w:r>
                </w:p>
              </w:tc>
              <w:tc>
                <w:tcPr>
                  <w:tcW w:w="533" w:type="pct"/>
                  <w:tcBorders>
                    <w:top w:val="single" w:color="auto" w:sz="8" w:space="0"/>
                    <w:left w:val="single" w:color="auto" w:sz="8" w:space="0"/>
                    <w:bottom w:val="single" w:color="auto" w:sz="8" w:space="0"/>
                    <w:right w:val="single" w:color="auto" w:sz="8" w:space="0"/>
                  </w:tcBorders>
                  <w:shd w:val="clear"/>
                  <w:vAlign w:val="center"/>
                </w:tcPr>
                <w:p w14:paraId="175DC035">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-330</w:t>
                  </w:r>
                </w:p>
              </w:tc>
              <w:tc>
                <w:tcPr>
                  <w:tcW w:w="533" w:type="pct"/>
                  <w:tcBorders>
                    <w:top w:val="single" w:color="auto" w:sz="8" w:space="0"/>
                    <w:left w:val="single" w:color="auto" w:sz="8" w:space="0"/>
                    <w:bottom w:val="single" w:color="auto" w:sz="8" w:space="0"/>
                    <w:right w:val="single" w:color="auto" w:sz="8" w:space="0"/>
                  </w:tcBorders>
                  <w:shd w:val="clear"/>
                  <w:vAlign w:val="center"/>
                </w:tcPr>
                <w:p w14:paraId="6ADAE98C">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SW</w:t>
                  </w:r>
                </w:p>
              </w:tc>
              <w:tc>
                <w:tcPr>
                  <w:tcW w:w="978" w:type="pct"/>
                  <w:tcBorders>
                    <w:top w:val="single" w:color="auto" w:sz="8" w:space="0"/>
                    <w:left w:val="single" w:color="auto" w:sz="8" w:space="0"/>
                    <w:bottom w:val="single" w:color="auto" w:sz="8" w:space="0"/>
                    <w:right w:val="single" w:color="auto" w:sz="8" w:space="0"/>
                  </w:tcBorders>
                  <w:shd w:val="clear"/>
                  <w:vAlign w:val="center"/>
                </w:tcPr>
                <w:p w14:paraId="7BADCAE2">
                  <w:pPr>
                    <w:pStyle w:val="56"/>
                    <w:widowControl/>
                    <w:rPr>
                      <w:rFonts w:hint="default" w:ascii="Times New Roman" w:hAnsi="Times New Roman" w:cs="Tahoma"/>
                      <w:color w:val="000000"/>
                      <w:bdr w:val="none" w:color="auto" w:sz="0" w:space="0"/>
                      <w:lang w:val="en-US"/>
                    </w:rPr>
                  </w:pPr>
                  <w:r>
                    <w:rPr>
                      <w:rFonts w:hint="eastAsia" w:ascii="Times New Roman" w:hAnsi="Tahoma" w:eastAsia="宋体" w:cs="宋体"/>
                      <w:color w:val="000000"/>
                      <w:bdr w:val="none" w:color="auto" w:sz="0" w:space="0"/>
                    </w:rPr>
                    <w:t>约</w:t>
                  </w:r>
                  <w:r>
                    <w:rPr>
                      <w:rFonts w:hint="default" w:ascii="Times New Roman" w:hAnsi="Times New Roman" w:cs="Tahoma"/>
                      <w:color w:val="000000"/>
                      <w:bdr w:val="none" w:color="auto" w:sz="0" w:space="0"/>
                      <w:lang w:val="en-US"/>
                    </w:rPr>
                    <w:t>21</w:t>
                  </w:r>
                  <w:r>
                    <w:rPr>
                      <w:rFonts w:hint="eastAsia" w:ascii="Times New Roman" w:hAnsi="Tahoma" w:eastAsia="宋体" w:cs="宋体"/>
                      <w:color w:val="000000"/>
                      <w:bdr w:val="none" w:color="auto" w:sz="0" w:space="0"/>
                    </w:rPr>
                    <w:t>人</w:t>
                  </w:r>
                </w:p>
              </w:tc>
              <w:tc>
                <w:tcPr>
                  <w:tcW w:w="622" w:type="pct"/>
                  <w:tcBorders>
                    <w:top w:val="single" w:color="auto" w:sz="8" w:space="0"/>
                    <w:left w:val="single" w:color="auto" w:sz="8" w:space="0"/>
                    <w:bottom w:val="single" w:color="auto" w:sz="8" w:space="0"/>
                    <w:right w:val="single" w:color="auto" w:sz="8" w:space="0"/>
                  </w:tcBorders>
                  <w:shd w:val="clear"/>
                  <w:vAlign w:val="center"/>
                </w:tcPr>
                <w:p w14:paraId="2EB72963">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260</w:t>
                  </w:r>
                </w:p>
              </w:tc>
              <w:tc>
                <w:tcPr>
                  <w:tcW w:w="617" w:type="pct"/>
                  <w:vMerge w:val="continue"/>
                  <w:tcBorders>
                    <w:top w:val="single" w:color="auto" w:sz="8" w:space="0"/>
                    <w:left w:val="single" w:color="auto" w:sz="8" w:space="0"/>
                    <w:bottom w:val="single" w:color="auto" w:sz="8" w:space="0"/>
                    <w:right w:val="nil"/>
                  </w:tcBorders>
                  <w:shd w:val="clear"/>
                  <w:vAlign w:val="center"/>
                </w:tcPr>
                <w:p w14:paraId="757AFA5D">
                  <w:pPr>
                    <w:rPr>
                      <w:rFonts w:hint="default" w:ascii="Calibri" w:hAnsi="Calibri" w:cs="Calibri"/>
                      <w:sz w:val="20"/>
                      <w:szCs w:val="20"/>
                    </w:rPr>
                  </w:pPr>
                </w:p>
              </w:tc>
            </w:tr>
            <w:tr w14:paraId="4954F1EA">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44" w:hRule="atLeast"/>
                <w:jc w:val="center"/>
              </w:trPr>
              <w:tc>
                <w:tcPr>
                  <w:tcW w:w="298" w:type="pct"/>
                  <w:tcBorders>
                    <w:top w:val="single" w:color="auto" w:sz="8" w:space="0"/>
                    <w:left w:val="nil"/>
                    <w:bottom w:val="single" w:color="auto" w:sz="8" w:space="0"/>
                    <w:right w:val="single" w:color="auto" w:sz="8" w:space="0"/>
                  </w:tcBorders>
                  <w:shd w:val="clear"/>
                  <w:vAlign w:val="center"/>
                </w:tcPr>
                <w:p w14:paraId="12EE6E2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4</w:t>
                  </w:r>
                </w:p>
              </w:tc>
              <w:tc>
                <w:tcPr>
                  <w:tcW w:w="974" w:type="pct"/>
                  <w:tcBorders>
                    <w:top w:val="single" w:color="auto" w:sz="8" w:space="0"/>
                    <w:left w:val="single" w:color="auto" w:sz="8" w:space="0"/>
                    <w:bottom w:val="single" w:color="auto" w:sz="8" w:space="0"/>
                    <w:right w:val="single" w:color="auto" w:sz="8" w:space="0"/>
                  </w:tcBorders>
                  <w:shd w:val="clear"/>
                  <w:vAlign w:val="center"/>
                </w:tcPr>
                <w:p w14:paraId="37C632D5">
                  <w:pPr>
                    <w:pStyle w:val="56"/>
                    <w:widowControl/>
                    <w:rPr>
                      <w:color w:val="000000"/>
                      <w:bdr w:val="none" w:color="auto" w:sz="0" w:space="0"/>
                      <w:lang w:val="en-US"/>
                    </w:rPr>
                  </w:pPr>
                  <w:r>
                    <w:rPr>
                      <w:rFonts w:hint="eastAsia" w:ascii="Tahoma" w:hAnsi="Tahoma" w:eastAsia="宋体" w:cs="宋体"/>
                      <w:color w:val="000000"/>
                      <w:bdr w:val="none" w:color="auto" w:sz="0" w:space="0"/>
                    </w:rPr>
                    <w:t>玉龙佳苑（</w:t>
                  </w:r>
                  <w:r>
                    <w:rPr>
                      <w:color w:val="000000"/>
                      <w:bdr w:val="none" w:color="auto" w:sz="0" w:space="0"/>
                      <w:lang w:val="en-US"/>
                    </w:rPr>
                    <w:t>A</w:t>
                  </w:r>
                  <w:r>
                    <w:rPr>
                      <w:rFonts w:hint="eastAsia" w:ascii="Tahoma" w:hAnsi="Tahoma" w:eastAsia="宋体" w:cs="宋体"/>
                      <w:color w:val="000000"/>
                      <w:bdr w:val="none" w:color="auto" w:sz="0" w:space="0"/>
                    </w:rPr>
                    <w:t>区、</w:t>
                  </w:r>
                  <w:r>
                    <w:rPr>
                      <w:color w:val="000000"/>
                      <w:bdr w:val="none" w:color="auto" w:sz="0" w:space="0"/>
                      <w:lang w:val="en-US"/>
                    </w:rPr>
                    <w:t>B</w:t>
                  </w:r>
                  <w:r>
                    <w:rPr>
                      <w:rFonts w:hint="eastAsia" w:ascii="Tahoma" w:hAnsi="Tahoma" w:eastAsia="宋体" w:cs="宋体"/>
                      <w:color w:val="000000"/>
                      <w:bdr w:val="none" w:color="auto" w:sz="0" w:space="0"/>
                    </w:rPr>
                    <w:t>区）</w:t>
                  </w:r>
                </w:p>
              </w:tc>
              <w:tc>
                <w:tcPr>
                  <w:tcW w:w="445" w:type="pct"/>
                  <w:tcBorders>
                    <w:top w:val="single" w:color="auto" w:sz="8" w:space="0"/>
                    <w:left w:val="single" w:color="auto" w:sz="8" w:space="0"/>
                    <w:bottom w:val="single" w:color="auto" w:sz="8" w:space="0"/>
                    <w:right w:val="single" w:color="auto" w:sz="8" w:space="0"/>
                  </w:tcBorders>
                  <w:shd w:val="clear"/>
                  <w:vAlign w:val="center"/>
                </w:tcPr>
                <w:p w14:paraId="0C73E37C">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152</w:t>
                  </w:r>
                </w:p>
              </w:tc>
              <w:tc>
                <w:tcPr>
                  <w:tcW w:w="533" w:type="pct"/>
                  <w:tcBorders>
                    <w:top w:val="single" w:color="auto" w:sz="8" w:space="0"/>
                    <w:left w:val="single" w:color="auto" w:sz="8" w:space="0"/>
                    <w:bottom w:val="single" w:color="auto" w:sz="8" w:space="0"/>
                    <w:right w:val="single" w:color="auto" w:sz="8" w:space="0"/>
                  </w:tcBorders>
                  <w:shd w:val="clear"/>
                  <w:vAlign w:val="center"/>
                </w:tcPr>
                <w:p w14:paraId="4D250A69">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0</w:t>
                  </w:r>
                </w:p>
              </w:tc>
              <w:tc>
                <w:tcPr>
                  <w:tcW w:w="533" w:type="pct"/>
                  <w:tcBorders>
                    <w:top w:val="single" w:color="auto" w:sz="8" w:space="0"/>
                    <w:left w:val="single" w:color="auto" w:sz="8" w:space="0"/>
                    <w:bottom w:val="single" w:color="auto" w:sz="8" w:space="0"/>
                    <w:right w:val="single" w:color="auto" w:sz="8" w:space="0"/>
                  </w:tcBorders>
                  <w:shd w:val="clear"/>
                  <w:vAlign w:val="center"/>
                </w:tcPr>
                <w:p w14:paraId="1B7303E2">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N</w:t>
                  </w:r>
                </w:p>
              </w:tc>
              <w:tc>
                <w:tcPr>
                  <w:tcW w:w="978" w:type="pct"/>
                  <w:tcBorders>
                    <w:top w:val="single" w:color="auto" w:sz="8" w:space="0"/>
                    <w:left w:val="single" w:color="auto" w:sz="8" w:space="0"/>
                    <w:bottom w:val="single" w:color="auto" w:sz="8" w:space="0"/>
                    <w:right w:val="single" w:color="auto" w:sz="8" w:space="0"/>
                  </w:tcBorders>
                  <w:shd w:val="clear"/>
                  <w:vAlign w:val="center"/>
                </w:tcPr>
                <w:p w14:paraId="041CC50A">
                  <w:pPr>
                    <w:pStyle w:val="56"/>
                    <w:widowControl/>
                    <w:rPr>
                      <w:rFonts w:hint="default" w:ascii="Times New Roman" w:hAnsi="Times New Roman" w:cs="Tahoma"/>
                      <w:color w:val="000000"/>
                      <w:bdr w:val="none" w:color="auto" w:sz="0" w:space="0"/>
                      <w:lang w:val="en-US"/>
                    </w:rPr>
                  </w:pPr>
                  <w:r>
                    <w:rPr>
                      <w:rFonts w:hint="eastAsia" w:ascii="Times New Roman" w:hAnsi="Tahoma" w:eastAsia="宋体" w:cs="宋体"/>
                      <w:color w:val="000000"/>
                      <w:bdr w:val="none" w:color="auto" w:sz="0" w:space="0"/>
                    </w:rPr>
                    <w:t>约</w:t>
                  </w:r>
                  <w:r>
                    <w:rPr>
                      <w:rFonts w:hint="default" w:ascii="Times New Roman" w:hAnsi="Times New Roman" w:cs="Tahoma"/>
                      <w:color w:val="000000"/>
                      <w:bdr w:val="none" w:color="auto" w:sz="0" w:space="0"/>
                      <w:lang w:val="en-US"/>
                    </w:rPr>
                    <w:t>4080</w:t>
                  </w:r>
                  <w:r>
                    <w:rPr>
                      <w:rFonts w:hint="eastAsia" w:ascii="Times New Roman" w:hAnsi="Tahoma" w:eastAsia="宋体" w:cs="宋体"/>
                      <w:color w:val="000000"/>
                      <w:bdr w:val="none" w:color="auto" w:sz="0" w:space="0"/>
                    </w:rPr>
                    <w:t>人</w:t>
                  </w:r>
                </w:p>
              </w:tc>
              <w:tc>
                <w:tcPr>
                  <w:tcW w:w="622" w:type="pct"/>
                  <w:tcBorders>
                    <w:top w:val="single" w:color="auto" w:sz="8" w:space="0"/>
                    <w:left w:val="single" w:color="auto" w:sz="8" w:space="0"/>
                    <w:bottom w:val="single" w:color="auto" w:sz="8" w:space="0"/>
                    <w:right w:val="single" w:color="auto" w:sz="8" w:space="0"/>
                  </w:tcBorders>
                  <w:shd w:val="clear"/>
                  <w:vAlign w:val="center"/>
                </w:tcPr>
                <w:p w14:paraId="3CED2CB3">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130</w:t>
                  </w:r>
                </w:p>
              </w:tc>
              <w:tc>
                <w:tcPr>
                  <w:tcW w:w="617" w:type="pct"/>
                  <w:vMerge w:val="continue"/>
                  <w:tcBorders>
                    <w:top w:val="single" w:color="auto" w:sz="8" w:space="0"/>
                    <w:left w:val="single" w:color="auto" w:sz="8" w:space="0"/>
                    <w:bottom w:val="single" w:color="auto" w:sz="8" w:space="0"/>
                    <w:right w:val="nil"/>
                  </w:tcBorders>
                  <w:shd w:val="clear"/>
                  <w:vAlign w:val="center"/>
                </w:tcPr>
                <w:p w14:paraId="6B5D91D8">
                  <w:pPr>
                    <w:rPr>
                      <w:rFonts w:hint="default" w:ascii="Calibri" w:hAnsi="Calibri" w:cs="Calibri"/>
                      <w:sz w:val="20"/>
                      <w:szCs w:val="20"/>
                    </w:rPr>
                  </w:pPr>
                </w:p>
              </w:tc>
            </w:tr>
            <w:tr w14:paraId="05037FBD">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193" w:hRule="atLeast"/>
                <w:jc w:val="center"/>
              </w:trPr>
              <w:tc>
                <w:tcPr>
                  <w:tcW w:w="298" w:type="pct"/>
                  <w:tcBorders>
                    <w:top w:val="single" w:color="auto" w:sz="8" w:space="0"/>
                    <w:left w:val="nil"/>
                    <w:bottom w:val="single" w:color="auto" w:sz="8" w:space="0"/>
                    <w:right w:val="single" w:color="auto" w:sz="8" w:space="0"/>
                  </w:tcBorders>
                  <w:shd w:val="clear"/>
                  <w:vAlign w:val="center"/>
                </w:tcPr>
                <w:p w14:paraId="20BC1525">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5</w:t>
                  </w:r>
                </w:p>
              </w:tc>
              <w:tc>
                <w:tcPr>
                  <w:tcW w:w="974" w:type="pct"/>
                  <w:tcBorders>
                    <w:top w:val="single" w:color="auto" w:sz="8" w:space="0"/>
                    <w:left w:val="single" w:color="auto" w:sz="8" w:space="0"/>
                    <w:bottom w:val="single" w:color="auto" w:sz="8" w:space="0"/>
                    <w:right w:val="single" w:color="auto" w:sz="8" w:space="0"/>
                  </w:tcBorders>
                  <w:shd w:val="clear"/>
                  <w:vAlign w:val="center"/>
                </w:tcPr>
                <w:p w14:paraId="612066BE">
                  <w:pPr>
                    <w:pStyle w:val="56"/>
                    <w:widowControl/>
                    <w:rPr>
                      <w:color w:val="000000"/>
                      <w:bdr w:val="none" w:color="auto" w:sz="0" w:space="0"/>
                      <w:lang w:val="en-US"/>
                    </w:rPr>
                  </w:pPr>
                  <w:r>
                    <w:rPr>
                      <w:rFonts w:hint="eastAsia" w:ascii="Tahoma" w:hAnsi="Tahoma" w:eastAsia="宋体" w:cs="宋体"/>
                      <w:color w:val="000000"/>
                      <w:bdr w:val="none" w:color="auto" w:sz="0" w:space="0"/>
                    </w:rPr>
                    <w:t>草街街道社区卫生中心</w:t>
                  </w:r>
                </w:p>
              </w:tc>
              <w:tc>
                <w:tcPr>
                  <w:tcW w:w="445" w:type="pct"/>
                  <w:tcBorders>
                    <w:top w:val="single" w:color="auto" w:sz="8" w:space="0"/>
                    <w:left w:val="single" w:color="auto" w:sz="8" w:space="0"/>
                    <w:bottom w:val="single" w:color="auto" w:sz="8" w:space="0"/>
                    <w:right w:val="single" w:color="auto" w:sz="8" w:space="0"/>
                  </w:tcBorders>
                  <w:shd w:val="clear"/>
                  <w:vAlign w:val="center"/>
                </w:tcPr>
                <w:p w14:paraId="7EB3FF79">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-205</w:t>
                  </w:r>
                </w:p>
              </w:tc>
              <w:tc>
                <w:tcPr>
                  <w:tcW w:w="533" w:type="pct"/>
                  <w:tcBorders>
                    <w:top w:val="single" w:color="auto" w:sz="8" w:space="0"/>
                    <w:left w:val="single" w:color="auto" w:sz="8" w:space="0"/>
                    <w:bottom w:val="single" w:color="auto" w:sz="8" w:space="0"/>
                    <w:right w:val="single" w:color="auto" w:sz="8" w:space="0"/>
                  </w:tcBorders>
                  <w:shd w:val="clear"/>
                  <w:vAlign w:val="center"/>
                </w:tcPr>
                <w:p w14:paraId="1AC12B88">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275</w:t>
                  </w:r>
                </w:p>
              </w:tc>
              <w:tc>
                <w:tcPr>
                  <w:tcW w:w="533" w:type="pct"/>
                  <w:tcBorders>
                    <w:top w:val="single" w:color="auto" w:sz="8" w:space="0"/>
                    <w:left w:val="single" w:color="auto" w:sz="8" w:space="0"/>
                    <w:bottom w:val="single" w:color="auto" w:sz="8" w:space="0"/>
                    <w:right w:val="single" w:color="auto" w:sz="8" w:space="0"/>
                  </w:tcBorders>
                  <w:shd w:val="clear"/>
                  <w:vAlign w:val="center"/>
                </w:tcPr>
                <w:p w14:paraId="74936C7D">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NW</w:t>
                  </w:r>
                </w:p>
              </w:tc>
              <w:tc>
                <w:tcPr>
                  <w:tcW w:w="978" w:type="pct"/>
                  <w:tcBorders>
                    <w:top w:val="single" w:color="auto" w:sz="8" w:space="0"/>
                    <w:left w:val="single" w:color="auto" w:sz="8" w:space="0"/>
                    <w:bottom w:val="single" w:color="auto" w:sz="8" w:space="0"/>
                    <w:right w:val="single" w:color="auto" w:sz="8" w:space="0"/>
                  </w:tcBorders>
                  <w:shd w:val="clear"/>
                  <w:vAlign w:val="center"/>
                </w:tcPr>
                <w:p w14:paraId="70D6BE38">
                  <w:pPr>
                    <w:pStyle w:val="56"/>
                    <w:widowControl/>
                    <w:rPr>
                      <w:rFonts w:hint="default" w:ascii="Times New Roman" w:hAnsi="Times New Roman" w:cs="Tahoma"/>
                      <w:color w:val="000000"/>
                      <w:bdr w:val="none" w:color="auto" w:sz="0" w:space="0"/>
                      <w:lang w:val="en-US"/>
                    </w:rPr>
                  </w:pPr>
                  <w:r>
                    <w:rPr>
                      <w:rFonts w:hint="eastAsia" w:ascii="Times New Roman" w:hAnsi="Tahoma" w:eastAsia="宋体" w:cs="宋体"/>
                      <w:color w:val="000000"/>
                      <w:bdr w:val="none" w:color="auto" w:sz="0" w:space="0"/>
                    </w:rPr>
                    <w:t>约</w:t>
                  </w:r>
                  <w:r>
                    <w:rPr>
                      <w:rFonts w:hint="default" w:ascii="Times New Roman" w:hAnsi="Times New Roman" w:cs="Tahoma"/>
                      <w:color w:val="000000"/>
                      <w:bdr w:val="none" w:color="auto" w:sz="0" w:space="0"/>
                      <w:lang w:val="en-US"/>
                    </w:rPr>
                    <w:t>20</w:t>
                  </w:r>
                  <w:r>
                    <w:rPr>
                      <w:rFonts w:hint="eastAsia" w:ascii="Times New Roman" w:hAnsi="Tahoma" w:eastAsia="宋体" w:cs="宋体"/>
                      <w:color w:val="000000"/>
                      <w:bdr w:val="none" w:color="auto" w:sz="0" w:space="0"/>
                    </w:rPr>
                    <w:t>个床位</w:t>
                  </w:r>
                </w:p>
              </w:tc>
              <w:tc>
                <w:tcPr>
                  <w:tcW w:w="622" w:type="pct"/>
                  <w:tcBorders>
                    <w:top w:val="single" w:color="auto" w:sz="8" w:space="0"/>
                    <w:left w:val="single" w:color="auto" w:sz="8" w:space="0"/>
                    <w:bottom w:val="single" w:color="auto" w:sz="8" w:space="0"/>
                    <w:right w:val="single" w:color="auto" w:sz="8" w:space="0"/>
                  </w:tcBorders>
                  <w:shd w:val="clear"/>
                  <w:vAlign w:val="center"/>
                </w:tcPr>
                <w:p w14:paraId="5D9759EF">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350</w:t>
                  </w:r>
                </w:p>
              </w:tc>
              <w:tc>
                <w:tcPr>
                  <w:tcW w:w="617" w:type="pct"/>
                  <w:vMerge w:val="continue"/>
                  <w:tcBorders>
                    <w:top w:val="single" w:color="auto" w:sz="8" w:space="0"/>
                    <w:left w:val="single" w:color="auto" w:sz="8" w:space="0"/>
                    <w:bottom w:val="single" w:color="auto" w:sz="8" w:space="0"/>
                    <w:right w:val="nil"/>
                  </w:tcBorders>
                  <w:shd w:val="clear"/>
                  <w:vAlign w:val="center"/>
                </w:tcPr>
                <w:p w14:paraId="1D8FDE21">
                  <w:pPr>
                    <w:rPr>
                      <w:rFonts w:hint="default" w:ascii="Calibri" w:hAnsi="Calibri" w:cs="Calibri"/>
                      <w:sz w:val="20"/>
                      <w:szCs w:val="20"/>
                    </w:rPr>
                  </w:pPr>
                </w:p>
              </w:tc>
            </w:tr>
            <w:tr w14:paraId="7052A6E0">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60" w:hRule="atLeast"/>
                <w:jc w:val="center"/>
              </w:trPr>
              <w:tc>
                <w:tcPr>
                  <w:tcW w:w="298" w:type="pct"/>
                  <w:tcBorders>
                    <w:top w:val="single" w:color="auto" w:sz="8" w:space="0"/>
                    <w:left w:val="nil"/>
                    <w:bottom w:val="single" w:color="auto" w:sz="8" w:space="0"/>
                    <w:right w:val="single" w:color="auto" w:sz="8" w:space="0"/>
                  </w:tcBorders>
                  <w:shd w:val="clear"/>
                  <w:vAlign w:val="center"/>
                </w:tcPr>
                <w:p w14:paraId="380FBEBD">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6</w:t>
                  </w:r>
                </w:p>
              </w:tc>
              <w:tc>
                <w:tcPr>
                  <w:tcW w:w="974" w:type="pct"/>
                  <w:tcBorders>
                    <w:top w:val="single" w:color="auto" w:sz="8" w:space="0"/>
                    <w:left w:val="single" w:color="auto" w:sz="8" w:space="0"/>
                    <w:bottom w:val="single" w:color="auto" w:sz="8" w:space="0"/>
                    <w:right w:val="single" w:color="auto" w:sz="8" w:space="0"/>
                  </w:tcBorders>
                  <w:shd w:val="clear"/>
                  <w:vAlign w:val="center"/>
                </w:tcPr>
                <w:p w14:paraId="0EA61CCB">
                  <w:pPr>
                    <w:pStyle w:val="56"/>
                    <w:widowControl/>
                    <w:rPr>
                      <w:color w:val="000000"/>
                      <w:bdr w:val="none" w:color="auto" w:sz="0" w:space="0"/>
                      <w:lang w:val="en-US"/>
                    </w:rPr>
                  </w:pPr>
                  <w:r>
                    <w:rPr>
                      <w:rFonts w:hint="eastAsia" w:ascii="Tahoma" w:hAnsi="Tahoma" w:eastAsia="宋体" w:cs="宋体"/>
                      <w:color w:val="000000"/>
                      <w:bdr w:val="none" w:color="auto" w:sz="0" w:space="0"/>
                    </w:rPr>
                    <w:t>十字路社区居委会</w:t>
                  </w:r>
                </w:p>
              </w:tc>
              <w:tc>
                <w:tcPr>
                  <w:tcW w:w="445" w:type="pct"/>
                  <w:tcBorders>
                    <w:top w:val="single" w:color="auto" w:sz="8" w:space="0"/>
                    <w:left w:val="single" w:color="auto" w:sz="8" w:space="0"/>
                    <w:bottom w:val="single" w:color="auto" w:sz="8" w:space="0"/>
                    <w:right w:val="single" w:color="auto" w:sz="8" w:space="0"/>
                  </w:tcBorders>
                  <w:shd w:val="clear"/>
                  <w:vAlign w:val="center"/>
                </w:tcPr>
                <w:p w14:paraId="7200F1ED">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-320</w:t>
                  </w:r>
                </w:p>
              </w:tc>
              <w:tc>
                <w:tcPr>
                  <w:tcW w:w="533" w:type="pct"/>
                  <w:tcBorders>
                    <w:top w:val="single" w:color="auto" w:sz="8" w:space="0"/>
                    <w:left w:val="single" w:color="auto" w:sz="8" w:space="0"/>
                    <w:bottom w:val="single" w:color="auto" w:sz="8" w:space="0"/>
                    <w:right w:val="single" w:color="auto" w:sz="8" w:space="0"/>
                  </w:tcBorders>
                  <w:shd w:val="clear"/>
                  <w:vAlign w:val="center"/>
                </w:tcPr>
                <w:p w14:paraId="5324BB82">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247</w:t>
                  </w:r>
                </w:p>
              </w:tc>
              <w:tc>
                <w:tcPr>
                  <w:tcW w:w="533" w:type="pct"/>
                  <w:tcBorders>
                    <w:top w:val="single" w:color="auto" w:sz="8" w:space="0"/>
                    <w:left w:val="single" w:color="auto" w:sz="8" w:space="0"/>
                    <w:bottom w:val="single" w:color="auto" w:sz="8" w:space="0"/>
                    <w:right w:val="single" w:color="auto" w:sz="8" w:space="0"/>
                  </w:tcBorders>
                  <w:shd w:val="clear"/>
                  <w:vAlign w:val="center"/>
                </w:tcPr>
                <w:p w14:paraId="5A962A0D">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NW</w:t>
                  </w:r>
                </w:p>
              </w:tc>
              <w:tc>
                <w:tcPr>
                  <w:tcW w:w="978" w:type="pct"/>
                  <w:tcBorders>
                    <w:top w:val="single" w:color="auto" w:sz="8" w:space="0"/>
                    <w:left w:val="single" w:color="auto" w:sz="8" w:space="0"/>
                    <w:bottom w:val="single" w:color="auto" w:sz="8" w:space="0"/>
                    <w:right w:val="single" w:color="auto" w:sz="8" w:space="0"/>
                  </w:tcBorders>
                  <w:shd w:val="clear"/>
                  <w:vAlign w:val="center"/>
                </w:tcPr>
                <w:p w14:paraId="24984926">
                  <w:pPr>
                    <w:pStyle w:val="56"/>
                    <w:widowControl/>
                    <w:rPr>
                      <w:rFonts w:hint="default" w:ascii="Times New Roman" w:hAnsi="Times New Roman" w:cs="Tahoma"/>
                      <w:color w:val="000000"/>
                      <w:bdr w:val="none" w:color="auto" w:sz="0" w:space="0"/>
                      <w:lang w:val="en-US"/>
                    </w:rPr>
                  </w:pPr>
                  <w:r>
                    <w:rPr>
                      <w:rFonts w:hint="eastAsia" w:ascii="Times New Roman" w:hAnsi="Tahoma" w:eastAsia="宋体" w:cs="宋体"/>
                      <w:color w:val="000000"/>
                      <w:bdr w:val="none" w:color="auto" w:sz="0" w:space="0"/>
                    </w:rPr>
                    <w:t>约</w:t>
                  </w:r>
                  <w:r>
                    <w:rPr>
                      <w:rFonts w:hint="default" w:ascii="Times New Roman" w:hAnsi="Times New Roman" w:cs="Tahoma"/>
                      <w:color w:val="000000"/>
                      <w:bdr w:val="none" w:color="auto" w:sz="0" w:space="0"/>
                      <w:lang w:val="en-US"/>
                    </w:rPr>
                    <w:t>30</w:t>
                  </w:r>
                  <w:r>
                    <w:rPr>
                      <w:rFonts w:hint="eastAsia" w:ascii="Times New Roman" w:hAnsi="Tahoma" w:eastAsia="宋体" w:cs="宋体"/>
                      <w:color w:val="000000"/>
                      <w:bdr w:val="none" w:color="auto" w:sz="0" w:space="0"/>
                    </w:rPr>
                    <w:t>人</w:t>
                  </w:r>
                </w:p>
              </w:tc>
              <w:tc>
                <w:tcPr>
                  <w:tcW w:w="622" w:type="pct"/>
                  <w:tcBorders>
                    <w:top w:val="single" w:color="auto" w:sz="8" w:space="0"/>
                    <w:left w:val="single" w:color="auto" w:sz="8" w:space="0"/>
                    <w:bottom w:val="single" w:color="auto" w:sz="8" w:space="0"/>
                    <w:right w:val="single" w:color="auto" w:sz="8" w:space="0"/>
                  </w:tcBorders>
                  <w:shd w:val="clear"/>
                  <w:vAlign w:val="center"/>
                </w:tcPr>
                <w:p w14:paraId="7EE19C13">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400</w:t>
                  </w:r>
                </w:p>
              </w:tc>
              <w:tc>
                <w:tcPr>
                  <w:tcW w:w="617" w:type="pct"/>
                  <w:vMerge w:val="continue"/>
                  <w:tcBorders>
                    <w:top w:val="single" w:color="auto" w:sz="8" w:space="0"/>
                    <w:left w:val="single" w:color="auto" w:sz="8" w:space="0"/>
                    <w:bottom w:val="single" w:color="auto" w:sz="8" w:space="0"/>
                    <w:right w:val="nil"/>
                  </w:tcBorders>
                  <w:shd w:val="clear"/>
                  <w:vAlign w:val="center"/>
                </w:tcPr>
                <w:p w14:paraId="346D75BF">
                  <w:pPr>
                    <w:rPr>
                      <w:rFonts w:hint="default" w:ascii="Calibri" w:hAnsi="Calibri" w:cs="Calibri"/>
                      <w:sz w:val="20"/>
                      <w:szCs w:val="20"/>
                    </w:rPr>
                  </w:pPr>
                </w:p>
              </w:tc>
            </w:tr>
            <w:tr w14:paraId="459BA91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116" w:hRule="atLeast"/>
                <w:jc w:val="center"/>
              </w:trPr>
              <w:tc>
                <w:tcPr>
                  <w:tcW w:w="298" w:type="pct"/>
                  <w:tcBorders>
                    <w:top w:val="single" w:color="auto" w:sz="8" w:space="0"/>
                    <w:left w:val="nil"/>
                    <w:bottom w:val="single" w:color="auto" w:sz="8" w:space="0"/>
                    <w:right w:val="single" w:color="auto" w:sz="8" w:space="0"/>
                  </w:tcBorders>
                  <w:shd w:val="clear"/>
                  <w:vAlign w:val="center"/>
                </w:tcPr>
                <w:p w14:paraId="541DD9F0">
                  <w:pPr>
                    <w:pStyle w:val="91"/>
                    <w:widowControl/>
                    <w:spacing w:line="300" w:lineRule="exact"/>
                    <w:rPr>
                      <w:color w:val="000000"/>
                      <w:bdr w:val="none" w:color="auto" w:sz="0" w:space="0"/>
                      <w:lang w:val="en-US"/>
                    </w:rPr>
                  </w:pPr>
                  <w:r>
                    <w:rPr>
                      <w:color w:val="000000"/>
                      <w:bdr w:val="none" w:color="auto" w:sz="0" w:space="0"/>
                      <w:lang w:val="en-US"/>
                    </w:rPr>
                    <w:t>7</w:t>
                  </w:r>
                </w:p>
              </w:tc>
              <w:tc>
                <w:tcPr>
                  <w:tcW w:w="974" w:type="pct"/>
                  <w:tcBorders>
                    <w:top w:val="single" w:color="auto" w:sz="8" w:space="0"/>
                    <w:left w:val="single" w:color="auto" w:sz="8" w:space="0"/>
                    <w:bottom w:val="single" w:color="auto" w:sz="8" w:space="0"/>
                    <w:right w:val="single" w:color="auto" w:sz="8" w:space="0"/>
                  </w:tcBorders>
                  <w:shd w:val="clear"/>
                  <w:vAlign w:val="center"/>
                </w:tcPr>
                <w:p w14:paraId="241E858A">
                  <w:pPr>
                    <w:pStyle w:val="56"/>
                    <w:widowControl/>
                    <w:rPr>
                      <w:color w:val="000000"/>
                      <w:bdr w:val="none" w:color="auto" w:sz="0" w:space="0"/>
                      <w:lang w:val="en-US"/>
                    </w:rPr>
                  </w:pPr>
                  <w:r>
                    <w:rPr>
                      <w:rFonts w:hint="eastAsia" w:ascii="Tahoma" w:hAnsi="Tahoma" w:eastAsia="宋体" w:cs="宋体"/>
                      <w:color w:val="000000"/>
                      <w:bdr w:val="none" w:color="auto" w:sz="0" w:space="0"/>
                    </w:rPr>
                    <w:t>育才中学</w:t>
                  </w:r>
                </w:p>
              </w:tc>
              <w:tc>
                <w:tcPr>
                  <w:tcW w:w="445" w:type="pct"/>
                  <w:tcBorders>
                    <w:top w:val="single" w:color="auto" w:sz="8" w:space="0"/>
                    <w:left w:val="single" w:color="auto" w:sz="8" w:space="0"/>
                    <w:bottom w:val="single" w:color="auto" w:sz="8" w:space="0"/>
                    <w:right w:val="single" w:color="auto" w:sz="8" w:space="0"/>
                  </w:tcBorders>
                  <w:shd w:val="clear"/>
                  <w:vAlign w:val="center"/>
                </w:tcPr>
                <w:p w14:paraId="4257B312">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-100</w:t>
                  </w:r>
                </w:p>
              </w:tc>
              <w:tc>
                <w:tcPr>
                  <w:tcW w:w="533" w:type="pct"/>
                  <w:tcBorders>
                    <w:top w:val="single" w:color="auto" w:sz="8" w:space="0"/>
                    <w:left w:val="single" w:color="auto" w:sz="8" w:space="0"/>
                    <w:bottom w:val="single" w:color="auto" w:sz="8" w:space="0"/>
                    <w:right w:val="single" w:color="auto" w:sz="8" w:space="0"/>
                  </w:tcBorders>
                  <w:shd w:val="clear"/>
                  <w:vAlign w:val="center"/>
                </w:tcPr>
                <w:p w14:paraId="5E7BDA73">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515</w:t>
                  </w:r>
                </w:p>
              </w:tc>
              <w:tc>
                <w:tcPr>
                  <w:tcW w:w="533" w:type="pct"/>
                  <w:tcBorders>
                    <w:top w:val="single" w:color="auto" w:sz="8" w:space="0"/>
                    <w:left w:val="single" w:color="auto" w:sz="8" w:space="0"/>
                    <w:bottom w:val="single" w:color="auto" w:sz="8" w:space="0"/>
                    <w:right w:val="single" w:color="auto" w:sz="8" w:space="0"/>
                  </w:tcBorders>
                  <w:shd w:val="clear"/>
                  <w:vAlign w:val="center"/>
                </w:tcPr>
                <w:p w14:paraId="72260E15">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NW</w:t>
                  </w:r>
                </w:p>
              </w:tc>
              <w:tc>
                <w:tcPr>
                  <w:tcW w:w="978" w:type="pct"/>
                  <w:tcBorders>
                    <w:top w:val="single" w:color="auto" w:sz="8" w:space="0"/>
                    <w:left w:val="single" w:color="auto" w:sz="8" w:space="0"/>
                    <w:bottom w:val="single" w:color="auto" w:sz="8" w:space="0"/>
                    <w:right w:val="single" w:color="auto" w:sz="8" w:space="0"/>
                  </w:tcBorders>
                  <w:shd w:val="clear"/>
                  <w:vAlign w:val="center"/>
                </w:tcPr>
                <w:p w14:paraId="5060460C">
                  <w:pPr>
                    <w:pStyle w:val="56"/>
                    <w:widowControl/>
                    <w:rPr>
                      <w:rFonts w:hint="default" w:ascii="Times New Roman" w:hAnsi="Times New Roman" w:cs="Tahoma"/>
                      <w:color w:val="000000"/>
                      <w:bdr w:val="none" w:color="auto" w:sz="0" w:space="0"/>
                      <w:lang w:val="en-US"/>
                    </w:rPr>
                  </w:pPr>
                  <w:r>
                    <w:rPr>
                      <w:rFonts w:hint="eastAsia" w:ascii="Times New Roman" w:hAnsi="Tahoma" w:eastAsia="宋体" w:cs="宋体"/>
                      <w:color w:val="000000"/>
                      <w:bdr w:val="none" w:color="auto" w:sz="0" w:space="0"/>
                    </w:rPr>
                    <w:t>师生约</w:t>
                  </w:r>
                  <w:r>
                    <w:rPr>
                      <w:rFonts w:hint="default" w:ascii="Times New Roman" w:hAnsi="Times New Roman" w:cs="Tahoma"/>
                      <w:color w:val="000000"/>
                      <w:bdr w:val="none" w:color="auto" w:sz="0" w:space="0"/>
                      <w:lang w:val="en-US"/>
                    </w:rPr>
                    <w:t>1000</w:t>
                  </w:r>
                  <w:r>
                    <w:rPr>
                      <w:rFonts w:hint="eastAsia" w:ascii="Times New Roman" w:hAnsi="Tahoma" w:eastAsia="宋体" w:cs="宋体"/>
                      <w:color w:val="000000"/>
                      <w:bdr w:val="none" w:color="auto" w:sz="0" w:space="0"/>
                    </w:rPr>
                    <w:t>人</w:t>
                  </w:r>
                </w:p>
              </w:tc>
              <w:tc>
                <w:tcPr>
                  <w:tcW w:w="622" w:type="pct"/>
                  <w:tcBorders>
                    <w:top w:val="single" w:color="auto" w:sz="8" w:space="0"/>
                    <w:left w:val="single" w:color="auto" w:sz="8" w:space="0"/>
                    <w:bottom w:val="single" w:color="auto" w:sz="8" w:space="0"/>
                    <w:right w:val="single" w:color="auto" w:sz="8" w:space="0"/>
                  </w:tcBorders>
                  <w:shd w:val="clear"/>
                  <w:vAlign w:val="center"/>
                </w:tcPr>
                <w:p w14:paraId="2B258F3F">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430</w:t>
                  </w:r>
                </w:p>
              </w:tc>
              <w:tc>
                <w:tcPr>
                  <w:tcW w:w="617" w:type="pct"/>
                  <w:vMerge w:val="continue"/>
                  <w:tcBorders>
                    <w:top w:val="single" w:color="auto" w:sz="8" w:space="0"/>
                    <w:left w:val="single" w:color="auto" w:sz="8" w:space="0"/>
                    <w:bottom w:val="single" w:color="auto" w:sz="8" w:space="0"/>
                    <w:right w:val="nil"/>
                  </w:tcBorders>
                  <w:shd w:val="clear"/>
                  <w:vAlign w:val="center"/>
                </w:tcPr>
                <w:p w14:paraId="50023934">
                  <w:pPr>
                    <w:rPr>
                      <w:rFonts w:hint="default" w:ascii="Calibri" w:hAnsi="Calibri" w:cs="Calibri"/>
                      <w:sz w:val="20"/>
                      <w:szCs w:val="20"/>
                    </w:rPr>
                  </w:pPr>
                </w:p>
              </w:tc>
            </w:tr>
            <w:tr w14:paraId="0A696324">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116" w:hRule="atLeast"/>
                <w:jc w:val="center"/>
              </w:trPr>
              <w:tc>
                <w:tcPr>
                  <w:tcW w:w="298" w:type="pct"/>
                  <w:tcBorders>
                    <w:top w:val="single" w:color="auto" w:sz="8" w:space="0"/>
                    <w:left w:val="nil"/>
                    <w:bottom w:val="single" w:color="auto" w:sz="8" w:space="0"/>
                    <w:right w:val="single" w:color="auto" w:sz="8" w:space="0"/>
                  </w:tcBorders>
                  <w:shd w:val="clear"/>
                  <w:vAlign w:val="center"/>
                </w:tcPr>
                <w:p w14:paraId="4619D08F">
                  <w:pPr>
                    <w:pStyle w:val="91"/>
                    <w:widowControl/>
                    <w:spacing w:line="300" w:lineRule="exact"/>
                    <w:rPr>
                      <w:color w:val="000000"/>
                      <w:bdr w:val="none" w:color="auto" w:sz="0" w:space="0"/>
                      <w:lang w:val="en-US"/>
                    </w:rPr>
                  </w:pPr>
                  <w:r>
                    <w:rPr>
                      <w:color w:val="000000"/>
                      <w:bdr w:val="none" w:color="auto" w:sz="0" w:space="0"/>
                      <w:lang w:val="en-US"/>
                    </w:rPr>
                    <w:t>8</w:t>
                  </w:r>
                </w:p>
              </w:tc>
              <w:tc>
                <w:tcPr>
                  <w:tcW w:w="974" w:type="pct"/>
                  <w:tcBorders>
                    <w:top w:val="single" w:color="auto" w:sz="8" w:space="0"/>
                    <w:left w:val="single" w:color="auto" w:sz="8" w:space="0"/>
                    <w:bottom w:val="single" w:color="auto" w:sz="8" w:space="0"/>
                    <w:right w:val="single" w:color="auto" w:sz="8" w:space="0"/>
                  </w:tcBorders>
                  <w:shd w:val="clear"/>
                  <w:vAlign w:val="center"/>
                </w:tcPr>
                <w:p w14:paraId="16592882">
                  <w:pPr>
                    <w:keepNext w:val="0"/>
                    <w:keepLines w:val="0"/>
                    <w:widowControl w:val="0"/>
                    <w:suppressLineNumbers w:val="0"/>
                    <w:autoSpaceDE w:val="0"/>
                    <w:autoSpaceDN w:val="0"/>
                    <w:adjustRightInd w:val="0"/>
                    <w:spacing w:before="0" w:beforeAutospacing="0" w:after="0" w:afterAutospacing="0"/>
                    <w:ind w:left="0" w:right="0"/>
                    <w:jc w:val="center"/>
                    <w:rPr>
                      <w:color w:val="000000"/>
                      <w:szCs w:val="21"/>
                      <w:bdr w:val="none" w:color="auto" w:sz="0" w:space="0"/>
                      <w:lang w:val="en-US"/>
                    </w:rPr>
                  </w:pPr>
                  <w:r>
                    <w:rPr>
                      <w:rFonts w:hint="eastAsia" w:ascii="宋体" w:hAnsi="Calibri" w:eastAsia="宋体" w:cs="宋体"/>
                      <w:color w:val="000000"/>
                      <w:kern w:val="0"/>
                      <w:sz w:val="21"/>
                      <w:szCs w:val="21"/>
                      <w:bdr w:val="none" w:color="auto" w:sz="0" w:space="0"/>
                      <w:lang w:val="en-US" w:eastAsia="zh-CN" w:bidi="ar"/>
                    </w:rPr>
                    <w:t>草街街道社区镇街</w:t>
                  </w:r>
                </w:p>
              </w:tc>
              <w:tc>
                <w:tcPr>
                  <w:tcW w:w="445" w:type="pct"/>
                  <w:tcBorders>
                    <w:top w:val="single" w:color="auto" w:sz="8" w:space="0"/>
                    <w:left w:val="single" w:color="auto" w:sz="8" w:space="0"/>
                    <w:bottom w:val="single" w:color="auto" w:sz="8" w:space="0"/>
                    <w:right w:val="single" w:color="auto" w:sz="8" w:space="0"/>
                  </w:tcBorders>
                  <w:shd w:val="clear"/>
                  <w:vAlign w:val="center"/>
                </w:tcPr>
                <w:p w14:paraId="3566A494">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-120</w:t>
                  </w:r>
                </w:p>
              </w:tc>
              <w:tc>
                <w:tcPr>
                  <w:tcW w:w="533" w:type="pct"/>
                  <w:tcBorders>
                    <w:top w:val="single" w:color="auto" w:sz="8" w:space="0"/>
                    <w:left w:val="single" w:color="auto" w:sz="8" w:space="0"/>
                    <w:bottom w:val="single" w:color="auto" w:sz="8" w:space="0"/>
                    <w:right w:val="single" w:color="auto" w:sz="8" w:space="0"/>
                  </w:tcBorders>
                  <w:shd w:val="clear"/>
                  <w:vAlign w:val="center"/>
                </w:tcPr>
                <w:p w14:paraId="5DBE0968">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300</w:t>
                  </w:r>
                </w:p>
              </w:tc>
              <w:tc>
                <w:tcPr>
                  <w:tcW w:w="533" w:type="pct"/>
                  <w:tcBorders>
                    <w:top w:val="single" w:color="auto" w:sz="8" w:space="0"/>
                    <w:left w:val="single" w:color="auto" w:sz="8" w:space="0"/>
                    <w:bottom w:val="single" w:color="auto" w:sz="8" w:space="0"/>
                    <w:right w:val="single" w:color="auto" w:sz="8" w:space="0"/>
                  </w:tcBorders>
                  <w:shd w:val="clear"/>
                  <w:vAlign w:val="center"/>
                </w:tcPr>
                <w:p w14:paraId="774E1681">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NW</w:t>
                  </w:r>
                </w:p>
              </w:tc>
              <w:tc>
                <w:tcPr>
                  <w:tcW w:w="978" w:type="pct"/>
                  <w:tcBorders>
                    <w:top w:val="single" w:color="auto" w:sz="8" w:space="0"/>
                    <w:left w:val="single" w:color="auto" w:sz="8" w:space="0"/>
                    <w:bottom w:val="single" w:color="auto" w:sz="8" w:space="0"/>
                    <w:right w:val="single" w:color="auto" w:sz="8" w:space="0"/>
                  </w:tcBorders>
                  <w:shd w:val="clear"/>
                  <w:vAlign w:val="center"/>
                </w:tcPr>
                <w:p w14:paraId="7E49429B">
                  <w:pPr>
                    <w:pStyle w:val="56"/>
                    <w:widowControl/>
                    <w:rPr>
                      <w:rFonts w:hint="default" w:ascii="Times New Roman" w:hAnsi="Times New Roman" w:cs="Tahoma"/>
                      <w:color w:val="000000"/>
                      <w:bdr w:val="none" w:color="auto" w:sz="0" w:space="0"/>
                      <w:lang w:val="en-US"/>
                    </w:rPr>
                  </w:pPr>
                  <w:r>
                    <w:rPr>
                      <w:rFonts w:hint="eastAsia" w:ascii="Times New Roman" w:hAnsi="Tahoma" w:eastAsia="宋体" w:cs="宋体"/>
                      <w:color w:val="000000"/>
                      <w:bdr w:val="none" w:color="auto" w:sz="0" w:space="0"/>
                    </w:rPr>
                    <w:t>约</w:t>
                  </w:r>
                  <w:r>
                    <w:rPr>
                      <w:rFonts w:hint="default" w:ascii="Times New Roman" w:hAnsi="Times New Roman" w:cs="Tahoma"/>
                      <w:color w:val="000000"/>
                      <w:bdr w:val="none" w:color="auto" w:sz="0" w:space="0"/>
                      <w:lang w:val="en-US"/>
                    </w:rPr>
                    <w:t>7000</w:t>
                  </w:r>
                  <w:r>
                    <w:rPr>
                      <w:rFonts w:hint="eastAsia" w:ascii="Times New Roman" w:hAnsi="Tahoma" w:eastAsia="宋体" w:cs="宋体"/>
                      <w:color w:val="000000"/>
                      <w:bdr w:val="none" w:color="auto" w:sz="0" w:space="0"/>
                    </w:rPr>
                    <w:t>人</w:t>
                  </w:r>
                </w:p>
              </w:tc>
              <w:tc>
                <w:tcPr>
                  <w:tcW w:w="622" w:type="pct"/>
                  <w:tcBorders>
                    <w:top w:val="single" w:color="auto" w:sz="8" w:space="0"/>
                    <w:left w:val="single" w:color="auto" w:sz="8" w:space="0"/>
                    <w:bottom w:val="single" w:color="auto" w:sz="8" w:space="0"/>
                    <w:right w:val="single" w:color="auto" w:sz="8" w:space="0"/>
                  </w:tcBorders>
                  <w:shd w:val="clear"/>
                  <w:vAlign w:val="center"/>
                </w:tcPr>
                <w:p w14:paraId="378EFF46">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340</w:t>
                  </w:r>
                </w:p>
              </w:tc>
              <w:tc>
                <w:tcPr>
                  <w:tcW w:w="617" w:type="pct"/>
                  <w:vMerge w:val="continue"/>
                  <w:tcBorders>
                    <w:top w:val="single" w:color="auto" w:sz="8" w:space="0"/>
                    <w:left w:val="single" w:color="auto" w:sz="8" w:space="0"/>
                    <w:bottom w:val="single" w:color="auto" w:sz="8" w:space="0"/>
                    <w:right w:val="nil"/>
                  </w:tcBorders>
                  <w:shd w:val="clear"/>
                  <w:vAlign w:val="center"/>
                </w:tcPr>
                <w:p w14:paraId="36A1387C">
                  <w:pPr>
                    <w:rPr>
                      <w:rFonts w:hint="default" w:ascii="Calibri" w:hAnsi="Calibri" w:cs="Calibri"/>
                      <w:sz w:val="20"/>
                      <w:szCs w:val="20"/>
                    </w:rPr>
                  </w:pPr>
                </w:p>
              </w:tc>
            </w:tr>
            <w:tr w14:paraId="32932E71">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164" w:hRule="atLeast"/>
                <w:jc w:val="center"/>
              </w:trPr>
              <w:tc>
                <w:tcPr>
                  <w:tcW w:w="298" w:type="pct"/>
                  <w:tcBorders>
                    <w:top w:val="single" w:color="auto" w:sz="8" w:space="0"/>
                    <w:left w:val="nil"/>
                    <w:bottom w:val="single" w:color="auto" w:sz="8" w:space="0"/>
                    <w:right w:val="single" w:color="auto" w:sz="8" w:space="0"/>
                  </w:tcBorders>
                  <w:shd w:val="clear"/>
                  <w:vAlign w:val="center"/>
                </w:tcPr>
                <w:p w14:paraId="65A5228D">
                  <w:pPr>
                    <w:pStyle w:val="91"/>
                    <w:widowControl/>
                    <w:spacing w:line="300" w:lineRule="exact"/>
                    <w:rPr>
                      <w:color w:val="000000"/>
                      <w:bdr w:val="none" w:color="auto" w:sz="0" w:space="0"/>
                      <w:lang w:val="en-US"/>
                    </w:rPr>
                  </w:pPr>
                  <w:r>
                    <w:rPr>
                      <w:color w:val="000000"/>
                      <w:bdr w:val="none" w:color="auto" w:sz="0" w:space="0"/>
                      <w:lang w:val="en-US"/>
                    </w:rPr>
                    <w:t>9</w:t>
                  </w:r>
                </w:p>
              </w:tc>
              <w:tc>
                <w:tcPr>
                  <w:tcW w:w="974" w:type="pct"/>
                  <w:tcBorders>
                    <w:top w:val="single" w:color="auto" w:sz="8" w:space="0"/>
                    <w:left w:val="single" w:color="auto" w:sz="8" w:space="0"/>
                    <w:bottom w:val="single" w:color="auto" w:sz="8" w:space="0"/>
                    <w:right w:val="single" w:color="auto" w:sz="8" w:space="0"/>
                  </w:tcBorders>
                  <w:shd w:val="clear"/>
                  <w:vAlign w:val="center"/>
                </w:tcPr>
                <w:p w14:paraId="0685DC20">
                  <w:pPr>
                    <w:pStyle w:val="56"/>
                    <w:widowControl/>
                    <w:rPr>
                      <w:color w:val="000000"/>
                      <w:bdr w:val="none" w:color="auto" w:sz="0" w:space="0"/>
                      <w:lang w:val="en-US"/>
                    </w:rPr>
                  </w:pPr>
                  <w:r>
                    <w:rPr>
                      <w:rFonts w:hint="eastAsia" w:ascii="Tahoma" w:hAnsi="Tahoma" w:eastAsia="宋体" w:cs="宋体"/>
                      <w:color w:val="000000"/>
                      <w:bdr w:val="none" w:color="auto" w:sz="0" w:space="0"/>
                    </w:rPr>
                    <w:t>御龙湾小区</w:t>
                  </w:r>
                </w:p>
              </w:tc>
              <w:tc>
                <w:tcPr>
                  <w:tcW w:w="445" w:type="pct"/>
                  <w:tcBorders>
                    <w:top w:val="single" w:color="auto" w:sz="8" w:space="0"/>
                    <w:left w:val="single" w:color="auto" w:sz="8" w:space="0"/>
                    <w:bottom w:val="single" w:color="auto" w:sz="8" w:space="0"/>
                    <w:right w:val="single" w:color="auto" w:sz="8" w:space="0"/>
                  </w:tcBorders>
                  <w:shd w:val="clear"/>
                  <w:vAlign w:val="center"/>
                </w:tcPr>
                <w:p w14:paraId="4CAE350C">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-290</w:t>
                  </w:r>
                </w:p>
              </w:tc>
              <w:tc>
                <w:tcPr>
                  <w:tcW w:w="533" w:type="pct"/>
                  <w:tcBorders>
                    <w:top w:val="single" w:color="auto" w:sz="8" w:space="0"/>
                    <w:left w:val="single" w:color="auto" w:sz="8" w:space="0"/>
                    <w:bottom w:val="single" w:color="auto" w:sz="8" w:space="0"/>
                    <w:right w:val="single" w:color="auto" w:sz="8" w:space="0"/>
                  </w:tcBorders>
                  <w:shd w:val="clear"/>
                  <w:vAlign w:val="center"/>
                </w:tcPr>
                <w:p w14:paraId="289B9926">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0</w:t>
                  </w:r>
                </w:p>
              </w:tc>
              <w:tc>
                <w:tcPr>
                  <w:tcW w:w="533" w:type="pct"/>
                  <w:tcBorders>
                    <w:top w:val="single" w:color="auto" w:sz="8" w:space="0"/>
                    <w:left w:val="single" w:color="auto" w:sz="8" w:space="0"/>
                    <w:bottom w:val="single" w:color="auto" w:sz="8" w:space="0"/>
                    <w:right w:val="single" w:color="auto" w:sz="8" w:space="0"/>
                  </w:tcBorders>
                  <w:shd w:val="clear"/>
                  <w:vAlign w:val="center"/>
                </w:tcPr>
                <w:p w14:paraId="25028D13">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W</w:t>
                  </w:r>
                </w:p>
              </w:tc>
              <w:tc>
                <w:tcPr>
                  <w:tcW w:w="978" w:type="pct"/>
                  <w:tcBorders>
                    <w:top w:val="single" w:color="auto" w:sz="8" w:space="0"/>
                    <w:left w:val="single" w:color="auto" w:sz="8" w:space="0"/>
                    <w:bottom w:val="single" w:color="auto" w:sz="8" w:space="0"/>
                    <w:right w:val="single" w:color="auto" w:sz="8" w:space="0"/>
                  </w:tcBorders>
                  <w:shd w:val="clear"/>
                  <w:vAlign w:val="center"/>
                </w:tcPr>
                <w:p w14:paraId="5A41831F">
                  <w:pPr>
                    <w:pStyle w:val="56"/>
                    <w:widowControl/>
                    <w:rPr>
                      <w:rFonts w:hint="default" w:ascii="Times New Roman" w:hAnsi="Times New Roman" w:cs="Tahoma"/>
                      <w:color w:val="000000"/>
                      <w:bdr w:val="none" w:color="auto" w:sz="0" w:space="0"/>
                      <w:lang w:val="en-US"/>
                    </w:rPr>
                  </w:pPr>
                  <w:r>
                    <w:rPr>
                      <w:rFonts w:hint="eastAsia" w:ascii="Times New Roman" w:hAnsi="Tahoma" w:eastAsia="宋体" w:cs="宋体"/>
                      <w:color w:val="000000"/>
                      <w:bdr w:val="none" w:color="auto" w:sz="0" w:space="0"/>
                    </w:rPr>
                    <w:t>约</w:t>
                  </w:r>
                  <w:r>
                    <w:rPr>
                      <w:rFonts w:hint="default" w:ascii="Times New Roman" w:hAnsi="Times New Roman" w:cs="Tahoma"/>
                      <w:color w:val="000000"/>
                      <w:bdr w:val="none" w:color="auto" w:sz="0" w:space="0"/>
                      <w:lang w:val="en-US"/>
                    </w:rPr>
                    <w:t>4185</w:t>
                  </w:r>
                  <w:r>
                    <w:rPr>
                      <w:rFonts w:hint="eastAsia" w:ascii="Times New Roman" w:hAnsi="Tahoma" w:eastAsia="宋体" w:cs="宋体"/>
                      <w:color w:val="000000"/>
                      <w:bdr w:val="none" w:color="auto" w:sz="0" w:space="0"/>
                    </w:rPr>
                    <w:t>人</w:t>
                  </w:r>
                </w:p>
              </w:tc>
              <w:tc>
                <w:tcPr>
                  <w:tcW w:w="622" w:type="pct"/>
                  <w:tcBorders>
                    <w:top w:val="single" w:color="auto" w:sz="8" w:space="0"/>
                    <w:left w:val="single" w:color="auto" w:sz="8" w:space="0"/>
                    <w:bottom w:val="single" w:color="auto" w:sz="8" w:space="0"/>
                    <w:right w:val="single" w:color="auto" w:sz="8" w:space="0"/>
                  </w:tcBorders>
                  <w:shd w:val="clear"/>
                  <w:vAlign w:val="center"/>
                </w:tcPr>
                <w:p w14:paraId="5455DDA6">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260</w:t>
                  </w:r>
                </w:p>
              </w:tc>
              <w:tc>
                <w:tcPr>
                  <w:tcW w:w="617" w:type="pct"/>
                  <w:vMerge w:val="continue"/>
                  <w:tcBorders>
                    <w:top w:val="single" w:color="auto" w:sz="8" w:space="0"/>
                    <w:left w:val="single" w:color="auto" w:sz="8" w:space="0"/>
                    <w:bottom w:val="single" w:color="auto" w:sz="8" w:space="0"/>
                    <w:right w:val="nil"/>
                  </w:tcBorders>
                  <w:shd w:val="clear"/>
                  <w:vAlign w:val="center"/>
                </w:tcPr>
                <w:p w14:paraId="2934E71F">
                  <w:pPr>
                    <w:rPr>
                      <w:rFonts w:hint="default" w:ascii="Calibri" w:hAnsi="Calibri" w:cs="Calibri"/>
                      <w:sz w:val="20"/>
                      <w:szCs w:val="20"/>
                    </w:rPr>
                  </w:pPr>
                </w:p>
              </w:tc>
            </w:tr>
            <w:tr w14:paraId="79E5976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164" w:hRule="atLeast"/>
                <w:jc w:val="center"/>
              </w:trPr>
              <w:tc>
                <w:tcPr>
                  <w:tcW w:w="298" w:type="pct"/>
                  <w:tcBorders>
                    <w:top w:val="single" w:color="auto" w:sz="8" w:space="0"/>
                    <w:left w:val="nil"/>
                    <w:bottom w:val="single" w:color="auto" w:sz="8" w:space="0"/>
                    <w:right w:val="single" w:color="auto" w:sz="8" w:space="0"/>
                  </w:tcBorders>
                  <w:shd w:val="clear"/>
                  <w:vAlign w:val="center"/>
                </w:tcPr>
                <w:p w14:paraId="703814DF">
                  <w:pPr>
                    <w:pStyle w:val="91"/>
                    <w:widowControl/>
                    <w:spacing w:line="300" w:lineRule="exact"/>
                    <w:rPr>
                      <w:color w:val="000000"/>
                      <w:bdr w:val="none" w:color="auto" w:sz="0" w:space="0"/>
                      <w:lang w:val="en-US"/>
                    </w:rPr>
                  </w:pPr>
                  <w:r>
                    <w:rPr>
                      <w:color w:val="000000"/>
                      <w:bdr w:val="none" w:color="auto" w:sz="0" w:space="0"/>
                      <w:lang w:val="en-US"/>
                    </w:rPr>
                    <w:t>10</w:t>
                  </w:r>
                </w:p>
              </w:tc>
              <w:tc>
                <w:tcPr>
                  <w:tcW w:w="974" w:type="pct"/>
                  <w:tcBorders>
                    <w:top w:val="single" w:color="auto" w:sz="8" w:space="0"/>
                    <w:left w:val="single" w:color="auto" w:sz="8" w:space="0"/>
                    <w:bottom w:val="single" w:color="auto" w:sz="8" w:space="0"/>
                    <w:right w:val="single" w:color="auto" w:sz="8" w:space="0"/>
                  </w:tcBorders>
                  <w:shd w:val="clear"/>
                  <w:vAlign w:val="center"/>
                </w:tcPr>
                <w:p w14:paraId="7CAF83BD">
                  <w:pPr>
                    <w:pStyle w:val="56"/>
                    <w:widowControl/>
                    <w:rPr>
                      <w:color w:val="000000"/>
                      <w:bdr w:val="none" w:color="auto" w:sz="0" w:space="0"/>
                      <w:lang w:val="en-US"/>
                    </w:rPr>
                  </w:pPr>
                  <w:r>
                    <w:rPr>
                      <w:rFonts w:hint="eastAsia" w:ascii="Tahoma" w:hAnsi="Tahoma" w:eastAsia="宋体" w:cs="宋体"/>
                      <w:color w:val="000000"/>
                      <w:bdr w:val="none" w:color="auto" w:sz="0" w:space="0"/>
                    </w:rPr>
                    <w:t>规划教育科研用地</w:t>
                  </w:r>
                </w:p>
              </w:tc>
              <w:tc>
                <w:tcPr>
                  <w:tcW w:w="445" w:type="pct"/>
                  <w:tcBorders>
                    <w:top w:val="single" w:color="auto" w:sz="8" w:space="0"/>
                    <w:left w:val="single" w:color="auto" w:sz="8" w:space="0"/>
                    <w:bottom w:val="single" w:color="auto" w:sz="8" w:space="0"/>
                    <w:right w:val="single" w:color="auto" w:sz="8" w:space="0"/>
                  </w:tcBorders>
                  <w:shd w:val="clear"/>
                  <w:vAlign w:val="center"/>
                </w:tcPr>
                <w:p w14:paraId="421DC422">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-180</w:t>
                  </w:r>
                </w:p>
              </w:tc>
              <w:tc>
                <w:tcPr>
                  <w:tcW w:w="533" w:type="pct"/>
                  <w:tcBorders>
                    <w:top w:val="single" w:color="auto" w:sz="8" w:space="0"/>
                    <w:left w:val="single" w:color="auto" w:sz="8" w:space="0"/>
                    <w:bottom w:val="single" w:color="auto" w:sz="8" w:space="0"/>
                    <w:right w:val="single" w:color="auto" w:sz="8" w:space="0"/>
                  </w:tcBorders>
                  <w:shd w:val="clear"/>
                  <w:vAlign w:val="center"/>
                </w:tcPr>
                <w:p w14:paraId="2B9A4094">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-90</w:t>
                  </w:r>
                </w:p>
              </w:tc>
              <w:tc>
                <w:tcPr>
                  <w:tcW w:w="533" w:type="pct"/>
                  <w:tcBorders>
                    <w:top w:val="single" w:color="auto" w:sz="8" w:space="0"/>
                    <w:left w:val="single" w:color="auto" w:sz="8" w:space="0"/>
                    <w:bottom w:val="single" w:color="auto" w:sz="8" w:space="0"/>
                    <w:right w:val="single" w:color="auto" w:sz="8" w:space="0"/>
                  </w:tcBorders>
                  <w:shd w:val="clear"/>
                  <w:vAlign w:val="center"/>
                </w:tcPr>
                <w:p w14:paraId="387C75FE">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SW</w:t>
                  </w:r>
                </w:p>
              </w:tc>
              <w:tc>
                <w:tcPr>
                  <w:tcW w:w="978" w:type="pct"/>
                  <w:tcBorders>
                    <w:top w:val="single" w:color="auto" w:sz="8" w:space="0"/>
                    <w:left w:val="single" w:color="auto" w:sz="8" w:space="0"/>
                    <w:bottom w:val="single" w:color="auto" w:sz="8" w:space="0"/>
                    <w:right w:val="single" w:color="auto" w:sz="8" w:space="0"/>
                  </w:tcBorders>
                  <w:shd w:val="clear"/>
                  <w:vAlign w:val="center"/>
                </w:tcPr>
                <w:p w14:paraId="455EBC27">
                  <w:pPr>
                    <w:pStyle w:val="56"/>
                    <w:widowControl/>
                    <w:rPr>
                      <w:rFonts w:hint="default" w:ascii="Times New Roman" w:hAnsi="Times New Roman" w:cs="Tahoma"/>
                      <w:color w:val="000000"/>
                      <w:bdr w:val="none" w:color="auto" w:sz="0" w:space="0"/>
                      <w:lang w:val="en-US"/>
                    </w:rPr>
                  </w:pPr>
                  <w:r>
                    <w:rPr>
                      <w:rFonts w:hint="eastAsia" w:ascii="Times New Roman" w:hAnsi="Tahoma" w:eastAsia="宋体" w:cs="宋体"/>
                      <w:color w:val="000000"/>
                      <w:bdr w:val="none" w:color="auto" w:sz="0" w:space="0"/>
                    </w:rPr>
                    <w:t>规划教育科研用地</w:t>
                  </w:r>
                </w:p>
              </w:tc>
              <w:tc>
                <w:tcPr>
                  <w:tcW w:w="622" w:type="pct"/>
                  <w:tcBorders>
                    <w:top w:val="single" w:color="auto" w:sz="8" w:space="0"/>
                    <w:left w:val="single" w:color="auto" w:sz="8" w:space="0"/>
                    <w:bottom w:val="single" w:color="auto" w:sz="8" w:space="0"/>
                    <w:right w:val="single" w:color="auto" w:sz="8" w:space="0"/>
                  </w:tcBorders>
                  <w:shd w:val="clear"/>
                  <w:vAlign w:val="center"/>
                </w:tcPr>
                <w:p w14:paraId="50764115">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170</w:t>
                  </w:r>
                </w:p>
              </w:tc>
              <w:tc>
                <w:tcPr>
                  <w:tcW w:w="617" w:type="pct"/>
                  <w:vMerge w:val="continue"/>
                  <w:tcBorders>
                    <w:top w:val="single" w:color="auto" w:sz="8" w:space="0"/>
                    <w:left w:val="single" w:color="auto" w:sz="8" w:space="0"/>
                    <w:bottom w:val="single" w:color="auto" w:sz="8" w:space="0"/>
                    <w:right w:val="nil"/>
                  </w:tcBorders>
                  <w:shd w:val="clear"/>
                  <w:vAlign w:val="center"/>
                </w:tcPr>
                <w:p w14:paraId="0073F0B9">
                  <w:pPr>
                    <w:rPr>
                      <w:rFonts w:hint="default" w:ascii="Calibri" w:hAnsi="Calibri" w:cs="Calibri"/>
                      <w:sz w:val="20"/>
                      <w:szCs w:val="20"/>
                    </w:rPr>
                  </w:pPr>
                </w:p>
              </w:tc>
            </w:tr>
            <w:tr w14:paraId="095A3DC2">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164" w:hRule="atLeast"/>
                <w:jc w:val="center"/>
              </w:trPr>
              <w:tc>
                <w:tcPr>
                  <w:tcW w:w="298" w:type="pct"/>
                  <w:tcBorders>
                    <w:top w:val="single" w:color="auto" w:sz="8" w:space="0"/>
                    <w:left w:val="nil"/>
                    <w:bottom w:val="single" w:color="auto" w:sz="8" w:space="0"/>
                    <w:right w:val="single" w:color="auto" w:sz="8" w:space="0"/>
                  </w:tcBorders>
                  <w:shd w:val="clear"/>
                  <w:vAlign w:val="center"/>
                </w:tcPr>
                <w:p w14:paraId="19CD1A0B">
                  <w:pPr>
                    <w:pStyle w:val="91"/>
                    <w:widowControl/>
                    <w:spacing w:line="300" w:lineRule="exact"/>
                    <w:rPr>
                      <w:color w:val="000000"/>
                      <w:bdr w:val="none" w:color="auto" w:sz="0" w:space="0"/>
                      <w:lang w:val="en-US"/>
                    </w:rPr>
                  </w:pPr>
                  <w:r>
                    <w:rPr>
                      <w:color w:val="000000"/>
                      <w:bdr w:val="none" w:color="auto" w:sz="0" w:space="0"/>
                      <w:lang w:val="en-US"/>
                    </w:rPr>
                    <w:t>11</w:t>
                  </w:r>
                </w:p>
              </w:tc>
              <w:tc>
                <w:tcPr>
                  <w:tcW w:w="974" w:type="pct"/>
                  <w:tcBorders>
                    <w:top w:val="single" w:color="auto" w:sz="8" w:space="0"/>
                    <w:left w:val="single" w:color="auto" w:sz="8" w:space="0"/>
                    <w:bottom w:val="single" w:color="auto" w:sz="8" w:space="0"/>
                    <w:right w:val="single" w:color="auto" w:sz="8" w:space="0"/>
                  </w:tcBorders>
                  <w:shd w:val="clear"/>
                  <w:vAlign w:val="center"/>
                </w:tcPr>
                <w:p w14:paraId="0C7372C4">
                  <w:pPr>
                    <w:pStyle w:val="56"/>
                    <w:widowControl/>
                    <w:rPr>
                      <w:color w:val="000000"/>
                      <w:bdr w:val="none" w:color="auto" w:sz="0" w:space="0"/>
                      <w:lang w:val="en-US"/>
                    </w:rPr>
                  </w:pPr>
                  <w:r>
                    <w:rPr>
                      <w:rFonts w:hint="eastAsia" w:ascii="Tahoma" w:hAnsi="Tahoma" w:eastAsia="宋体" w:cs="宋体"/>
                      <w:color w:val="000000"/>
                      <w:bdr w:val="none" w:color="auto" w:sz="0" w:space="0"/>
                    </w:rPr>
                    <w:t>规划教育科研用地</w:t>
                  </w:r>
                </w:p>
              </w:tc>
              <w:tc>
                <w:tcPr>
                  <w:tcW w:w="445" w:type="pct"/>
                  <w:tcBorders>
                    <w:top w:val="single" w:color="auto" w:sz="8" w:space="0"/>
                    <w:left w:val="single" w:color="auto" w:sz="8" w:space="0"/>
                    <w:bottom w:val="single" w:color="auto" w:sz="8" w:space="0"/>
                    <w:right w:val="single" w:color="auto" w:sz="8" w:space="0"/>
                  </w:tcBorders>
                  <w:shd w:val="clear"/>
                  <w:vAlign w:val="center"/>
                </w:tcPr>
                <w:p w14:paraId="69209E81">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-180</w:t>
                  </w:r>
                </w:p>
              </w:tc>
              <w:tc>
                <w:tcPr>
                  <w:tcW w:w="533" w:type="pct"/>
                  <w:tcBorders>
                    <w:top w:val="single" w:color="auto" w:sz="8" w:space="0"/>
                    <w:left w:val="single" w:color="auto" w:sz="8" w:space="0"/>
                    <w:bottom w:val="single" w:color="auto" w:sz="8" w:space="0"/>
                    <w:right w:val="single" w:color="auto" w:sz="8" w:space="0"/>
                  </w:tcBorders>
                  <w:shd w:val="clear"/>
                  <w:vAlign w:val="center"/>
                </w:tcPr>
                <w:p w14:paraId="6CA9227C">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-90</w:t>
                  </w:r>
                </w:p>
              </w:tc>
              <w:tc>
                <w:tcPr>
                  <w:tcW w:w="533" w:type="pct"/>
                  <w:tcBorders>
                    <w:top w:val="single" w:color="auto" w:sz="8" w:space="0"/>
                    <w:left w:val="single" w:color="auto" w:sz="8" w:space="0"/>
                    <w:bottom w:val="single" w:color="auto" w:sz="8" w:space="0"/>
                    <w:right w:val="single" w:color="auto" w:sz="8" w:space="0"/>
                  </w:tcBorders>
                  <w:shd w:val="clear"/>
                  <w:vAlign w:val="center"/>
                </w:tcPr>
                <w:p w14:paraId="754CC574">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SW</w:t>
                  </w:r>
                </w:p>
              </w:tc>
              <w:tc>
                <w:tcPr>
                  <w:tcW w:w="978" w:type="pct"/>
                  <w:tcBorders>
                    <w:top w:val="single" w:color="auto" w:sz="8" w:space="0"/>
                    <w:left w:val="single" w:color="auto" w:sz="8" w:space="0"/>
                    <w:bottom w:val="single" w:color="auto" w:sz="8" w:space="0"/>
                    <w:right w:val="single" w:color="auto" w:sz="8" w:space="0"/>
                  </w:tcBorders>
                  <w:shd w:val="clear"/>
                  <w:vAlign w:val="center"/>
                </w:tcPr>
                <w:p w14:paraId="41D0FBFB">
                  <w:pPr>
                    <w:pStyle w:val="56"/>
                    <w:widowControl/>
                    <w:rPr>
                      <w:rFonts w:hint="default" w:ascii="Times New Roman" w:hAnsi="Times New Roman" w:cs="Tahoma"/>
                      <w:color w:val="000000"/>
                      <w:bdr w:val="none" w:color="auto" w:sz="0" w:space="0"/>
                      <w:lang w:val="en-US"/>
                    </w:rPr>
                  </w:pPr>
                  <w:r>
                    <w:rPr>
                      <w:rFonts w:hint="eastAsia" w:ascii="Times New Roman" w:hAnsi="Tahoma" w:eastAsia="宋体" w:cs="宋体"/>
                      <w:color w:val="000000"/>
                      <w:bdr w:val="none" w:color="auto" w:sz="0" w:space="0"/>
                    </w:rPr>
                    <w:t>规划教育科研用地</w:t>
                  </w:r>
                </w:p>
              </w:tc>
              <w:tc>
                <w:tcPr>
                  <w:tcW w:w="622" w:type="pct"/>
                  <w:tcBorders>
                    <w:top w:val="single" w:color="auto" w:sz="8" w:space="0"/>
                    <w:left w:val="single" w:color="auto" w:sz="8" w:space="0"/>
                    <w:bottom w:val="single" w:color="auto" w:sz="8" w:space="0"/>
                    <w:right w:val="single" w:color="auto" w:sz="8" w:space="0"/>
                  </w:tcBorders>
                  <w:shd w:val="clear"/>
                  <w:vAlign w:val="center"/>
                </w:tcPr>
                <w:p w14:paraId="703B7BE8">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450</w:t>
                  </w:r>
                </w:p>
              </w:tc>
              <w:tc>
                <w:tcPr>
                  <w:tcW w:w="617" w:type="pct"/>
                  <w:vMerge w:val="continue"/>
                  <w:tcBorders>
                    <w:top w:val="single" w:color="auto" w:sz="8" w:space="0"/>
                    <w:left w:val="single" w:color="auto" w:sz="8" w:space="0"/>
                    <w:bottom w:val="single" w:color="auto" w:sz="8" w:space="0"/>
                    <w:right w:val="nil"/>
                  </w:tcBorders>
                  <w:shd w:val="clear"/>
                  <w:vAlign w:val="center"/>
                </w:tcPr>
                <w:p w14:paraId="77A6D2C0">
                  <w:pPr>
                    <w:rPr>
                      <w:rFonts w:hint="default" w:ascii="Calibri" w:hAnsi="Calibri" w:cs="Calibri"/>
                      <w:sz w:val="20"/>
                      <w:szCs w:val="20"/>
                    </w:rPr>
                  </w:pPr>
                </w:p>
              </w:tc>
            </w:tr>
            <w:tr w14:paraId="274C788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164" w:hRule="atLeast"/>
                <w:jc w:val="center"/>
              </w:trPr>
              <w:tc>
                <w:tcPr>
                  <w:tcW w:w="298" w:type="pct"/>
                  <w:tcBorders>
                    <w:top w:val="single" w:color="auto" w:sz="8" w:space="0"/>
                    <w:left w:val="nil"/>
                    <w:bottom w:val="single" w:color="auto" w:sz="8" w:space="0"/>
                    <w:right w:val="single" w:color="auto" w:sz="8" w:space="0"/>
                  </w:tcBorders>
                  <w:shd w:val="clear"/>
                  <w:vAlign w:val="center"/>
                </w:tcPr>
                <w:p w14:paraId="0A321C23">
                  <w:pPr>
                    <w:pStyle w:val="91"/>
                    <w:widowControl/>
                    <w:spacing w:line="300" w:lineRule="exact"/>
                    <w:rPr>
                      <w:color w:val="000000"/>
                      <w:bdr w:val="none" w:color="auto" w:sz="0" w:space="0"/>
                      <w:lang w:val="en-US"/>
                    </w:rPr>
                  </w:pPr>
                  <w:r>
                    <w:rPr>
                      <w:color w:val="000000"/>
                      <w:bdr w:val="none" w:color="auto" w:sz="0" w:space="0"/>
                      <w:lang w:val="en-US"/>
                    </w:rPr>
                    <w:t>12</w:t>
                  </w:r>
                </w:p>
              </w:tc>
              <w:tc>
                <w:tcPr>
                  <w:tcW w:w="974" w:type="pct"/>
                  <w:tcBorders>
                    <w:top w:val="single" w:color="auto" w:sz="8" w:space="0"/>
                    <w:left w:val="single" w:color="auto" w:sz="8" w:space="0"/>
                    <w:bottom w:val="single" w:color="auto" w:sz="8" w:space="0"/>
                    <w:right w:val="single" w:color="auto" w:sz="8" w:space="0"/>
                  </w:tcBorders>
                  <w:shd w:val="clear"/>
                  <w:vAlign w:val="center"/>
                </w:tcPr>
                <w:p w14:paraId="46B5B2AE">
                  <w:pPr>
                    <w:pStyle w:val="56"/>
                    <w:widowControl/>
                    <w:rPr>
                      <w:color w:val="000000"/>
                      <w:bdr w:val="none" w:color="auto" w:sz="0" w:space="0"/>
                      <w:lang w:val="en-US"/>
                    </w:rPr>
                  </w:pPr>
                  <w:r>
                    <w:rPr>
                      <w:rFonts w:hint="eastAsia" w:ascii="Tahoma" w:hAnsi="Tahoma" w:eastAsia="宋体" w:cs="宋体"/>
                      <w:color w:val="000000"/>
                      <w:bdr w:val="none" w:color="auto" w:sz="0" w:space="0"/>
                    </w:rPr>
                    <w:t>规划的二类居住用地</w:t>
                  </w:r>
                </w:p>
              </w:tc>
              <w:tc>
                <w:tcPr>
                  <w:tcW w:w="445" w:type="pct"/>
                  <w:tcBorders>
                    <w:top w:val="single" w:color="auto" w:sz="8" w:space="0"/>
                    <w:left w:val="single" w:color="auto" w:sz="8" w:space="0"/>
                    <w:bottom w:val="single" w:color="auto" w:sz="8" w:space="0"/>
                    <w:right w:val="single" w:color="auto" w:sz="8" w:space="0"/>
                  </w:tcBorders>
                  <w:shd w:val="clear"/>
                  <w:vAlign w:val="center"/>
                </w:tcPr>
                <w:p w14:paraId="2B6C971A">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-30</w:t>
                  </w:r>
                </w:p>
              </w:tc>
              <w:tc>
                <w:tcPr>
                  <w:tcW w:w="533" w:type="pct"/>
                  <w:tcBorders>
                    <w:top w:val="single" w:color="auto" w:sz="8" w:space="0"/>
                    <w:left w:val="single" w:color="auto" w:sz="8" w:space="0"/>
                    <w:bottom w:val="single" w:color="auto" w:sz="8" w:space="0"/>
                    <w:right w:val="single" w:color="auto" w:sz="8" w:space="0"/>
                  </w:tcBorders>
                  <w:shd w:val="clear"/>
                  <w:vAlign w:val="center"/>
                </w:tcPr>
                <w:p w14:paraId="69DC804D">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132</w:t>
                  </w:r>
                </w:p>
              </w:tc>
              <w:tc>
                <w:tcPr>
                  <w:tcW w:w="533" w:type="pct"/>
                  <w:tcBorders>
                    <w:top w:val="single" w:color="auto" w:sz="8" w:space="0"/>
                    <w:left w:val="single" w:color="auto" w:sz="8" w:space="0"/>
                    <w:bottom w:val="single" w:color="auto" w:sz="8" w:space="0"/>
                    <w:right w:val="single" w:color="auto" w:sz="8" w:space="0"/>
                  </w:tcBorders>
                  <w:shd w:val="clear"/>
                  <w:vAlign w:val="center"/>
                </w:tcPr>
                <w:p w14:paraId="6E35F6A5">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NW</w:t>
                  </w:r>
                </w:p>
              </w:tc>
              <w:tc>
                <w:tcPr>
                  <w:tcW w:w="978" w:type="pct"/>
                  <w:tcBorders>
                    <w:top w:val="single" w:color="auto" w:sz="8" w:space="0"/>
                    <w:left w:val="single" w:color="auto" w:sz="8" w:space="0"/>
                    <w:bottom w:val="single" w:color="auto" w:sz="8" w:space="0"/>
                    <w:right w:val="single" w:color="auto" w:sz="8" w:space="0"/>
                  </w:tcBorders>
                  <w:shd w:val="clear"/>
                  <w:vAlign w:val="center"/>
                </w:tcPr>
                <w:p w14:paraId="01FA570F">
                  <w:pPr>
                    <w:pStyle w:val="56"/>
                    <w:widowControl/>
                    <w:rPr>
                      <w:rFonts w:hint="default" w:ascii="Times New Roman" w:hAnsi="Times New Roman" w:cs="Tahoma"/>
                      <w:color w:val="000000"/>
                      <w:bdr w:val="none" w:color="auto" w:sz="0" w:space="0"/>
                      <w:lang w:val="en-US"/>
                    </w:rPr>
                  </w:pPr>
                  <w:r>
                    <w:rPr>
                      <w:rFonts w:hint="eastAsia" w:ascii="Times New Roman" w:hAnsi="Tahoma" w:eastAsia="宋体" w:cs="宋体"/>
                      <w:color w:val="000000"/>
                      <w:bdr w:val="none" w:color="auto" w:sz="0" w:space="0"/>
                    </w:rPr>
                    <w:t>规划的二类居住用地</w:t>
                  </w:r>
                </w:p>
              </w:tc>
              <w:tc>
                <w:tcPr>
                  <w:tcW w:w="622" w:type="pct"/>
                  <w:tcBorders>
                    <w:top w:val="single" w:color="auto" w:sz="8" w:space="0"/>
                    <w:left w:val="single" w:color="auto" w:sz="8" w:space="0"/>
                    <w:bottom w:val="single" w:color="auto" w:sz="8" w:space="0"/>
                    <w:right w:val="single" w:color="auto" w:sz="8" w:space="0"/>
                  </w:tcBorders>
                  <w:shd w:val="clear"/>
                  <w:vAlign w:val="center"/>
                </w:tcPr>
                <w:p w14:paraId="70CCFCFD">
                  <w:pPr>
                    <w:pStyle w:val="56"/>
                    <w:widowControl/>
                    <w:rPr>
                      <w:rFonts w:hint="default" w:ascii="Times New Roman" w:hAnsi="Times New Roman" w:cs="Tahoma"/>
                      <w:color w:val="000000"/>
                      <w:bdr w:val="none" w:color="auto" w:sz="0" w:space="0"/>
                      <w:lang w:val="en-US"/>
                    </w:rPr>
                  </w:pPr>
                  <w:r>
                    <w:rPr>
                      <w:rFonts w:hint="default" w:ascii="Times New Roman" w:hAnsi="Times New Roman" w:cs="Tahoma"/>
                      <w:color w:val="000000"/>
                      <w:bdr w:val="none" w:color="auto" w:sz="0" w:space="0"/>
                      <w:lang w:val="en-US"/>
                    </w:rPr>
                    <w:t>123</w:t>
                  </w:r>
                </w:p>
              </w:tc>
              <w:tc>
                <w:tcPr>
                  <w:tcW w:w="617" w:type="pct"/>
                  <w:vMerge w:val="continue"/>
                  <w:tcBorders>
                    <w:top w:val="single" w:color="auto" w:sz="8" w:space="0"/>
                    <w:left w:val="single" w:color="auto" w:sz="8" w:space="0"/>
                    <w:bottom w:val="single" w:color="auto" w:sz="8" w:space="0"/>
                    <w:right w:val="nil"/>
                  </w:tcBorders>
                  <w:shd w:val="clear"/>
                  <w:vAlign w:val="center"/>
                </w:tcPr>
                <w:p w14:paraId="129CEAEF">
                  <w:pPr>
                    <w:rPr>
                      <w:rFonts w:hint="default" w:ascii="Calibri" w:hAnsi="Calibri" w:cs="Calibri"/>
                      <w:sz w:val="20"/>
                      <w:szCs w:val="20"/>
                    </w:rPr>
                  </w:pPr>
                </w:p>
              </w:tc>
            </w:tr>
            <w:tr w14:paraId="4C5DAD70">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164" w:hRule="atLeast"/>
                <w:jc w:val="center"/>
              </w:trPr>
              <w:tc>
                <w:tcPr>
                  <w:tcW w:w="5000" w:type="pct"/>
                  <w:gridSpan w:val="8"/>
                  <w:tcBorders>
                    <w:top w:val="single" w:color="auto" w:sz="8" w:space="0"/>
                    <w:left w:val="nil"/>
                    <w:bottom w:val="single" w:color="auto" w:sz="12" w:space="0"/>
                    <w:right w:val="nil"/>
                  </w:tcBorders>
                  <w:shd w:val="clear"/>
                  <w:vAlign w:val="center"/>
                </w:tcPr>
                <w:p w14:paraId="5B791290">
                  <w:pPr>
                    <w:keepNext w:val="0"/>
                    <w:keepLines w:val="0"/>
                    <w:widowControl w:val="0"/>
                    <w:suppressLineNumbers w:val="0"/>
                    <w:spacing w:before="0" w:beforeAutospacing="0" w:after="0" w:afterAutospacing="0" w:line="300" w:lineRule="exact"/>
                    <w:ind w:left="0" w:right="0"/>
                    <w:jc w:val="left"/>
                    <w:rPr>
                      <w:rFonts w:hint="default" w:ascii="Times New Roman" w:hAnsi="Calibri" w:cs="Times New Roman"/>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注：以</w:t>
                  </w:r>
                  <w:r>
                    <w:rPr>
                      <w:rFonts w:hint="eastAsia" w:ascii="宋体" w:hAnsi="宋体" w:eastAsia="宋体" w:cs="宋体"/>
                      <w:color w:val="000000"/>
                      <w:kern w:val="2"/>
                      <w:sz w:val="21"/>
                      <w:szCs w:val="21"/>
                      <w:bdr w:val="none" w:color="auto" w:sz="0" w:space="0"/>
                      <w:lang w:val="en-US" w:eastAsia="zh-CN" w:bidi="ar"/>
                    </w:rPr>
                    <w:t>厂界西北角为坐标原点</w:t>
                  </w:r>
                  <w:r>
                    <w:rPr>
                      <w:rFonts w:hint="eastAsia" w:ascii="Times New Roman" w:hAnsi="宋体" w:eastAsia="宋体" w:cs="宋体"/>
                      <w:color w:val="000000"/>
                      <w:kern w:val="2"/>
                      <w:sz w:val="21"/>
                      <w:szCs w:val="21"/>
                      <w:bdr w:val="none" w:color="auto" w:sz="0" w:space="0"/>
                      <w:lang w:val="en-US" w:eastAsia="zh-CN" w:bidi="ar"/>
                    </w:rPr>
                    <w:t>（</w:t>
                  </w:r>
                  <w:r>
                    <w:rPr>
                      <w:rFonts w:hint="default" w:ascii="Times New Roman" w:hAnsi="Times New Roman" w:eastAsia="宋体" w:cs="Times New Roman"/>
                      <w:color w:val="000000"/>
                      <w:kern w:val="2"/>
                      <w:sz w:val="21"/>
                      <w:szCs w:val="21"/>
                      <w:bdr w:val="none" w:color="auto" w:sz="0" w:space="0"/>
                      <w:lang w:val="en-US" w:eastAsia="zh-CN" w:bidi="ar"/>
                    </w:rPr>
                    <w:t>0</w:t>
                  </w:r>
                  <w:r>
                    <w:rPr>
                      <w:rFonts w:hint="eastAsia" w:ascii="Times New Roman" w:hAnsi="宋体" w:eastAsia="宋体" w:cs="宋体"/>
                      <w:color w:val="000000"/>
                      <w:kern w:val="2"/>
                      <w:sz w:val="21"/>
                      <w:szCs w:val="21"/>
                      <w:bdr w:val="none" w:color="auto" w:sz="0" w:space="0"/>
                      <w:lang w:val="en-US" w:eastAsia="zh-CN" w:bidi="ar"/>
                    </w:rPr>
                    <w:t>，</w:t>
                  </w:r>
                  <w:r>
                    <w:rPr>
                      <w:rFonts w:hint="default" w:ascii="Times New Roman" w:hAnsi="Times New Roman" w:eastAsia="宋体" w:cs="Times New Roman"/>
                      <w:color w:val="000000"/>
                      <w:kern w:val="2"/>
                      <w:sz w:val="21"/>
                      <w:szCs w:val="21"/>
                      <w:bdr w:val="none" w:color="auto" w:sz="0" w:space="0"/>
                      <w:lang w:val="en-US" w:eastAsia="zh-CN" w:bidi="ar"/>
                    </w:rPr>
                    <w:t>0</w:t>
                  </w:r>
                  <w:r>
                    <w:rPr>
                      <w:rFonts w:hint="eastAsia" w:ascii="Times New Roman" w:hAnsi="宋体" w:eastAsia="宋体" w:cs="宋体"/>
                      <w:color w:val="000000"/>
                      <w:kern w:val="2"/>
                      <w:sz w:val="21"/>
                      <w:szCs w:val="21"/>
                      <w:bdr w:val="none" w:color="auto" w:sz="0" w:space="0"/>
                      <w:lang w:val="en-US" w:eastAsia="zh-CN" w:bidi="ar"/>
                    </w:rPr>
                    <w:t>）</w:t>
                  </w:r>
                </w:p>
              </w:tc>
            </w:tr>
          </w:tbl>
          <w:p w14:paraId="3E915C51">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Times New Roman" w:cs="Times New Roman"/>
                <w:b/>
                <w:bCs w:val="0"/>
                <w:color w:val="000000"/>
                <w:kern w:val="0"/>
                <w:sz w:val="24"/>
                <w:szCs w:val="24"/>
                <w:bdr w:val="none" w:color="auto" w:sz="0" w:space="0"/>
                <w:lang w:val="en-US"/>
              </w:rPr>
            </w:pPr>
            <w:r>
              <w:rPr>
                <w:rFonts w:hint="default" w:ascii="Times New Roman" w:hAnsi="Times New Roman" w:eastAsia="宋体" w:cs="Times New Roman"/>
                <w:b/>
                <w:bCs w:val="0"/>
                <w:color w:val="000000"/>
                <w:kern w:val="0"/>
                <w:sz w:val="24"/>
                <w:szCs w:val="24"/>
                <w:bdr w:val="none" w:color="auto" w:sz="0" w:space="0"/>
                <w:lang w:val="en-US" w:eastAsia="zh-CN" w:bidi="ar"/>
              </w:rPr>
              <w:t>3.6.2</w:t>
            </w:r>
            <w:r>
              <w:rPr>
                <w:rFonts w:hint="eastAsia" w:ascii="Times New Roman" w:hAnsi="Times New Roman" w:eastAsia="宋体" w:cs="宋体"/>
                <w:b/>
                <w:bCs w:val="0"/>
                <w:color w:val="000000"/>
                <w:kern w:val="0"/>
                <w:sz w:val="24"/>
                <w:szCs w:val="24"/>
                <w:bdr w:val="none" w:color="auto" w:sz="0" w:space="0"/>
                <w:lang w:val="en-US" w:eastAsia="zh-CN" w:bidi="ar"/>
              </w:rPr>
              <w:t>声环境保护目标</w:t>
            </w:r>
          </w:p>
          <w:p w14:paraId="3A68E301">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kern w:val="0"/>
                <w:sz w:val="24"/>
                <w:szCs w:val="24"/>
                <w:bdr w:val="none" w:color="auto" w:sz="0" w:space="0"/>
                <w:lang w:val="en-US"/>
              </w:rPr>
            </w:pPr>
            <w:r>
              <w:rPr>
                <w:rFonts w:hint="eastAsia" w:ascii="Times New Roman" w:hAnsi="Times New Roman" w:eastAsia="宋体" w:cs="宋体"/>
                <w:color w:val="000000"/>
                <w:kern w:val="0"/>
                <w:sz w:val="24"/>
                <w:szCs w:val="24"/>
                <w:bdr w:val="none" w:color="auto" w:sz="0" w:space="0"/>
                <w:lang w:val="en-US" w:eastAsia="zh-CN" w:bidi="ar"/>
              </w:rPr>
              <w:t>扩建项目厂界外</w:t>
            </w:r>
            <w:r>
              <w:rPr>
                <w:rFonts w:hint="default" w:ascii="Times New Roman" w:hAnsi="Times New Roman" w:eastAsia="宋体" w:cs="Times New Roman"/>
                <w:color w:val="000000"/>
                <w:kern w:val="0"/>
                <w:sz w:val="24"/>
                <w:szCs w:val="24"/>
                <w:bdr w:val="none" w:color="auto" w:sz="0" w:space="0"/>
                <w:lang w:val="en-US" w:eastAsia="zh-CN" w:bidi="ar"/>
              </w:rPr>
              <w:t>50m</w:t>
            </w:r>
            <w:r>
              <w:rPr>
                <w:rFonts w:hint="eastAsia" w:ascii="Times New Roman" w:hAnsi="Times New Roman" w:eastAsia="宋体" w:cs="宋体"/>
                <w:color w:val="000000"/>
                <w:kern w:val="0"/>
                <w:sz w:val="24"/>
                <w:szCs w:val="24"/>
                <w:bdr w:val="none" w:color="auto" w:sz="0" w:space="0"/>
                <w:lang w:val="en-US" w:eastAsia="zh-CN" w:bidi="ar"/>
              </w:rPr>
              <w:t>范围内声环境保护目标见表</w:t>
            </w:r>
            <w:r>
              <w:rPr>
                <w:rFonts w:hint="default" w:ascii="Times New Roman" w:hAnsi="Times New Roman" w:eastAsia="宋体" w:cs="Times New Roman"/>
                <w:color w:val="000000"/>
                <w:kern w:val="0"/>
                <w:sz w:val="24"/>
                <w:szCs w:val="24"/>
                <w:bdr w:val="none" w:color="auto" w:sz="0" w:space="0"/>
                <w:lang w:val="en-US" w:eastAsia="zh-CN" w:bidi="ar"/>
              </w:rPr>
              <w:t>3.6-2</w:t>
            </w:r>
            <w:r>
              <w:rPr>
                <w:rFonts w:hint="eastAsia" w:ascii="Times New Roman" w:hAnsi="Times New Roman" w:eastAsia="宋体" w:cs="宋体"/>
                <w:color w:val="000000"/>
                <w:kern w:val="0"/>
                <w:sz w:val="24"/>
                <w:szCs w:val="24"/>
                <w:bdr w:val="none" w:color="auto" w:sz="0" w:space="0"/>
                <w:lang w:val="en-US" w:eastAsia="zh-CN" w:bidi="ar"/>
              </w:rPr>
              <w:t>。</w:t>
            </w:r>
          </w:p>
          <w:p w14:paraId="20B4E108">
            <w:pPr>
              <w:keepNext w:val="0"/>
              <w:keepLines w:val="0"/>
              <w:widowControl w:val="0"/>
              <w:suppressLineNumbers w:val="0"/>
              <w:spacing w:before="0" w:beforeAutospacing="0" w:after="0" w:afterAutospacing="0" w:line="440" w:lineRule="exact"/>
              <w:ind w:left="0" w:right="0" w:firstLine="480"/>
              <w:jc w:val="center"/>
              <w:rPr>
                <w:rFonts w:hint="default" w:ascii="Times New Roman" w:hAnsi="Times New Roman" w:cs="Times New Roman"/>
                <w:color w:val="000000"/>
                <w:kern w:val="0"/>
                <w:sz w:val="24"/>
                <w:szCs w:val="24"/>
                <w:bdr w:val="none" w:color="auto" w:sz="0" w:space="0"/>
                <w:lang w:val="en-US"/>
              </w:rPr>
            </w:pPr>
          </w:p>
          <w:p w14:paraId="0F8E71E1">
            <w:pPr>
              <w:keepNext w:val="0"/>
              <w:keepLines w:val="0"/>
              <w:widowControl w:val="0"/>
              <w:suppressLineNumbers w:val="0"/>
              <w:spacing w:before="0" w:beforeAutospacing="0" w:after="0" w:afterAutospacing="0" w:line="440" w:lineRule="exact"/>
              <w:ind w:left="0" w:right="0" w:firstLine="480"/>
              <w:jc w:val="center"/>
              <w:rPr>
                <w:rFonts w:hint="default" w:ascii="Times New Roman" w:hAnsi="Times New Roman" w:cs="Times New Roman"/>
                <w:color w:val="000000"/>
                <w:kern w:val="0"/>
                <w:sz w:val="24"/>
                <w:szCs w:val="24"/>
                <w:bdr w:val="none" w:color="auto" w:sz="0" w:space="0"/>
                <w:lang w:val="en-US"/>
              </w:rPr>
            </w:pPr>
            <w:r>
              <w:rPr>
                <w:rFonts w:hint="eastAsia" w:ascii="Times New Roman" w:hAnsi="Times New Roman" w:eastAsia="宋体" w:cs="宋体"/>
                <w:color w:val="000000"/>
                <w:kern w:val="0"/>
                <w:sz w:val="24"/>
                <w:szCs w:val="24"/>
                <w:bdr w:val="none" w:color="auto" w:sz="0" w:space="0"/>
                <w:lang w:val="en-US" w:eastAsia="zh-CN" w:bidi="ar"/>
              </w:rPr>
              <w:t>表</w:t>
            </w:r>
            <w:r>
              <w:rPr>
                <w:rFonts w:hint="default" w:ascii="Times New Roman" w:hAnsi="Times New Roman" w:eastAsia="宋体" w:cs="Times New Roman"/>
                <w:color w:val="000000"/>
                <w:kern w:val="0"/>
                <w:sz w:val="24"/>
                <w:szCs w:val="24"/>
                <w:bdr w:val="none" w:color="auto" w:sz="0" w:space="0"/>
                <w:lang w:val="en-US" w:eastAsia="zh-CN" w:bidi="ar"/>
              </w:rPr>
              <w:t xml:space="preserve">3.6-2 </w:t>
            </w:r>
            <w:r>
              <w:rPr>
                <w:rFonts w:hint="eastAsia" w:ascii="Times New Roman" w:hAnsi="Times New Roman" w:eastAsia="宋体" w:cs="宋体"/>
                <w:color w:val="000000"/>
                <w:kern w:val="0"/>
                <w:sz w:val="24"/>
                <w:szCs w:val="24"/>
                <w:bdr w:val="none" w:color="auto" w:sz="0" w:space="0"/>
                <w:lang w:val="en-US" w:eastAsia="zh-CN" w:bidi="ar"/>
              </w:rPr>
              <w:t>厂界外</w:t>
            </w:r>
            <w:r>
              <w:rPr>
                <w:rFonts w:hint="default" w:ascii="Times New Roman" w:hAnsi="Times New Roman" w:eastAsia="宋体" w:cs="Times New Roman"/>
                <w:color w:val="000000"/>
                <w:kern w:val="0"/>
                <w:sz w:val="24"/>
                <w:szCs w:val="24"/>
                <w:bdr w:val="none" w:color="auto" w:sz="0" w:space="0"/>
                <w:lang w:val="en-US" w:eastAsia="zh-CN" w:bidi="ar"/>
              </w:rPr>
              <w:t>50m</w:t>
            </w:r>
            <w:r>
              <w:rPr>
                <w:rFonts w:hint="eastAsia" w:ascii="Times New Roman" w:hAnsi="Times New Roman" w:eastAsia="宋体" w:cs="宋体"/>
                <w:color w:val="000000"/>
                <w:kern w:val="0"/>
                <w:sz w:val="24"/>
                <w:szCs w:val="24"/>
                <w:bdr w:val="none" w:color="auto" w:sz="0" w:space="0"/>
                <w:lang w:val="en-US" w:eastAsia="zh-CN" w:bidi="ar"/>
              </w:rPr>
              <w:t>范围内声环境保护目标</w:t>
            </w:r>
          </w:p>
          <w:tbl>
            <w:tblPr>
              <w:tblStyle w:val="18"/>
              <w:tblW w:w="5000" w:type="pct"/>
              <w:jc w:val="center"/>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shd w:val="clear"/>
              <w:tblLayout w:type="fixed"/>
              <w:tblCellMar>
                <w:top w:w="0" w:type="dxa"/>
                <w:left w:w="45" w:type="dxa"/>
                <w:bottom w:w="0" w:type="dxa"/>
                <w:right w:w="45" w:type="dxa"/>
              </w:tblCellMar>
            </w:tblPr>
            <w:tblGrid>
              <w:gridCol w:w="1320"/>
              <w:gridCol w:w="709"/>
              <w:gridCol w:w="709"/>
              <w:gridCol w:w="1367"/>
              <w:gridCol w:w="1006"/>
              <w:gridCol w:w="1290"/>
              <w:gridCol w:w="842"/>
              <w:gridCol w:w="732"/>
            </w:tblGrid>
            <w:tr w14:paraId="15138861">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shd w:val="clear"/>
                <w:tblCellMar>
                  <w:top w:w="0" w:type="dxa"/>
                  <w:left w:w="45" w:type="dxa"/>
                  <w:bottom w:w="0" w:type="dxa"/>
                  <w:right w:w="45" w:type="dxa"/>
                </w:tblCellMar>
              </w:tblPrEx>
              <w:trPr>
                <w:trHeight w:val="300" w:hRule="atLeast"/>
                <w:jc w:val="center"/>
              </w:trPr>
              <w:tc>
                <w:tcPr>
                  <w:tcW w:w="1320" w:type="dxa"/>
                  <w:vMerge w:val="restart"/>
                  <w:tcBorders>
                    <w:top w:val="single" w:color="auto" w:sz="12" w:space="0"/>
                    <w:left w:val="nil"/>
                    <w:bottom w:val="single" w:color="auto" w:sz="4" w:space="0"/>
                    <w:right w:val="single" w:color="000000" w:sz="6" w:space="0"/>
                  </w:tcBorders>
                  <w:shd w:val="clear"/>
                  <w:vAlign w:val="center"/>
                </w:tcPr>
                <w:p w14:paraId="2FD9086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名称</w:t>
                  </w:r>
                </w:p>
              </w:tc>
              <w:tc>
                <w:tcPr>
                  <w:tcW w:w="1418" w:type="dxa"/>
                  <w:gridSpan w:val="2"/>
                  <w:tcBorders>
                    <w:top w:val="single" w:color="auto" w:sz="12" w:space="0"/>
                    <w:left w:val="single" w:color="000000" w:sz="6" w:space="0"/>
                    <w:bottom w:val="single" w:color="000000" w:sz="6" w:space="0"/>
                    <w:right w:val="single" w:color="000000" w:sz="6" w:space="0"/>
                  </w:tcBorders>
                  <w:shd w:val="clear"/>
                  <w:vAlign w:val="center"/>
                </w:tcPr>
                <w:p w14:paraId="6C0AC00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坐标</w:t>
                  </w:r>
                  <w:r>
                    <w:rPr>
                      <w:rFonts w:hint="default" w:ascii="Times New Roman" w:hAnsi="Times New Roman" w:eastAsia="宋体" w:cs="Times New Roman"/>
                      <w:color w:val="000000"/>
                      <w:kern w:val="0"/>
                      <w:sz w:val="21"/>
                      <w:szCs w:val="21"/>
                      <w:bdr w:val="none" w:color="auto" w:sz="0" w:space="0"/>
                      <w:lang w:val="en-US" w:eastAsia="zh-CN" w:bidi="ar"/>
                    </w:rPr>
                    <w:t>(m)</w:t>
                  </w:r>
                </w:p>
              </w:tc>
              <w:tc>
                <w:tcPr>
                  <w:tcW w:w="1366" w:type="dxa"/>
                  <w:vMerge w:val="restart"/>
                  <w:tcBorders>
                    <w:top w:val="single" w:color="auto" w:sz="12" w:space="0"/>
                    <w:left w:val="single" w:color="000000" w:sz="6" w:space="0"/>
                    <w:bottom w:val="single" w:color="auto" w:sz="4" w:space="0"/>
                    <w:right w:val="single" w:color="000000" w:sz="6" w:space="0"/>
                  </w:tcBorders>
                  <w:shd w:val="clear"/>
                  <w:vAlign w:val="center"/>
                </w:tcPr>
                <w:p w14:paraId="4164C33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保护对象</w:t>
                  </w:r>
                </w:p>
              </w:tc>
              <w:tc>
                <w:tcPr>
                  <w:tcW w:w="1006" w:type="dxa"/>
                  <w:vMerge w:val="restart"/>
                  <w:tcBorders>
                    <w:top w:val="single" w:color="auto" w:sz="12" w:space="0"/>
                    <w:left w:val="single" w:color="000000" w:sz="6" w:space="0"/>
                    <w:bottom w:val="single" w:color="auto" w:sz="4" w:space="0"/>
                    <w:right w:val="single" w:color="000000" w:sz="6" w:space="0"/>
                  </w:tcBorders>
                  <w:shd w:val="clear"/>
                  <w:vAlign w:val="center"/>
                </w:tcPr>
                <w:p w14:paraId="577FB39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保护内容</w:t>
                  </w:r>
                </w:p>
              </w:tc>
              <w:tc>
                <w:tcPr>
                  <w:tcW w:w="1290" w:type="dxa"/>
                  <w:vMerge w:val="restart"/>
                  <w:tcBorders>
                    <w:top w:val="single" w:color="auto" w:sz="12" w:space="0"/>
                    <w:left w:val="single" w:color="000000" w:sz="6" w:space="0"/>
                    <w:bottom w:val="single" w:color="auto" w:sz="4" w:space="0"/>
                    <w:right w:val="single" w:color="000000" w:sz="6" w:space="0"/>
                  </w:tcBorders>
                  <w:shd w:val="clear"/>
                  <w:vAlign w:val="center"/>
                </w:tcPr>
                <w:p w14:paraId="2B525D0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环境功能区</w:t>
                  </w:r>
                </w:p>
              </w:tc>
              <w:tc>
                <w:tcPr>
                  <w:tcW w:w="842" w:type="dxa"/>
                  <w:vMerge w:val="restart"/>
                  <w:tcBorders>
                    <w:top w:val="single" w:color="auto" w:sz="12" w:space="0"/>
                    <w:left w:val="single" w:color="000000" w:sz="6" w:space="0"/>
                    <w:bottom w:val="single" w:color="auto" w:sz="4" w:space="0"/>
                    <w:right w:val="single" w:color="000000" w:sz="6" w:space="0"/>
                  </w:tcBorders>
                  <w:shd w:val="clear"/>
                  <w:vAlign w:val="center"/>
                </w:tcPr>
                <w:p w14:paraId="6D297A60">
                  <w:pPr>
                    <w:keepNext w:val="0"/>
                    <w:keepLines w:val="0"/>
                    <w:widowControl/>
                    <w:suppressLineNumbers w:val="0"/>
                    <w:spacing w:before="0" w:beforeAutospacing="0" w:after="0" w:afterAutospacing="0"/>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相对</w:t>
                  </w:r>
                </w:p>
                <w:p w14:paraId="01B19CA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方位</w:t>
                  </w:r>
                </w:p>
              </w:tc>
              <w:tc>
                <w:tcPr>
                  <w:tcW w:w="732" w:type="dxa"/>
                  <w:vMerge w:val="restart"/>
                  <w:tcBorders>
                    <w:top w:val="single" w:color="auto" w:sz="12" w:space="0"/>
                    <w:left w:val="single" w:color="000000" w:sz="6" w:space="0"/>
                    <w:bottom w:val="single" w:color="auto" w:sz="4" w:space="0"/>
                    <w:right w:val="nil"/>
                  </w:tcBorders>
                  <w:shd w:val="clear"/>
                  <w:vAlign w:val="center"/>
                </w:tcPr>
                <w:p w14:paraId="32C5E91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最近距离</w:t>
                  </w:r>
                  <w:r>
                    <w:rPr>
                      <w:rFonts w:hint="default" w:ascii="Times New Roman" w:hAnsi="Times New Roman" w:eastAsia="宋体" w:cs="Times New Roman"/>
                      <w:color w:val="000000"/>
                      <w:kern w:val="0"/>
                      <w:sz w:val="21"/>
                      <w:szCs w:val="21"/>
                      <w:bdr w:val="none" w:color="auto" w:sz="0" w:space="0"/>
                      <w:lang w:val="en-US" w:eastAsia="zh-CN" w:bidi="ar"/>
                    </w:rPr>
                    <w:t>/m</w:t>
                  </w:r>
                </w:p>
              </w:tc>
            </w:tr>
            <w:tr w14:paraId="29DD3B83">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45" w:type="dxa"/>
                  <w:bottom w:w="0" w:type="dxa"/>
                  <w:right w:w="45" w:type="dxa"/>
                </w:tblCellMar>
              </w:tblPrEx>
              <w:trPr>
                <w:trHeight w:val="286" w:hRule="atLeast"/>
                <w:jc w:val="center"/>
              </w:trPr>
              <w:tc>
                <w:tcPr>
                  <w:tcW w:w="1320" w:type="dxa"/>
                  <w:vMerge w:val="continue"/>
                  <w:tcBorders>
                    <w:top w:val="single" w:color="auto" w:sz="12" w:space="0"/>
                    <w:left w:val="nil"/>
                    <w:bottom w:val="single" w:color="auto" w:sz="4" w:space="0"/>
                    <w:right w:val="single" w:color="000000" w:sz="6" w:space="0"/>
                  </w:tcBorders>
                  <w:shd w:val="clear"/>
                  <w:vAlign w:val="center"/>
                </w:tcPr>
                <w:p w14:paraId="554265F2">
                  <w:pPr>
                    <w:rPr>
                      <w:rFonts w:hint="default" w:ascii="Calibri" w:hAnsi="Calibri" w:cs="Calibri"/>
                      <w:sz w:val="20"/>
                      <w:szCs w:val="20"/>
                    </w:rPr>
                  </w:pPr>
                </w:p>
              </w:tc>
              <w:tc>
                <w:tcPr>
                  <w:tcW w:w="709" w:type="dxa"/>
                  <w:tcBorders>
                    <w:top w:val="single" w:color="000000" w:sz="6" w:space="0"/>
                    <w:left w:val="single" w:color="000000" w:sz="6" w:space="0"/>
                    <w:bottom w:val="single" w:color="auto" w:sz="4" w:space="0"/>
                    <w:right w:val="single" w:color="000000" w:sz="6" w:space="0"/>
                  </w:tcBorders>
                  <w:shd w:val="clear"/>
                  <w:vAlign w:val="center"/>
                </w:tcPr>
                <w:p w14:paraId="7FD3AD8E">
                  <w:pPr>
                    <w:pStyle w:val="80"/>
                    <w:widowControl/>
                    <w:jc w:val="center"/>
                    <w:rPr>
                      <w:b w:val="0"/>
                      <w:bCs w:val="0"/>
                      <w:color w:val="000000"/>
                      <w:bdr w:val="none" w:color="auto" w:sz="0" w:space="0"/>
                      <w:lang w:val="en-US" w:eastAsia="zh-CN"/>
                    </w:rPr>
                  </w:pPr>
                  <w:r>
                    <w:rPr>
                      <w:b w:val="0"/>
                      <w:bCs w:val="0"/>
                      <w:color w:val="000000"/>
                      <w:bdr w:val="none" w:color="auto" w:sz="0" w:space="0"/>
                      <w:lang w:val="en-US" w:eastAsia="zh-CN"/>
                    </w:rPr>
                    <w:t>X</w:t>
                  </w:r>
                </w:p>
              </w:tc>
              <w:tc>
                <w:tcPr>
                  <w:tcW w:w="709" w:type="dxa"/>
                  <w:tcBorders>
                    <w:top w:val="single" w:color="000000" w:sz="6" w:space="0"/>
                    <w:left w:val="single" w:color="000000" w:sz="6" w:space="0"/>
                    <w:bottom w:val="single" w:color="auto" w:sz="4" w:space="0"/>
                    <w:right w:val="single" w:color="000000" w:sz="6" w:space="0"/>
                  </w:tcBorders>
                  <w:shd w:val="clear"/>
                  <w:vAlign w:val="center"/>
                </w:tcPr>
                <w:p w14:paraId="06C1889A">
                  <w:pPr>
                    <w:pStyle w:val="80"/>
                    <w:widowControl/>
                    <w:jc w:val="center"/>
                    <w:rPr>
                      <w:b w:val="0"/>
                      <w:bCs w:val="0"/>
                      <w:color w:val="000000"/>
                      <w:bdr w:val="none" w:color="auto" w:sz="0" w:space="0"/>
                      <w:lang w:val="en-US" w:eastAsia="zh-CN"/>
                    </w:rPr>
                  </w:pPr>
                  <w:r>
                    <w:rPr>
                      <w:b w:val="0"/>
                      <w:bCs w:val="0"/>
                      <w:color w:val="000000"/>
                      <w:bdr w:val="none" w:color="auto" w:sz="0" w:space="0"/>
                      <w:lang w:val="en-US" w:eastAsia="zh-CN"/>
                    </w:rPr>
                    <w:t>Y</w:t>
                  </w:r>
                </w:p>
              </w:tc>
              <w:tc>
                <w:tcPr>
                  <w:tcW w:w="1366" w:type="dxa"/>
                  <w:vMerge w:val="continue"/>
                  <w:tcBorders>
                    <w:top w:val="single" w:color="auto" w:sz="12" w:space="0"/>
                    <w:left w:val="single" w:color="000000" w:sz="6" w:space="0"/>
                    <w:bottom w:val="single" w:color="auto" w:sz="4" w:space="0"/>
                    <w:right w:val="single" w:color="000000" w:sz="6" w:space="0"/>
                  </w:tcBorders>
                  <w:shd w:val="clear"/>
                  <w:vAlign w:val="center"/>
                </w:tcPr>
                <w:p w14:paraId="4ED2E5A0">
                  <w:pPr>
                    <w:rPr>
                      <w:rFonts w:hint="default" w:ascii="Calibri" w:hAnsi="Calibri" w:cs="Calibri"/>
                      <w:sz w:val="20"/>
                      <w:szCs w:val="20"/>
                    </w:rPr>
                  </w:pPr>
                </w:p>
              </w:tc>
              <w:tc>
                <w:tcPr>
                  <w:tcW w:w="1006" w:type="dxa"/>
                  <w:vMerge w:val="continue"/>
                  <w:tcBorders>
                    <w:top w:val="single" w:color="auto" w:sz="12" w:space="0"/>
                    <w:left w:val="single" w:color="000000" w:sz="6" w:space="0"/>
                    <w:bottom w:val="single" w:color="auto" w:sz="4" w:space="0"/>
                    <w:right w:val="single" w:color="000000" w:sz="6" w:space="0"/>
                  </w:tcBorders>
                  <w:shd w:val="clear"/>
                  <w:vAlign w:val="center"/>
                </w:tcPr>
                <w:p w14:paraId="7ABAC7BB">
                  <w:pPr>
                    <w:rPr>
                      <w:rFonts w:hint="default" w:ascii="Calibri" w:hAnsi="Calibri" w:cs="Calibri"/>
                      <w:sz w:val="20"/>
                      <w:szCs w:val="20"/>
                    </w:rPr>
                  </w:pPr>
                </w:p>
              </w:tc>
              <w:tc>
                <w:tcPr>
                  <w:tcW w:w="1290" w:type="dxa"/>
                  <w:vMerge w:val="continue"/>
                  <w:tcBorders>
                    <w:top w:val="single" w:color="auto" w:sz="12" w:space="0"/>
                    <w:left w:val="single" w:color="000000" w:sz="6" w:space="0"/>
                    <w:bottom w:val="single" w:color="auto" w:sz="4" w:space="0"/>
                    <w:right w:val="single" w:color="000000" w:sz="6" w:space="0"/>
                  </w:tcBorders>
                  <w:shd w:val="clear"/>
                  <w:vAlign w:val="center"/>
                </w:tcPr>
                <w:p w14:paraId="3822DF48">
                  <w:pPr>
                    <w:rPr>
                      <w:rFonts w:hint="default" w:ascii="Calibri" w:hAnsi="Calibri" w:cs="Calibri"/>
                      <w:sz w:val="20"/>
                      <w:szCs w:val="20"/>
                    </w:rPr>
                  </w:pPr>
                </w:p>
              </w:tc>
              <w:tc>
                <w:tcPr>
                  <w:tcW w:w="842" w:type="dxa"/>
                  <w:vMerge w:val="continue"/>
                  <w:tcBorders>
                    <w:top w:val="single" w:color="auto" w:sz="12" w:space="0"/>
                    <w:left w:val="single" w:color="000000" w:sz="6" w:space="0"/>
                    <w:bottom w:val="single" w:color="auto" w:sz="4" w:space="0"/>
                    <w:right w:val="single" w:color="000000" w:sz="6" w:space="0"/>
                  </w:tcBorders>
                  <w:shd w:val="clear"/>
                  <w:vAlign w:val="center"/>
                </w:tcPr>
                <w:p w14:paraId="2EFA57F7">
                  <w:pPr>
                    <w:rPr>
                      <w:rFonts w:hint="default" w:ascii="Calibri" w:hAnsi="Calibri" w:cs="Calibri"/>
                      <w:sz w:val="20"/>
                      <w:szCs w:val="20"/>
                    </w:rPr>
                  </w:pPr>
                </w:p>
              </w:tc>
              <w:tc>
                <w:tcPr>
                  <w:tcW w:w="732" w:type="dxa"/>
                  <w:vMerge w:val="continue"/>
                  <w:tcBorders>
                    <w:top w:val="single" w:color="auto" w:sz="12" w:space="0"/>
                    <w:left w:val="single" w:color="000000" w:sz="6" w:space="0"/>
                    <w:bottom w:val="single" w:color="auto" w:sz="4" w:space="0"/>
                    <w:right w:val="nil"/>
                  </w:tcBorders>
                  <w:shd w:val="clear"/>
                  <w:vAlign w:val="center"/>
                </w:tcPr>
                <w:p w14:paraId="66ADC2DF">
                  <w:pPr>
                    <w:rPr>
                      <w:rFonts w:hint="default" w:ascii="Calibri" w:hAnsi="Calibri" w:cs="Calibri"/>
                      <w:sz w:val="20"/>
                      <w:szCs w:val="20"/>
                    </w:rPr>
                  </w:pPr>
                </w:p>
              </w:tc>
            </w:tr>
            <w:tr w14:paraId="036C848D">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45" w:type="dxa"/>
                  <w:bottom w:w="0" w:type="dxa"/>
                  <w:right w:w="45" w:type="dxa"/>
                </w:tblCellMar>
              </w:tblPrEx>
              <w:trPr>
                <w:trHeight w:val="132" w:hRule="atLeast"/>
                <w:jc w:val="center"/>
              </w:trPr>
              <w:tc>
                <w:tcPr>
                  <w:tcW w:w="1320" w:type="dxa"/>
                  <w:tcBorders>
                    <w:top w:val="single" w:color="auto" w:sz="4" w:space="0"/>
                    <w:left w:val="nil"/>
                    <w:bottom w:val="single" w:color="auto" w:sz="12" w:space="0"/>
                    <w:right w:val="single" w:color="auto" w:sz="4" w:space="0"/>
                  </w:tcBorders>
                  <w:shd w:val="clear"/>
                  <w:vAlign w:val="center"/>
                </w:tcPr>
                <w:p w14:paraId="3C1B17D0">
                  <w:pPr>
                    <w:pStyle w:val="80"/>
                    <w:widowControl/>
                    <w:jc w:val="center"/>
                    <w:rPr>
                      <w:b w:val="0"/>
                      <w:bCs w:val="0"/>
                      <w:color w:val="000000"/>
                      <w:bdr w:val="none" w:color="auto" w:sz="0" w:space="0"/>
                      <w:lang w:val="en-US" w:eastAsia="zh-CN"/>
                    </w:rPr>
                  </w:pPr>
                  <w:r>
                    <w:rPr>
                      <w:rFonts w:hint="eastAsia" w:ascii="Times New Roman" w:hAnsi="Times New Roman" w:eastAsia="宋体" w:cs="宋体"/>
                      <w:b w:val="0"/>
                      <w:bCs w:val="0"/>
                      <w:color w:val="000000"/>
                      <w:bdr w:val="none" w:color="auto" w:sz="0" w:space="0"/>
                      <w:lang w:val="en-US" w:eastAsia="zh-CN"/>
                    </w:rPr>
                    <w:t>园区管委会办公楼及园区宿舍楼</w:t>
                  </w:r>
                </w:p>
              </w:tc>
              <w:tc>
                <w:tcPr>
                  <w:tcW w:w="709" w:type="dxa"/>
                  <w:tcBorders>
                    <w:top w:val="single" w:color="auto" w:sz="4" w:space="0"/>
                    <w:left w:val="single" w:color="auto" w:sz="4" w:space="0"/>
                    <w:bottom w:val="single" w:color="auto" w:sz="12" w:space="0"/>
                    <w:right w:val="single" w:color="auto" w:sz="4" w:space="0"/>
                  </w:tcBorders>
                  <w:shd w:val="clear"/>
                  <w:vAlign w:val="center"/>
                </w:tcPr>
                <w:p w14:paraId="26E50004">
                  <w:pPr>
                    <w:pStyle w:val="80"/>
                    <w:widowControl/>
                    <w:jc w:val="center"/>
                    <w:rPr>
                      <w:b w:val="0"/>
                      <w:bCs w:val="0"/>
                      <w:color w:val="000000"/>
                      <w:bdr w:val="none" w:color="auto" w:sz="0" w:space="0"/>
                      <w:lang w:val="en-US" w:eastAsia="zh-CN"/>
                    </w:rPr>
                  </w:pPr>
                  <w:r>
                    <w:rPr>
                      <w:b w:val="0"/>
                      <w:bCs w:val="0"/>
                      <w:color w:val="000000"/>
                      <w:bdr w:val="none" w:color="auto" w:sz="0" w:space="0"/>
                      <w:lang w:val="en-US" w:eastAsia="zh-CN"/>
                    </w:rPr>
                    <w:t>-15</w:t>
                  </w:r>
                </w:p>
              </w:tc>
              <w:tc>
                <w:tcPr>
                  <w:tcW w:w="709" w:type="dxa"/>
                  <w:tcBorders>
                    <w:top w:val="single" w:color="auto" w:sz="4" w:space="0"/>
                    <w:left w:val="single" w:color="auto" w:sz="4" w:space="0"/>
                    <w:bottom w:val="single" w:color="auto" w:sz="12" w:space="0"/>
                    <w:right w:val="single" w:color="auto" w:sz="4" w:space="0"/>
                  </w:tcBorders>
                  <w:shd w:val="clear"/>
                  <w:vAlign w:val="center"/>
                </w:tcPr>
                <w:p w14:paraId="0A3CCC36">
                  <w:pPr>
                    <w:pStyle w:val="80"/>
                    <w:widowControl/>
                    <w:jc w:val="center"/>
                    <w:rPr>
                      <w:b w:val="0"/>
                      <w:bCs w:val="0"/>
                      <w:color w:val="000000"/>
                      <w:bdr w:val="none" w:color="auto" w:sz="0" w:space="0"/>
                      <w:lang w:val="en-US" w:eastAsia="zh-CN"/>
                    </w:rPr>
                  </w:pPr>
                  <w:r>
                    <w:rPr>
                      <w:b w:val="0"/>
                      <w:bCs w:val="0"/>
                      <w:color w:val="000000"/>
                      <w:bdr w:val="none" w:color="auto" w:sz="0" w:space="0"/>
                      <w:lang w:val="en-US" w:eastAsia="zh-CN"/>
                    </w:rPr>
                    <w:t>15</w:t>
                  </w:r>
                </w:p>
              </w:tc>
              <w:tc>
                <w:tcPr>
                  <w:tcW w:w="1366" w:type="dxa"/>
                  <w:tcBorders>
                    <w:top w:val="single" w:color="auto" w:sz="4" w:space="0"/>
                    <w:left w:val="single" w:color="auto" w:sz="4" w:space="0"/>
                    <w:bottom w:val="single" w:color="auto" w:sz="12" w:space="0"/>
                    <w:right w:val="single" w:color="auto" w:sz="4" w:space="0"/>
                  </w:tcBorders>
                  <w:shd w:val="clear"/>
                  <w:vAlign w:val="center"/>
                </w:tcPr>
                <w:p w14:paraId="71475FC1">
                  <w:pPr>
                    <w:pStyle w:val="80"/>
                    <w:widowControl/>
                    <w:jc w:val="center"/>
                    <w:rPr>
                      <w:b w:val="0"/>
                      <w:bCs w:val="0"/>
                      <w:color w:val="000000"/>
                      <w:bdr w:val="none" w:color="auto" w:sz="0" w:space="0"/>
                      <w:lang w:val="en-US" w:eastAsia="zh-CN"/>
                    </w:rPr>
                  </w:pPr>
                  <w:r>
                    <w:rPr>
                      <w:rFonts w:hint="eastAsia" w:ascii="Times New Roman" w:hAnsi="Times New Roman" w:eastAsia="宋体" w:cs="宋体"/>
                      <w:b w:val="0"/>
                      <w:bCs w:val="0"/>
                      <w:color w:val="000000"/>
                      <w:bdr w:val="none" w:color="auto" w:sz="0" w:space="0"/>
                      <w:lang w:val="en-US" w:eastAsia="zh-CN"/>
                    </w:rPr>
                    <w:t>单位及园区员工约</w:t>
                  </w:r>
                  <w:r>
                    <w:rPr>
                      <w:b w:val="0"/>
                      <w:bCs w:val="0"/>
                      <w:color w:val="000000"/>
                      <w:bdr w:val="none" w:color="auto" w:sz="0" w:space="0"/>
                      <w:lang w:val="en-US" w:eastAsia="zh-CN"/>
                    </w:rPr>
                    <w:t>200</w:t>
                  </w:r>
                  <w:r>
                    <w:rPr>
                      <w:rFonts w:hint="eastAsia" w:ascii="Times New Roman" w:hAnsi="Times New Roman" w:eastAsia="宋体" w:cs="宋体"/>
                      <w:b w:val="0"/>
                      <w:bCs w:val="0"/>
                      <w:color w:val="000000"/>
                      <w:bdr w:val="none" w:color="auto" w:sz="0" w:space="0"/>
                      <w:lang w:val="en-US" w:eastAsia="zh-CN"/>
                    </w:rPr>
                    <w:t>人</w:t>
                  </w:r>
                </w:p>
              </w:tc>
              <w:tc>
                <w:tcPr>
                  <w:tcW w:w="1006" w:type="dxa"/>
                  <w:tcBorders>
                    <w:top w:val="single" w:color="auto" w:sz="4" w:space="0"/>
                    <w:left w:val="single" w:color="auto" w:sz="4" w:space="0"/>
                    <w:bottom w:val="single" w:color="auto" w:sz="12" w:space="0"/>
                    <w:right w:val="single" w:color="auto" w:sz="4" w:space="0"/>
                  </w:tcBorders>
                  <w:shd w:val="clear"/>
                  <w:vAlign w:val="center"/>
                </w:tcPr>
                <w:p w14:paraId="238AD927">
                  <w:pPr>
                    <w:pStyle w:val="80"/>
                    <w:widowControl/>
                    <w:jc w:val="center"/>
                    <w:rPr>
                      <w:b w:val="0"/>
                      <w:bCs/>
                      <w:color w:val="000000"/>
                      <w:bdr w:val="none" w:color="auto" w:sz="0" w:space="0"/>
                      <w:lang w:val="en-US" w:eastAsia="zh-CN"/>
                    </w:rPr>
                  </w:pPr>
                  <w:r>
                    <w:rPr>
                      <w:rFonts w:hint="eastAsia" w:ascii="Times New Roman" w:hAnsi="Times New Roman" w:eastAsia="宋体" w:cs="宋体"/>
                      <w:b w:val="0"/>
                      <w:bCs/>
                      <w:color w:val="000000"/>
                      <w:bdr w:val="none" w:color="auto" w:sz="0" w:space="0"/>
                      <w:lang w:val="en-US" w:eastAsia="zh-CN"/>
                    </w:rPr>
                    <w:t>噪声环境</w:t>
                  </w:r>
                </w:p>
              </w:tc>
              <w:tc>
                <w:tcPr>
                  <w:tcW w:w="1290" w:type="dxa"/>
                  <w:tcBorders>
                    <w:top w:val="single" w:color="auto" w:sz="4" w:space="0"/>
                    <w:left w:val="single" w:color="auto" w:sz="4" w:space="0"/>
                    <w:bottom w:val="single" w:color="auto" w:sz="12" w:space="0"/>
                    <w:right w:val="single" w:color="auto" w:sz="4" w:space="0"/>
                  </w:tcBorders>
                  <w:shd w:val="clear"/>
                  <w:vAlign w:val="center"/>
                </w:tcPr>
                <w:p w14:paraId="5B7884FA">
                  <w:pPr>
                    <w:pStyle w:val="80"/>
                    <w:widowControl/>
                    <w:jc w:val="center"/>
                    <w:rPr>
                      <w:b w:val="0"/>
                      <w:bCs w:val="0"/>
                      <w:color w:val="000000"/>
                      <w:bdr w:val="none" w:color="auto" w:sz="0" w:space="0"/>
                      <w:lang w:val="en-US" w:eastAsia="zh-CN"/>
                    </w:rPr>
                  </w:pPr>
                  <w:r>
                    <w:rPr>
                      <w:b w:val="0"/>
                      <w:bCs/>
                      <w:color w:val="000000"/>
                      <w:bdr w:val="none" w:color="auto" w:sz="0" w:space="0"/>
                      <w:lang w:val="en-US" w:eastAsia="zh-CN"/>
                    </w:rPr>
                    <w:t>3</w:t>
                  </w:r>
                  <w:r>
                    <w:rPr>
                      <w:rFonts w:hint="eastAsia" w:ascii="Times New Roman" w:hAnsi="Times New Roman" w:eastAsia="宋体" w:cs="宋体"/>
                      <w:b w:val="0"/>
                      <w:bCs/>
                      <w:color w:val="000000"/>
                      <w:bdr w:val="none" w:color="auto" w:sz="0" w:space="0"/>
                      <w:lang w:val="en-US" w:eastAsia="zh-CN"/>
                    </w:rPr>
                    <w:t>类环境噪声功能区</w:t>
                  </w:r>
                </w:p>
              </w:tc>
              <w:tc>
                <w:tcPr>
                  <w:tcW w:w="842" w:type="dxa"/>
                  <w:tcBorders>
                    <w:top w:val="single" w:color="auto" w:sz="4" w:space="0"/>
                    <w:left w:val="single" w:color="auto" w:sz="4" w:space="0"/>
                    <w:bottom w:val="single" w:color="auto" w:sz="12" w:space="0"/>
                    <w:right w:val="single" w:color="auto" w:sz="4" w:space="0"/>
                  </w:tcBorders>
                  <w:shd w:val="clear"/>
                  <w:vAlign w:val="center"/>
                </w:tcPr>
                <w:p w14:paraId="147E909F">
                  <w:pPr>
                    <w:pStyle w:val="80"/>
                    <w:widowControl/>
                    <w:jc w:val="center"/>
                    <w:rPr>
                      <w:b w:val="0"/>
                      <w:bCs w:val="0"/>
                      <w:color w:val="000000"/>
                      <w:bdr w:val="none" w:color="auto" w:sz="0" w:space="0"/>
                      <w:lang w:val="en-US" w:eastAsia="zh-CN"/>
                    </w:rPr>
                  </w:pPr>
                  <w:r>
                    <w:rPr>
                      <w:b w:val="0"/>
                      <w:bCs w:val="0"/>
                      <w:color w:val="000000"/>
                      <w:bdr w:val="none" w:color="auto" w:sz="0" w:space="0"/>
                      <w:lang w:val="en-US" w:eastAsia="zh-CN"/>
                    </w:rPr>
                    <w:t>NW</w:t>
                  </w:r>
                </w:p>
              </w:tc>
              <w:tc>
                <w:tcPr>
                  <w:tcW w:w="732" w:type="dxa"/>
                  <w:tcBorders>
                    <w:top w:val="single" w:color="auto" w:sz="4" w:space="0"/>
                    <w:left w:val="single" w:color="auto" w:sz="4" w:space="0"/>
                    <w:bottom w:val="single" w:color="auto" w:sz="12" w:space="0"/>
                    <w:right w:val="nil"/>
                  </w:tcBorders>
                  <w:shd w:val="clear"/>
                  <w:vAlign w:val="center"/>
                </w:tcPr>
                <w:p w14:paraId="3E519EF2">
                  <w:pPr>
                    <w:pStyle w:val="80"/>
                    <w:widowControl/>
                    <w:jc w:val="center"/>
                    <w:rPr>
                      <w:b w:val="0"/>
                      <w:bCs w:val="0"/>
                      <w:color w:val="000000"/>
                      <w:bdr w:val="none" w:color="auto" w:sz="0" w:space="0"/>
                      <w:lang w:val="en-US" w:eastAsia="zh-CN"/>
                    </w:rPr>
                  </w:pPr>
                  <w:r>
                    <w:rPr>
                      <w:b w:val="0"/>
                      <w:bCs w:val="0"/>
                      <w:color w:val="000000"/>
                      <w:bdr w:val="none" w:color="auto" w:sz="0" w:space="0"/>
                      <w:lang w:val="en-US" w:eastAsia="zh-CN"/>
                    </w:rPr>
                    <w:t>21</w:t>
                  </w:r>
                </w:p>
              </w:tc>
            </w:tr>
          </w:tbl>
          <w:p w14:paraId="6E02CEEA">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Times New Roman" w:cs="Times New Roman"/>
                <w:b/>
                <w:bCs w:val="0"/>
                <w:color w:val="000000"/>
                <w:kern w:val="0"/>
                <w:sz w:val="24"/>
                <w:szCs w:val="24"/>
                <w:bdr w:val="none" w:color="auto" w:sz="0" w:space="0"/>
                <w:lang w:val="en-US"/>
              </w:rPr>
            </w:pPr>
            <w:r>
              <w:rPr>
                <w:rFonts w:hint="default" w:ascii="Times New Roman" w:hAnsi="Times New Roman" w:eastAsia="宋体" w:cs="Times New Roman"/>
                <w:b/>
                <w:bCs w:val="0"/>
                <w:color w:val="000000"/>
                <w:kern w:val="0"/>
                <w:sz w:val="24"/>
                <w:szCs w:val="24"/>
                <w:bdr w:val="none" w:color="auto" w:sz="0" w:space="0"/>
                <w:lang w:val="en-US" w:eastAsia="zh-CN" w:bidi="ar"/>
              </w:rPr>
              <w:t>3.6.3</w:t>
            </w:r>
            <w:r>
              <w:rPr>
                <w:rFonts w:hint="eastAsia" w:ascii="Times New Roman" w:hAnsi="Times New Roman" w:eastAsia="宋体" w:cs="宋体"/>
                <w:b/>
                <w:bCs w:val="0"/>
                <w:color w:val="000000"/>
                <w:kern w:val="0"/>
                <w:sz w:val="24"/>
                <w:szCs w:val="24"/>
                <w:bdr w:val="none" w:color="auto" w:sz="0" w:space="0"/>
                <w:lang w:val="en-US" w:eastAsia="zh-CN" w:bidi="ar"/>
              </w:rPr>
              <w:t>地下水环境保护目标</w:t>
            </w:r>
          </w:p>
          <w:p w14:paraId="3AF2D7A1">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kern w:val="0"/>
                <w:sz w:val="24"/>
                <w:szCs w:val="24"/>
                <w:bdr w:val="none" w:color="auto" w:sz="0" w:space="0"/>
                <w:lang w:val="en-US"/>
              </w:rPr>
            </w:pPr>
            <w:r>
              <w:rPr>
                <w:rFonts w:hint="eastAsia" w:ascii="Times New Roman" w:hAnsi="Times New Roman" w:eastAsia="宋体" w:cs="宋体"/>
                <w:color w:val="000000"/>
                <w:kern w:val="0"/>
                <w:sz w:val="24"/>
                <w:szCs w:val="24"/>
                <w:bdr w:val="none" w:color="auto" w:sz="0" w:space="0"/>
                <w:lang w:val="en-US" w:eastAsia="zh-CN" w:bidi="ar"/>
              </w:rPr>
              <w:t>扩建项目厂界外</w:t>
            </w:r>
            <w:r>
              <w:rPr>
                <w:rFonts w:hint="default" w:ascii="Times New Roman" w:hAnsi="Times New Roman" w:eastAsia="宋体" w:cs="Times New Roman"/>
                <w:color w:val="000000"/>
                <w:kern w:val="0"/>
                <w:sz w:val="24"/>
                <w:szCs w:val="24"/>
                <w:bdr w:val="none" w:color="auto" w:sz="0" w:space="0"/>
                <w:lang w:val="en-US" w:eastAsia="zh-CN" w:bidi="ar"/>
              </w:rPr>
              <w:t>500m</w:t>
            </w:r>
            <w:r>
              <w:rPr>
                <w:rFonts w:hint="eastAsia" w:ascii="Times New Roman" w:hAnsi="Times New Roman" w:eastAsia="宋体" w:cs="宋体"/>
                <w:color w:val="000000"/>
                <w:kern w:val="0"/>
                <w:sz w:val="24"/>
                <w:szCs w:val="24"/>
                <w:bdr w:val="none" w:color="auto" w:sz="0" w:space="0"/>
                <w:lang w:val="en-US" w:eastAsia="zh-CN" w:bidi="ar"/>
              </w:rPr>
              <w:t>范围内无地下水集中式饮用水水源和热水、矿泉水、温泉等特殊地下水资源。</w:t>
            </w:r>
          </w:p>
          <w:p w14:paraId="718F5FDD">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Times New Roman" w:cs="Times New Roman"/>
                <w:b/>
                <w:bCs w:val="0"/>
                <w:color w:val="000000"/>
                <w:kern w:val="0"/>
                <w:sz w:val="24"/>
                <w:szCs w:val="24"/>
                <w:bdr w:val="none" w:color="auto" w:sz="0" w:space="0"/>
                <w:lang w:val="en-US"/>
              </w:rPr>
            </w:pPr>
            <w:r>
              <w:rPr>
                <w:rFonts w:hint="default" w:ascii="Times New Roman" w:hAnsi="Times New Roman" w:eastAsia="宋体" w:cs="Times New Roman"/>
                <w:b/>
                <w:bCs w:val="0"/>
                <w:color w:val="000000"/>
                <w:kern w:val="0"/>
                <w:sz w:val="24"/>
                <w:szCs w:val="24"/>
                <w:bdr w:val="none" w:color="auto" w:sz="0" w:space="0"/>
                <w:lang w:val="en-US" w:eastAsia="zh-CN" w:bidi="ar"/>
              </w:rPr>
              <w:t>3.6.4</w:t>
            </w:r>
            <w:r>
              <w:rPr>
                <w:rFonts w:hint="eastAsia" w:ascii="Times New Roman" w:hAnsi="Times New Roman" w:eastAsia="宋体" w:cs="宋体"/>
                <w:b/>
                <w:bCs w:val="0"/>
                <w:color w:val="000000"/>
                <w:kern w:val="0"/>
                <w:sz w:val="24"/>
                <w:szCs w:val="24"/>
                <w:bdr w:val="none" w:color="auto" w:sz="0" w:space="0"/>
                <w:lang w:val="en-US" w:eastAsia="zh-CN" w:bidi="ar"/>
              </w:rPr>
              <w:t>生态环境保护目标</w:t>
            </w:r>
          </w:p>
          <w:p w14:paraId="14997017">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kern w:val="0"/>
                <w:sz w:val="24"/>
                <w:szCs w:val="24"/>
                <w:bdr w:val="none" w:color="auto" w:sz="0" w:space="0"/>
                <w:lang w:val="en-US"/>
              </w:rPr>
            </w:pPr>
            <w:r>
              <w:rPr>
                <w:rFonts w:hint="eastAsia" w:ascii="Times New Roman" w:hAnsi="Times New Roman" w:eastAsia="宋体" w:cs="宋体"/>
                <w:color w:val="000000"/>
                <w:kern w:val="0"/>
                <w:sz w:val="24"/>
                <w:szCs w:val="24"/>
                <w:bdr w:val="none" w:color="auto" w:sz="0" w:space="0"/>
                <w:lang w:val="en-US" w:eastAsia="zh-CN" w:bidi="ar"/>
              </w:rPr>
              <w:t>扩建项目位于工业园区内，不新增用地，范围内无生态环境保护目标。</w:t>
            </w:r>
          </w:p>
        </w:tc>
      </w:tr>
      <w:tr w14:paraId="530DC6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00" w:type="dxa"/>
            <w:tcBorders>
              <w:top w:val="single" w:color="auto" w:sz="4" w:space="0"/>
              <w:left w:val="single" w:color="auto" w:sz="8" w:space="0"/>
              <w:bottom w:val="single" w:color="auto" w:sz="4" w:space="0"/>
              <w:right w:val="single" w:color="auto" w:sz="4" w:space="0"/>
            </w:tcBorders>
            <w:shd w:val="clear"/>
            <w:vAlign w:val="center"/>
          </w:tcPr>
          <w:p w14:paraId="4E47675C">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kern w:val="0"/>
                <w:sz w:val="24"/>
                <w:szCs w:val="24"/>
                <w:bdr w:val="none" w:color="auto" w:sz="0" w:space="0"/>
                <w:lang w:val="en-US"/>
              </w:rPr>
            </w:pPr>
            <w:r>
              <w:rPr>
                <w:rFonts w:hint="eastAsia" w:ascii="宋体" w:hAnsi="宋体" w:eastAsia="宋体" w:cs="宋体"/>
                <w:color w:val="000000"/>
                <w:kern w:val="0"/>
                <w:sz w:val="24"/>
                <w:szCs w:val="24"/>
                <w:bdr w:val="none" w:color="auto" w:sz="0" w:space="0"/>
                <w:lang w:val="en-US" w:eastAsia="zh-CN" w:bidi="ar"/>
              </w:rPr>
              <w:t>污染</w:t>
            </w:r>
          </w:p>
          <w:p w14:paraId="212377A4">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kern w:val="0"/>
                <w:sz w:val="24"/>
                <w:szCs w:val="24"/>
                <w:bdr w:val="none" w:color="auto" w:sz="0" w:space="0"/>
                <w:lang w:val="en-US"/>
              </w:rPr>
            </w:pPr>
            <w:r>
              <w:rPr>
                <w:rFonts w:hint="eastAsia" w:ascii="宋体" w:hAnsi="宋体" w:eastAsia="宋体" w:cs="宋体"/>
                <w:color w:val="000000"/>
                <w:kern w:val="0"/>
                <w:sz w:val="24"/>
                <w:szCs w:val="24"/>
                <w:bdr w:val="none" w:color="auto" w:sz="0" w:space="0"/>
                <w:lang w:val="en-US" w:eastAsia="zh-CN" w:bidi="ar"/>
              </w:rPr>
              <w:t>物排</w:t>
            </w:r>
          </w:p>
          <w:p w14:paraId="01384399">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kern w:val="0"/>
                <w:sz w:val="24"/>
                <w:szCs w:val="24"/>
                <w:bdr w:val="none" w:color="auto" w:sz="0" w:space="0"/>
                <w:lang w:val="en-US"/>
              </w:rPr>
            </w:pPr>
            <w:r>
              <w:rPr>
                <w:rFonts w:hint="eastAsia" w:ascii="宋体" w:hAnsi="宋体" w:eastAsia="宋体" w:cs="宋体"/>
                <w:color w:val="000000"/>
                <w:kern w:val="0"/>
                <w:sz w:val="24"/>
                <w:szCs w:val="24"/>
                <w:bdr w:val="none" w:color="auto" w:sz="0" w:space="0"/>
                <w:lang w:val="en-US" w:eastAsia="zh-CN" w:bidi="ar"/>
              </w:rPr>
              <w:t>放控</w:t>
            </w:r>
          </w:p>
          <w:p w14:paraId="237F1D07">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kern w:val="0"/>
                <w:sz w:val="24"/>
                <w:szCs w:val="24"/>
                <w:bdr w:val="none" w:color="auto" w:sz="0" w:space="0"/>
                <w:lang w:val="en-US"/>
              </w:rPr>
            </w:pPr>
            <w:r>
              <w:rPr>
                <w:rFonts w:hint="eastAsia" w:ascii="宋体" w:hAnsi="宋体" w:eastAsia="宋体" w:cs="宋体"/>
                <w:color w:val="000000"/>
                <w:kern w:val="0"/>
                <w:sz w:val="24"/>
                <w:szCs w:val="24"/>
                <w:bdr w:val="none" w:color="auto" w:sz="0" w:space="0"/>
                <w:lang w:val="en-US" w:eastAsia="zh-CN" w:bidi="ar"/>
              </w:rPr>
              <w:t>制标</w:t>
            </w:r>
          </w:p>
          <w:p w14:paraId="717438D3">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kern w:val="0"/>
                <w:szCs w:val="21"/>
                <w:bdr w:val="none" w:color="auto" w:sz="0" w:space="0"/>
                <w:lang w:val="en-US"/>
              </w:rPr>
            </w:pPr>
            <w:r>
              <w:rPr>
                <w:rFonts w:hint="eastAsia" w:ascii="宋体" w:hAnsi="宋体" w:eastAsia="宋体" w:cs="宋体"/>
                <w:color w:val="000000"/>
                <w:kern w:val="0"/>
                <w:sz w:val="24"/>
                <w:szCs w:val="24"/>
                <w:bdr w:val="none" w:color="auto" w:sz="0" w:space="0"/>
                <w:lang w:val="en-US" w:eastAsia="zh-CN" w:bidi="ar"/>
              </w:rPr>
              <w:t>准</w:t>
            </w:r>
          </w:p>
        </w:tc>
        <w:tc>
          <w:tcPr>
            <w:tcW w:w="8190" w:type="dxa"/>
            <w:tcBorders>
              <w:top w:val="single" w:color="auto" w:sz="4" w:space="0"/>
              <w:left w:val="single" w:color="auto" w:sz="4" w:space="0"/>
              <w:bottom w:val="single" w:color="auto" w:sz="4" w:space="0"/>
              <w:right w:val="single" w:color="auto" w:sz="8" w:space="0"/>
            </w:tcBorders>
            <w:shd w:val="clear"/>
            <w:vAlign w:val="center"/>
          </w:tcPr>
          <w:p w14:paraId="36122FAF">
            <w:pPr>
              <w:keepNext w:val="0"/>
              <w:keepLines w:val="0"/>
              <w:widowControl w:val="0"/>
              <w:suppressLineNumbers w:val="0"/>
              <w:spacing w:before="0" w:beforeAutospacing="0" w:after="0" w:afterAutospacing="0" w:line="440" w:lineRule="exact"/>
              <w:ind w:left="0" w:right="0"/>
              <w:jc w:val="both"/>
              <w:outlineLvl w:val="1"/>
              <w:rPr>
                <w:rFonts w:hint="default" w:ascii="Times New Roman" w:hAnsi="Times New Roman" w:cs="Times New Roman"/>
                <w:b/>
                <w:bCs w:val="0"/>
                <w:color w:val="000000"/>
                <w:kern w:val="0"/>
                <w:sz w:val="24"/>
                <w:szCs w:val="24"/>
                <w:bdr w:val="none" w:color="auto" w:sz="0" w:space="0"/>
                <w:lang w:val="en-US"/>
              </w:rPr>
            </w:pPr>
            <w:r>
              <w:rPr>
                <w:rFonts w:hint="default" w:ascii="Times New Roman" w:hAnsi="Times New Roman" w:eastAsia="宋体" w:cs="Times New Roman"/>
                <w:b/>
                <w:bCs w:val="0"/>
                <w:color w:val="000000"/>
                <w:kern w:val="0"/>
                <w:sz w:val="24"/>
                <w:szCs w:val="24"/>
                <w:bdr w:val="none" w:color="auto" w:sz="0" w:space="0"/>
                <w:lang w:val="en-US" w:eastAsia="zh-CN" w:bidi="ar"/>
              </w:rPr>
              <w:t>3.7</w:t>
            </w:r>
            <w:r>
              <w:rPr>
                <w:rFonts w:hint="eastAsia" w:ascii="Times New Roman" w:hAnsi="Times New Roman" w:eastAsia="宋体" w:cs="宋体"/>
                <w:b/>
                <w:bCs w:val="0"/>
                <w:color w:val="000000"/>
                <w:kern w:val="0"/>
                <w:sz w:val="24"/>
                <w:szCs w:val="24"/>
                <w:bdr w:val="none" w:color="auto" w:sz="0" w:space="0"/>
                <w:lang w:val="en-US" w:eastAsia="zh-CN" w:bidi="ar"/>
              </w:rPr>
              <w:t>污染物排放标准</w:t>
            </w:r>
          </w:p>
          <w:p w14:paraId="7C0D80E4">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Times New Roman" w:cs="Times New Roman"/>
                <w:b/>
                <w:bCs w:val="0"/>
                <w:color w:val="000000"/>
                <w:kern w:val="0"/>
                <w:sz w:val="24"/>
                <w:szCs w:val="24"/>
                <w:bdr w:val="none" w:color="auto" w:sz="0" w:space="0"/>
                <w:lang w:val="en-US"/>
              </w:rPr>
            </w:pPr>
            <w:r>
              <w:rPr>
                <w:rFonts w:hint="default" w:ascii="Times New Roman" w:hAnsi="Times New Roman" w:eastAsia="宋体" w:cs="Times New Roman"/>
                <w:b/>
                <w:bCs w:val="0"/>
                <w:color w:val="000000"/>
                <w:kern w:val="0"/>
                <w:sz w:val="24"/>
                <w:szCs w:val="24"/>
                <w:bdr w:val="none" w:color="auto" w:sz="0" w:space="0"/>
                <w:lang w:val="en-US" w:eastAsia="zh-CN" w:bidi="ar"/>
              </w:rPr>
              <w:t>3.7.1</w:t>
            </w:r>
            <w:r>
              <w:rPr>
                <w:rFonts w:hint="eastAsia" w:ascii="Times New Roman" w:hAnsi="Times New Roman" w:eastAsia="宋体" w:cs="宋体"/>
                <w:b/>
                <w:bCs w:val="0"/>
                <w:color w:val="000000"/>
                <w:kern w:val="0"/>
                <w:sz w:val="24"/>
                <w:szCs w:val="24"/>
                <w:bdr w:val="none" w:color="auto" w:sz="0" w:space="0"/>
                <w:lang w:val="en-US" w:eastAsia="zh-CN" w:bidi="ar"/>
              </w:rPr>
              <w:t>废气</w:t>
            </w:r>
            <w:r>
              <w:rPr>
                <w:rFonts w:hint="eastAsia" w:ascii="Calibri" w:hAnsi="Calibri" w:eastAsia="宋体" w:cs="宋体"/>
                <w:b/>
                <w:bCs/>
                <w:color w:val="000000"/>
                <w:kern w:val="0"/>
                <w:sz w:val="24"/>
                <w:szCs w:val="24"/>
                <w:bdr w:val="none" w:color="auto" w:sz="0" w:space="0"/>
                <w:lang w:val="en-US" w:eastAsia="zh-CN" w:bidi="ar"/>
              </w:rPr>
              <w:t>排放标准</w:t>
            </w:r>
          </w:p>
          <w:p w14:paraId="33C21C81">
            <w:pPr>
              <w:pStyle w:val="88"/>
              <w:widowControl/>
              <w:spacing w:line="440" w:lineRule="exact"/>
              <w:rPr>
                <w:rFonts w:eastAsia="宋体"/>
                <w:color w:val="000000"/>
                <w:bdr w:val="none" w:color="auto" w:sz="0" w:space="0"/>
                <w:lang w:val="en-US"/>
              </w:rPr>
            </w:pPr>
            <w:r>
              <w:rPr>
                <w:rFonts w:eastAsia="宋体"/>
                <w:color w:val="000000"/>
                <w:bdr w:val="none" w:color="auto" w:sz="0" w:space="0"/>
                <w:lang w:val="en-US"/>
              </w:rPr>
              <w:t>1</w:t>
            </w:r>
            <w:r>
              <w:rPr>
                <w:rFonts w:hint="eastAsia" w:ascii="Times New Roman" w:hAnsi="Times New Roman" w:eastAsia="宋体" w:cs="宋体"/>
                <w:color w:val="000000"/>
                <w:bdr w:val="none" w:color="auto" w:sz="0" w:space="0"/>
              </w:rPr>
              <w:t>、项目运营期云母板雕刻、打磨粉尘执行重庆市地方标准《大气污染物综合排放标准》（</w:t>
            </w:r>
            <w:r>
              <w:rPr>
                <w:rFonts w:eastAsia="宋体"/>
                <w:color w:val="000000"/>
                <w:bdr w:val="none" w:color="auto" w:sz="0" w:space="0"/>
                <w:lang w:val="en-US"/>
              </w:rPr>
              <w:t>DB 50/418-2016</w:t>
            </w:r>
            <w:r>
              <w:rPr>
                <w:rFonts w:hint="eastAsia" w:ascii="Times New Roman" w:hAnsi="Times New Roman" w:eastAsia="宋体" w:cs="宋体"/>
                <w:color w:val="000000"/>
                <w:bdr w:val="none" w:color="auto" w:sz="0" w:space="0"/>
              </w:rPr>
              <w:t>）表</w:t>
            </w:r>
            <w:r>
              <w:rPr>
                <w:rFonts w:eastAsia="宋体"/>
                <w:color w:val="000000"/>
                <w:bdr w:val="none" w:color="auto" w:sz="0" w:space="0"/>
                <w:lang w:val="en-US"/>
              </w:rPr>
              <w:t>1</w:t>
            </w:r>
            <w:r>
              <w:rPr>
                <w:rFonts w:hint="eastAsia" w:ascii="Times New Roman" w:hAnsi="Times New Roman" w:eastAsia="宋体" w:cs="宋体"/>
                <w:color w:val="000000"/>
                <w:bdr w:val="none" w:color="auto" w:sz="0" w:space="0"/>
              </w:rPr>
              <w:t>影响区域标准。</w:t>
            </w:r>
          </w:p>
          <w:p w14:paraId="00F22778">
            <w:pPr>
              <w:keepNext w:val="0"/>
              <w:keepLines w:val="0"/>
              <w:widowControl w:val="0"/>
              <w:suppressLineNumbers w:val="0"/>
              <w:spacing w:before="0" w:beforeAutospacing="0" w:after="0" w:afterAutospacing="0" w:line="440" w:lineRule="exact"/>
              <w:ind w:left="0" w:right="0"/>
              <w:jc w:val="center"/>
              <w:rPr>
                <w:rFonts w:hint="default" w:ascii="Times New Roman" w:hAnsi="Times New Roman" w:cs="Times New Roman"/>
                <w:color w:val="000000"/>
                <w:kern w:val="0"/>
                <w:sz w:val="24"/>
                <w:szCs w:val="24"/>
                <w:bdr w:val="none" w:color="auto" w:sz="0" w:space="0"/>
                <w:lang w:val="en-US"/>
              </w:rPr>
            </w:pPr>
            <w:r>
              <w:rPr>
                <w:rFonts w:hint="eastAsia" w:ascii="Times New Roman" w:hAnsi="Times New Roman" w:eastAsia="宋体" w:cs="宋体"/>
                <w:color w:val="000000"/>
                <w:kern w:val="0"/>
                <w:sz w:val="24"/>
                <w:szCs w:val="24"/>
                <w:bdr w:val="none" w:color="auto" w:sz="0" w:space="0"/>
                <w:lang w:val="en-US" w:eastAsia="zh-CN" w:bidi="ar"/>
              </w:rPr>
              <w:t>表</w:t>
            </w:r>
            <w:r>
              <w:rPr>
                <w:rFonts w:hint="default" w:ascii="Times New Roman" w:hAnsi="Times New Roman" w:eastAsia="宋体" w:cs="Times New Roman"/>
                <w:color w:val="000000"/>
                <w:kern w:val="0"/>
                <w:sz w:val="24"/>
                <w:szCs w:val="24"/>
                <w:bdr w:val="none" w:color="auto" w:sz="0" w:space="0"/>
                <w:lang w:val="en-US" w:eastAsia="zh-CN" w:bidi="ar"/>
              </w:rPr>
              <w:t xml:space="preserve">3.7-1 </w:t>
            </w:r>
            <w:r>
              <w:rPr>
                <w:rFonts w:hint="eastAsia" w:ascii="Times New Roman" w:hAnsi="Times New Roman" w:eastAsia="宋体" w:cs="宋体"/>
                <w:color w:val="000000"/>
                <w:kern w:val="0"/>
                <w:sz w:val="24"/>
                <w:szCs w:val="24"/>
                <w:bdr w:val="none" w:color="auto" w:sz="0" w:space="0"/>
                <w:lang w:val="en-US" w:eastAsia="zh-CN" w:bidi="ar"/>
              </w:rPr>
              <w:t>《大气污染物综合排放标准》</w:t>
            </w:r>
            <w:r>
              <w:rPr>
                <w:rFonts w:hint="default" w:ascii="Times New Roman" w:hAnsi="Times New Roman" w:eastAsia="宋体" w:cs="Times New Roman"/>
                <w:color w:val="000000"/>
                <w:kern w:val="0"/>
                <w:sz w:val="24"/>
                <w:szCs w:val="24"/>
                <w:bdr w:val="none" w:color="auto" w:sz="0" w:space="0"/>
                <w:lang w:val="en-US" w:eastAsia="zh-CN" w:bidi="ar"/>
              </w:rPr>
              <w:t>(DB50/418-2016)</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tblLayout w:type="fixed"/>
              <w:tblCellMar>
                <w:top w:w="0" w:type="dxa"/>
                <w:left w:w="108" w:type="dxa"/>
                <w:bottom w:w="0" w:type="dxa"/>
                <w:right w:w="108" w:type="dxa"/>
              </w:tblCellMar>
            </w:tblPr>
            <w:tblGrid>
              <w:gridCol w:w="1320"/>
              <w:gridCol w:w="1269"/>
              <w:gridCol w:w="1141"/>
              <w:gridCol w:w="1081"/>
              <w:gridCol w:w="1586"/>
              <w:gridCol w:w="1577"/>
            </w:tblGrid>
            <w:tr w14:paraId="1EBEF7FD">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tblCellMar>
                  <w:top w:w="0" w:type="dxa"/>
                  <w:left w:w="108" w:type="dxa"/>
                  <w:bottom w:w="0" w:type="dxa"/>
                  <w:right w:w="108" w:type="dxa"/>
                </w:tblCellMar>
              </w:tblPrEx>
              <w:trPr>
                <w:trHeight w:val="225" w:hRule="atLeast"/>
                <w:jc w:val="center"/>
              </w:trPr>
              <w:tc>
                <w:tcPr>
                  <w:tcW w:w="1320" w:type="dxa"/>
                  <w:vMerge w:val="restart"/>
                  <w:tcBorders>
                    <w:top w:val="single" w:color="auto" w:sz="12" w:space="0"/>
                    <w:left w:val="nil"/>
                    <w:bottom w:val="single" w:color="auto" w:sz="6" w:space="0"/>
                    <w:right w:val="single" w:color="auto" w:sz="6" w:space="0"/>
                  </w:tcBorders>
                  <w:shd w:val="clear"/>
                  <w:vAlign w:val="center"/>
                </w:tcPr>
                <w:p w14:paraId="1947F18B">
                  <w:pPr>
                    <w:keepNext w:val="0"/>
                    <w:keepLines w:val="0"/>
                    <w:widowControl w:val="0"/>
                    <w:suppressLineNumbers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污染物</w:t>
                  </w:r>
                </w:p>
              </w:tc>
              <w:tc>
                <w:tcPr>
                  <w:tcW w:w="1269" w:type="dxa"/>
                  <w:vMerge w:val="restart"/>
                  <w:tcBorders>
                    <w:top w:val="single" w:color="auto" w:sz="12" w:space="0"/>
                    <w:left w:val="single" w:color="auto" w:sz="6" w:space="0"/>
                    <w:bottom w:val="single" w:color="auto" w:sz="6" w:space="0"/>
                    <w:right w:val="single" w:color="auto" w:sz="6" w:space="0"/>
                  </w:tcBorders>
                  <w:shd w:val="clear"/>
                  <w:vAlign w:val="center"/>
                </w:tcPr>
                <w:p w14:paraId="467A786E">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最高允许排放浓度</w:t>
                  </w:r>
                  <w:r>
                    <w:rPr>
                      <w:rFonts w:hint="default" w:ascii="Times New Roman" w:hAnsi="Times New Roman" w:eastAsia="宋体" w:cs="Times New Roman"/>
                      <w:color w:val="000000"/>
                      <w:kern w:val="2"/>
                      <w:sz w:val="21"/>
                      <w:szCs w:val="21"/>
                      <w:bdr w:val="none" w:color="auto" w:sz="0" w:space="0"/>
                      <w:lang w:val="en-US" w:eastAsia="zh-CN" w:bidi="ar"/>
                    </w:rPr>
                    <w:t>(mg/m</w:t>
                  </w:r>
                  <w:r>
                    <w:rPr>
                      <w:rFonts w:hint="default" w:ascii="Times New Roman" w:hAnsi="Times New Roman" w:eastAsia="宋体" w:cs="Times New Roman"/>
                      <w:color w:val="000000"/>
                      <w:kern w:val="2"/>
                      <w:sz w:val="21"/>
                      <w:szCs w:val="21"/>
                      <w:bdr w:val="none" w:color="auto" w:sz="0" w:space="0"/>
                      <w:vertAlign w:val="superscript"/>
                      <w:lang w:val="en-US" w:eastAsia="zh-CN" w:bidi="ar"/>
                    </w:rPr>
                    <w:t>3</w:t>
                  </w:r>
                  <w:r>
                    <w:rPr>
                      <w:rFonts w:hint="default" w:ascii="Times New Roman" w:hAnsi="Times New Roman" w:eastAsia="宋体" w:cs="Times New Roman"/>
                      <w:color w:val="000000"/>
                      <w:kern w:val="2"/>
                      <w:sz w:val="21"/>
                      <w:szCs w:val="21"/>
                      <w:bdr w:val="none" w:color="auto" w:sz="0" w:space="0"/>
                      <w:lang w:val="en-US" w:eastAsia="zh-CN" w:bidi="ar"/>
                    </w:rPr>
                    <w:t>)</w:t>
                  </w:r>
                </w:p>
              </w:tc>
              <w:tc>
                <w:tcPr>
                  <w:tcW w:w="2222" w:type="dxa"/>
                  <w:gridSpan w:val="2"/>
                  <w:tcBorders>
                    <w:top w:val="single" w:color="auto" w:sz="12" w:space="0"/>
                    <w:left w:val="single" w:color="auto" w:sz="6" w:space="0"/>
                    <w:bottom w:val="single" w:color="auto" w:sz="6" w:space="0"/>
                    <w:right w:val="single" w:color="auto" w:sz="6" w:space="0"/>
                  </w:tcBorders>
                  <w:shd w:val="clear"/>
                  <w:vAlign w:val="center"/>
                </w:tcPr>
                <w:p w14:paraId="5BFC7422">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最高允许排放速率</w:t>
                  </w:r>
                </w:p>
              </w:tc>
              <w:tc>
                <w:tcPr>
                  <w:tcW w:w="3163" w:type="dxa"/>
                  <w:gridSpan w:val="2"/>
                  <w:tcBorders>
                    <w:top w:val="single" w:color="auto" w:sz="12" w:space="0"/>
                    <w:left w:val="single" w:color="auto" w:sz="6" w:space="0"/>
                    <w:bottom w:val="single" w:color="auto" w:sz="6" w:space="0"/>
                    <w:right w:val="nil"/>
                  </w:tcBorders>
                  <w:shd w:val="clear"/>
                  <w:vAlign w:val="center"/>
                </w:tcPr>
                <w:p w14:paraId="7CAB23B1">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无组织排放监控点浓度限值</w:t>
                  </w:r>
                </w:p>
              </w:tc>
            </w:tr>
            <w:tr w14:paraId="56F42A2C">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52" w:hRule="atLeast"/>
                <w:jc w:val="center"/>
              </w:trPr>
              <w:tc>
                <w:tcPr>
                  <w:tcW w:w="1320" w:type="dxa"/>
                  <w:vMerge w:val="continue"/>
                  <w:tcBorders>
                    <w:top w:val="single" w:color="auto" w:sz="12" w:space="0"/>
                    <w:left w:val="nil"/>
                    <w:bottom w:val="single" w:color="auto" w:sz="6" w:space="0"/>
                    <w:right w:val="single" w:color="auto" w:sz="6" w:space="0"/>
                  </w:tcBorders>
                  <w:shd w:val="clear"/>
                  <w:vAlign w:val="center"/>
                </w:tcPr>
                <w:p w14:paraId="19C9EE46">
                  <w:pPr>
                    <w:rPr>
                      <w:rFonts w:hint="default" w:ascii="Calibri" w:hAnsi="Calibri" w:cs="Calibri"/>
                      <w:sz w:val="20"/>
                      <w:szCs w:val="20"/>
                    </w:rPr>
                  </w:pPr>
                </w:p>
              </w:tc>
              <w:tc>
                <w:tcPr>
                  <w:tcW w:w="1269" w:type="dxa"/>
                  <w:vMerge w:val="continue"/>
                  <w:tcBorders>
                    <w:top w:val="single" w:color="auto" w:sz="12" w:space="0"/>
                    <w:left w:val="single" w:color="auto" w:sz="6" w:space="0"/>
                    <w:bottom w:val="single" w:color="auto" w:sz="6" w:space="0"/>
                    <w:right w:val="single" w:color="auto" w:sz="6" w:space="0"/>
                  </w:tcBorders>
                  <w:shd w:val="clear"/>
                  <w:vAlign w:val="center"/>
                </w:tcPr>
                <w:p w14:paraId="559B87CE">
                  <w:pPr>
                    <w:rPr>
                      <w:rFonts w:hint="default" w:ascii="Calibri" w:hAnsi="Calibri" w:cs="Calibri"/>
                      <w:sz w:val="20"/>
                      <w:szCs w:val="20"/>
                    </w:rPr>
                  </w:pPr>
                </w:p>
              </w:tc>
              <w:tc>
                <w:tcPr>
                  <w:tcW w:w="1141" w:type="dxa"/>
                  <w:tcBorders>
                    <w:top w:val="single" w:color="auto" w:sz="6" w:space="0"/>
                    <w:left w:val="single" w:color="auto" w:sz="6" w:space="0"/>
                    <w:bottom w:val="single" w:color="auto" w:sz="6" w:space="0"/>
                    <w:right w:val="single" w:color="auto" w:sz="6" w:space="0"/>
                  </w:tcBorders>
                  <w:shd w:val="clear"/>
                  <w:vAlign w:val="center"/>
                </w:tcPr>
                <w:p w14:paraId="19CD25AF">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排气筒</w:t>
                  </w:r>
                  <w:r>
                    <w:rPr>
                      <w:rFonts w:hint="default" w:ascii="Times New Roman" w:hAnsi="Times New Roman" w:eastAsia="宋体" w:cs="Times New Roman"/>
                      <w:color w:val="000000"/>
                      <w:kern w:val="2"/>
                      <w:sz w:val="21"/>
                      <w:szCs w:val="21"/>
                      <w:bdr w:val="none" w:color="auto" w:sz="0" w:space="0"/>
                      <w:lang w:val="en-US" w:eastAsia="zh-CN" w:bidi="ar"/>
                    </w:rPr>
                    <w:t>(m)</w:t>
                  </w:r>
                </w:p>
              </w:tc>
              <w:tc>
                <w:tcPr>
                  <w:tcW w:w="1081" w:type="dxa"/>
                  <w:tcBorders>
                    <w:top w:val="single" w:color="auto" w:sz="6" w:space="0"/>
                    <w:left w:val="single" w:color="auto" w:sz="6" w:space="0"/>
                    <w:bottom w:val="single" w:color="auto" w:sz="6" w:space="0"/>
                    <w:right w:val="single" w:color="auto" w:sz="6" w:space="0"/>
                  </w:tcBorders>
                  <w:shd w:val="clear"/>
                  <w:vAlign w:val="center"/>
                </w:tcPr>
                <w:p w14:paraId="1B99645E">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速率</w:t>
                  </w:r>
                  <w:r>
                    <w:rPr>
                      <w:rFonts w:hint="default" w:ascii="Times New Roman" w:hAnsi="Times New Roman" w:eastAsia="宋体" w:cs="Times New Roman"/>
                      <w:color w:val="000000"/>
                      <w:kern w:val="2"/>
                      <w:sz w:val="21"/>
                      <w:szCs w:val="21"/>
                      <w:bdr w:val="none" w:color="auto" w:sz="0" w:space="0"/>
                      <w:lang w:val="en-US" w:eastAsia="zh-CN" w:bidi="ar"/>
                    </w:rPr>
                    <w:t>(kg/h)</w:t>
                  </w:r>
                </w:p>
              </w:tc>
              <w:tc>
                <w:tcPr>
                  <w:tcW w:w="1586" w:type="dxa"/>
                  <w:tcBorders>
                    <w:top w:val="single" w:color="auto" w:sz="6" w:space="0"/>
                    <w:left w:val="single" w:color="auto" w:sz="6" w:space="0"/>
                    <w:bottom w:val="single" w:color="auto" w:sz="6" w:space="0"/>
                    <w:right w:val="single" w:color="auto" w:sz="6" w:space="0"/>
                  </w:tcBorders>
                  <w:shd w:val="clear"/>
                  <w:vAlign w:val="center"/>
                </w:tcPr>
                <w:p w14:paraId="3CF8FEBA">
                  <w:pPr>
                    <w:keepNext w:val="0"/>
                    <w:keepLines w:val="0"/>
                    <w:widowControl/>
                    <w:suppressLineNumbers w:val="0"/>
                    <w:autoSpaceDE w:val="0"/>
                    <w:autoSpaceDN w:val="0"/>
                    <w:adjustRightInd w:val="0"/>
                    <w:spacing w:before="0" w:beforeAutospacing="1" w:after="0" w:afterAutospacing="1"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监控点</w:t>
                  </w:r>
                </w:p>
              </w:tc>
              <w:tc>
                <w:tcPr>
                  <w:tcW w:w="1577" w:type="dxa"/>
                  <w:tcBorders>
                    <w:top w:val="single" w:color="auto" w:sz="6" w:space="0"/>
                    <w:left w:val="single" w:color="auto" w:sz="6" w:space="0"/>
                    <w:bottom w:val="single" w:color="auto" w:sz="6" w:space="0"/>
                    <w:right w:val="nil"/>
                  </w:tcBorders>
                  <w:shd w:val="clear"/>
                  <w:vAlign w:val="center"/>
                </w:tcPr>
                <w:p w14:paraId="2589901A">
                  <w:pPr>
                    <w:keepNext w:val="0"/>
                    <w:keepLines w:val="0"/>
                    <w:widowControl/>
                    <w:suppressLineNumbers w:val="0"/>
                    <w:spacing w:before="0" w:beforeAutospacing="1" w:after="0" w:afterAutospacing="1"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浓度</w:t>
                  </w:r>
                  <w:r>
                    <w:rPr>
                      <w:rFonts w:hint="default" w:ascii="Times New Roman" w:hAnsi="Times New Roman" w:eastAsia="宋体" w:cs="Times New Roman"/>
                      <w:color w:val="000000"/>
                      <w:kern w:val="2"/>
                      <w:sz w:val="21"/>
                      <w:szCs w:val="21"/>
                      <w:bdr w:val="none" w:color="auto" w:sz="0" w:space="0"/>
                      <w:lang w:val="en-US" w:eastAsia="zh-CN" w:bidi="ar"/>
                    </w:rPr>
                    <w:t>(mg/m</w:t>
                  </w:r>
                  <w:r>
                    <w:rPr>
                      <w:rFonts w:hint="default" w:ascii="Times New Roman" w:hAnsi="Times New Roman" w:eastAsia="宋体" w:cs="Times New Roman"/>
                      <w:color w:val="000000"/>
                      <w:kern w:val="2"/>
                      <w:sz w:val="21"/>
                      <w:szCs w:val="21"/>
                      <w:bdr w:val="none" w:color="auto" w:sz="0" w:space="0"/>
                      <w:vertAlign w:val="superscript"/>
                      <w:lang w:val="en-US" w:eastAsia="zh-CN" w:bidi="ar"/>
                    </w:rPr>
                    <w:t>3</w:t>
                  </w:r>
                  <w:r>
                    <w:rPr>
                      <w:rFonts w:hint="default" w:ascii="Times New Roman" w:hAnsi="Times New Roman" w:eastAsia="宋体" w:cs="Times New Roman"/>
                      <w:color w:val="000000"/>
                      <w:kern w:val="2"/>
                      <w:sz w:val="21"/>
                      <w:szCs w:val="21"/>
                      <w:bdr w:val="none" w:color="auto" w:sz="0" w:space="0"/>
                      <w:lang w:val="en-US" w:eastAsia="zh-CN" w:bidi="ar"/>
                    </w:rPr>
                    <w:t>)</w:t>
                  </w:r>
                </w:p>
              </w:tc>
            </w:tr>
            <w:tr w14:paraId="186315E6">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199" w:hRule="atLeast"/>
                <w:jc w:val="center"/>
              </w:trPr>
              <w:tc>
                <w:tcPr>
                  <w:tcW w:w="1320" w:type="dxa"/>
                  <w:tcBorders>
                    <w:top w:val="single" w:color="auto" w:sz="8" w:space="0"/>
                    <w:left w:val="nil"/>
                    <w:bottom w:val="single" w:color="auto" w:sz="12" w:space="0"/>
                    <w:right w:val="single" w:color="auto" w:sz="6" w:space="0"/>
                  </w:tcBorders>
                  <w:shd w:val="clear"/>
                  <w:vAlign w:val="center"/>
                </w:tcPr>
                <w:p w14:paraId="27CB811E">
                  <w:pPr>
                    <w:keepNext w:val="0"/>
                    <w:keepLines w:val="0"/>
                    <w:widowControl w:val="0"/>
                    <w:suppressLineNumbers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4"/>
                      <w:bdr w:val="none" w:color="auto" w:sz="0" w:space="0"/>
                      <w:lang w:val="en-US" w:eastAsia="zh-CN" w:bidi="ar"/>
                    </w:rPr>
                    <w:t>颗粒物</w:t>
                  </w:r>
                </w:p>
              </w:tc>
              <w:tc>
                <w:tcPr>
                  <w:tcW w:w="1269" w:type="dxa"/>
                  <w:tcBorders>
                    <w:top w:val="single" w:color="auto" w:sz="8" w:space="0"/>
                    <w:left w:val="single" w:color="auto" w:sz="6" w:space="0"/>
                    <w:bottom w:val="single" w:color="auto" w:sz="12" w:space="0"/>
                    <w:right w:val="single" w:color="auto" w:sz="6" w:space="0"/>
                  </w:tcBorders>
                  <w:shd w:val="clear"/>
                  <w:vAlign w:val="center"/>
                </w:tcPr>
                <w:p w14:paraId="1C64387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100</w:t>
                  </w:r>
                </w:p>
              </w:tc>
              <w:tc>
                <w:tcPr>
                  <w:tcW w:w="1141" w:type="dxa"/>
                  <w:tcBorders>
                    <w:top w:val="single" w:color="auto" w:sz="6" w:space="0"/>
                    <w:left w:val="single" w:color="auto" w:sz="6" w:space="0"/>
                    <w:bottom w:val="single" w:color="auto" w:sz="12" w:space="0"/>
                    <w:right w:val="single" w:color="auto" w:sz="6" w:space="0"/>
                  </w:tcBorders>
                  <w:shd w:val="clear"/>
                  <w:vAlign w:val="center"/>
                </w:tcPr>
                <w:p w14:paraId="0408BC3E">
                  <w:pPr>
                    <w:keepNext w:val="0"/>
                    <w:keepLines w:val="0"/>
                    <w:widowControl w:val="0"/>
                    <w:suppressLineNumbers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20</w:t>
                  </w:r>
                </w:p>
              </w:tc>
              <w:tc>
                <w:tcPr>
                  <w:tcW w:w="1081" w:type="dxa"/>
                  <w:tcBorders>
                    <w:top w:val="single" w:color="auto" w:sz="8" w:space="0"/>
                    <w:left w:val="single" w:color="auto" w:sz="6" w:space="0"/>
                    <w:bottom w:val="single" w:color="auto" w:sz="12" w:space="0"/>
                    <w:right w:val="single" w:color="auto" w:sz="6" w:space="0"/>
                  </w:tcBorders>
                  <w:shd w:val="clear"/>
                  <w:vAlign w:val="center"/>
                </w:tcPr>
                <w:p w14:paraId="57E0B9C1">
                  <w:pPr>
                    <w:keepNext w:val="0"/>
                    <w:keepLines w:val="0"/>
                    <w:widowControl w:val="0"/>
                    <w:suppressLineNumbers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3.2*</w:t>
                  </w:r>
                </w:p>
              </w:tc>
              <w:tc>
                <w:tcPr>
                  <w:tcW w:w="1586" w:type="dxa"/>
                  <w:tcBorders>
                    <w:top w:val="single" w:color="auto" w:sz="6" w:space="0"/>
                    <w:left w:val="single" w:color="auto" w:sz="6" w:space="0"/>
                    <w:bottom w:val="single" w:color="auto" w:sz="12" w:space="0"/>
                    <w:right w:val="single" w:color="auto" w:sz="6" w:space="0"/>
                  </w:tcBorders>
                  <w:shd w:val="clear"/>
                  <w:vAlign w:val="center"/>
                </w:tcPr>
                <w:p w14:paraId="2E5DB6BB">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周界外浓度最高点</w:t>
                  </w:r>
                </w:p>
              </w:tc>
              <w:tc>
                <w:tcPr>
                  <w:tcW w:w="1577" w:type="dxa"/>
                  <w:tcBorders>
                    <w:top w:val="single" w:color="auto" w:sz="8" w:space="0"/>
                    <w:left w:val="single" w:color="auto" w:sz="6" w:space="0"/>
                    <w:bottom w:val="single" w:color="auto" w:sz="12" w:space="0"/>
                    <w:right w:val="nil"/>
                  </w:tcBorders>
                  <w:shd w:val="clear"/>
                  <w:vAlign w:val="center"/>
                </w:tcPr>
                <w:p w14:paraId="514A9000">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1.0</w:t>
                  </w:r>
                </w:p>
              </w:tc>
            </w:tr>
          </w:tbl>
          <w:p w14:paraId="00CDDF1C">
            <w:pPr>
              <w:pStyle w:val="88"/>
              <w:widowControl/>
              <w:spacing w:line="440" w:lineRule="exact"/>
              <w:rPr>
                <w:rFonts w:eastAsia="宋体"/>
                <w:color w:val="000000"/>
                <w:bdr w:val="none" w:color="auto" w:sz="0" w:space="0"/>
                <w:lang w:val="en-US"/>
              </w:rPr>
            </w:pPr>
            <w:r>
              <w:rPr>
                <w:rFonts w:eastAsia="宋体"/>
                <w:color w:val="000000"/>
                <w:bdr w:val="none" w:color="auto" w:sz="0" w:space="0"/>
                <w:lang w:val="en-US"/>
              </w:rPr>
              <w:t>2</w:t>
            </w:r>
            <w:r>
              <w:rPr>
                <w:rFonts w:hint="eastAsia" w:ascii="Times New Roman" w:hAnsi="Times New Roman" w:eastAsia="宋体" w:cs="宋体"/>
                <w:color w:val="000000"/>
                <w:bdr w:val="none" w:color="auto" w:sz="0" w:space="0"/>
              </w:rPr>
              <w:t>、项目网格通风棉（</w:t>
            </w:r>
            <w:r>
              <w:rPr>
                <w:rFonts w:eastAsia="宋体"/>
                <w:color w:val="000000"/>
                <w:bdr w:val="none" w:color="auto" w:sz="0" w:space="0"/>
                <w:lang w:val="en-US"/>
              </w:rPr>
              <w:t>PU</w:t>
            </w:r>
            <w:r>
              <w:rPr>
                <w:rFonts w:hint="eastAsia" w:ascii="Times New Roman" w:hAnsi="Times New Roman" w:eastAsia="宋体" w:cs="宋体"/>
                <w:color w:val="000000"/>
                <w:bdr w:val="none" w:color="auto" w:sz="0" w:space="0"/>
              </w:rPr>
              <w:t>，主要成分为</w:t>
            </w:r>
            <w:r>
              <w:rPr>
                <w:rFonts w:eastAsia="宋体"/>
                <w:color w:val="000000"/>
                <w:bdr w:val="none" w:color="auto" w:sz="0" w:space="0"/>
                <w:lang w:val="en-US"/>
              </w:rPr>
              <w:t>MDI</w:t>
            </w:r>
            <w:r>
              <w:rPr>
                <w:rFonts w:hint="eastAsia" w:ascii="Times New Roman" w:hAnsi="Times New Roman" w:eastAsia="宋体" w:cs="宋体"/>
                <w:color w:val="000000"/>
                <w:bdr w:val="none" w:color="auto" w:sz="0" w:space="0"/>
              </w:rPr>
              <w:t>聚氨酯）激光气化切割过程物料熔融气化产生烟尘、非甲烷总烃和</w:t>
            </w:r>
            <w:r>
              <w:rPr>
                <w:rFonts w:eastAsia="宋体"/>
                <w:color w:val="000000"/>
                <w:bdr w:val="none" w:color="auto" w:sz="0" w:space="0"/>
                <w:lang w:val="en-US"/>
              </w:rPr>
              <w:t>MDI</w:t>
            </w:r>
            <w:r>
              <w:rPr>
                <w:rFonts w:hint="eastAsia" w:ascii="Times New Roman" w:hAnsi="Times New Roman" w:eastAsia="宋体" w:cs="宋体"/>
                <w:color w:val="000000"/>
                <w:bdr w:val="none" w:color="auto" w:sz="0" w:space="0"/>
              </w:rPr>
              <w:t>。根据《合成树脂工业污染物排放标准》（</w:t>
            </w:r>
            <w:r>
              <w:rPr>
                <w:rFonts w:eastAsia="宋体"/>
                <w:color w:val="000000"/>
                <w:bdr w:val="none" w:color="auto" w:sz="0" w:space="0"/>
                <w:lang w:val="en-US"/>
              </w:rPr>
              <w:t>GB31572-2015</w:t>
            </w:r>
            <w:r>
              <w:rPr>
                <w:rFonts w:hint="eastAsia" w:ascii="Times New Roman" w:hAnsi="Times New Roman" w:eastAsia="宋体" w:cs="宋体"/>
                <w:color w:val="000000"/>
                <w:bdr w:val="none" w:color="auto" w:sz="0" w:space="0"/>
              </w:rPr>
              <w:t>）和《重庆市环境保护局关于建设项目环境影响评价污染物排放标准执行有关问题的通知》（</w:t>
            </w:r>
            <w:r>
              <w:rPr>
                <w:rFonts w:eastAsia="宋体"/>
                <w:color w:val="000000"/>
                <w:bdr w:val="none" w:color="auto" w:sz="0" w:space="0"/>
                <w:lang w:val="en-US"/>
              </w:rPr>
              <w:t>2016</w:t>
            </w:r>
            <w:r>
              <w:rPr>
                <w:rFonts w:hint="eastAsia" w:ascii="Times New Roman" w:hAnsi="Times New Roman" w:eastAsia="宋体" w:cs="宋体"/>
                <w:color w:val="000000"/>
                <w:bdr w:val="none" w:color="auto" w:sz="0" w:space="0"/>
              </w:rPr>
              <w:t>年</w:t>
            </w:r>
            <w:r>
              <w:rPr>
                <w:rFonts w:eastAsia="宋体"/>
                <w:color w:val="000000"/>
                <w:bdr w:val="none" w:color="auto" w:sz="0" w:space="0"/>
                <w:lang w:val="en-US"/>
              </w:rPr>
              <w:t>12</w:t>
            </w:r>
            <w:r>
              <w:rPr>
                <w:rFonts w:hint="eastAsia" w:ascii="Times New Roman" w:hAnsi="Times New Roman" w:eastAsia="宋体" w:cs="宋体"/>
                <w:color w:val="000000"/>
                <w:bdr w:val="none" w:color="auto" w:sz="0" w:space="0"/>
              </w:rPr>
              <w:t>月</w:t>
            </w:r>
            <w:r>
              <w:rPr>
                <w:rFonts w:eastAsia="宋体"/>
                <w:color w:val="000000"/>
                <w:bdr w:val="none" w:color="auto" w:sz="0" w:space="0"/>
                <w:lang w:val="en-US"/>
              </w:rPr>
              <w:t>27</w:t>
            </w:r>
            <w:r>
              <w:rPr>
                <w:rFonts w:hint="eastAsia" w:ascii="Times New Roman" w:hAnsi="Times New Roman" w:eastAsia="宋体" w:cs="宋体"/>
                <w:color w:val="000000"/>
                <w:bdr w:val="none" w:color="auto" w:sz="0" w:space="0"/>
              </w:rPr>
              <w:t>日发）的相关规定，项目激光切割工序为“气化切割工艺”；另外，</w:t>
            </w:r>
            <w:bookmarkStart w:id="30" w:name="OLE_LINK40"/>
            <w:bookmarkStart w:id="31" w:name="OLE_LINK41"/>
            <w:r>
              <w:rPr>
                <w:rFonts w:hint="eastAsia" w:ascii="Times New Roman" w:hAnsi="Times New Roman" w:eastAsia="宋体" w:cs="宋体"/>
                <w:color w:val="000000"/>
                <w:bdr w:val="none" w:color="auto" w:sz="0" w:space="0"/>
              </w:rPr>
              <w:t>项目背胶处理剂涂胶废气与激光切割工序废气合并处理，</w:t>
            </w:r>
            <w:bookmarkEnd w:id="30"/>
            <w:bookmarkEnd w:id="31"/>
            <w:r>
              <w:rPr>
                <w:rFonts w:hint="eastAsia" w:ascii="Times New Roman" w:hAnsi="Times New Roman" w:eastAsia="宋体" w:cs="宋体"/>
                <w:color w:val="000000"/>
                <w:bdr w:val="none" w:color="auto" w:sz="0" w:space="0"/>
              </w:rPr>
              <w:t>因此，项目背胶处理剂涂胶废气和网格棉激光气化切割废气污染物排放标准统一参照执行《合成树脂工业污染物排放标准》（</w:t>
            </w:r>
            <w:r>
              <w:rPr>
                <w:rFonts w:eastAsia="宋体"/>
                <w:color w:val="000000"/>
                <w:bdr w:val="none" w:color="auto" w:sz="0" w:space="0"/>
                <w:lang w:val="en-US"/>
              </w:rPr>
              <w:t>GB 31572-2015</w:t>
            </w:r>
            <w:r>
              <w:rPr>
                <w:rFonts w:hint="eastAsia" w:ascii="Times New Roman" w:hAnsi="Times New Roman" w:eastAsia="宋体" w:cs="宋体"/>
                <w:color w:val="000000"/>
                <w:bdr w:val="none" w:color="auto" w:sz="0" w:space="0"/>
              </w:rPr>
              <w:t>）表</w:t>
            </w:r>
            <w:r>
              <w:rPr>
                <w:rFonts w:eastAsia="宋体"/>
                <w:color w:val="000000"/>
                <w:bdr w:val="none" w:color="auto" w:sz="0" w:space="0"/>
                <w:lang w:val="en-US"/>
              </w:rPr>
              <w:t>5</w:t>
            </w:r>
            <w:r>
              <w:rPr>
                <w:rFonts w:hint="eastAsia" w:ascii="Times New Roman" w:hAnsi="Times New Roman" w:eastAsia="宋体" w:cs="宋体"/>
                <w:color w:val="000000"/>
                <w:bdr w:val="none" w:color="auto" w:sz="0" w:space="0"/>
              </w:rPr>
              <w:t>规定的大气污染物特别排放限值；挥发性有机物无组织排放执行《挥发性有机物无组织排放控制标准》（</w:t>
            </w:r>
            <w:r>
              <w:rPr>
                <w:rFonts w:eastAsia="宋体"/>
                <w:color w:val="000000"/>
                <w:bdr w:val="none" w:color="auto" w:sz="0" w:space="0"/>
                <w:lang w:val="en-US"/>
              </w:rPr>
              <w:t>GB 37822-2019</w:t>
            </w:r>
            <w:r>
              <w:rPr>
                <w:rFonts w:hint="eastAsia" w:ascii="Times New Roman" w:hAnsi="Times New Roman" w:eastAsia="宋体" w:cs="宋体"/>
                <w:color w:val="000000"/>
                <w:bdr w:val="none" w:color="auto" w:sz="0" w:space="0"/>
              </w:rPr>
              <w:t>）特别排放限值要求。</w:t>
            </w:r>
          </w:p>
          <w:p w14:paraId="7078A450">
            <w:pPr>
              <w:pStyle w:val="9"/>
              <w:widowControl/>
              <w:adjustRightInd w:val="0"/>
              <w:snapToGrid w:val="0"/>
              <w:spacing w:line="460" w:lineRule="exact"/>
              <w:jc w:val="center"/>
              <w:rPr>
                <w:rFonts w:hint="default" w:ascii="Times New Roman" w:hAnsi="Times New Roman" w:cs="Times New Roman"/>
                <w:color w:val="000000"/>
                <w:sz w:val="24"/>
                <w:szCs w:val="24"/>
                <w:bdr w:val="none" w:color="auto" w:sz="0" w:space="0"/>
                <w:lang w:val="en-US"/>
              </w:rPr>
            </w:pPr>
          </w:p>
          <w:p w14:paraId="7EDF76B1">
            <w:pPr>
              <w:pStyle w:val="9"/>
              <w:widowControl/>
              <w:adjustRightInd w:val="0"/>
              <w:snapToGrid w:val="0"/>
              <w:spacing w:line="460" w:lineRule="exact"/>
              <w:jc w:val="center"/>
              <w:rPr>
                <w:rFonts w:hint="default" w:ascii="Times New Roman" w:hAnsi="Times New Roman" w:cs="Times New Roman"/>
                <w:color w:val="000000"/>
                <w:sz w:val="24"/>
                <w:szCs w:val="24"/>
                <w:bdr w:val="none" w:color="auto" w:sz="0" w:space="0"/>
                <w:lang w:val="en-US"/>
              </w:rPr>
            </w:pPr>
          </w:p>
          <w:p w14:paraId="5F553A5E">
            <w:pPr>
              <w:pStyle w:val="9"/>
              <w:widowControl/>
              <w:adjustRightInd w:val="0"/>
              <w:snapToGrid w:val="0"/>
              <w:spacing w:line="460" w:lineRule="exact"/>
              <w:jc w:val="center"/>
              <w:rPr>
                <w:rFonts w:hint="default" w:ascii="Times New Roman" w:hAnsi="Times New Roman" w:cs="Times New Roman"/>
                <w:color w:val="000000"/>
                <w:sz w:val="24"/>
                <w:szCs w:val="24"/>
                <w:bdr w:val="none" w:color="auto" w:sz="0" w:space="0"/>
                <w:lang w:val="en-US"/>
              </w:rPr>
            </w:pPr>
            <w:r>
              <w:rPr>
                <w:rFonts w:ascii="Times New Roman" w:hAnsi="Times New Roman"/>
                <w:color w:val="000000"/>
                <w:sz w:val="24"/>
                <w:szCs w:val="24"/>
                <w:bdr w:val="none" w:color="auto" w:sz="0" w:space="0"/>
              </w:rPr>
              <w:t>表</w:t>
            </w:r>
            <w:r>
              <w:rPr>
                <w:rFonts w:hint="default" w:ascii="Times New Roman" w:hAnsi="Times New Roman" w:cs="Times New Roman"/>
                <w:color w:val="000000"/>
                <w:sz w:val="24"/>
                <w:szCs w:val="24"/>
                <w:bdr w:val="none" w:color="auto" w:sz="0" w:space="0"/>
                <w:lang w:val="en-US"/>
              </w:rPr>
              <w:t xml:space="preserve">3.7-2  </w:t>
            </w:r>
            <w:r>
              <w:rPr>
                <w:rFonts w:ascii="Times New Roman" w:hAnsi="Times New Roman"/>
                <w:color w:val="000000"/>
                <w:sz w:val="24"/>
                <w:szCs w:val="24"/>
                <w:bdr w:val="none" w:color="auto" w:sz="0" w:space="0"/>
              </w:rPr>
              <w:t>《合成树脂工业污染物排放标准》（</w:t>
            </w:r>
            <w:r>
              <w:rPr>
                <w:rFonts w:hint="default" w:ascii="Times New Roman" w:hAnsi="Times New Roman" w:cs="Times New Roman"/>
                <w:color w:val="000000"/>
                <w:sz w:val="24"/>
                <w:szCs w:val="24"/>
                <w:bdr w:val="none" w:color="auto" w:sz="0" w:space="0"/>
                <w:lang w:val="en-US"/>
              </w:rPr>
              <w:t>GB 31572-2015</w:t>
            </w:r>
            <w:r>
              <w:rPr>
                <w:rFonts w:ascii="Times New Roman" w:hAnsi="Times New Roman"/>
                <w:color w:val="000000"/>
                <w:sz w:val="24"/>
                <w:szCs w:val="24"/>
                <w:bdr w:val="none" w:color="auto" w:sz="0" w:space="0"/>
              </w:rPr>
              <w:t>）</w:t>
            </w:r>
          </w:p>
          <w:tbl>
            <w:tblPr>
              <w:tblStyle w:val="18"/>
              <w:tblW w:w="5000" w:type="pct"/>
              <w:tblInd w:w="8"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Layout w:type="fixed"/>
              <w:tblCellMar>
                <w:top w:w="0" w:type="dxa"/>
                <w:left w:w="108" w:type="dxa"/>
                <w:bottom w:w="0" w:type="dxa"/>
                <w:right w:w="108" w:type="dxa"/>
              </w:tblCellMar>
            </w:tblPr>
            <w:tblGrid>
              <w:gridCol w:w="691"/>
              <w:gridCol w:w="2061"/>
              <w:gridCol w:w="2686"/>
              <w:gridCol w:w="2536"/>
            </w:tblGrid>
            <w:tr w14:paraId="0ABDBCB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CellMar>
                  <w:top w:w="0" w:type="dxa"/>
                  <w:left w:w="108" w:type="dxa"/>
                  <w:bottom w:w="0" w:type="dxa"/>
                  <w:right w:w="108" w:type="dxa"/>
                </w:tblCellMar>
              </w:tblPrEx>
              <w:tc>
                <w:tcPr>
                  <w:tcW w:w="434" w:type="pct"/>
                  <w:tcBorders>
                    <w:top w:val="single" w:color="auto" w:sz="12" w:space="0"/>
                    <w:left w:val="nil"/>
                    <w:bottom w:val="single" w:color="auto" w:sz="4" w:space="0"/>
                    <w:right w:val="single" w:color="auto" w:sz="4" w:space="0"/>
                  </w:tcBorders>
                  <w:shd w:val="clear"/>
                  <w:vAlign w:val="center"/>
                </w:tcPr>
                <w:p w14:paraId="63A4EDCF">
                  <w:pPr>
                    <w:pStyle w:val="9"/>
                    <w:widowControl/>
                    <w:adjustRightInd w:val="0"/>
                    <w:snapToGrid w:val="0"/>
                    <w:jc w:val="center"/>
                    <w:rPr>
                      <w:rFonts w:hint="default" w:ascii="Times New Roman" w:hAnsi="Times New Roman" w:cs="Times New Roman"/>
                      <w:color w:val="000000"/>
                      <w:bdr w:val="none" w:color="auto" w:sz="0" w:space="0"/>
                      <w:lang w:val="en-US"/>
                    </w:rPr>
                  </w:pPr>
                  <w:r>
                    <w:rPr>
                      <w:rFonts w:ascii="Times New Roman" w:hAnsi="Times New Roman"/>
                      <w:color w:val="000000"/>
                      <w:bdr w:val="none" w:color="auto" w:sz="0" w:space="0"/>
                    </w:rPr>
                    <w:t>序号</w:t>
                  </w:r>
                </w:p>
              </w:tc>
              <w:tc>
                <w:tcPr>
                  <w:tcW w:w="1292" w:type="pct"/>
                  <w:tcBorders>
                    <w:top w:val="single" w:color="auto" w:sz="12" w:space="0"/>
                    <w:left w:val="single" w:color="auto" w:sz="4" w:space="0"/>
                    <w:bottom w:val="single" w:color="auto" w:sz="4" w:space="0"/>
                    <w:right w:val="single" w:color="auto" w:sz="4" w:space="0"/>
                  </w:tcBorders>
                  <w:shd w:val="clear"/>
                  <w:vAlign w:val="center"/>
                </w:tcPr>
                <w:p w14:paraId="0E313400">
                  <w:pPr>
                    <w:pStyle w:val="9"/>
                    <w:widowControl/>
                    <w:adjustRightInd w:val="0"/>
                    <w:snapToGrid w:val="0"/>
                    <w:jc w:val="center"/>
                    <w:rPr>
                      <w:rFonts w:hint="default" w:ascii="Times New Roman" w:hAnsi="Times New Roman" w:cs="Times New Roman"/>
                      <w:color w:val="000000"/>
                      <w:bdr w:val="none" w:color="auto" w:sz="0" w:space="0"/>
                      <w:lang w:val="en-US"/>
                    </w:rPr>
                  </w:pPr>
                  <w:r>
                    <w:rPr>
                      <w:rFonts w:ascii="Times New Roman" w:hAnsi="Times New Roman"/>
                      <w:color w:val="000000"/>
                      <w:bdr w:val="none" w:color="auto" w:sz="0" w:space="0"/>
                    </w:rPr>
                    <w:t>有害污染物名称</w:t>
                  </w:r>
                </w:p>
              </w:tc>
              <w:tc>
                <w:tcPr>
                  <w:tcW w:w="1684" w:type="pct"/>
                  <w:tcBorders>
                    <w:top w:val="single" w:color="auto" w:sz="12" w:space="0"/>
                    <w:left w:val="single" w:color="auto" w:sz="4" w:space="0"/>
                    <w:bottom w:val="single" w:color="auto" w:sz="4" w:space="0"/>
                    <w:right w:val="single" w:color="auto" w:sz="4" w:space="0"/>
                  </w:tcBorders>
                  <w:shd w:val="clear"/>
                  <w:vAlign w:val="center"/>
                </w:tcPr>
                <w:p w14:paraId="1E6E80CC">
                  <w:pPr>
                    <w:pStyle w:val="9"/>
                    <w:widowControl/>
                    <w:adjustRightInd w:val="0"/>
                    <w:snapToGrid w:val="0"/>
                    <w:jc w:val="center"/>
                    <w:rPr>
                      <w:rFonts w:hint="default" w:ascii="Times New Roman" w:hAnsi="Times New Roman" w:cs="Times New Roman"/>
                      <w:color w:val="000000"/>
                      <w:bdr w:val="none" w:color="auto" w:sz="0" w:space="0"/>
                      <w:lang w:val="en-US"/>
                    </w:rPr>
                  </w:pPr>
                  <w:r>
                    <w:rPr>
                      <w:rFonts w:ascii="Times New Roman" w:hAnsi="Times New Roman"/>
                      <w:color w:val="000000"/>
                      <w:bdr w:val="none" w:color="auto" w:sz="0" w:space="0"/>
                    </w:rPr>
                    <w:t>最高允许浓度（</w:t>
                  </w:r>
                  <w:r>
                    <w:rPr>
                      <w:rFonts w:hint="default" w:ascii="Times New Roman" w:hAnsi="Times New Roman" w:cs="Times New Roman"/>
                      <w:color w:val="000000"/>
                      <w:bdr w:val="none" w:color="auto" w:sz="0" w:space="0"/>
                      <w:lang w:val="en-US"/>
                    </w:rPr>
                    <w:t>mg/m</w:t>
                  </w:r>
                  <w:r>
                    <w:rPr>
                      <w:rFonts w:hint="default" w:ascii="Times New Roman" w:hAnsi="Times New Roman" w:cs="Times New Roman"/>
                      <w:color w:val="000000"/>
                      <w:bdr w:val="none" w:color="auto" w:sz="0" w:space="0"/>
                      <w:vertAlign w:val="superscript"/>
                      <w:lang w:val="en-US"/>
                    </w:rPr>
                    <w:t>3</w:t>
                  </w:r>
                  <w:r>
                    <w:rPr>
                      <w:rFonts w:ascii="Times New Roman" w:hAnsi="Times New Roman"/>
                      <w:color w:val="000000"/>
                      <w:bdr w:val="none" w:color="auto" w:sz="0" w:space="0"/>
                    </w:rPr>
                    <w:t>）</w:t>
                  </w:r>
                </w:p>
              </w:tc>
              <w:tc>
                <w:tcPr>
                  <w:tcW w:w="1590" w:type="pct"/>
                  <w:tcBorders>
                    <w:top w:val="single" w:color="auto" w:sz="12" w:space="0"/>
                    <w:left w:val="single" w:color="auto" w:sz="4" w:space="0"/>
                    <w:bottom w:val="single" w:color="auto" w:sz="4" w:space="0"/>
                    <w:right w:val="nil"/>
                  </w:tcBorders>
                  <w:shd w:val="clear"/>
                  <w:vAlign w:val="center"/>
                </w:tcPr>
                <w:p w14:paraId="5A017A29">
                  <w:pPr>
                    <w:pStyle w:val="9"/>
                    <w:widowControl/>
                    <w:adjustRightInd w:val="0"/>
                    <w:snapToGrid w:val="0"/>
                    <w:jc w:val="center"/>
                    <w:rPr>
                      <w:rFonts w:hint="default" w:ascii="Times New Roman" w:hAnsi="Times New Roman" w:cs="Times New Roman"/>
                      <w:color w:val="000000"/>
                      <w:bdr w:val="none" w:color="auto" w:sz="0" w:space="0"/>
                      <w:lang w:val="en-US"/>
                    </w:rPr>
                  </w:pPr>
                  <w:r>
                    <w:rPr>
                      <w:rFonts w:ascii="Times New Roman" w:hAnsi="Times New Roman"/>
                      <w:color w:val="000000"/>
                      <w:bdr w:val="none" w:color="auto" w:sz="0" w:space="0"/>
                    </w:rPr>
                    <w:t>无组织排放最高允许浓度（</w:t>
                  </w:r>
                  <w:r>
                    <w:rPr>
                      <w:rFonts w:hint="default" w:ascii="Times New Roman" w:hAnsi="Times New Roman" w:cs="Times New Roman"/>
                      <w:color w:val="000000"/>
                      <w:bdr w:val="none" w:color="auto" w:sz="0" w:space="0"/>
                      <w:lang w:val="en-US"/>
                    </w:rPr>
                    <w:t>mg/m</w:t>
                  </w:r>
                  <w:r>
                    <w:rPr>
                      <w:rFonts w:hint="default" w:ascii="Times New Roman" w:hAnsi="Times New Roman" w:cs="Times New Roman"/>
                      <w:color w:val="000000"/>
                      <w:bdr w:val="none" w:color="auto" w:sz="0" w:space="0"/>
                      <w:vertAlign w:val="superscript"/>
                      <w:lang w:val="en-US"/>
                    </w:rPr>
                    <w:t>3</w:t>
                  </w:r>
                  <w:r>
                    <w:rPr>
                      <w:rFonts w:ascii="Times New Roman" w:hAnsi="Times New Roman"/>
                      <w:color w:val="000000"/>
                      <w:bdr w:val="none" w:color="auto" w:sz="0" w:space="0"/>
                    </w:rPr>
                    <w:t>）</w:t>
                  </w:r>
                </w:p>
              </w:tc>
            </w:tr>
            <w:tr w14:paraId="3F08208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434" w:type="pct"/>
                  <w:tcBorders>
                    <w:top w:val="single" w:color="auto" w:sz="4" w:space="0"/>
                    <w:left w:val="nil"/>
                    <w:bottom w:val="single" w:color="auto" w:sz="4" w:space="0"/>
                    <w:right w:val="single" w:color="auto" w:sz="4" w:space="0"/>
                  </w:tcBorders>
                  <w:shd w:val="clear"/>
                  <w:vAlign w:val="center"/>
                </w:tcPr>
                <w:p w14:paraId="2B2D273F">
                  <w:pPr>
                    <w:pStyle w:val="9"/>
                    <w:widowControl/>
                    <w:adjustRightInd w:val="0"/>
                    <w:snapToGrid w:val="0"/>
                    <w:jc w:val="center"/>
                    <w:rPr>
                      <w:rFonts w:hint="default" w:ascii="Times New Roman" w:hAnsi="Times New Roman" w:cs="Times New Roman"/>
                      <w:color w:val="000000"/>
                      <w:bdr w:val="none" w:color="auto" w:sz="0" w:space="0"/>
                      <w:lang w:val="en-US"/>
                    </w:rPr>
                  </w:pPr>
                  <w:r>
                    <w:rPr>
                      <w:rFonts w:hint="default" w:ascii="Times New Roman" w:hAnsi="Times New Roman" w:cs="Times New Roman"/>
                      <w:color w:val="000000"/>
                      <w:bdr w:val="none" w:color="auto" w:sz="0" w:space="0"/>
                      <w:lang w:val="en-US"/>
                    </w:rPr>
                    <w:t>1</w:t>
                  </w:r>
                </w:p>
              </w:tc>
              <w:tc>
                <w:tcPr>
                  <w:tcW w:w="1292" w:type="pct"/>
                  <w:tcBorders>
                    <w:top w:val="single" w:color="auto" w:sz="4" w:space="0"/>
                    <w:left w:val="single" w:color="auto" w:sz="4" w:space="0"/>
                    <w:bottom w:val="single" w:color="auto" w:sz="4" w:space="0"/>
                    <w:right w:val="single" w:color="auto" w:sz="4" w:space="0"/>
                  </w:tcBorders>
                  <w:shd w:val="clear"/>
                  <w:vAlign w:val="center"/>
                </w:tcPr>
                <w:p w14:paraId="08B5E501">
                  <w:pPr>
                    <w:pStyle w:val="9"/>
                    <w:widowControl/>
                    <w:adjustRightInd w:val="0"/>
                    <w:snapToGrid w:val="0"/>
                    <w:jc w:val="center"/>
                    <w:rPr>
                      <w:rFonts w:hint="default" w:ascii="Times New Roman" w:hAnsi="Times New Roman" w:cs="Times New Roman"/>
                      <w:color w:val="000000"/>
                      <w:bdr w:val="none" w:color="auto" w:sz="0" w:space="0"/>
                      <w:lang w:val="en-US"/>
                    </w:rPr>
                  </w:pPr>
                  <w:r>
                    <w:rPr>
                      <w:rFonts w:ascii="Times New Roman" w:hAnsi="Times New Roman"/>
                      <w:color w:val="000000"/>
                      <w:bdr w:val="none" w:color="auto" w:sz="0" w:space="0"/>
                    </w:rPr>
                    <w:t>非甲烷总烃</w:t>
                  </w:r>
                </w:p>
              </w:tc>
              <w:tc>
                <w:tcPr>
                  <w:tcW w:w="1684" w:type="pct"/>
                  <w:tcBorders>
                    <w:top w:val="single" w:color="auto" w:sz="4" w:space="0"/>
                    <w:left w:val="single" w:color="auto" w:sz="4" w:space="0"/>
                    <w:bottom w:val="single" w:color="auto" w:sz="4" w:space="0"/>
                    <w:right w:val="single" w:color="auto" w:sz="4" w:space="0"/>
                  </w:tcBorders>
                  <w:shd w:val="clear"/>
                  <w:vAlign w:val="center"/>
                </w:tcPr>
                <w:p w14:paraId="2AB491F1">
                  <w:pPr>
                    <w:pStyle w:val="9"/>
                    <w:widowControl/>
                    <w:adjustRightInd w:val="0"/>
                    <w:snapToGrid w:val="0"/>
                    <w:jc w:val="center"/>
                    <w:rPr>
                      <w:rFonts w:hint="default" w:ascii="Times New Roman" w:hAnsi="Times New Roman" w:cs="Times New Roman"/>
                      <w:color w:val="000000"/>
                      <w:bdr w:val="none" w:color="auto" w:sz="0" w:space="0"/>
                      <w:lang w:val="en-US"/>
                    </w:rPr>
                  </w:pPr>
                  <w:r>
                    <w:rPr>
                      <w:rFonts w:hint="default" w:ascii="Times New Roman" w:hAnsi="Times New Roman" w:cs="Times New Roman"/>
                      <w:color w:val="000000"/>
                      <w:bdr w:val="none" w:color="auto" w:sz="0" w:space="0"/>
                      <w:lang w:val="en-US"/>
                    </w:rPr>
                    <w:t>60</w:t>
                  </w:r>
                </w:p>
              </w:tc>
              <w:tc>
                <w:tcPr>
                  <w:tcW w:w="1591" w:type="pct"/>
                  <w:tcBorders>
                    <w:top w:val="single" w:color="auto" w:sz="4" w:space="0"/>
                    <w:left w:val="single" w:color="auto" w:sz="4" w:space="0"/>
                    <w:bottom w:val="single" w:color="auto" w:sz="4" w:space="0"/>
                    <w:right w:val="nil"/>
                  </w:tcBorders>
                  <w:shd w:val="clear"/>
                  <w:vAlign w:val="center"/>
                </w:tcPr>
                <w:p w14:paraId="60888F51">
                  <w:pPr>
                    <w:pStyle w:val="9"/>
                    <w:widowControl/>
                    <w:adjustRightInd w:val="0"/>
                    <w:snapToGrid w:val="0"/>
                    <w:jc w:val="center"/>
                    <w:rPr>
                      <w:rFonts w:hint="default" w:ascii="Times New Roman" w:hAnsi="Times New Roman" w:cs="Times New Roman"/>
                      <w:color w:val="000000"/>
                      <w:bdr w:val="none" w:color="auto" w:sz="0" w:space="0"/>
                      <w:lang w:val="en-US"/>
                    </w:rPr>
                  </w:pPr>
                  <w:r>
                    <w:rPr>
                      <w:rFonts w:hint="default" w:ascii="Times New Roman" w:hAnsi="Times New Roman" w:cs="Times New Roman"/>
                      <w:color w:val="000000"/>
                      <w:bdr w:val="none" w:color="auto" w:sz="0" w:space="0"/>
                      <w:lang w:val="en-US"/>
                    </w:rPr>
                    <w:t>4.0</w:t>
                  </w:r>
                </w:p>
              </w:tc>
            </w:tr>
            <w:tr w14:paraId="3FA7FCA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434" w:type="pct"/>
                  <w:tcBorders>
                    <w:top w:val="single" w:color="auto" w:sz="4" w:space="0"/>
                    <w:left w:val="nil"/>
                    <w:bottom w:val="single" w:color="auto" w:sz="4" w:space="0"/>
                    <w:right w:val="single" w:color="auto" w:sz="4" w:space="0"/>
                  </w:tcBorders>
                  <w:shd w:val="clear"/>
                  <w:vAlign w:val="center"/>
                </w:tcPr>
                <w:p w14:paraId="2C12BFA5">
                  <w:pPr>
                    <w:pStyle w:val="9"/>
                    <w:widowControl/>
                    <w:adjustRightInd w:val="0"/>
                    <w:snapToGrid w:val="0"/>
                    <w:jc w:val="center"/>
                    <w:rPr>
                      <w:rFonts w:hint="default" w:ascii="Times New Roman" w:hAnsi="Times New Roman" w:cs="Times New Roman"/>
                      <w:color w:val="000000"/>
                      <w:bdr w:val="none" w:color="auto" w:sz="0" w:space="0"/>
                      <w:lang w:val="en-US"/>
                    </w:rPr>
                  </w:pPr>
                  <w:r>
                    <w:rPr>
                      <w:rFonts w:hint="default" w:ascii="Times New Roman" w:hAnsi="Times New Roman" w:cs="Times New Roman"/>
                      <w:color w:val="000000"/>
                      <w:bdr w:val="none" w:color="auto" w:sz="0" w:space="0"/>
                      <w:lang w:val="en-US"/>
                    </w:rPr>
                    <w:t>2</w:t>
                  </w:r>
                </w:p>
              </w:tc>
              <w:tc>
                <w:tcPr>
                  <w:tcW w:w="1292" w:type="pct"/>
                  <w:tcBorders>
                    <w:top w:val="single" w:color="auto" w:sz="4" w:space="0"/>
                    <w:left w:val="single" w:color="auto" w:sz="4" w:space="0"/>
                    <w:bottom w:val="single" w:color="auto" w:sz="4" w:space="0"/>
                    <w:right w:val="single" w:color="auto" w:sz="4" w:space="0"/>
                  </w:tcBorders>
                  <w:shd w:val="clear"/>
                  <w:vAlign w:val="center"/>
                </w:tcPr>
                <w:p w14:paraId="079075C1">
                  <w:pPr>
                    <w:pStyle w:val="9"/>
                    <w:widowControl/>
                    <w:adjustRightInd w:val="0"/>
                    <w:snapToGrid w:val="0"/>
                    <w:jc w:val="center"/>
                    <w:rPr>
                      <w:rFonts w:hint="default" w:ascii="Times New Roman" w:hAnsi="Times New Roman" w:cs="Times New Roman"/>
                      <w:color w:val="000000"/>
                      <w:bdr w:val="none" w:color="auto" w:sz="0" w:space="0"/>
                      <w:lang w:val="en-US"/>
                    </w:rPr>
                  </w:pPr>
                  <w:r>
                    <w:rPr>
                      <w:rFonts w:hint="default" w:ascii="Times New Roman" w:hAnsi="Times New Roman" w:cs="Times New Roman"/>
                      <w:color w:val="000000"/>
                      <w:bdr w:val="none" w:color="auto" w:sz="0" w:space="0"/>
                      <w:lang w:val="en-US"/>
                    </w:rPr>
                    <w:t>MDI</w:t>
                  </w:r>
                </w:p>
              </w:tc>
              <w:tc>
                <w:tcPr>
                  <w:tcW w:w="1684" w:type="pct"/>
                  <w:tcBorders>
                    <w:top w:val="single" w:color="auto" w:sz="4" w:space="0"/>
                    <w:left w:val="single" w:color="auto" w:sz="4" w:space="0"/>
                    <w:bottom w:val="single" w:color="auto" w:sz="4" w:space="0"/>
                    <w:right w:val="single" w:color="auto" w:sz="4" w:space="0"/>
                  </w:tcBorders>
                  <w:shd w:val="clear"/>
                  <w:vAlign w:val="center"/>
                </w:tcPr>
                <w:p w14:paraId="5C0EF149">
                  <w:pPr>
                    <w:pStyle w:val="9"/>
                    <w:widowControl/>
                    <w:adjustRightInd w:val="0"/>
                    <w:snapToGrid w:val="0"/>
                    <w:jc w:val="center"/>
                    <w:rPr>
                      <w:rFonts w:hint="default" w:ascii="Times New Roman" w:hAnsi="Times New Roman" w:cs="Times New Roman"/>
                      <w:color w:val="000000"/>
                      <w:bdr w:val="none" w:color="auto" w:sz="0" w:space="0"/>
                      <w:lang w:val="en-US"/>
                    </w:rPr>
                  </w:pPr>
                  <w:r>
                    <w:rPr>
                      <w:rFonts w:hint="default" w:ascii="Times New Roman" w:hAnsi="Times New Roman" w:cs="Times New Roman"/>
                      <w:color w:val="000000"/>
                      <w:bdr w:val="none" w:color="auto" w:sz="0" w:space="0"/>
                      <w:lang w:val="en-US"/>
                    </w:rPr>
                    <w:t>1</w:t>
                  </w:r>
                </w:p>
              </w:tc>
              <w:tc>
                <w:tcPr>
                  <w:tcW w:w="1591" w:type="pct"/>
                  <w:tcBorders>
                    <w:top w:val="single" w:color="auto" w:sz="4" w:space="0"/>
                    <w:left w:val="single" w:color="auto" w:sz="4" w:space="0"/>
                    <w:bottom w:val="single" w:color="auto" w:sz="4" w:space="0"/>
                    <w:right w:val="nil"/>
                  </w:tcBorders>
                  <w:shd w:val="clear"/>
                  <w:vAlign w:val="center"/>
                </w:tcPr>
                <w:p w14:paraId="2D23420F">
                  <w:pPr>
                    <w:pStyle w:val="9"/>
                    <w:widowControl/>
                    <w:adjustRightInd w:val="0"/>
                    <w:snapToGrid w:val="0"/>
                    <w:jc w:val="center"/>
                    <w:rPr>
                      <w:rFonts w:hint="default" w:ascii="Times New Roman" w:hAnsi="Times New Roman" w:cs="Times New Roman"/>
                      <w:color w:val="000000"/>
                      <w:bdr w:val="none" w:color="auto" w:sz="0" w:space="0"/>
                      <w:lang w:val="en-US"/>
                    </w:rPr>
                  </w:pPr>
                  <w:r>
                    <w:rPr>
                      <w:rFonts w:hint="default" w:ascii="Times New Roman" w:hAnsi="Times New Roman" w:cs="Times New Roman"/>
                      <w:color w:val="000000"/>
                      <w:bdr w:val="none" w:color="auto" w:sz="0" w:space="0"/>
                      <w:lang w:val="en-US"/>
                    </w:rPr>
                    <w:t>/</w:t>
                  </w:r>
                </w:p>
              </w:tc>
            </w:tr>
            <w:tr w14:paraId="65513DE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434" w:type="pct"/>
                  <w:tcBorders>
                    <w:top w:val="single" w:color="auto" w:sz="4" w:space="0"/>
                    <w:left w:val="nil"/>
                    <w:bottom w:val="single" w:color="auto" w:sz="4" w:space="0"/>
                    <w:right w:val="single" w:color="auto" w:sz="4" w:space="0"/>
                  </w:tcBorders>
                  <w:shd w:val="clear"/>
                  <w:vAlign w:val="center"/>
                </w:tcPr>
                <w:p w14:paraId="0358411B">
                  <w:pPr>
                    <w:pStyle w:val="9"/>
                    <w:widowControl/>
                    <w:adjustRightInd w:val="0"/>
                    <w:snapToGrid w:val="0"/>
                    <w:jc w:val="center"/>
                    <w:rPr>
                      <w:rFonts w:hint="default" w:ascii="Times New Roman" w:hAnsi="Times New Roman" w:cs="Times New Roman"/>
                      <w:color w:val="000000"/>
                      <w:bdr w:val="none" w:color="auto" w:sz="0" w:space="0"/>
                      <w:lang w:val="en-US"/>
                    </w:rPr>
                  </w:pPr>
                  <w:r>
                    <w:rPr>
                      <w:rFonts w:hint="default" w:ascii="Times New Roman" w:hAnsi="Times New Roman" w:cs="Times New Roman"/>
                      <w:color w:val="000000"/>
                      <w:bdr w:val="none" w:color="auto" w:sz="0" w:space="0"/>
                      <w:lang w:val="en-US"/>
                    </w:rPr>
                    <w:t>3</w:t>
                  </w:r>
                </w:p>
              </w:tc>
              <w:tc>
                <w:tcPr>
                  <w:tcW w:w="1292" w:type="pct"/>
                  <w:tcBorders>
                    <w:top w:val="single" w:color="auto" w:sz="4" w:space="0"/>
                    <w:left w:val="single" w:color="auto" w:sz="4" w:space="0"/>
                    <w:bottom w:val="single" w:color="auto" w:sz="4" w:space="0"/>
                    <w:right w:val="single" w:color="auto" w:sz="4" w:space="0"/>
                  </w:tcBorders>
                  <w:shd w:val="clear"/>
                  <w:vAlign w:val="center"/>
                </w:tcPr>
                <w:p w14:paraId="2650DC44">
                  <w:pPr>
                    <w:pStyle w:val="9"/>
                    <w:widowControl/>
                    <w:adjustRightInd w:val="0"/>
                    <w:snapToGrid w:val="0"/>
                    <w:jc w:val="center"/>
                    <w:rPr>
                      <w:rFonts w:hint="default" w:ascii="Times New Roman" w:hAnsi="Times New Roman" w:cs="Times New Roman"/>
                      <w:color w:val="000000"/>
                      <w:bdr w:val="none" w:color="auto" w:sz="0" w:space="0"/>
                      <w:lang w:val="en-US"/>
                    </w:rPr>
                  </w:pPr>
                  <w:r>
                    <w:rPr>
                      <w:rFonts w:ascii="Times New Roman" w:hAnsi="Times New Roman"/>
                      <w:color w:val="000000"/>
                      <w:bdr w:val="none" w:color="auto" w:sz="0" w:space="0"/>
                    </w:rPr>
                    <w:t>颗粒物</w:t>
                  </w:r>
                </w:p>
              </w:tc>
              <w:tc>
                <w:tcPr>
                  <w:tcW w:w="1684" w:type="pct"/>
                  <w:tcBorders>
                    <w:top w:val="single" w:color="auto" w:sz="4" w:space="0"/>
                    <w:left w:val="single" w:color="auto" w:sz="4" w:space="0"/>
                    <w:bottom w:val="single" w:color="auto" w:sz="4" w:space="0"/>
                    <w:right w:val="single" w:color="auto" w:sz="4" w:space="0"/>
                  </w:tcBorders>
                  <w:shd w:val="clear"/>
                  <w:vAlign w:val="center"/>
                </w:tcPr>
                <w:p w14:paraId="60EE6587">
                  <w:pPr>
                    <w:pStyle w:val="9"/>
                    <w:widowControl/>
                    <w:adjustRightInd w:val="0"/>
                    <w:snapToGrid w:val="0"/>
                    <w:jc w:val="center"/>
                    <w:rPr>
                      <w:rFonts w:hint="default" w:ascii="Times New Roman" w:hAnsi="Times New Roman" w:cs="Times New Roman"/>
                      <w:color w:val="000000"/>
                      <w:bdr w:val="none" w:color="auto" w:sz="0" w:space="0"/>
                      <w:lang w:val="en-US"/>
                    </w:rPr>
                  </w:pPr>
                  <w:r>
                    <w:rPr>
                      <w:rFonts w:hint="default" w:ascii="Times New Roman" w:hAnsi="Times New Roman" w:cs="Times New Roman"/>
                      <w:color w:val="000000"/>
                      <w:bdr w:val="none" w:color="auto" w:sz="0" w:space="0"/>
                      <w:lang w:val="en-US"/>
                    </w:rPr>
                    <w:t>20</w:t>
                  </w:r>
                </w:p>
              </w:tc>
              <w:tc>
                <w:tcPr>
                  <w:tcW w:w="1591" w:type="pct"/>
                  <w:tcBorders>
                    <w:top w:val="single" w:color="auto" w:sz="4" w:space="0"/>
                    <w:left w:val="single" w:color="auto" w:sz="4" w:space="0"/>
                    <w:bottom w:val="single" w:color="auto" w:sz="4" w:space="0"/>
                    <w:right w:val="nil"/>
                  </w:tcBorders>
                  <w:shd w:val="clear"/>
                  <w:vAlign w:val="center"/>
                </w:tcPr>
                <w:p w14:paraId="3E5049EF">
                  <w:pPr>
                    <w:pStyle w:val="9"/>
                    <w:widowControl/>
                    <w:adjustRightInd w:val="0"/>
                    <w:snapToGrid w:val="0"/>
                    <w:jc w:val="center"/>
                    <w:rPr>
                      <w:rFonts w:hint="default" w:ascii="Times New Roman" w:hAnsi="Times New Roman" w:cs="Times New Roman"/>
                      <w:color w:val="000000"/>
                      <w:bdr w:val="none" w:color="auto" w:sz="0" w:space="0"/>
                      <w:lang w:val="en-US"/>
                    </w:rPr>
                  </w:pPr>
                  <w:r>
                    <w:rPr>
                      <w:rFonts w:hint="default" w:ascii="Times New Roman" w:hAnsi="Times New Roman" w:cs="Times New Roman"/>
                      <w:color w:val="000000"/>
                      <w:bdr w:val="none" w:color="auto" w:sz="0" w:space="0"/>
                      <w:lang w:val="en-US"/>
                    </w:rPr>
                    <w:t>1.0</w:t>
                  </w:r>
                </w:p>
              </w:tc>
            </w:tr>
            <w:tr w14:paraId="31FAC81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 w:type="pct"/>
                  <w:gridSpan w:val="4"/>
                  <w:tcBorders>
                    <w:top w:val="single" w:color="auto" w:sz="4" w:space="0"/>
                    <w:left w:val="nil"/>
                    <w:bottom w:val="single" w:color="auto" w:sz="12" w:space="0"/>
                    <w:right w:val="nil"/>
                  </w:tcBorders>
                  <w:shd w:val="clear"/>
                  <w:vAlign w:val="center"/>
                </w:tcPr>
                <w:p w14:paraId="0A84DD8D">
                  <w:pPr>
                    <w:pStyle w:val="9"/>
                    <w:widowControl/>
                    <w:adjustRightInd w:val="0"/>
                    <w:snapToGrid w:val="0"/>
                    <w:jc w:val="left"/>
                    <w:rPr>
                      <w:rFonts w:hint="default" w:ascii="Times New Roman" w:hAnsi="Times New Roman" w:cs="Times New Roman"/>
                      <w:color w:val="000000"/>
                      <w:bdr w:val="none" w:color="auto" w:sz="0" w:space="0"/>
                      <w:lang w:val="en-US"/>
                    </w:rPr>
                  </w:pPr>
                  <w:r>
                    <w:rPr>
                      <w:rFonts w:ascii="Times New Roman" w:hAnsi="Times New Roman"/>
                      <w:color w:val="000000"/>
                      <w:bdr w:val="none" w:color="auto" w:sz="0" w:space="0"/>
                    </w:rPr>
                    <w:t>注：</w:t>
                  </w:r>
                  <w:r>
                    <w:rPr>
                      <w:rFonts w:hint="default" w:ascii="Times New Roman" w:hAnsi="Times New Roman" w:cs="Times New Roman"/>
                      <w:color w:val="000000"/>
                      <w:bdr w:val="none" w:color="auto" w:sz="0" w:space="0"/>
                      <w:lang w:val="en-US"/>
                    </w:rPr>
                    <w:t>MDI</w:t>
                  </w:r>
                  <w:r>
                    <w:rPr>
                      <w:rFonts w:ascii="Times New Roman" w:hAnsi="Times New Roman"/>
                      <w:color w:val="000000"/>
                      <w:bdr w:val="none" w:color="auto" w:sz="0" w:space="0"/>
                    </w:rPr>
                    <w:t>指标待国家污染物监测方法标准发布后实施。</w:t>
                  </w:r>
                </w:p>
              </w:tc>
            </w:tr>
          </w:tbl>
          <w:p w14:paraId="724F4E54">
            <w:pPr>
              <w:keepNext w:val="0"/>
              <w:keepLines w:val="0"/>
              <w:widowControl w:val="0"/>
              <w:suppressLineNumbers w:val="0"/>
              <w:spacing w:before="0" w:beforeAutospacing="0" w:after="0" w:afterAutospacing="0" w:line="440" w:lineRule="exact"/>
              <w:ind w:left="0" w:right="0"/>
              <w:jc w:val="center"/>
              <w:rPr>
                <w:rFonts w:hint="default" w:ascii="Times New Roman" w:hAnsi="Times New Roman" w:cs="Times New Roman"/>
                <w:color w:val="000000"/>
                <w:kern w:val="0"/>
                <w:sz w:val="24"/>
                <w:szCs w:val="24"/>
                <w:bdr w:val="none" w:color="auto" w:sz="0" w:space="0"/>
                <w:lang w:val="en-US"/>
              </w:rPr>
            </w:pPr>
            <w:r>
              <w:rPr>
                <w:rFonts w:hint="eastAsia" w:ascii="Times New Roman" w:hAnsi="Times New Roman" w:eastAsia="宋体" w:cs="宋体"/>
                <w:color w:val="000000"/>
                <w:kern w:val="0"/>
                <w:sz w:val="24"/>
                <w:szCs w:val="24"/>
                <w:bdr w:val="none" w:color="auto" w:sz="0" w:space="0"/>
                <w:lang w:val="en-US" w:eastAsia="zh-CN" w:bidi="ar"/>
              </w:rPr>
              <w:t>表</w:t>
            </w:r>
            <w:r>
              <w:rPr>
                <w:rFonts w:hint="default" w:ascii="Times New Roman" w:hAnsi="Times New Roman" w:eastAsia="宋体" w:cs="Times New Roman"/>
                <w:color w:val="000000"/>
                <w:kern w:val="0"/>
                <w:sz w:val="24"/>
                <w:szCs w:val="24"/>
                <w:bdr w:val="none" w:color="auto" w:sz="0" w:space="0"/>
                <w:lang w:val="en-US" w:eastAsia="zh-CN" w:bidi="ar"/>
              </w:rPr>
              <w:t xml:space="preserve">3.7-3 </w:t>
            </w:r>
            <w:r>
              <w:rPr>
                <w:rFonts w:hint="eastAsia" w:ascii="Times New Roman" w:hAnsi="Times New Roman" w:eastAsia="宋体" w:cs="宋体"/>
                <w:color w:val="000000"/>
                <w:kern w:val="0"/>
                <w:sz w:val="24"/>
                <w:szCs w:val="24"/>
                <w:bdr w:val="none" w:color="auto" w:sz="0" w:space="0"/>
                <w:lang w:val="en-US" w:eastAsia="zh-CN" w:bidi="ar"/>
              </w:rPr>
              <w:t>《挥发性有机物无组织排放控制标准》（</w:t>
            </w:r>
            <w:r>
              <w:rPr>
                <w:rFonts w:hint="default" w:ascii="Times New Roman" w:hAnsi="Times New Roman" w:eastAsia="宋体" w:cs="Times New Roman"/>
                <w:color w:val="000000"/>
                <w:kern w:val="0"/>
                <w:sz w:val="24"/>
                <w:szCs w:val="24"/>
                <w:bdr w:val="none" w:color="auto" w:sz="0" w:space="0"/>
                <w:lang w:val="en-US" w:eastAsia="zh-CN" w:bidi="ar"/>
              </w:rPr>
              <w:t>GB 37822-2019</w:t>
            </w:r>
            <w:r>
              <w:rPr>
                <w:rFonts w:hint="eastAsia" w:ascii="Times New Roman" w:hAnsi="Times New Roman" w:eastAsia="宋体" w:cs="宋体"/>
                <w:color w:val="000000"/>
                <w:kern w:val="0"/>
                <w:sz w:val="24"/>
                <w:szCs w:val="24"/>
                <w:bdr w:val="none" w:color="auto" w:sz="0" w:space="0"/>
                <w:lang w:val="en-US" w:eastAsia="zh-CN" w:bidi="ar"/>
              </w:rPr>
              <w:t>）</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tblLayout w:type="fixed"/>
              <w:tblCellMar>
                <w:top w:w="0" w:type="dxa"/>
                <w:left w:w="108" w:type="dxa"/>
                <w:bottom w:w="0" w:type="dxa"/>
                <w:right w:w="108" w:type="dxa"/>
              </w:tblCellMar>
            </w:tblPr>
            <w:tblGrid>
              <w:gridCol w:w="1320"/>
              <w:gridCol w:w="1602"/>
              <w:gridCol w:w="3038"/>
              <w:gridCol w:w="2014"/>
            </w:tblGrid>
            <w:tr w14:paraId="24BA30AC">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tblCellMar>
                  <w:top w:w="0" w:type="dxa"/>
                  <w:left w:w="108" w:type="dxa"/>
                  <w:bottom w:w="0" w:type="dxa"/>
                  <w:right w:w="108" w:type="dxa"/>
                </w:tblCellMar>
              </w:tblPrEx>
              <w:trPr>
                <w:trHeight w:val="197" w:hRule="atLeast"/>
                <w:jc w:val="center"/>
              </w:trPr>
              <w:tc>
                <w:tcPr>
                  <w:tcW w:w="1320" w:type="dxa"/>
                  <w:tcBorders>
                    <w:top w:val="single" w:color="auto" w:sz="12" w:space="0"/>
                    <w:left w:val="nil"/>
                    <w:bottom w:val="single" w:color="auto" w:sz="6" w:space="0"/>
                    <w:right w:val="single" w:color="auto" w:sz="6" w:space="0"/>
                  </w:tcBorders>
                  <w:shd w:val="clear"/>
                  <w:vAlign w:val="center"/>
                </w:tcPr>
                <w:p w14:paraId="75745AF0">
                  <w:pPr>
                    <w:pStyle w:val="9"/>
                    <w:widowControl/>
                    <w:adjustRightInd w:val="0"/>
                    <w:snapToGrid w:val="0"/>
                    <w:spacing w:line="300" w:lineRule="exact"/>
                    <w:jc w:val="center"/>
                    <w:rPr>
                      <w:rFonts w:hint="default" w:ascii="Times New Roman" w:hAnsi="Times New Roman" w:cs="Times New Roman"/>
                      <w:color w:val="000000"/>
                      <w:bdr w:val="none" w:color="auto" w:sz="0" w:space="0"/>
                      <w:lang w:val="en-US"/>
                    </w:rPr>
                  </w:pPr>
                  <w:r>
                    <w:rPr>
                      <w:rFonts w:ascii="Times New Roman" w:hAnsi="Times New Roman"/>
                      <w:color w:val="000000"/>
                      <w:bdr w:val="none" w:color="auto" w:sz="0" w:space="0"/>
                    </w:rPr>
                    <w:t>污染物</w:t>
                  </w:r>
                </w:p>
              </w:tc>
              <w:tc>
                <w:tcPr>
                  <w:tcW w:w="1602" w:type="dxa"/>
                  <w:tcBorders>
                    <w:top w:val="single" w:color="auto" w:sz="12" w:space="0"/>
                    <w:left w:val="single" w:color="auto" w:sz="6" w:space="0"/>
                    <w:bottom w:val="single" w:color="auto" w:sz="6" w:space="0"/>
                    <w:right w:val="single" w:color="auto" w:sz="6" w:space="0"/>
                  </w:tcBorders>
                  <w:shd w:val="clear"/>
                  <w:vAlign w:val="center"/>
                </w:tcPr>
                <w:p w14:paraId="71E365ED">
                  <w:pPr>
                    <w:pStyle w:val="9"/>
                    <w:widowControl/>
                    <w:adjustRightInd w:val="0"/>
                    <w:snapToGrid w:val="0"/>
                    <w:spacing w:line="300" w:lineRule="exact"/>
                    <w:jc w:val="center"/>
                    <w:rPr>
                      <w:rFonts w:hint="default" w:ascii="Times New Roman" w:hAnsi="Times New Roman" w:cs="Times New Roman"/>
                      <w:color w:val="000000"/>
                      <w:bdr w:val="none" w:color="auto" w:sz="0" w:space="0"/>
                      <w:lang w:val="en-US"/>
                    </w:rPr>
                  </w:pPr>
                  <w:r>
                    <w:rPr>
                      <w:rFonts w:ascii="Times New Roman" w:hAnsi="Times New Roman"/>
                      <w:color w:val="000000"/>
                      <w:bdr w:val="none" w:color="auto" w:sz="0" w:space="0"/>
                    </w:rPr>
                    <w:t>特别排放限值</w:t>
                  </w:r>
                  <w:r>
                    <w:rPr>
                      <w:rFonts w:hint="default" w:ascii="Times New Roman" w:hAnsi="Times New Roman" w:cs="Times New Roman"/>
                      <w:color w:val="000000"/>
                      <w:bdr w:val="none" w:color="auto" w:sz="0" w:space="0"/>
                      <w:lang w:val="en-US"/>
                    </w:rPr>
                    <w:t>(mg/m</w:t>
                  </w:r>
                  <w:r>
                    <w:rPr>
                      <w:rFonts w:hint="default" w:ascii="Times New Roman" w:hAnsi="Times New Roman" w:cs="Times New Roman"/>
                      <w:color w:val="000000"/>
                      <w:bdr w:val="none" w:color="auto" w:sz="0" w:space="0"/>
                      <w:vertAlign w:val="superscript"/>
                      <w:lang w:val="en-US"/>
                    </w:rPr>
                    <w:t>3</w:t>
                  </w:r>
                  <w:r>
                    <w:rPr>
                      <w:rFonts w:hint="default" w:ascii="Times New Roman" w:hAnsi="Times New Roman" w:cs="Times New Roman"/>
                      <w:color w:val="000000"/>
                      <w:bdr w:val="none" w:color="auto" w:sz="0" w:space="0"/>
                      <w:lang w:val="en-US"/>
                    </w:rPr>
                    <w:t>)</w:t>
                  </w:r>
                </w:p>
              </w:tc>
              <w:tc>
                <w:tcPr>
                  <w:tcW w:w="3038" w:type="dxa"/>
                  <w:tcBorders>
                    <w:top w:val="single" w:color="auto" w:sz="12" w:space="0"/>
                    <w:left w:val="single" w:color="auto" w:sz="6" w:space="0"/>
                    <w:bottom w:val="single" w:color="auto" w:sz="6" w:space="0"/>
                    <w:right w:val="nil"/>
                  </w:tcBorders>
                  <w:shd w:val="clear"/>
                  <w:vAlign w:val="center"/>
                </w:tcPr>
                <w:p w14:paraId="0235B8F9">
                  <w:pPr>
                    <w:pStyle w:val="9"/>
                    <w:widowControl/>
                    <w:adjustRightInd w:val="0"/>
                    <w:snapToGrid w:val="0"/>
                    <w:spacing w:line="300" w:lineRule="exact"/>
                    <w:jc w:val="center"/>
                    <w:rPr>
                      <w:rFonts w:hint="default" w:ascii="Times New Roman" w:hAnsi="Times New Roman" w:cs="Times New Roman"/>
                      <w:color w:val="000000"/>
                      <w:bdr w:val="none" w:color="auto" w:sz="0" w:space="0"/>
                      <w:lang w:val="en-US"/>
                    </w:rPr>
                  </w:pPr>
                  <w:r>
                    <w:rPr>
                      <w:rFonts w:ascii="Times New Roman" w:hAnsi="Times New Roman"/>
                      <w:color w:val="000000"/>
                      <w:bdr w:val="none" w:color="auto" w:sz="0" w:space="0"/>
                    </w:rPr>
                    <w:t>限值含义</w:t>
                  </w:r>
                </w:p>
              </w:tc>
              <w:tc>
                <w:tcPr>
                  <w:tcW w:w="2014" w:type="dxa"/>
                  <w:tcBorders>
                    <w:top w:val="single" w:color="auto" w:sz="12" w:space="0"/>
                    <w:left w:val="single" w:color="auto" w:sz="6" w:space="0"/>
                    <w:bottom w:val="single" w:color="auto" w:sz="6" w:space="0"/>
                    <w:right w:val="nil"/>
                  </w:tcBorders>
                  <w:shd w:val="clear"/>
                  <w:vAlign w:val="center"/>
                </w:tcPr>
                <w:p w14:paraId="3069ADC2">
                  <w:pPr>
                    <w:pStyle w:val="9"/>
                    <w:widowControl/>
                    <w:adjustRightInd w:val="0"/>
                    <w:snapToGrid w:val="0"/>
                    <w:spacing w:line="300" w:lineRule="exact"/>
                    <w:jc w:val="center"/>
                    <w:rPr>
                      <w:rFonts w:hint="default" w:ascii="Times New Roman" w:hAnsi="Times New Roman" w:cs="Times New Roman"/>
                      <w:color w:val="000000"/>
                      <w:bdr w:val="none" w:color="auto" w:sz="0" w:space="0"/>
                      <w:lang w:val="en-US"/>
                    </w:rPr>
                  </w:pPr>
                  <w:r>
                    <w:rPr>
                      <w:rFonts w:ascii="Times New Roman" w:hAnsi="Times New Roman"/>
                      <w:color w:val="000000"/>
                      <w:bdr w:val="none" w:color="auto" w:sz="0" w:space="0"/>
                    </w:rPr>
                    <w:t>监控位置</w:t>
                  </w:r>
                </w:p>
              </w:tc>
            </w:tr>
            <w:tr w14:paraId="2A37FA5D">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1320" w:type="dxa"/>
                  <w:vMerge w:val="restart"/>
                  <w:tcBorders>
                    <w:top w:val="single" w:color="auto" w:sz="6" w:space="0"/>
                    <w:left w:val="nil"/>
                    <w:bottom w:val="single" w:color="auto" w:sz="12" w:space="0"/>
                    <w:right w:val="single" w:color="auto" w:sz="6" w:space="0"/>
                  </w:tcBorders>
                  <w:shd w:val="clear"/>
                  <w:vAlign w:val="center"/>
                </w:tcPr>
                <w:p w14:paraId="346EF7C6">
                  <w:pPr>
                    <w:pStyle w:val="9"/>
                    <w:widowControl/>
                    <w:adjustRightInd w:val="0"/>
                    <w:snapToGrid w:val="0"/>
                    <w:spacing w:line="300" w:lineRule="exact"/>
                    <w:jc w:val="center"/>
                    <w:rPr>
                      <w:rFonts w:hint="default" w:ascii="Times New Roman" w:hAnsi="Times New Roman" w:cs="Times New Roman"/>
                      <w:color w:val="000000"/>
                      <w:bdr w:val="none" w:color="auto" w:sz="0" w:space="0"/>
                      <w:lang w:val="en-US"/>
                    </w:rPr>
                  </w:pPr>
                  <w:r>
                    <w:rPr>
                      <w:rFonts w:ascii="Times New Roman" w:hAnsi="Times New Roman"/>
                      <w:color w:val="000000"/>
                      <w:bdr w:val="none" w:color="auto" w:sz="0" w:space="0"/>
                    </w:rPr>
                    <w:t>非甲烷总烃</w:t>
                  </w:r>
                </w:p>
              </w:tc>
              <w:tc>
                <w:tcPr>
                  <w:tcW w:w="1602" w:type="dxa"/>
                  <w:tcBorders>
                    <w:top w:val="single" w:color="auto" w:sz="6" w:space="0"/>
                    <w:left w:val="single" w:color="auto" w:sz="6" w:space="0"/>
                    <w:bottom w:val="single" w:color="auto" w:sz="6" w:space="0"/>
                    <w:right w:val="single" w:color="auto" w:sz="6" w:space="0"/>
                  </w:tcBorders>
                  <w:shd w:val="clear"/>
                  <w:vAlign w:val="center"/>
                </w:tcPr>
                <w:p w14:paraId="4D8C9810">
                  <w:pPr>
                    <w:pStyle w:val="9"/>
                    <w:widowControl/>
                    <w:adjustRightInd w:val="0"/>
                    <w:snapToGrid w:val="0"/>
                    <w:spacing w:line="300" w:lineRule="exact"/>
                    <w:jc w:val="center"/>
                    <w:rPr>
                      <w:rFonts w:hint="default" w:ascii="Times New Roman" w:hAnsi="Times New Roman" w:cs="Times New Roman"/>
                      <w:color w:val="000000"/>
                      <w:bdr w:val="none" w:color="auto" w:sz="0" w:space="0"/>
                      <w:lang w:val="en-US"/>
                    </w:rPr>
                  </w:pPr>
                  <w:r>
                    <w:rPr>
                      <w:rFonts w:hint="default" w:ascii="Times New Roman" w:hAnsi="Times New Roman" w:cs="Times New Roman"/>
                      <w:color w:val="000000"/>
                      <w:bdr w:val="none" w:color="auto" w:sz="0" w:space="0"/>
                      <w:lang w:val="en-US"/>
                    </w:rPr>
                    <w:t>6</w:t>
                  </w:r>
                </w:p>
              </w:tc>
              <w:tc>
                <w:tcPr>
                  <w:tcW w:w="3038" w:type="dxa"/>
                  <w:tcBorders>
                    <w:top w:val="single" w:color="auto" w:sz="6" w:space="0"/>
                    <w:left w:val="single" w:color="auto" w:sz="6" w:space="0"/>
                    <w:bottom w:val="single" w:color="auto" w:sz="6" w:space="0"/>
                    <w:right w:val="nil"/>
                  </w:tcBorders>
                  <w:shd w:val="clear"/>
                  <w:vAlign w:val="center"/>
                </w:tcPr>
                <w:p w14:paraId="1D983E32">
                  <w:pPr>
                    <w:pStyle w:val="9"/>
                    <w:widowControl/>
                    <w:adjustRightInd w:val="0"/>
                    <w:snapToGrid w:val="0"/>
                    <w:spacing w:line="300" w:lineRule="exact"/>
                    <w:jc w:val="center"/>
                    <w:rPr>
                      <w:rFonts w:hint="default" w:ascii="Times New Roman" w:hAnsi="Times New Roman" w:cs="Times New Roman"/>
                      <w:color w:val="000000"/>
                      <w:bdr w:val="none" w:color="auto" w:sz="0" w:space="0"/>
                      <w:lang w:val="en-US"/>
                    </w:rPr>
                  </w:pPr>
                  <w:r>
                    <w:rPr>
                      <w:rFonts w:ascii="Times New Roman" w:hAnsi="Times New Roman"/>
                      <w:color w:val="000000"/>
                      <w:bdr w:val="none" w:color="auto" w:sz="0" w:space="0"/>
                    </w:rPr>
                    <w:t>监控点处</w:t>
                  </w:r>
                  <w:r>
                    <w:rPr>
                      <w:rFonts w:hint="default" w:ascii="Times New Roman" w:hAnsi="Times New Roman" w:cs="Times New Roman"/>
                      <w:color w:val="000000"/>
                      <w:bdr w:val="none" w:color="auto" w:sz="0" w:space="0"/>
                      <w:lang w:val="en-US"/>
                    </w:rPr>
                    <w:t>1h</w:t>
                  </w:r>
                  <w:r>
                    <w:rPr>
                      <w:rFonts w:ascii="Times New Roman" w:hAnsi="Times New Roman"/>
                      <w:color w:val="000000"/>
                      <w:bdr w:val="none" w:color="auto" w:sz="0" w:space="0"/>
                    </w:rPr>
                    <w:t>平均浓度值</w:t>
                  </w:r>
                </w:p>
              </w:tc>
              <w:tc>
                <w:tcPr>
                  <w:tcW w:w="2014" w:type="dxa"/>
                  <w:vMerge w:val="restart"/>
                  <w:tcBorders>
                    <w:top w:val="single" w:color="auto" w:sz="6" w:space="0"/>
                    <w:left w:val="single" w:color="auto" w:sz="6" w:space="0"/>
                    <w:bottom w:val="single" w:color="auto" w:sz="12" w:space="0"/>
                    <w:right w:val="nil"/>
                  </w:tcBorders>
                  <w:shd w:val="clear"/>
                  <w:vAlign w:val="center"/>
                </w:tcPr>
                <w:p w14:paraId="1DF274C5">
                  <w:pPr>
                    <w:pStyle w:val="9"/>
                    <w:widowControl/>
                    <w:adjustRightInd w:val="0"/>
                    <w:snapToGrid w:val="0"/>
                    <w:spacing w:line="300" w:lineRule="exact"/>
                    <w:jc w:val="center"/>
                    <w:rPr>
                      <w:rFonts w:hint="default" w:ascii="Times New Roman" w:hAnsi="Times New Roman" w:cs="Times New Roman"/>
                      <w:color w:val="000000"/>
                      <w:bdr w:val="none" w:color="auto" w:sz="0" w:space="0"/>
                      <w:lang w:val="en-US"/>
                    </w:rPr>
                  </w:pPr>
                  <w:r>
                    <w:rPr>
                      <w:rFonts w:ascii="Times New Roman" w:hAnsi="Times New Roman"/>
                      <w:color w:val="000000"/>
                      <w:bdr w:val="none" w:color="auto" w:sz="0" w:space="0"/>
                    </w:rPr>
                    <w:t>在厂房外设置监控点</w:t>
                  </w:r>
                </w:p>
              </w:tc>
            </w:tr>
            <w:tr w14:paraId="1A30DEB7">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20" w:type="dxa"/>
                  <w:vMerge w:val="continue"/>
                  <w:tcBorders>
                    <w:top w:val="single" w:color="auto" w:sz="6" w:space="0"/>
                    <w:left w:val="nil"/>
                    <w:bottom w:val="single" w:color="auto" w:sz="12" w:space="0"/>
                    <w:right w:val="single" w:color="auto" w:sz="6" w:space="0"/>
                  </w:tcBorders>
                  <w:shd w:val="clear"/>
                  <w:vAlign w:val="center"/>
                </w:tcPr>
                <w:p w14:paraId="4C78204C">
                  <w:pPr>
                    <w:rPr>
                      <w:rFonts w:hint="default" w:ascii="Calibri" w:hAnsi="Calibri" w:cs="Calibri"/>
                      <w:sz w:val="20"/>
                      <w:szCs w:val="20"/>
                    </w:rPr>
                  </w:pPr>
                </w:p>
              </w:tc>
              <w:tc>
                <w:tcPr>
                  <w:tcW w:w="1602" w:type="dxa"/>
                  <w:tcBorders>
                    <w:top w:val="single" w:color="auto" w:sz="6" w:space="0"/>
                    <w:left w:val="single" w:color="auto" w:sz="6" w:space="0"/>
                    <w:bottom w:val="single" w:color="auto" w:sz="12" w:space="0"/>
                    <w:right w:val="single" w:color="auto" w:sz="6" w:space="0"/>
                  </w:tcBorders>
                  <w:shd w:val="clear"/>
                  <w:vAlign w:val="center"/>
                </w:tcPr>
                <w:p w14:paraId="2934816A">
                  <w:pPr>
                    <w:pStyle w:val="9"/>
                    <w:widowControl/>
                    <w:adjustRightInd w:val="0"/>
                    <w:snapToGrid w:val="0"/>
                    <w:spacing w:line="300" w:lineRule="exact"/>
                    <w:jc w:val="center"/>
                    <w:rPr>
                      <w:rFonts w:hint="default" w:ascii="Times New Roman" w:hAnsi="Times New Roman" w:cs="Times New Roman"/>
                      <w:color w:val="000000"/>
                      <w:bdr w:val="none" w:color="auto" w:sz="0" w:space="0"/>
                      <w:lang w:val="en-US"/>
                    </w:rPr>
                  </w:pPr>
                  <w:r>
                    <w:rPr>
                      <w:rFonts w:hint="default" w:ascii="Times New Roman" w:hAnsi="Times New Roman" w:cs="Times New Roman"/>
                      <w:color w:val="000000"/>
                      <w:bdr w:val="none" w:color="auto" w:sz="0" w:space="0"/>
                      <w:lang w:val="en-US"/>
                    </w:rPr>
                    <w:t>20</w:t>
                  </w:r>
                </w:p>
              </w:tc>
              <w:tc>
                <w:tcPr>
                  <w:tcW w:w="3038" w:type="dxa"/>
                  <w:tcBorders>
                    <w:top w:val="single" w:color="auto" w:sz="6" w:space="0"/>
                    <w:left w:val="single" w:color="auto" w:sz="6" w:space="0"/>
                    <w:bottom w:val="single" w:color="auto" w:sz="12" w:space="0"/>
                    <w:right w:val="nil"/>
                  </w:tcBorders>
                  <w:shd w:val="clear"/>
                  <w:vAlign w:val="center"/>
                </w:tcPr>
                <w:p w14:paraId="5487E4CD">
                  <w:pPr>
                    <w:pStyle w:val="9"/>
                    <w:widowControl/>
                    <w:adjustRightInd w:val="0"/>
                    <w:snapToGrid w:val="0"/>
                    <w:spacing w:line="300" w:lineRule="exact"/>
                    <w:jc w:val="center"/>
                    <w:rPr>
                      <w:rFonts w:hint="default" w:ascii="Times New Roman" w:hAnsi="Times New Roman" w:cs="Times New Roman"/>
                      <w:color w:val="000000"/>
                      <w:bdr w:val="none" w:color="auto" w:sz="0" w:space="0"/>
                      <w:lang w:val="en-US"/>
                    </w:rPr>
                  </w:pPr>
                  <w:r>
                    <w:rPr>
                      <w:rFonts w:ascii="Times New Roman" w:hAnsi="Times New Roman"/>
                      <w:color w:val="000000"/>
                      <w:bdr w:val="none" w:color="auto" w:sz="0" w:space="0"/>
                    </w:rPr>
                    <w:t>监控点处任意一次浓度值</w:t>
                  </w:r>
                </w:p>
              </w:tc>
              <w:tc>
                <w:tcPr>
                  <w:tcW w:w="2014" w:type="dxa"/>
                  <w:vMerge w:val="continue"/>
                  <w:tcBorders>
                    <w:top w:val="single" w:color="auto" w:sz="6" w:space="0"/>
                    <w:left w:val="single" w:color="auto" w:sz="6" w:space="0"/>
                    <w:bottom w:val="single" w:color="auto" w:sz="12" w:space="0"/>
                    <w:right w:val="nil"/>
                  </w:tcBorders>
                  <w:shd w:val="clear"/>
                  <w:vAlign w:val="center"/>
                </w:tcPr>
                <w:p w14:paraId="37D575E8">
                  <w:pPr>
                    <w:rPr>
                      <w:rFonts w:hint="default" w:ascii="Calibri" w:hAnsi="Calibri" w:cs="Calibri"/>
                      <w:sz w:val="20"/>
                      <w:szCs w:val="20"/>
                    </w:rPr>
                  </w:pPr>
                </w:p>
              </w:tc>
            </w:tr>
          </w:tbl>
          <w:p w14:paraId="3A6E781D">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Times New Roman" w:cs="Times New Roman"/>
                <w:b/>
                <w:bCs w:val="0"/>
                <w:color w:val="000000"/>
                <w:kern w:val="0"/>
                <w:sz w:val="24"/>
                <w:szCs w:val="24"/>
                <w:bdr w:val="none" w:color="auto" w:sz="0" w:space="0"/>
                <w:lang w:val="en-US"/>
              </w:rPr>
            </w:pPr>
            <w:r>
              <w:rPr>
                <w:rFonts w:hint="default" w:ascii="Times New Roman" w:hAnsi="Times New Roman" w:eastAsia="宋体" w:cs="Times New Roman"/>
                <w:b/>
                <w:bCs w:val="0"/>
                <w:color w:val="000000"/>
                <w:kern w:val="0"/>
                <w:sz w:val="24"/>
                <w:szCs w:val="24"/>
                <w:bdr w:val="none" w:color="auto" w:sz="0" w:space="0"/>
                <w:lang w:val="en-US" w:eastAsia="zh-CN" w:bidi="ar"/>
              </w:rPr>
              <w:t>3.7.2</w:t>
            </w:r>
            <w:r>
              <w:rPr>
                <w:rFonts w:hint="eastAsia" w:ascii="Times New Roman" w:hAnsi="Times New Roman" w:eastAsia="宋体" w:cs="宋体"/>
                <w:b/>
                <w:bCs w:val="0"/>
                <w:color w:val="000000"/>
                <w:kern w:val="0"/>
                <w:sz w:val="24"/>
                <w:szCs w:val="24"/>
                <w:bdr w:val="none" w:color="auto" w:sz="0" w:space="0"/>
                <w:lang w:val="en-US" w:eastAsia="zh-CN" w:bidi="ar"/>
              </w:rPr>
              <w:t>废水</w:t>
            </w:r>
            <w:r>
              <w:rPr>
                <w:rFonts w:hint="eastAsia" w:ascii="Calibri" w:hAnsi="Calibri" w:eastAsia="宋体" w:cs="宋体"/>
                <w:b/>
                <w:bCs/>
                <w:color w:val="000000"/>
                <w:kern w:val="0"/>
                <w:sz w:val="24"/>
                <w:szCs w:val="24"/>
                <w:bdr w:val="none" w:color="auto" w:sz="0" w:space="0"/>
                <w:lang w:val="en-US" w:eastAsia="zh-CN" w:bidi="ar"/>
              </w:rPr>
              <w:t>排放标准</w:t>
            </w:r>
          </w:p>
          <w:p w14:paraId="2B8AA576">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扩建项目无生产废水。新增员工生活污水依托盈田·合川工谷已建污水处理设施处理达《污水综合排放标准》（</w:t>
            </w:r>
            <w:r>
              <w:rPr>
                <w:rFonts w:hint="default" w:ascii="Times New Roman" w:hAnsi="宋体" w:eastAsia="宋体" w:cs="Times New Roman"/>
                <w:color w:val="000000"/>
                <w:kern w:val="2"/>
                <w:sz w:val="24"/>
                <w:szCs w:val="24"/>
                <w:bdr w:val="none" w:color="auto" w:sz="0" w:space="0"/>
                <w:lang w:val="en-US" w:eastAsia="zh-CN" w:bidi="ar"/>
              </w:rPr>
              <w:t>GB8978-1996</w:t>
            </w:r>
            <w:r>
              <w:rPr>
                <w:rFonts w:hint="eastAsia" w:ascii="Times New Roman" w:hAnsi="宋体" w:eastAsia="宋体" w:cs="宋体"/>
                <w:color w:val="000000"/>
                <w:kern w:val="2"/>
                <w:sz w:val="24"/>
                <w:szCs w:val="24"/>
                <w:bdr w:val="none" w:color="auto" w:sz="0" w:space="0"/>
                <w:lang w:val="en-US" w:eastAsia="zh-CN" w:bidi="ar"/>
              </w:rPr>
              <w:t>）三级标准后，经市政污水管网排入农创园污水处理厂进一步处理达《城镇污水处理厂污染物排放标准》（</w:t>
            </w:r>
            <w:r>
              <w:rPr>
                <w:rFonts w:hint="default" w:ascii="Times New Roman" w:hAnsi="宋体" w:eastAsia="宋体" w:cs="Times New Roman"/>
                <w:color w:val="000000"/>
                <w:kern w:val="2"/>
                <w:sz w:val="24"/>
                <w:szCs w:val="24"/>
                <w:bdr w:val="none" w:color="auto" w:sz="0" w:space="0"/>
                <w:lang w:val="en-US" w:eastAsia="zh-CN" w:bidi="ar"/>
              </w:rPr>
              <w:t>GB18918-2002</w:t>
            </w:r>
            <w:r>
              <w:rPr>
                <w:rFonts w:hint="eastAsia" w:ascii="Times New Roman" w:hAnsi="宋体" w:eastAsia="宋体" w:cs="宋体"/>
                <w:color w:val="000000"/>
                <w:kern w:val="2"/>
                <w:sz w:val="24"/>
                <w:szCs w:val="24"/>
                <w:bdr w:val="none" w:color="auto" w:sz="0" w:space="0"/>
                <w:lang w:val="en-US" w:eastAsia="zh-CN" w:bidi="ar"/>
              </w:rPr>
              <w:t>）一级</w:t>
            </w:r>
            <w:r>
              <w:rPr>
                <w:rFonts w:hint="default" w:ascii="Times New Roman" w:hAnsi="宋体" w:eastAsia="宋体" w:cs="Times New Roman"/>
                <w:color w:val="000000"/>
                <w:kern w:val="2"/>
                <w:sz w:val="24"/>
                <w:szCs w:val="24"/>
                <w:bdr w:val="none" w:color="auto" w:sz="0" w:space="0"/>
                <w:lang w:val="en-US" w:eastAsia="zh-CN" w:bidi="ar"/>
              </w:rPr>
              <w:t>B</w:t>
            </w:r>
            <w:r>
              <w:rPr>
                <w:rFonts w:hint="eastAsia" w:ascii="Times New Roman" w:hAnsi="宋体" w:eastAsia="宋体" w:cs="宋体"/>
                <w:color w:val="000000"/>
                <w:kern w:val="2"/>
                <w:sz w:val="24"/>
                <w:szCs w:val="24"/>
                <w:bdr w:val="none" w:color="auto" w:sz="0" w:space="0"/>
                <w:lang w:val="en-US" w:eastAsia="zh-CN" w:bidi="ar"/>
              </w:rPr>
              <w:t>标准后排入嘉陵江。</w:t>
            </w:r>
          </w:p>
          <w:p w14:paraId="429F9A5D">
            <w:pPr>
              <w:keepNext w:val="0"/>
              <w:keepLines w:val="0"/>
              <w:widowControl w:val="0"/>
              <w:suppressLineNumbers w:val="0"/>
              <w:spacing w:before="0" w:beforeAutospacing="0" w:after="0" w:afterAutospacing="0" w:line="440" w:lineRule="exact"/>
              <w:ind w:left="0" w:right="0" w:firstLine="480"/>
              <w:jc w:val="center"/>
              <w:rPr>
                <w:rFonts w:hint="default" w:ascii="Times New Roman" w:hAnsi="Times New Roman" w:cs="Times New Roman"/>
                <w:color w:val="000000"/>
                <w:kern w:val="0"/>
                <w:sz w:val="24"/>
                <w:szCs w:val="24"/>
                <w:bdr w:val="none" w:color="auto" w:sz="0" w:space="0"/>
                <w:lang w:val="en-US"/>
              </w:rPr>
            </w:pPr>
            <w:r>
              <w:rPr>
                <w:rFonts w:hint="eastAsia" w:ascii="Times New Roman" w:hAnsi="Times New Roman" w:eastAsia="宋体" w:cs="宋体"/>
                <w:color w:val="000000"/>
                <w:kern w:val="0"/>
                <w:sz w:val="24"/>
                <w:szCs w:val="24"/>
                <w:bdr w:val="none" w:color="auto" w:sz="0" w:space="0"/>
                <w:lang w:val="en-US" w:eastAsia="zh-CN" w:bidi="ar"/>
              </w:rPr>
              <w:t>表</w:t>
            </w:r>
            <w:r>
              <w:rPr>
                <w:rFonts w:hint="default" w:ascii="Times New Roman" w:hAnsi="Times New Roman" w:eastAsia="宋体" w:cs="Times New Roman"/>
                <w:color w:val="000000"/>
                <w:kern w:val="0"/>
                <w:sz w:val="24"/>
                <w:szCs w:val="24"/>
                <w:bdr w:val="none" w:color="auto" w:sz="0" w:space="0"/>
                <w:lang w:val="en-US" w:eastAsia="zh-CN" w:bidi="ar"/>
              </w:rPr>
              <w:t xml:space="preserve">3.7-4 </w:t>
            </w:r>
            <w:r>
              <w:rPr>
                <w:rFonts w:hint="eastAsia" w:ascii="Times New Roman" w:hAnsi="Times New Roman" w:eastAsia="宋体" w:cs="宋体"/>
                <w:color w:val="000000"/>
                <w:kern w:val="2"/>
                <w:sz w:val="24"/>
                <w:szCs w:val="24"/>
                <w:bdr w:val="none" w:color="auto" w:sz="0" w:space="0"/>
                <w:lang w:val="en-US" w:eastAsia="zh-CN" w:bidi="ar"/>
              </w:rPr>
              <w:t>污水</w:t>
            </w:r>
            <w:r>
              <w:rPr>
                <w:rFonts w:hint="eastAsia" w:ascii="Times New Roman" w:hAnsi="Times New Roman" w:eastAsia="宋体" w:cs="宋体"/>
                <w:color w:val="000000"/>
                <w:kern w:val="0"/>
                <w:sz w:val="24"/>
                <w:szCs w:val="24"/>
                <w:bdr w:val="none" w:color="auto" w:sz="0" w:space="0"/>
                <w:lang w:val="en-US" w:eastAsia="zh-CN" w:bidi="ar"/>
              </w:rPr>
              <w:t>排放标准</w:t>
            </w:r>
            <w:r>
              <w:rPr>
                <w:rFonts w:hint="default" w:ascii="Times New Roman" w:hAnsi="Times New Roman" w:eastAsia="宋体" w:cs="Times New Roman"/>
                <w:color w:val="000000"/>
                <w:kern w:val="0"/>
                <w:sz w:val="24"/>
                <w:szCs w:val="24"/>
                <w:bdr w:val="none" w:color="auto" w:sz="0" w:space="0"/>
                <w:lang w:val="en-US" w:eastAsia="zh-CN" w:bidi="ar"/>
              </w:rPr>
              <w:t xml:space="preserve">  </w:t>
            </w:r>
            <w:r>
              <w:rPr>
                <w:rFonts w:hint="eastAsia" w:ascii="Times New Roman" w:hAnsi="Times New Roman" w:eastAsia="宋体" w:cs="宋体"/>
                <w:color w:val="000000"/>
                <w:kern w:val="0"/>
                <w:sz w:val="24"/>
                <w:szCs w:val="24"/>
                <w:bdr w:val="none" w:color="auto" w:sz="0" w:space="0"/>
                <w:lang w:val="en-US" w:eastAsia="zh-CN" w:bidi="ar"/>
              </w:rPr>
              <w:t>单位</w:t>
            </w:r>
            <w:r>
              <w:rPr>
                <w:rFonts w:hint="default" w:ascii="Times New Roman" w:hAnsi="Times New Roman" w:eastAsia="宋体" w:cs="Times New Roman"/>
                <w:color w:val="000000"/>
                <w:kern w:val="0"/>
                <w:sz w:val="24"/>
                <w:szCs w:val="24"/>
                <w:bdr w:val="none" w:color="auto" w:sz="0" w:space="0"/>
                <w:lang w:val="en-US" w:eastAsia="zh-CN" w:bidi="ar"/>
              </w:rPr>
              <w:t>mg/L</w:t>
            </w:r>
            <w:r>
              <w:rPr>
                <w:rFonts w:hint="eastAsia" w:ascii="Times New Roman" w:hAnsi="Times New Roman" w:eastAsia="宋体" w:cs="宋体"/>
                <w:color w:val="000000"/>
                <w:kern w:val="0"/>
                <w:sz w:val="24"/>
                <w:szCs w:val="24"/>
                <w:bdr w:val="none" w:color="auto" w:sz="0" w:space="0"/>
                <w:lang w:val="en-US" w:eastAsia="zh-CN" w:bidi="ar"/>
              </w:rPr>
              <w:t>（</w:t>
            </w:r>
            <w:r>
              <w:rPr>
                <w:rFonts w:hint="default" w:ascii="Times New Roman" w:hAnsi="Times New Roman" w:eastAsia="宋体" w:cs="Times New Roman"/>
                <w:color w:val="000000"/>
                <w:kern w:val="0"/>
                <w:sz w:val="24"/>
                <w:szCs w:val="24"/>
                <w:bdr w:val="none" w:color="auto" w:sz="0" w:space="0"/>
                <w:lang w:val="en-US" w:eastAsia="zh-CN" w:bidi="ar"/>
              </w:rPr>
              <w:t>pH</w:t>
            </w:r>
            <w:r>
              <w:rPr>
                <w:rFonts w:hint="eastAsia" w:ascii="Times New Roman" w:hAnsi="Times New Roman" w:eastAsia="宋体" w:cs="宋体"/>
                <w:color w:val="000000"/>
                <w:kern w:val="0"/>
                <w:sz w:val="24"/>
                <w:szCs w:val="24"/>
                <w:bdr w:val="none" w:color="auto" w:sz="0" w:space="0"/>
                <w:lang w:val="en-US" w:eastAsia="zh-CN" w:bidi="ar"/>
              </w:rPr>
              <w:t>无量纲）</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tblLayout w:type="fixed"/>
              <w:tblCellMar>
                <w:top w:w="0" w:type="dxa"/>
                <w:left w:w="28" w:type="dxa"/>
                <w:bottom w:w="0" w:type="dxa"/>
                <w:right w:w="28" w:type="dxa"/>
              </w:tblCellMar>
            </w:tblPr>
            <w:tblGrid>
              <w:gridCol w:w="3022"/>
              <w:gridCol w:w="993"/>
              <w:gridCol w:w="992"/>
              <w:gridCol w:w="992"/>
              <w:gridCol w:w="864"/>
              <w:gridCol w:w="1112"/>
            </w:tblGrid>
            <w:tr w14:paraId="744B18BF">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tblCellMar>
                  <w:top w:w="0" w:type="dxa"/>
                  <w:left w:w="28" w:type="dxa"/>
                  <w:bottom w:w="0" w:type="dxa"/>
                  <w:right w:w="28" w:type="dxa"/>
                </w:tblCellMar>
              </w:tblPrEx>
              <w:trPr>
                <w:trHeight w:val="343" w:hRule="atLeast"/>
                <w:jc w:val="center"/>
              </w:trPr>
              <w:tc>
                <w:tcPr>
                  <w:tcW w:w="3021" w:type="dxa"/>
                  <w:tcBorders>
                    <w:top w:val="single" w:color="auto" w:sz="12" w:space="0"/>
                    <w:left w:val="nil"/>
                    <w:bottom w:val="single" w:color="auto" w:sz="8" w:space="0"/>
                    <w:right w:val="single" w:color="auto" w:sz="8" w:space="0"/>
                  </w:tcBorders>
                  <w:shd w:val="clear"/>
                  <w:vAlign w:val="center"/>
                </w:tcPr>
                <w:p w14:paraId="777C9D2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标准名号及编号</w:t>
                  </w:r>
                </w:p>
              </w:tc>
              <w:tc>
                <w:tcPr>
                  <w:tcW w:w="993" w:type="dxa"/>
                  <w:tcBorders>
                    <w:top w:val="single" w:color="auto" w:sz="12" w:space="0"/>
                    <w:left w:val="single" w:color="auto" w:sz="8" w:space="0"/>
                    <w:bottom w:val="single" w:color="auto" w:sz="8" w:space="0"/>
                    <w:right w:val="single" w:color="auto" w:sz="8" w:space="0"/>
                  </w:tcBorders>
                  <w:shd w:val="clear"/>
                  <w:vAlign w:val="center"/>
                </w:tcPr>
                <w:p w14:paraId="46CC281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pH</w:t>
                  </w:r>
                </w:p>
              </w:tc>
              <w:tc>
                <w:tcPr>
                  <w:tcW w:w="992" w:type="dxa"/>
                  <w:tcBorders>
                    <w:top w:val="single" w:color="auto" w:sz="12" w:space="0"/>
                    <w:left w:val="single" w:color="auto" w:sz="8" w:space="0"/>
                    <w:bottom w:val="single" w:color="auto" w:sz="8" w:space="0"/>
                    <w:right w:val="single" w:color="auto" w:sz="8" w:space="0"/>
                  </w:tcBorders>
                  <w:shd w:val="clear"/>
                  <w:vAlign w:val="center"/>
                </w:tcPr>
                <w:p w14:paraId="435A37B3">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COD</w:t>
                  </w:r>
                </w:p>
              </w:tc>
              <w:tc>
                <w:tcPr>
                  <w:tcW w:w="992" w:type="dxa"/>
                  <w:tcBorders>
                    <w:top w:val="single" w:color="auto" w:sz="12" w:space="0"/>
                    <w:left w:val="single" w:color="auto" w:sz="8" w:space="0"/>
                    <w:bottom w:val="single" w:color="auto" w:sz="8" w:space="0"/>
                    <w:right w:val="single" w:color="auto" w:sz="8" w:space="0"/>
                  </w:tcBorders>
                  <w:shd w:val="clear"/>
                  <w:vAlign w:val="center"/>
                </w:tcPr>
                <w:p w14:paraId="7DFFA315">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BOD</w:t>
                  </w:r>
                  <w:r>
                    <w:rPr>
                      <w:rFonts w:hint="default" w:ascii="Times New Roman" w:hAnsi="Times New Roman" w:eastAsia="宋体" w:cs="Times New Roman"/>
                      <w:color w:val="000000"/>
                      <w:kern w:val="2"/>
                      <w:sz w:val="21"/>
                      <w:szCs w:val="21"/>
                      <w:bdr w:val="none" w:color="auto" w:sz="0" w:space="0"/>
                      <w:vertAlign w:val="subscript"/>
                      <w:lang w:val="en-US" w:eastAsia="zh-CN" w:bidi="ar"/>
                    </w:rPr>
                    <w:t>5</w:t>
                  </w:r>
                </w:p>
              </w:tc>
              <w:tc>
                <w:tcPr>
                  <w:tcW w:w="864" w:type="dxa"/>
                  <w:tcBorders>
                    <w:top w:val="single" w:color="auto" w:sz="12" w:space="0"/>
                    <w:left w:val="single" w:color="auto" w:sz="8" w:space="0"/>
                    <w:bottom w:val="single" w:color="auto" w:sz="8" w:space="0"/>
                    <w:right w:val="single" w:color="auto" w:sz="8" w:space="0"/>
                  </w:tcBorders>
                  <w:shd w:val="clear"/>
                  <w:vAlign w:val="center"/>
                </w:tcPr>
                <w:p w14:paraId="3870E96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SS</w:t>
                  </w:r>
                </w:p>
              </w:tc>
              <w:tc>
                <w:tcPr>
                  <w:tcW w:w="1112" w:type="dxa"/>
                  <w:tcBorders>
                    <w:top w:val="single" w:color="auto" w:sz="12" w:space="0"/>
                    <w:left w:val="single" w:color="auto" w:sz="8" w:space="0"/>
                    <w:bottom w:val="single" w:color="auto" w:sz="8" w:space="0"/>
                    <w:right w:val="nil"/>
                  </w:tcBorders>
                  <w:shd w:val="clear"/>
                  <w:vAlign w:val="center"/>
                </w:tcPr>
                <w:p w14:paraId="1643373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氨氮</w:t>
                  </w:r>
                </w:p>
              </w:tc>
            </w:tr>
            <w:tr w14:paraId="589FE52A">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28" w:type="dxa"/>
                  <w:bottom w:w="0" w:type="dxa"/>
                  <w:right w:w="28" w:type="dxa"/>
                </w:tblCellMar>
              </w:tblPrEx>
              <w:trPr>
                <w:trHeight w:val="409" w:hRule="atLeast"/>
                <w:jc w:val="center"/>
              </w:trPr>
              <w:tc>
                <w:tcPr>
                  <w:tcW w:w="3021" w:type="dxa"/>
                  <w:tcBorders>
                    <w:top w:val="single" w:color="auto" w:sz="8" w:space="0"/>
                    <w:left w:val="nil"/>
                    <w:bottom w:val="single" w:color="auto" w:sz="8" w:space="0"/>
                    <w:right w:val="single" w:color="auto" w:sz="8" w:space="0"/>
                  </w:tcBorders>
                  <w:shd w:val="clear"/>
                  <w:vAlign w:val="center"/>
                </w:tcPr>
                <w:p w14:paraId="5FFF9A5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《污水综合排放标准》</w:t>
                  </w:r>
                </w:p>
                <w:p w14:paraId="12D0C65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w:t>
                  </w:r>
                  <w:r>
                    <w:rPr>
                      <w:rFonts w:hint="default" w:ascii="Times New Roman" w:hAnsi="Times New Roman" w:eastAsia="宋体" w:cs="Times New Roman"/>
                      <w:color w:val="000000"/>
                      <w:kern w:val="2"/>
                      <w:sz w:val="21"/>
                      <w:szCs w:val="21"/>
                      <w:bdr w:val="none" w:color="auto" w:sz="0" w:space="0"/>
                      <w:lang w:val="en-US" w:eastAsia="zh-CN" w:bidi="ar"/>
                    </w:rPr>
                    <w:t>GB 8978-1996</w:t>
                  </w:r>
                  <w:r>
                    <w:rPr>
                      <w:rFonts w:hint="eastAsia" w:ascii="Times New Roman" w:hAnsi="Times New Roman" w:eastAsia="宋体" w:cs="宋体"/>
                      <w:color w:val="000000"/>
                      <w:kern w:val="2"/>
                      <w:sz w:val="21"/>
                      <w:szCs w:val="21"/>
                      <w:bdr w:val="none" w:color="auto" w:sz="0" w:space="0"/>
                      <w:lang w:val="en-US" w:eastAsia="zh-CN" w:bidi="ar"/>
                    </w:rPr>
                    <w:t>）三级标准</w:t>
                  </w:r>
                </w:p>
              </w:tc>
              <w:tc>
                <w:tcPr>
                  <w:tcW w:w="993" w:type="dxa"/>
                  <w:tcBorders>
                    <w:top w:val="single" w:color="auto" w:sz="8" w:space="0"/>
                    <w:left w:val="single" w:color="auto" w:sz="8" w:space="0"/>
                    <w:bottom w:val="single" w:color="auto" w:sz="8" w:space="0"/>
                    <w:right w:val="single" w:color="auto" w:sz="8" w:space="0"/>
                  </w:tcBorders>
                  <w:shd w:val="clear"/>
                  <w:vAlign w:val="center"/>
                </w:tcPr>
                <w:p w14:paraId="7976D5D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6~9</w:t>
                  </w:r>
                </w:p>
              </w:tc>
              <w:tc>
                <w:tcPr>
                  <w:tcW w:w="992" w:type="dxa"/>
                  <w:tcBorders>
                    <w:top w:val="single" w:color="auto" w:sz="8" w:space="0"/>
                    <w:left w:val="single" w:color="auto" w:sz="8" w:space="0"/>
                    <w:bottom w:val="single" w:color="auto" w:sz="8" w:space="0"/>
                    <w:right w:val="single" w:color="auto" w:sz="8" w:space="0"/>
                  </w:tcBorders>
                  <w:shd w:val="clear"/>
                  <w:vAlign w:val="center"/>
                </w:tcPr>
                <w:p w14:paraId="38C081C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500</w:t>
                  </w:r>
                </w:p>
              </w:tc>
              <w:tc>
                <w:tcPr>
                  <w:tcW w:w="992" w:type="dxa"/>
                  <w:tcBorders>
                    <w:top w:val="single" w:color="auto" w:sz="8" w:space="0"/>
                    <w:left w:val="single" w:color="auto" w:sz="8" w:space="0"/>
                    <w:bottom w:val="single" w:color="auto" w:sz="8" w:space="0"/>
                    <w:right w:val="single" w:color="auto" w:sz="8" w:space="0"/>
                  </w:tcBorders>
                  <w:shd w:val="clear"/>
                  <w:vAlign w:val="center"/>
                </w:tcPr>
                <w:p w14:paraId="5203761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300</w:t>
                  </w:r>
                </w:p>
              </w:tc>
              <w:tc>
                <w:tcPr>
                  <w:tcW w:w="864" w:type="dxa"/>
                  <w:tcBorders>
                    <w:top w:val="single" w:color="auto" w:sz="8" w:space="0"/>
                    <w:left w:val="single" w:color="auto" w:sz="8" w:space="0"/>
                    <w:bottom w:val="single" w:color="auto" w:sz="8" w:space="0"/>
                    <w:right w:val="single" w:color="auto" w:sz="8" w:space="0"/>
                  </w:tcBorders>
                  <w:shd w:val="clear"/>
                  <w:vAlign w:val="center"/>
                </w:tcPr>
                <w:p w14:paraId="6D656F1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400</w:t>
                  </w:r>
                </w:p>
              </w:tc>
              <w:tc>
                <w:tcPr>
                  <w:tcW w:w="1112" w:type="dxa"/>
                  <w:tcBorders>
                    <w:top w:val="single" w:color="auto" w:sz="8" w:space="0"/>
                    <w:left w:val="single" w:color="auto" w:sz="8" w:space="0"/>
                    <w:bottom w:val="single" w:color="auto" w:sz="8" w:space="0"/>
                    <w:right w:val="nil"/>
                  </w:tcBorders>
                  <w:shd w:val="clear"/>
                  <w:vAlign w:val="center"/>
                </w:tcPr>
                <w:p w14:paraId="2EDBBDA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45*</w:t>
                  </w:r>
                </w:p>
              </w:tc>
            </w:tr>
            <w:tr w14:paraId="11CF45A4">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28" w:type="dxa"/>
                  <w:bottom w:w="0" w:type="dxa"/>
                  <w:right w:w="28" w:type="dxa"/>
                </w:tblCellMar>
              </w:tblPrEx>
              <w:trPr>
                <w:trHeight w:val="446" w:hRule="atLeast"/>
                <w:jc w:val="center"/>
              </w:trPr>
              <w:tc>
                <w:tcPr>
                  <w:tcW w:w="3021" w:type="dxa"/>
                  <w:tcBorders>
                    <w:top w:val="single" w:color="auto" w:sz="8" w:space="0"/>
                    <w:left w:val="nil"/>
                    <w:bottom w:val="single" w:color="auto" w:sz="8" w:space="0"/>
                    <w:right w:val="single" w:color="auto" w:sz="8" w:space="0"/>
                  </w:tcBorders>
                  <w:shd w:val="clear"/>
                  <w:vAlign w:val="center"/>
                </w:tcPr>
                <w:p w14:paraId="49359E35">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bookmarkStart w:id="32" w:name="OLE_LINK15"/>
                  <w:r>
                    <w:rPr>
                      <w:rFonts w:hint="eastAsia" w:ascii="Times New Roman" w:hAnsi="Times New Roman" w:eastAsia="宋体" w:cs="宋体"/>
                      <w:color w:val="000000"/>
                      <w:kern w:val="2"/>
                      <w:sz w:val="21"/>
                      <w:szCs w:val="21"/>
                      <w:bdr w:val="none" w:color="auto" w:sz="0" w:space="0"/>
                      <w:lang w:val="en-US" w:eastAsia="zh-CN" w:bidi="ar"/>
                    </w:rPr>
                    <w:t>《城镇污水处理厂污染物排放标准》（</w:t>
                  </w:r>
                  <w:r>
                    <w:rPr>
                      <w:rFonts w:hint="default" w:ascii="Times New Roman" w:hAnsi="Times New Roman" w:eastAsia="宋体" w:cs="Times New Roman"/>
                      <w:color w:val="000000"/>
                      <w:kern w:val="2"/>
                      <w:sz w:val="21"/>
                      <w:szCs w:val="21"/>
                      <w:bdr w:val="none" w:color="auto" w:sz="0" w:space="0"/>
                      <w:lang w:val="en-US" w:eastAsia="zh-CN" w:bidi="ar"/>
                    </w:rPr>
                    <w:t>GB18918-2002</w:t>
                  </w:r>
                  <w:r>
                    <w:rPr>
                      <w:rFonts w:hint="eastAsia" w:ascii="Times New Roman" w:hAnsi="Times New Roman" w:eastAsia="宋体" w:cs="宋体"/>
                      <w:color w:val="000000"/>
                      <w:kern w:val="2"/>
                      <w:sz w:val="21"/>
                      <w:szCs w:val="21"/>
                      <w:bdr w:val="none" w:color="auto" w:sz="0" w:space="0"/>
                      <w:lang w:val="en-US" w:eastAsia="zh-CN" w:bidi="ar"/>
                    </w:rPr>
                    <w:t>）</w:t>
                  </w:r>
                  <w:bookmarkEnd w:id="32"/>
                  <w:r>
                    <w:rPr>
                      <w:rFonts w:hint="eastAsia" w:ascii="Times New Roman" w:hAnsi="Times New Roman" w:eastAsia="宋体" w:cs="宋体"/>
                      <w:color w:val="000000"/>
                      <w:kern w:val="2"/>
                      <w:sz w:val="21"/>
                      <w:szCs w:val="21"/>
                      <w:bdr w:val="none" w:color="auto" w:sz="0" w:space="0"/>
                      <w:lang w:val="en-US" w:eastAsia="zh-CN" w:bidi="ar"/>
                    </w:rPr>
                    <w:t>一级</w:t>
                  </w:r>
                  <w:r>
                    <w:rPr>
                      <w:rFonts w:hint="default" w:ascii="Times New Roman" w:hAnsi="Times New Roman" w:eastAsia="宋体" w:cs="Times New Roman"/>
                      <w:color w:val="000000"/>
                      <w:kern w:val="2"/>
                      <w:sz w:val="21"/>
                      <w:szCs w:val="21"/>
                      <w:bdr w:val="none" w:color="auto" w:sz="0" w:space="0"/>
                      <w:lang w:val="en-US" w:eastAsia="zh-CN" w:bidi="ar"/>
                    </w:rPr>
                    <w:t>B</w:t>
                  </w:r>
                  <w:r>
                    <w:rPr>
                      <w:rFonts w:hint="eastAsia" w:ascii="Times New Roman" w:hAnsi="Times New Roman" w:eastAsia="宋体" w:cs="宋体"/>
                      <w:color w:val="000000"/>
                      <w:kern w:val="2"/>
                      <w:sz w:val="21"/>
                      <w:szCs w:val="21"/>
                      <w:bdr w:val="none" w:color="auto" w:sz="0" w:space="0"/>
                      <w:lang w:val="en-US" w:eastAsia="zh-CN" w:bidi="ar"/>
                    </w:rPr>
                    <w:t>标</w:t>
                  </w:r>
                </w:p>
              </w:tc>
              <w:tc>
                <w:tcPr>
                  <w:tcW w:w="993" w:type="dxa"/>
                  <w:tcBorders>
                    <w:top w:val="single" w:color="auto" w:sz="8" w:space="0"/>
                    <w:left w:val="single" w:color="auto" w:sz="8" w:space="0"/>
                    <w:bottom w:val="single" w:color="auto" w:sz="8" w:space="0"/>
                    <w:right w:val="single" w:color="auto" w:sz="8" w:space="0"/>
                  </w:tcBorders>
                  <w:shd w:val="clear"/>
                  <w:vAlign w:val="center"/>
                </w:tcPr>
                <w:p w14:paraId="0CC9CF4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6~9</w:t>
                  </w:r>
                </w:p>
              </w:tc>
              <w:tc>
                <w:tcPr>
                  <w:tcW w:w="992" w:type="dxa"/>
                  <w:tcBorders>
                    <w:top w:val="single" w:color="auto" w:sz="8" w:space="0"/>
                    <w:left w:val="single" w:color="auto" w:sz="8" w:space="0"/>
                    <w:bottom w:val="single" w:color="auto" w:sz="8" w:space="0"/>
                    <w:right w:val="single" w:color="auto" w:sz="8" w:space="0"/>
                  </w:tcBorders>
                  <w:shd w:val="clear"/>
                  <w:vAlign w:val="center"/>
                </w:tcPr>
                <w:p w14:paraId="732EF43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60</w:t>
                  </w:r>
                </w:p>
              </w:tc>
              <w:tc>
                <w:tcPr>
                  <w:tcW w:w="992" w:type="dxa"/>
                  <w:tcBorders>
                    <w:top w:val="single" w:color="auto" w:sz="8" w:space="0"/>
                    <w:left w:val="single" w:color="auto" w:sz="8" w:space="0"/>
                    <w:bottom w:val="single" w:color="auto" w:sz="8" w:space="0"/>
                    <w:right w:val="single" w:color="auto" w:sz="8" w:space="0"/>
                  </w:tcBorders>
                  <w:shd w:val="clear"/>
                  <w:vAlign w:val="center"/>
                </w:tcPr>
                <w:p w14:paraId="2AAFEEE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20</w:t>
                  </w:r>
                </w:p>
              </w:tc>
              <w:tc>
                <w:tcPr>
                  <w:tcW w:w="864" w:type="dxa"/>
                  <w:tcBorders>
                    <w:top w:val="single" w:color="auto" w:sz="8" w:space="0"/>
                    <w:left w:val="single" w:color="auto" w:sz="8" w:space="0"/>
                    <w:bottom w:val="single" w:color="auto" w:sz="8" w:space="0"/>
                    <w:right w:val="single" w:color="auto" w:sz="8" w:space="0"/>
                  </w:tcBorders>
                  <w:shd w:val="clear"/>
                  <w:vAlign w:val="center"/>
                </w:tcPr>
                <w:p w14:paraId="3F87440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20</w:t>
                  </w:r>
                </w:p>
              </w:tc>
              <w:tc>
                <w:tcPr>
                  <w:tcW w:w="1112" w:type="dxa"/>
                  <w:tcBorders>
                    <w:top w:val="single" w:color="auto" w:sz="8" w:space="0"/>
                    <w:left w:val="single" w:color="auto" w:sz="8" w:space="0"/>
                    <w:bottom w:val="single" w:color="auto" w:sz="8" w:space="0"/>
                    <w:right w:val="nil"/>
                  </w:tcBorders>
                  <w:shd w:val="clear"/>
                  <w:vAlign w:val="center"/>
                </w:tcPr>
                <w:p w14:paraId="4A6C8D0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8</w:t>
                  </w:r>
                  <w:r>
                    <w:rPr>
                      <w:rFonts w:hint="eastAsia" w:ascii="Times New Roman" w:hAnsi="Times New Roman" w:eastAsia="宋体" w:cs="宋体"/>
                      <w:color w:val="000000"/>
                      <w:kern w:val="2"/>
                      <w:sz w:val="21"/>
                      <w:szCs w:val="21"/>
                      <w:bdr w:val="none" w:color="auto" w:sz="0" w:space="0"/>
                      <w:lang w:val="en-US" w:eastAsia="zh-CN" w:bidi="ar"/>
                    </w:rPr>
                    <w:t>（</w:t>
                  </w:r>
                  <w:r>
                    <w:rPr>
                      <w:rFonts w:hint="default" w:ascii="Times New Roman" w:hAnsi="Times New Roman" w:eastAsia="宋体" w:cs="Times New Roman"/>
                      <w:color w:val="000000"/>
                      <w:kern w:val="2"/>
                      <w:sz w:val="21"/>
                      <w:szCs w:val="21"/>
                      <w:bdr w:val="none" w:color="auto" w:sz="0" w:space="0"/>
                      <w:lang w:val="en-US" w:eastAsia="zh-CN" w:bidi="ar"/>
                    </w:rPr>
                    <w:t>15</w:t>
                  </w:r>
                  <w:r>
                    <w:rPr>
                      <w:rFonts w:hint="eastAsia" w:ascii="Times New Roman" w:hAnsi="Times New Roman" w:eastAsia="宋体" w:cs="宋体"/>
                      <w:color w:val="000000"/>
                      <w:kern w:val="2"/>
                      <w:sz w:val="21"/>
                      <w:szCs w:val="21"/>
                      <w:bdr w:val="none" w:color="auto" w:sz="0" w:space="0"/>
                      <w:lang w:val="en-US" w:eastAsia="zh-CN" w:bidi="ar"/>
                    </w:rPr>
                    <w:t>）</w:t>
                  </w:r>
                </w:p>
              </w:tc>
            </w:tr>
            <w:tr w14:paraId="617EACC4">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28" w:type="dxa"/>
                  <w:bottom w:w="0" w:type="dxa"/>
                  <w:right w:w="28" w:type="dxa"/>
                </w:tblCellMar>
              </w:tblPrEx>
              <w:trPr>
                <w:trHeight w:val="91" w:hRule="atLeast"/>
                <w:jc w:val="center"/>
              </w:trPr>
              <w:tc>
                <w:tcPr>
                  <w:tcW w:w="7974" w:type="dxa"/>
                  <w:gridSpan w:val="6"/>
                  <w:tcBorders>
                    <w:top w:val="single" w:color="auto" w:sz="8" w:space="0"/>
                    <w:left w:val="nil"/>
                    <w:bottom w:val="single" w:color="auto" w:sz="12" w:space="0"/>
                    <w:right w:val="nil"/>
                  </w:tcBorders>
                  <w:shd w:val="clear"/>
                  <w:vAlign w:val="center"/>
                </w:tcPr>
                <w:p w14:paraId="030F8E88">
                  <w:pPr>
                    <w:keepNext w:val="0"/>
                    <w:keepLines w:val="0"/>
                    <w:widowControl w:val="0"/>
                    <w:suppressLineNumbers w:val="0"/>
                    <w:spacing w:before="0" w:beforeAutospacing="0" w:after="0" w:afterAutospacing="0" w:line="300" w:lineRule="exact"/>
                    <w:ind w:left="0" w:right="0"/>
                    <w:jc w:val="left"/>
                    <w:rPr>
                      <w:rFonts w:hint="default" w:ascii="Times New Roman" w:hAnsi="Times New Roman" w:cs="Times New Roman"/>
                      <w:color w:val="000000"/>
                      <w:bdr w:val="none" w:color="auto" w:sz="0" w:space="0"/>
                      <w:lang w:val="en-US"/>
                    </w:rPr>
                  </w:pPr>
                  <w:r>
                    <w:rPr>
                      <w:rFonts w:hint="eastAsia" w:ascii="Times New Roman" w:hAnsi="Times New Roman" w:eastAsia="宋体" w:cs="宋体"/>
                      <w:color w:val="000000"/>
                      <w:kern w:val="2"/>
                      <w:sz w:val="21"/>
                      <w:szCs w:val="24"/>
                      <w:bdr w:val="none" w:color="auto" w:sz="0" w:space="0"/>
                      <w:lang w:val="en-US" w:eastAsia="zh-CN" w:bidi="ar"/>
                    </w:rPr>
                    <w:t>注：</w:t>
                  </w:r>
                  <w:r>
                    <w:rPr>
                      <w:rFonts w:hint="default" w:ascii="Times New Roman" w:hAnsi="Times New Roman" w:eastAsia="宋体" w:cs="Times New Roman"/>
                      <w:color w:val="000000"/>
                      <w:kern w:val="2"/>
                      <w:sz w:val="21"/>
                      <w:szCs w:val="24"/>
                      <w:bdr w:val="none" w:color="auto" w:sz="0" w:space="0"/>
                      <w:lang w:val="en-US" w:eastAsia="zh-CN" w:bidi="ar"/>
                    </w:rPr>
                    <w:t>*</w:t>
                  </w:r>
                  <w:r>
                    <w:rPr>
                      <w:rFonts w:hint="eastAsia" w:ascii="Times New Roman" w:hAnsi="Times New Roman" w:eastAsia="宋体" w:cs="宋体"/>
                      <w:color w:val="000000"/>
                      <w:kern w:val="2"/>
                      <w:sz w:val="21"/>
                      <w:szCs w:val="24"/>
                      <w:bdr w:val="none" w:color="auto" w:sz="0" w:space="0"/>
                      <w:lang w:val="en-US" w:eastAsia="zh-CN" w:bidi="ar"/>
                    </w:rPr>
                    <w:t>参照《污水排入城镇下水道水质标准》（</w:t>
                  </w:r>
                  <w:r>
                    <w:rPr>
                      <w:rFonts w:hint="default" w:ascii="Times New Roman" w:hAnsi="Times New Roman" w:eastAsia="宋体" w:cs="Times New Roman"/>
                      <w:color w:val="000000"/>
                      <w:kern w:val="2"/>
                      <w:sz w:val="21"/>
                      <w:szCs w:val="24"/>
                      <w:bdr w:val="none" w:color="auto" w:sz="0" w:space="0"/>
                      <w:lang w:val="en-US" w:eastAsia="zh-CN" w:bidi="ar"/>
                    </w:rPr>
                    <w:t>GB/T31962-2015</w:t>
                  </w:r>
                  <w:r>
                    <w:rPr>
                      <w:rFonts w:hint="eastAsia" w:ascii="Times New Roman" w:hAnsi="Times New Roman" w:eastAsia="宋体" w:cs="宋体"/>
                      <w:color w:val="000000"/>
                      <w:kern w:val="2"/>
                      <w:sz w:val="21"/>
                      <w:szCs w:val="24"/>
                      <w:bdr w:val="none" w:color="auto" w:sz="0" w:space="0"/>
                      <w:lang w:val="en-US" w:eastAsia="zh-CN" w:bidi="ar"/>
                    </w:rPr>
                    <w:t>）</w:t>
                  </w:r>
                </w:p>
              </w:tc>
            </w:tr>
          </w:tbl>
          <w:p w14:paraId="175E6C4F">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Times New Roman" w:cs="Times New Roman"/>
                <w:b/>
                <w:bCs w:val="0"/>
                <w:color w:val="000000"/>
                <w:kern w:val="0"/>
                <w:sz w:val="24"/>
                <w:szCs w:val="24"/>
                <w:bdr w:val="none" w:color="auto" w:sz="0" w:space="0"/>
                <w:lang w:val="en-US"/>
              </w:rPr>
            </w:pPr>
            <w:r>
              <w:rPr>
                <w:rFonts w:hint="default" w:ascii="Times New Roman" w:hAnsi="Times New Roman" w:eastAsia="宋体" w:cs="Times New Roman"/>
                <w:b/>
                <w:bCs w:val="0"/>
                <w:color w:val="000000"/>
                <w:kern w:val="0"/>
                <w:sz w:val="24"/>
                <w:szCs w:val="24"/>
                <w:bdr w:val="none" w:color="auto" w:sz="0" w:space="0"/>
                <w:lang w:val="en-US" w:eastAsia="zh-CN" w:bidi="ar"/>
              </w:rPr>
              <w:t>3.7.3</w:t>
            </w:r>
            <w:r>
              <w:rPr>
                <w:rFonts w:hint="eastAsia" w:ascii="Times New Roman" w:hAnsi="Times New Roman" w:eastAsia="宋体" w:cs="宋体"/>
                <w:b/>
                <w:bCs w:val="0"/>
                <w:color w:val="000000"/>
                <w:kern w:val="0"/>
                <w:sz w:val="24"/>
                <w:szCs w:val="24"/>
                <w:bdr w:val="none" w:color="auto" w:sz="0" w:space="0"/>
                <w:lang w:val="en-US" w:eastAsia="zh-CN" w:bidi="ar"/>
              </w:rPr>
              <w:t>噪声</w:t>
            </w:r>
            <w:r>
              <w:rPr>
                <w:rFonts w:hint="eastAsia" w:ascii="Calibri" w:hAnsi="Calibri" w:eastAsia="宋体" w:cs="宋体"/>
                <w:b/>
                <w:bCs/>
                <w:color w:val="000000"/>
                <w:kern w:val="0"/>
                <w:sz w:val="24"/>
                <w:szCs w:val="24"/>
                <w:bdr w:val="none" w:color="auto" w:sz="0" w:space="0"/>
                <w:lang w:val="en-US" w:eastAsia="zh-CN" w:bidi="ar"/>
              </w:rPr>
              <w:t>排放标准</w:t>
            </w:r>
          </w:p>
          <w:p w14:paraId="3FA06A9C">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根据《重庆市合川区人民政府办公室关于印发合川区声环境功能区划分调整方案的通知》（合川府办发〔</w:t>
            </w:r>
            <w:r>
              <w:rPr>
                <w:rFonts w:hint="default" w:ascii="Times New Roman" w:hAnsi="宋体" w:eastAsia="宋体" w:cs="Times New Roman"/>
                <w:color w:val="000000"/>
                <w:kern w:val="2"/>
                <w:sz w:val="24"/>
                <w:szCs w:val="24"/>
                <w:bdr w:val="none" w:color="auto" w:sz="0" w:space="0"/>
                <w:lang w:val="en-US" w:eastAsia="zh-CN" w:bidi="ar"/>
              </w:rPr>
              <w:t>2023</w:t>
            </w:r>
            <w:r>
              <w:rPr>
                <w:rFonts w:hint="eastAsia" w:ascii="Times New Roman" w:hAnsi="宋体" w:eastAsia="宋体" w:cs="宋体"/>
                <w:color w:val="000000"/>
                <w:kern w:val="2"/>
                <w:sz w:val="24"/>
                <w:szCs w:val="24"/>
                <w:bdr w:val="none" w:color="auto" w:sz="0" w:space="0"/>
                <w:lang w:val="en-US" w:eastAsia="zh-CN" w:bidi="ar"/>
              </w:rPr>
              <w:t>〕</w:t>
            </w:r>
            <w:r>
              <w:rPr>
                <w:rFonts w:hint="default" w:ascii="Times New Roman" w:hAnsi="宋体" w:eastAsia="宋体" w:cs="Times New Roman"/>
                <w:color w:val="000000"/>
                <w:kern w:val="2"/>
                <w:sz w:val="24"/>
                <w:szCs w:val="24"/>
                <w:bdr w:val="none" w:color="auto" w:sz="0" w:space="0"/>
                <w:lang w:val="en-US" w:eastAsia="zh-CN" w:bidi="ar"/>
              </w:rPr>
              <w:t>56</w:t>
            </w:r>
            <w:r>
              <w:rPr>
                <w:rFonts w:hint="eastAsia" w:ascii="Times New Roman" w:hAnsi="宋体" w:eastAsia="宋体" w:cs="宋体"/>
                <w:color w:val="000000"/>
                <w:kern w:val="2"/>
                <w:sz w:val="24"/>
                <w:szCs w:val="24"/>
                <w:bdr w:val="none" w:color="auto" w:sz="0" w:space="0"/>
                <w:lang w:val="en-US" w:eastAsia="zh-CN" w:bidi="ar"/>
              </w:rPr>
              <w:t>号），扩建项目属于</w:t>
            </w:r>
            <w:r>
              <w:rPr>
                <w:rFonts w:hint="default" w:ascii="Times New Roman" w:hAnsi="宋体" w:eastAsia="宋体" w:cs="Times New Roman"/>
                <w:color w:val="000000"/>
                <w:kern w:val="2"/>
                <w:sz w:val="24"/>
                <w:szCs w:val="24"/>
                <w:bdr w:val="none" w:color="auto" w:sz="0" w:space="0"/>
                <w:lang w:val="en-US" w:eastAsia="zh-CN" w:bidi="ar"/>
              </w:rPr>
              <w:t>3</w:t>
            </w:r>
            <w:r>
              <w:rPr>
                <w:rFonts w:hint="eastAsia" w:ascii="Times New Roman" w:hAnsi="宋体" w:eastAsia="宋体" w:cs="宋体"/>
                <w:color w:val="000000"/>
                <w:kern w:val="2"/>
                <w:sz w:val="24"/>
                <w:szCs w:val="24"/>
                <w:bdr w:val="none" w:color="auto" w:sz="0" w:space="0"/>
                <w:lang w:val="en-US" w:eastAsia="zh-CN" w:bidi="ar"/>
              </w:rPr>
              <w:t>类声功能区。因此，项目运营期厂界噪声执行《工业企业厂界环境噪声排放标准》</w:t>
            </w:r>
            <w:r>
              <w:rPr>
                <w:rFonts w:hint="default" w:ascii="Times New Roman" w:hAnsi="Times New Roman" w:eastAsia="宋体" w:cs="Times New Roman"/>
                <w:color w:val="000000"/>
                <w:kern w:val="2"/>
                <w:sz w:val="24"/>
                <w:szCs w:val="24"/>
                <w:bdr w:val="none" w:color="auto" w:sz="0" w:space="0"/>
                <w:lang w:val="en-US" w:eastAsia="zh-CN" w:bidi="ar"/>
              </w:rPr>
              <w:t>(GB12348-2008)3</w:t>
            </w:r>
            <w:r>
              <w:rPr>
                <w:rFonts w:hint="eastAsia" w:ascii="Times New Roman" w:hAnsi="宋体" w:eastAsia="宋体" w:cs="宋体"/>
                <w:color w:val="000000"/>
                <w:kern w:val="2"/>
                <w:sz w:val="24"/>
                <w:szCs w:val="24"/>
                <w:bdr w:val="none" w:color="auto" w:sz="0" w:space="0"/>
                <w:lang w:val="en-US" w:eastAsia="zh-CN" w:bidi="ar"/>
              </w:rPr>
              <w:t>类标准要求。</w:t>
            </w:r>
          </w:p>
          <w:p w14:paraId="1CA87D0E">
            <w:pPr>
              <w:keepNext w:val="0"/>
              <w:keepLines w:val="0"/>
              <w:widowControl w:val="0"/>
              <w:suppressLineNumbers w:val="0"/>
              <w:spacing w:before="0" w:beforeAutospacing="0" w:after="0" w:afterAutospacing="0" w:line="440" w:lineRule="exact"/>
              <w:ind w:left="0" w:right="0" w:firstLine="482"/>
              <w:jc w:val="center"/>
              <w:rPr>
                <w:rFonts w:hint="default" w:ascii="Times New Roman" w:hAnsi="Times New Roman" w:cs="Times New Roman"/>
                <w:color w:val="000000"/>
                <w:kern w:val="0"/>
                <w:sz w:val="24"/>
                <w:szCs w:val="24"/>
                <w:bdr w:val="none" w:color="auto" w:sz="0" w:space="0"/>
                <w:lang w:val="en-US"/>
              </w:rPr>
            </w:pPr>
            <w:r>
              <w:rPr>
                <w:rFonts w:hint="eastAsia" w:ascii="Times New Roman" w:hAnsi="Times New Roman" w:eastAsia="宋体" w:cs="宋体"/>
                <w:color w:val="000000"/>
                <w:kern w:val="0"/>
                <w:sz w:val="24"/>
                <w:szCs w:val="24"/>
                <w:bdr w:val="none" w:color="auto" w:sz="0" w:space="0"/>
                <w:lang w:val="en-US" w:eastAsia="zh-CN" w:bidi="ar"/>
              </w:rPr>
              <w:t>表</w:t>
            </w:r>
            <w:r>
              <w:rPr>
                <w:rFonts w:hint="default" w:ascii="Times New Roman" w:hAnsi="Times New Roman" w:eastAsia="宋体" w:cs="Times New Roman"/>
                <w:color w:val="000000"/>
                <w:kern w:val="0"/>
                <w:sz w:val="24"/>
                <w:szCs w:val="24"/>
                <w:bdr w:val="none" w:color="auto" w:sz="0" w:space="0"/>
                <w:lang w:val="en-US" w:eastAsia="zh-CN" w:bidi="ar"/>
              </w:rPr>
              <w:t xml:space="preserve">3.7-5 </w:t>
            </w:r>
            <w:r>
              <w:rPr>
                <w:rFonts w:hint="eastAsia" w:ascii="Times New Roman" w:hAnsi="Times New Roman" w:eastAsia="宋体" w:cs="宋体"/>
                <w:color w:val="000000"/>
                <w:kern w:val="0"/>
                <w:sz w:val="24"/>
                <w:szCs w:val="24"/>
                <w:bdr w:val="none" w:color="auto" w:sz="0" w:space="0"/>
                <w:lang w:val="en-US" w:eastAsia="zh-CN" w:bidi="ar"/>
              </w:rPr>
              <w:t>工业企业厂界环境噪声排放标准</w:t>
            </w:r>
            <w:r>
              <w:rPr>
                <w:rFonts w:hint="default" w:ascii="Times New Roman" w:hAnsi="Times New Roman" w:eastAsia="宋体" w:cs="Times New Roman"/>
                <w:color w:val="000000"/>
                <w:kern w:val="0"/>
                <w:sz w:val="24"/>
                <w:szCs w:val="24"/>
                <w:bdr w:val="none" w:color="auto" w:sz="0" w:space="0"/>
                <w:lang w:val="en-US" w:eastAsia="zh-CN" w:bidi="ar"/>
              </w:rPr>
              <w:t xml:space="preserve">   </w:t>
            </w:r>
            <w:r>
              <w:rPr>
                <w:rFonts w:hint="eastAsia" w:ascii="Times New Roman" w:hAnsi="Times New Roman" w:eastAsia="宋体" w:cs="宋体"/>
                <w:color w:val="000000"/>
                <w:kern w:val="0"/>
                <w:sz w:val="24"/>
                <w:szCs w:val="24"/>
                <w:bdr w:val="none" w:color="auto" w:sz="0" w:space="0"/>
                <w:lang w:val="en-US" w:eastAsia="zh-CN" w:bidi="ar"/>
              </w:rPr>
              <w:t>单位：</w:t>
            </w:r>
            <w:r>
              <w:rPr>
                <w:rFonts w:hint="default" w:ascii="Times New Roman" w:hAnsi="Times New Roman" w:eastAsia="宋体" w:cs="Times New Roman"/>
                <w:color w:val="000000"/>
                <w:kern w:val="0"/>
                <w:sz w:val="24"/>
                <w:szCs w:val="24"/>
                <w:bdr w:val="none" w:color="auto" w:sz="0" w:space="0"/>
                <w:lang w:val="en-US" w:eastAsia="zh-CN" w:bidi="ar"/>
              </w:rPr>
              <w:t>dB(A)</w:t>
            </w:r>
          </w:p>
          <w:tbl>
            <w:tblPr>
              <w:tblStyle w:val="18"/>
              <w:tblW w:w="0" w:type="auto"/>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tblLayout w:type="fixed"/>
              <w:tblCellMar>
                <w:top w:w="0" w:type="dxa"/>
                <w:left w:w="0" w:type="dxa"/>
                <w:bottom w:w="0" w:type="dxa"/>
                <w:right w:w="0" w:type="dxa"/>
              </w:tblCellMar>
            </w:tblPr>
            <w:tblGrid>
              <w:gridCol w:w="3447"/>
              <w:gridCol w:w="1417"/>
              <w:gridCol w:w="1559"/>
              <w:gridCol w:w="993"/>
              <w:gridCol w:w="558"/>
            </w:tblGrid>
            <w:tr w14:paraId="533A15AC">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tblCellMar>
                  <w:top w:w="0" w:type="dxa"/>
                  <w:left w:w="0" w:type="dxa"/>
                  <w:bottom w:w="0" w:type="dxa"/>
                  <w:right w:w="0" w:type="dxa"/>
                </w:tblCellMar>
              </w:tblPrEx>
              <w:trPr>
                <w:trHeight w:val="340" w:hRule="atLeast"/>
                <w:jc w:val="center"/>
              </w:trPr>
              <w:tc>
                <w:tcPr>
                  <w:tcW w:w="3447" w:type="dxa"/>
                  <w:tcBorders>
                    <w:top w:val="single" w:color="auto" w:sz="12" w:space="0"/>
                    <w:left w:val="nil"/>
                    <w:bottom w:val="single" w:color="auto" w:sz="6" w:space="0"/>
                    <w:right w:val="single" w:color="auto" w:sz="6" w:space="0"/>
                  </w:tcBorders>
                  <w:shd w:val="clear"/>
                  <w:vAlign w:val="top"/>
                </w:tcPr>
                <w:p w14:paraId="0409FF4B">
                  <w:pPr>
                    <w:pStyle w:val="91"/>
                    <w:widowControl/>
                    <w:spacing w:line="300" w:lineRule="exact"/>
                    <w:rPr>
                      <w:color w:val="000000"/>
                      <w:bdr w:val="none" w:color="auto" w:sz="0" w:space="0"/>
                      <w:lang w:val="en-US"/>
                    </w:rPr>
                  </w:pPr>
                  <w:r>
                    <w:rPr>
                      <w:rFonts w:hint="eastAsia" w:ascii="Times New Roman" w:hAnsi="Times New Roman" w:eastAsia="宋体" w:cs="宋体"/>
                      <w:color w:val="000000"/>
                      <w:bdr w:val="none" w:color="auto" w:sz="0" w:space="0"/>
                    </w:rPr>
                    <w:t>执行标准</w:t>
                  </w:r>
                </w:p>
              </w:tc>
              <w:tc>
                <w:tcPr>
                  <w:tcW w:w="1417" w:type="dxa"/>
                  <w:tcBorders>
                    <w:top w:val="single" w:color="auto" w:sz="12" w:space="0"/>
                    <w:left w:val="single" w:color="auto" w:sz="6" w:space="0"/>
                    <w:bottom w:val="single" w:color="auto" w:sz="6" w:space="0"/>
                    <w:right w:val="single" w:color="auto" w:sz="6" w:space="0"/>
                  </w:tcBorders>
                  <w:shd w:val="clear"/>
                  <w:vAlign w:val="center"/>
                </w:tcPr>
                <w:p w14:paraId="597C4B95">
                  <w:pPr>
                    <w:pStyle w:val="91"/>
                    <w:widowControl/>
                    <w:spacing w:line="300" w:lineRule="exact"/>
                    <w:rPr>
                      <w:color w:val="000000"/>
                      <w:bdr w:val="none" w:color="auto" w:sz="0" w:space="0"/>
                      <w:lang w:val="en-US"/>
                    </w:rPr>
                  </w:pPr>
                  <w:r>
                    <w:rPr>
                      <w:rFonts w:hint="eastAsia" w:ascii="Times New Roman" w:hAnsi="Times New Roman" w:eastAsia="宋体" w:cs="宋体"/>
                      <w:color w:val="000000"/>
                      <w:bdr w:val="none" w:color="auto" w:sz="0" w:space="0"/>
                    </w:rPr>
                    <w:t>标准级别</w:t>
                  </w:r>
                </w:p>
              </w:tc>
              <w:tc>
                <w:tcPr>
                  <w:tcW w:w="1559" w:type="dxa"/>
                  <w:tcBorders>
                    <w:top w:val="single" w:color="auto" w:sz="12" w:space="0"/>
                    <w:left w:val="single" w:color="auto" w:sz="6" w:space="0"/>
                    <w:bottom w:val="single" w:color="auto" w:sz="6" w:space="0"/>
                    <w:right w:val="single" w:color="auto" w:sz="6" w:space="0"/>
                  </w:tcBorders>
                  <w:shd w:val="clear"/>
                  <w:vAlign w:val="center"/>
                </w:tcPr>
                <w:p w14:paraId="076AFD5E">
                  <w:pPr>
                    <w:pStyle w:val="91"/>
                    <w:widowControl/>
                    <w:spacing w:line="300" w:lineRule="exact"/>
                    <w:rPr>
                      <w:color w:val="000000"/>
                      <w:bdr w:val="none" w:color="auto" w:sz="0" w:space="0"/>
                      <w:lang w:val="en-US"/>
                    </w:rPr>
                  </w:pPr>
                  <w:r>
                    <w:rPr>
                      <w:rFonts w:hint="eastAsia" w:ascii="Times New Roman" w:hAnsi="Times New Roman" w:eastAsia="宋体" w:cs="宋体"/>
                      <w:color w:val="000000"/>
                      <w:bdr w:val="none" w:color="auto" w:sz="0" w:space="0"/>
                    </w:rPr>
                    <w:t>适用地</w:t>
                  </w:r>
                  <w:r>
                    <w:rPr>
                      <w:rFonts w:hint="eastAsia" w:ascii="宋体" w:hAnsi="宋体" w:eastAsia="宋体" w:cs="宋体"/>
                      <w:color w:val="000000"/>
                      <w:bdr w:val="none" w:color="auto" w:sz="0" w:space="0"/>
                    </w:rPr>
                    <w:t>带</w:t>
                  </w:r>
                  <w:r>
                    <w:rPr>
                      <w:rFonts w:hint="eastAsia" w:ascii="Times New Roman" w:hAnsi="Times New Roman" w:eastAsia="宋体" w:cs="宋体"/>
                      <w:color w:val="000000"/>
                      <w:bdr w:val="none" w:color="auto" w:sz="0" w:space="0"/>
                    </w:rPr>
                    <w:t>范围</w:t>
                  </w:r>
                </w:p>
              </w:tc>
              <w:tc>
                <w:tcPr>
                  <w:tcW w:w="993" w:type="dxa"/>
                  <w:tcBorders>
                    <w:top w:val="single" w:color="auto" w:sz="12" w:space="0"/>
                    <w:left w:val="single" w:color="auto" w:sz="6" w:space="0"/>
                    <w:bottom w:val="single" w:color="auto" w:sz="6" w:space="0"/>
                    <w:right w:val="single" w:color="auto" w:sz="6" w:space="0"/>
                  </w:tcBorders>
                  <w:shd w:val="clear"/>
                  <w:vAlign w:val="center"/>
                </w:tcPr>
                <w:p w14:paraId="7749C0E5">
                  <w:pPr>
                    <w:pStyle w:val="91"/>
                    <w:widowControl/>
                    <w:spacing w:line="300" w:lineRule="exact"/>
                    <w:rPr>
                      <w:color w:val="000000"/>
                      <w:bdr w:val="none" w:color="auto" w:sz="0" w:space="0"/>
                      <w:lang w:val="en-US"/>
                    </w:rPr>
                  </w:pPr>
                  <w:r>
                    <w:rPr>
                      <w:rFonts w:hint="eastAsia" w:ascii="Times New Roman" w:hAnsi="Times New Roman" w:eastAsia="宋体" w:cs="宋体"/>
                      <w:color w:val="000000"/>
                      <w:bdr w:val="none" w:color="auto" w:sz="0" w:space="0"/>
                    </w:rPr>
                    <w:t>昼间</w:t>
                  </w:r>
                </w:p>
              </w:tc>
              <w:tc>
                <w:tcPr>
                  <w:tcW w:w="558" w:type="dxa"/>
                  <w:tcBorders>
                    <w:top w:val="single" w:color="auto" w:sz="12" w:space="0"/>
                    <w:left w:val="single" w:color="auto" w:sz="6" w:space="0"/>
                    <w:bottom w:val="single" w:color="auto" w:sz="6" w:space="0"/>
                    <w:right w:val="nil"/>
                  </w:tcBorders>
                  <w:shd w:val="clear"/>
                  <w:vAlign w:val="center"/>
                </w:tcPr>
                <w:p w14:paraId="55A54C88">
                  <w:pPr>
                    <w:pStyle w:val="91"/>
                    <w:widowControl/>
                    <w:spacing w:line="300" w:lineRule="exact"/>
                    <w:rPr>
                      <w:color w:val="000000"/>
                      <w:bdr w:val="none" w:color="auto" w:sz="0" w:space="0"/>
                      <w:lang w:val="en-US"/>
                    </w:rPr>
                  </w:pPr>
                  <w:r>
                    <w:rPr>
                      <w:rFonts w:hint="eastAsia" w:ascii="Times New Roman" w:hAnsi="Times New Roman" w:eastAsia="宋体" w:cs="宋体"/>
                      <w:color w:val="000000"/>
                      <w:bdr w:val="none" w:color="auto" w:sz="0" w:space="0"/>
                    </w:rPr>
                    <w:t>夜间</w:t>
                  </w:r>
                </w:p>
              </w:tc>
            </w:tr>
            <w:tr w14:paraId="3DBE2847">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447" w:type="dxa"/>
                  <w:tcBorders>
                    <w:top w:val="single" w:color="auto" w:sz="6" w:space="0"/>
                    <w:left w:val="nil"/>
                    <w:bottom w:val="single" w:color="auto" w:sz="12" w:space="0"/>
                    <w:right w:val="single" w:color="auto" w:sz="6" w:space="0"/>
                  </w:tcBorders>
                  <w:shd w:val="clear"/>
                  <w:vAlign w:val="center"/>
                </w:tcPr>
                <w:p w14:paraId="22DC970D">
                  <w:pPr>
                    <w:pStyle w:val="91"/>
                    <w:widowControl/>
                    <w:spacing w:line="300" w:lineRule="exact"/>
                    <w:rPr>
                      <w:color w:val="000000"/>
                      <w:bdr w:val="none" w:color="auto" w:sz="0" w:space="0"/>
                      <w:lang w:val="en-US"/>
                    </w:rPr>
                  </w:pPr>
                  <w:r>
                    <w:rPr>
                      <w:rFonts w:hint="eastAsia" w:ascii="Times New Roman" w:hAnsi="Times New Roman" w:eastAsia="宋体" w:cs="宋体"/>
                      <w:color w:val="000000"/>
                      <w:bdr w:val="none" w:color="auto" w:sz="0" w:space="0"/>
                    </w:rPr>
                    <w:t>《工业企业厂界环境噪声排放标准》</w:t>
                  </w:r>
                </w:p>
              </w:tc>
              <w:tc>
                <w:tcPr>
                  <w:tcW w:w="1417" w:type="dxa"/>
                  <w:tcBorders>
                    <w:top w:val="single" w:color="auto" w:sz="6" w:space="0"/>
                    <w:left w:val="single" w:color="auto" w:sz="6" w:space="0"/>
                    <w:bottom w:val="single" w:color="auto" w:sz="12" w:space="0"/>
                    <w:right w:val="single" w:color="auto" w:sz="6" w:space="0"/>
                  </w:tcBorders>
                  <w:shd w:val="clear"/>
                  <w:vAlign w:val="center"/>
                </w:tcPr>
                <w:p w14:paraId="2A15D0BB">
                  <w:pPr>
                    <w:pStyle w:val="91"/>
                    <w:widowControl/>
                    <w:spacing w:line="300" w:lineRule="exact"/>
                    <w:rPr>
                      <w:color w:val="000000"/>
                      <w:bdr w:val="none" w:color="auto" w:sz="0" w:space="0"/>
                      <w:lang w:val="en-US"/>
                    </w:rPr>
                  </w:pPr>
                  <w:r>
                    <w:rPr>
                      <w:color w:val="000000"/>
                      <w:bdr w:val="none" w:color="auto" w:sz="0" w:space="0"/>
                      <w:lang w:val="en-US"/>
                    </w:rPr>
                    <w:t>3</w:t>
                  </w:r>
                  <w:r>
                    <w:rPr>
                      <w:rFonts w:hint="eastAsia" w:ascii="宋体" w:hAnsi="宋体" w:eastAsia="宋体" w:cs="宋体"/>
                      <w:color w:val="000000"/>
                      <w:bdr w:val="none" w:color="auto" w:sz="0" w:space="0"/>
                    </w:rPr>
                    <w:t>类</w:t>
                  </w:r>
                </w:p>
              </w:tc>
              <w:tc>
                <w:tcPr>
                  <w:tcW w:w="1559" w:type="dxa"/>
                  <w:tcBorders>
                    <w:top w:val="single" w:color="auto" w:sz="6" w:space="0"/>
                    <w:left w:val="single" w:color="auto" w:sz="6" w:space="0"/>
                    <w:bottom w:val="single" w:color="auto" w:sz="12" w:space="0"/>
                    <w:right w:val="single" w:color="auto" w:sz="6" w:space="0"/>
                  </w:tcBorders>
                  <w:shd w:val="clear"/>
                  <w:vAlign w:val="center"/>
                </w:tcPr>
                <w:p w14:paraId="1CF999EC">
                  <w:pPr>
                    <w:pStyle w:val="91"/>
                    <w:widowControl/>
                    <w:spacing w:line="300" w:lineRule="exact"/>
                    <w:rPr>
                      <w:color w:val="000000"/>
                      <w:bdr w:val="none" w:color="auto" w:sz="0" w:space="0"/>
                      <w:lang w:val="en-US"/>
                    </w:rPr>
                  </w:pPr>
                  <w:r>
                    <w:rPr>
                      <w:rFonts w:hint="eastAsia" w:ascii="Times New Roman" w:hAnsi="Times New Roman" w:eastAsia="宋体" w:cs="宋体"/>
                      <w:color w:val="000000"/>
                      <w:bdr w:val="none" w:color="auto" w:sz="0" w:space="0"/>
                    </w:rPr>
                    <w:t>项目厂界</w:t>
                  </w:r>
                </w:p>
              </w:tc>
              <w:tc>
                <w:tcPr>
                  <w:tcW w:w="993" w:type="dxa"/>
                  <w:tcBorders>
                    <w:top w:val="single" w:color="auto" w:sz="6" w:space="0"/>
                    <w:left w:val="single" w:color="auto" w:sz="6" w:space="0"/>
                    <w:bottom w:val="single" w:color="auto" w:sz="12" w:space="0"/>
                    <w:right w:val="single" w:color="auto" w:sz="6" w:space="0"/>
                  </w:tcBorders>
                  <w:shd w:val="clear"/>
                  <w:vAlign w:val="center"/>
                </w:tcPr>
                <w:p w14:paraId="0EE9722C">
                  <w:pPr>
                    <w:pStyle w:val="91"/>
                    <w:widowControl/>
                    <w:spacing w:line="300" w:lineRule="exact"/>
                    <w:rPr>
                      <w:color w:val="000000"/>
                      <w:bdr w:val="none" w:color="auto" w:sz="0" w:space="0"/>
                      <w:lang w:val="en-US"/>
                    </w:rPr>
                  </w:pPr>
                  <w:r>
                    <w:rPr>
                      <w:color w:val="000000"/>
                      <w:bdr w:val="none" w:color="auto" w:sz="0" w:space="0"/>
                      <w:lang w:val="en-US"/>
                    </w:rPr>
                    <w:t>65</w:t>
                  </w:r>
                </w:p>
              </w:tc>
              <w:tc>
                <w:tcPr>
                  <w:tcW w:w="558" w:type="dxa"/>
                  <w:tcBorders>
                    <w:top w:val="single" w:color="auto" w:sz="6" w:space="0"/>
                    <w:left w:val="single" w:color="auto" w:sz="6" w:space="0"/>
                    <w:bottom w:val="single" w:color="auto" w:sz="12" w:space="0"/>
                    <w:right w:val="nil"/>
                  </w:tcBorders>
                  <w:shd w:val="clear"/>
                  <w:vAlign w:val="center"/>
                </w:tcPr>
                <w:p w14:paraId="5DC80789">
                  <w:pPr>
                    <w:pStyle w:val="91"/>
                    <w:widowControl/>
                    <w:spacing w:line="300" w:lineRule="exact"/>
                    <w:rPr>
                      <w:color w:val="000000"/>
                      <w:bdr w:val="none" w:color="auto" w:sz="0" w:space="0"/>
                      <w:lang w:val="en-US"/>
                    </w:rPr>
                  </w:pPr>
                  <w:r>
                    <w:rPr>
                      <w:color w:val="000000"/>
                      <w:bdr w:val="none" w:color="auto" w:sz="0" w:space="0"/>
                      <w:lang w:val="en-US"/>
                    </w:rPr>
                    <w:t>55</w:t>
                  </w:r>
                </w:p>
              </w:tc>
            </w:tr>
          </w:tbl>
          <w:p w14:paraId="4216900E">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Times New Roman" w:cs="Times New Roman"/>
                <w:b/>
                <w:bCs w:val="0"/>
                <w:color w:val="000000"/>
                <w:kern w:val="0"/>
                <w:sz w:val="24"/>
                <w:szCs w:val="24"/>
                <w:bdr w:val="none" w:color="auto" w:sz="0" w:space="0"/>
                <w:lang w:val="en-US"/>
              </w:rPr>
            </w:pPr>
            <w:r>
              <w:rPr>
                <w:rFonts w:hint="default" w:ascii="Times New Roman" w:hAnsi="Times New Roman" w:eastAsia="宋体" w:cs="Times New Roman"/>
                <w:b/>
                <w:bCs w:val="0"/>
                <w:color w:val="000000"/>
                <w:kern w:val="0"/>
                <w:sz w:val="24"/>
                <w:szCs w:val="24"/>
                <w:bdr w:val="none" w:color="auto" w:sz="0" w:space="0"/>
                <w:lang w:val="en-US" w:eastAsia="zh-CN" w:bidi="ar"/>
              </w:rPr>
              <w:t>3.7.4</w:t>
            </w:r>
            <w:r>
              <w:rPr>
                <w:rFonts w:hint="eastAsia" w:ascii="Times New Roman" w:hAnsi="Times New Roman" w:eastAsia="宋体" w:cs="宋体"/>
                <w:b/>
                <w:bCs w:val="0"/>
                <w:color w:val="000000"/>
                <w:kern w:val="0"/>
                <w:sz w:val="24"/>
                <w:szCs w:val="24"/>
                <w:bdr w:val="none" w:color="auto" w:sz="0" w:space="0"/>
                <w:lang w:val="en-US" w:eastAsia="zh-CN" w:bidi="ar"/>
              </w:rPr>
              <w:t>固体废物</w:t>
            </w:r>
          </w:p>
          <w:p w14:paraId="3B6962E2">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一般固体废弃物的贮存参照《一般工业固体废物贮存和填埋污染控制标准》（</w:t>
            </w:r>
            <w:r>
              <w:rPr>
                <w:rFonts w:hint="default" w:ascii="Times New Roman" w:hAnsi="宋体" w:eastAsia="宋体" w:cs="Times New Roman"/>
                <w:color w:val="000000"/>
                <w:kern w:val="2"/>
                <w:sz w:val="24"/>
                <w:szCs w:val="24"/>
                <w:bdr w:val="none" w:color="auto" w:sz="0" w:space="0"/>
                <w:lang w:val="en-US" w:eastAsia="zh-CN" w:bidi="ar"/>
              </w:rPr>
              <w:t>GB18599-2020</w:t>
            </w:r>
            <w:r>
              <w:rPr>
                <w:rFonts w:hint="eastAsia" w:ascii="Times New Roman" w:hAnsi="宋体" w:eastAsia="宋体" w:cs="宋体"/>
                <w:color w:val="000000"/>
                <w:kern w:val="2"/>
                <w:sz w:val="24"/>
                <w:szCs w:val="24"/>
                <w:bdr w:val="none" w:color="auto" w:sz="0" w:space="0"/>
                <w:lang w:val="en-US" w:eastAsia="zh-CN" w:bidi="ar"/>
              </w:rPr>
              <w:t>）相关标准：“采用库房、包装工具贮存一般工业固体废物，贮存过程应满足相应防渗漏、防雨淋、防扬尘等环境保护要求”。</w:t>
            </w:r>
          </w:p>
          <w:p w14:paraId="0FF7A698">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危险废物贮存按照《危险废物贮存污染控制标准》（</w:t>
            </w:r>
            <w:r>
              <w:rPr>
                <w:rFonts w:hint="default" w:ascii="Times New Roman" w:hAnsi="宋体" w:eastAsia="宋体" w:cs="Times New Roman"/>
                <w:color w:val="000000"/>
                <w:kern w:val="2"/>
                <w:sz w:val="24"/>
                <w:szCs w:val="24"/>
                <w:bdr w:val="none" w:color="auto" w:sz="0" w:space="0"/>
                <w:lang w:val="en-US" w:eastAsia="zh-CN" w:bidi="ar"/>
              </w:rPr>
              <w:t>GB18597-2023</w:t>
            </w:r>
            <w:r>
              <w:rPr>
                <w:rFonts w:hint="eastAsia" w:ascii="Times New Roman" w:hAnsi="宋体" w:eastAsia="宋体" w:cs="宋体"/>
                <w:color w:val="000000"/>
                <w:kern w:val="2"/>
                <w:sz w:val="24"/>
                <w:szCs w:val="24"/>
                <w:bdr w:val="none" w:color="auto" w:sz="0" w:space="0"/>
                <w:lang w:val="en-US" w:eastAsia="zh-CN" w:bidi="ar"/>
              </w:rPr>
              <w:t>）相关要求执行。</w:t>
            </w:r>
          </w:p>
        </w:tc>
      </w:tr>
      <w:tr w14:paraId="6E777C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59" w:hRule="atLeast"/>
          <w:jc w:val="center"/>
        </w:trPr>
        <w:tc>
          <w:tcPr>
            <w:tcW w:w="800" w:type="dxa"/>
            <w:tcBorders>
              <w:top w:val="single" w:color="auto" w:sz="4" w:space="0"/>
              <w:left w:val="single" w:color="auto" w:sz="8" w:space="0"/>
              <w:bottom w:val="single" w:color="auto" w:sz="8" w:space="0"/>
              <w:right w:val="single" w:color="auto" w:sz="4" w:space="0"/>
            </w:tcBorders>
            <w:shd w:val="clear"/>
            <w:vAlign w:val="center"/>
          </w:tcPr>
          <w:p w14:paraId="51C865D5">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kern w:val="0"/>
                <w:sz w:val="24"/>
                <w:szCs w:val="24"/>
                <w:bdr w:val="none" w:color="auto" w:sz="0" w:space="0"/>
                <w:lang w:val="en-US"/>
              </w:rPr>
            </w:pPr>
            <w:r>
              <w:rPr>
                <w:rFonts w:hint="eastAsia" w:ascii="宋体" w:hAnsi="宋体" w:eastAsia="宋体" w:cs="宋体"/>
                <w:color w:val="000000"/>
                <w:kern w:val="0"/>
                <w:sz w:val="24"/>
                <w:szCs w:val="24"/>
                <w:bdr w:val="none" w:color="auto" w:sz="0" w:space="0"/>
                <w:lang w:val="en-US" w:eastAsia="zh-CN" w:bidi="ar"/>
              </w:rPr>
              <w:t>总量</w:t>
            </w:r>
          </w:p>
          <w:p w14:paraId="07126308">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kern w:val="0"/>
                <w:sz w:val="24"/>
                <w:szCs w:val="24"/>
                <w:bdr w:val="none" w:color="auto" w:sz="0" w:space="0"/>
                <w:lang w:val="en-US"/>
              </w:rPr>
            </w:pPr>
            <w:r>
              <w:rPr>
                <w:rFonts w:hint="eastAsia" w:ascii="宋体" w:hAnsi="宋体" w:eastAsia="宋体" w:cs="宋体"/>
                <w:color w:val="000000"/>
                <w:kern w:val="0"/>
                <w:sz w:val="24"/>
                <w:szCs w:val="24"/>
                <w:bdr w:val="none" w:color="auto" w:sz="0" w:space="0"/>
                <w:lang w:val="en-US" w:eastAsia="zh-CN" w:bidi="ar"/>
              </w:rPr>
              <w:t>控制</w:t>
            </w:r>
          </w:p>
          <w:p w14:paraId="7C9E0C34">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kern w:val="0"/>
                <w:szCs w:val="21"/>
                <w:bdr w:val="none" w:color="auto" w:sz="0" w:space="0"/>
                <w:lang w:val="en-US"/>
              </w:rPr>
            </w:pPr>
            <w:r>
              <w:rPr>
                <w:rFonts w:hint="eastAsia" w:ascii="宋体" w:hAnsi="宋体" w:eastAsia="宋体" w:cs="宋体"/>
                <w:color w:val="000000"/>
                <w:kern w:val="0"/>
                <w:sz w:val="24"/>
                <w:szCs w:val="24"/>
                <w:bdr w:val="none" w:color="auto" w:sz="0" w:space="0"/>
                <w:lang w:val="en-US" w:eastAsia="zh-CN" w:bidi="ar"/>
              </w:rPr>
              <w:t>指标</w:t>
            </w:r>
          </w:p>
        </w:tc>
        <w:tc>
          <w:tcPr>
            <w:tcW w:w="8190" w:type="dxa"/>
            <w:tcBorders>
              <w:top w:val="single" w:color="auto" w:sz="4" w:space="0"/>
              <w:left w:val="single" w:color="auto" w:sz="4" w:space="0"/>
              <w:bottom w:val="single" w:color="auto" w:sz="8" w:space="0"/>
              <w:right w:val="single" w:color="auto" w:sz="8" w:space="0"/>
            </w:tcBorders>
            <w:shd w:val="clear"/>
            <w:vAlign w:val="center"/>
          </w:tcPr>
          <w:p w14:paraId="69B973BB">
            <w:pPr>
              <w:keepNext w:val="0"/>
              <w:keepLines w:val="0"/>
              <w:widowControl w:val="0"/>
              <w:suppressLineNumbers w:val="0"/>
              <w:spacing w:before="0" w:beforeAutospacing="0" w:after="0" w:afterAutospacing="0" w:line="440" w:lineRule="exact"/>
              <w:ind w:left="0" w:right="0"/>
              <w:jc w:val="both"/>
              <w:outlineLvl w:val="1"/>
              <w:rPr>
                <w:rFonts w:hint="default" w:ascii="Times New Roman" w:hAnsi="Times New Roman" w:cs="Times New Roman"/>
                <w:b/>
                <w:bCs w:val="0"/>
                <w:color w:val="000000"/>
                <w:kern w:val="0"/>
                <w:sz w:val="24"/>
                <w:szCs w:val="24"/>
                <w:bdr w:val="none" w:color="auto" w:sz="0" w:space="0"/>
                <w:lang w:val="en-US"/>
              </w:rPr>
            </w:pPr>
            <w:r>
              <w:rPr>
                <w:rFonts w:hint="default" w:ascii="Times New Roman" w:hAnsi="Times New Roman" w:eastAsia="宋体" w:cs="Times New Roman"/>
                <w:b/>
                <w:bCs w:val="0"/>
                <w:color w:val="000000"/>
                <w:kern w:val="0"/>
                <w:sz w:val="24"/>
                <w:szCs w:val="24"/>
                <w:bdr w:val="none" w:color="auto" w:sz="0" w:space="0"/>
                <w:lang w:val="en-US" w:eastAsia="zh-CN" w:bidi="ar"/>
              </w:rPr>
              <w:t>3.8</w:t>
            </w:r>
            <w:r>
              <w:rPr>
                <w:rFonts w:hint="eastAsia" w:ascii="Times New Roman" w:hAnsi="Times New Roman" w:eastAsia="宋体" w:cs="宋体"/>
                <w:b/>
                <w:bCs w:val="0"/>
                <w:color w:val="000000"/>
                <w:kern w:val="0"/>
                <w:sz w:val="24"/>
                <w:szCs w:val="24"/>
                <w:bdr w:val="none" w:color="auto" w:sz="0" w:space="0"/>
                <w:lang w:val="en-US" w:eastAsia="zh-CN" w:bidi="ar"/>
              </w:rPr>
              <w:t>总量控制指标</w:t>
            </w:r>
          </w:p>
          <w:p w14:paraId="151A35F5">
            <w:pPr>
              <w:keepNext w:val="0"/>
              <w:keepLines w:val="0"/>
              <w:widowControl w:val="0"/>
              <w:suppressLineNumbers w:val="0"/>
              <w:spacing w:before="0" w:beforeAutospacing="0" w:after="0" w:afterAutospacing="0" w:line="440" w:lineRule="exact"/>
              <w:ind w:left="0" w:right="0" w:firstLine="482" w:firstLineChars="200"/>
              <w:jc w:val="left"/>
              <w:rPr>
                <w:rFonts w:hint="default" w:ascii="Times New Roman" w:hAnsi="Times New Roman" w:cs="Times New Roman"/>
                <w:b/>
                <w:bCs w:val="0"/>
                <w:color w:val="000000"/>
                <w:sz w:val="24"/>
                <w:szCs w:val="24"/>
                <w:bdr w:val="none" w:color="auto" w:sz="0" w:space="0"/>
                <w:lang w:val="en-US"/>
              </w:rPr>
            </w:pPr>
            <w:r>
              <w:rPr>
                <w:rFonts w:hint="default" w:ascii="Times New Roman" w:hAnsi="Times New Roman" w:eastAsia="宋体" w:cs="Times New Roman"/>
                <w:b/>
                <w:bCs w:val="0"/>
                <w:color w:val="000000"/>
                <w:kern w:val="2"/>
                <w:sz w:val="24"/>
                <w:szCs w:val="24"/>
                <w:bdr w:val="none" w:color="auto" w:sz="0" w:space="0"/>
                <w:lang w:val="en-US" w:eastAsia="zh-CN" w:bidi="ar"/>
              </w:rPr>
              <w:t>1</w:t>
            </w:r>
            <w:r>
              <w:rPr>
                <w:rFonts w:hint="eastAsia" w:ascii="Times New Roman" w:hAnsi="Times New Roman" w:eastAsia="宋体" w:cs="宋体"/>
                <w:b/>
                <w:bCs w:val="0"/>
                <w:color w:val="000000"/>
                <w:kern w:val="2"/>
                <w:sz w:val="24"/>
                <w:szCs w:val="24"/>
                <w:bdr w:val="none" w:color="auto" w:sz="0" w:space="0"/>
                <w:lang w:val="en-US" w:eastAsia="zh-CN" w:bidi="ar"/>
              </w:rPr>
              <w:t>、废水（排入外环境）</w:t>
            </w:r>
          </w:p>
          <w:p w14:paraId="74ACEA63">
            <w:pPr>
              <w:keepNext w:val="0"/>
              <w:keepLines w:val="0"/>
              <w:widowControl w:val="0"/>
              <w:suppressLineNumbers w:val="0"/>
              <w:spacing w:before="0" w:beforeAutospacing="0" w:after="0" w:afterAutospacing="0" w:line="460" w:lineRule="exact"/>
              <w:ind w:left="0" w:right="0" w:firstLine="480" w:firstLineChars="200"/>
              <w:jc w:val="left"/>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扩建后全厂废水排放量：</w:t>
            </w:r>
          </w:p>
          <w:p w14:paraId="48645C3C">
            <w:pPr>
              <w:keepNext w:val="0"/>
              <w:keepLines w:val="0"/>
              <w:widowControl w:val="0"/>
              <w:suppressLineNumbers w:val="0"/>
              <w:spacing w:before="0" w:beforeAutospacing="0" w:after="0" w:afterAutospacing="0" w:line="460" w:lineRule="exact"/>
              <w:ind w:left="0" w:right="0" w:firstLine="480" w:firstLineChars="200"/>
              <w:jc w:val="left"/>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COD</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0.053t/a</w:t>
            </w:r>
          </w:p>
          <w:p w14:paraId="457D5DD5">
            <w:pPr>
              <w:keepNext w:val="0"/>
              <w:keepLines w:val="0"/>
              <w:widowControl w:val="0"/>
              <w:suppressLineNumbers w:val="0"/>
              <w:spacing w:before="0" w:beforeAutospacing="0" w:after="0" w:afterAutospacing="0" w:line="460" w:lineRule="exact"/>
              <w:ind w:left="0" w:right="0" w:firstLine="480" w:firstLineChars="200"/>
              <w:jc w:val="left"/>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氨氮：</w:t>
            </w:r>
            <w:r>
              <w:rPr>
                <w:rFonts w:hint="default" w:ascii="Times New Roman" w:hAnsi="Times New Roman" w:eastAsia="宋体" w:cs="Times New Roman"/>
                <w:color w:val="000000"/>
                <w:kern w:val="2"/>
                <w:sz w:val="24"/>
                <w:szCs w:val="24"/>
                <w:bdr w:val="none" w:color="auto" w:sz="0" w:space="0"/>
                <w:lang w:val="en-US" w:eastAsia="zh-CN" w:bidi="ar"/>
              </w:rPr>
              <w:t>0.007t/a</w:t>
            </w:r>
          </w:p>
          <w:p w14:paraId="512F619B">
            <w:pPr>
              <w:keepNext w:val="0"/>
              <w:keepLines w:val="0"/>
              <w:widowControl w:val="0"/>
              <w:suppressLineNumbers w:val="0"/>
              <w:spacing w:before="0" w:beforeAutospacing="0" w:after="0" w:afterAutospacing="0" w:line="460" w:lineRule="exact"/>
              <w:ind w:left="0" w:right="0" w:firstLine="480" w:firstLineChars="200"/>
              <w:jc w:val="left"/>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BOD</w:t>
            </w:r>
            <w:r>
              <w:rPr>
                <w:rFonts w:hint="default" w:ascii="Times New Roman" w:hAnsi="Times New Roman" w:eastAsia="宋体" w:cs="Times New Roman"/>
                <w:color w:val="000000"/>
                <w:kern w:val="2"/>
                <w:sz w:val="24"/>
                <w:szCs w:val="24"/>
                <w:bdr w:val="none" w:color="auto" w:sz="0" w:space="0"/>
                <w:vertAlign w:val="subscript"/>
                <w:lang w:val="en-US" w:eastAsia="zh-CN" w:bidi="ar"/>
              </w:rPr>
              <w:t>5</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0.018t/a</w:t>
            </w:r>
          </w:p>
          <w:p w14:paraId="2AB73D67">
            <w:pPr>
              <w:keepNext w:val="0"/>
              <w:keepLines w:val="0"/>
              <w:widowControl w:val="0"/>
              <w:suppressLineNumbers w:val="0"/>
              <w:spacing w:before="0" w:beforeAutospacing="0" w:after="0" w:afterAutospacing="0" w:line="460" w:lineRule="exact"/>
              <w:ind w:left="0" w:right="0" w:firstLine="480" w:firstLineChars="200"/>
              <w:jc w:val="left"/>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SS</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0.018t/a</w:t>
            </w:r>
          </w:p>
          <w:p w14:paraId="54BC3C7F">
            <w:pPr>
              <w:keepNext w:val="0"/>
              <w:keepLines w:val="0"/>
              <w:widowControl w:val="0"/>
              <w:suppressLineNumbers w:val="0"/>
              <w:spacing w:before="0" w:beforeAutospacing="0" w:after="0" w:afterAutospacing="0" w:line="440" w:lineRule="exact"/>
              <w:ind w:left="0" w:right="0" w:firstLine="482" w:firstLineChars="200"/>
              <w:jc w:val="left"/>
              <w:rPr>
                <w:rFonts w:hint="default" w:ascii="Times New Roman" w:hAnsi="Times New Roman" w:cs="Times New Roman"/>
                <w:b/>
                <w:bCs w:val="0"/>
                <w:color w:val="000000"/>
                <w:sz w:val="24"/>
                <w:szCs w:val="24"/>
                <w:bdr w:val="none" w:color="auto" w:sz="0" w:space="0"/>
                <w:lang w:val="en-US"/>
              </w:rPr>
            </w:pPr>
            <w:r>
              <w:rPr>
                <w:rFonts w:hint="default" w:ascii="Times New Roman" w:hAnsi="Times New Roman" w:eastAsia="宋体" w:cs="Times New Roman"/>
                <w:b/>
                <w:bCs w:val="0"/>
                <w:color w:val="000000"/>
                <w:kern w:val="2"/>
                <w:sz w:val="24"/>
                <w:szCs w:val="24"/>
                <w:bdr w:val="none" w:color="auto" w:sz="0" w:space="0"/>
                <w:lang w:val="en-US" w:eastAsia="zh-CN" w:bidi="ar"/>
              </w:rPr>
              <w:t>2</w:t>
            </w:r>
            <w:r>
              <w:rPr>
                <w:rFonts w:hint="eastAsia" w:ascii="Times New Roman" w:hAnsi="Times New Roman" w:eastAsia="宋体" w:cs="宋体"/>
                <w:b/>
                <w:bCs w:val="0"/>
                <w:color w:val="000000"/>
                <w:kern w:val="2"/>
                <w:sz w:val="24"/>
                <w:szCs w:val="24"/>
                <w:bdr w:val="none" w:color="auto" w:sz="0" w:space="0"/>
                <w:lang w:val="en-US" w:eastAsia="zh-CN" w:bidi="ar"/>
              </w:rPr>
              <w:t>、废气（全厂总量）</w:t>
            </w:r>
          </w:p>
          <w:p w14:paraId="1A9725D7">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颗粒物：</w:t>
            </w:r>
            <w:r>
              <w:rPr>
                <w:rFonts w:hint="default" w:ascii="Times New Roman" w:hAnsi="Times New Roman" w:eastAsia="宋体" w:cs="Times New Roman"/>
                <w:color w:val="000000"/>
                <w:kern w:val="2"/>
                <w:sz w:val="24"/>
                <w:szCs w:val="24"/>
                <w:bdr w:val="none" w:color="auto" w:sz="0" w:space="0"/>
                <w:lang w:val="en-US" w:eastAsia="zh-CN" w:bidi="ar"/>
              </w:rPr>
              <w:t>0.048t/a</w:t>
            </w:r>
          </w:p>
          <w:p w14:paraId="3502EBE5">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非甲烷总烃：</w:t>
            </w:r>
            <w:r>
              <w:rPr>
                <w:rFonts w:hint="default" w:ascii="Times New Roman" w:hAnsi="Times New Roman" w:eastAsia="宋体" w:cs="Times New Roman"/>
                <w:color w:val="000000"/>
                <w:kern w:val="2"/>
                <w:sz w:val="24"/>
                <w:szCs w:val="24"/>
                <w:bdr w:val="none" w:color="auto" w:sz="0" w:space="0"/>
                <w:lang w:val="en-US" w:eastAsia="zh-CN" w:bidi="ar"/>
              </w:rPr>
              <w:t>0.107t/a</w:t>
            </w:r>
          </w:p>
          <w:p w14:paraId="42D44EE6">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MDI</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0.03t/a</w:t>
            </w:r>
          </w:p>
          <w:p w14:paraId="2C311316">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p>
          <w:p w14:paraId="40584161">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p>
          <w:p w14:paraId="4415FC62">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p>
          <w:p w14:paraId="277BDABB">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p>
          <w:p w14:paraId="7774A5D2">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p>
          <w:p w14:paraId="6A8D967F">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p>
          <w:p w14:paraId="2A154BA3">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p>
          <w:p w14:paraId="0AFB3F4E">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p>
          <w:p w14:paraId="591FCFC8">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p>
          <w:p w14:paraId="428D182C">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p>
          <w:p w14:paraId="37F37BB9">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p>
          <w:p w14:paraId="5130B66C">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p>
          <w:p w14:paraId="361F60CB">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p>
          <w:p w14:paraId="30633293">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p>
          <w:p w14:paraId="37D04D9F">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p>
          <w:p w14:paraId="4499AA24">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p>
        </w:tc>
      </w:tr>
    </w:tbl>
    <w:p w14:paraId="0B22CB01">
      <w:pPr>
        <w:pStyle w:val="14"/>
        <w:widowControl/>
        <w:jc w:val="center"/>
        <w:outlineLvl w:val="0"/>
        <w:rPr>
          <w:rFonts w:hint="eastAsia" w:ascii="黑体" w:hAnsi="宋体" w:eastAsia="黑体" w:cs="黑体"/>
          <w:snapToGrid w:val="0"/>
          <w:color w:val="000000"/>
          <w:sz w:val="30"/>
          <w:szCs w:val="30"/>
          <w:lang/>
        </w:rPr>
      </w:pPr>
      <w:r>
        <w:rPr>
          <w:rFonts w:hint="eastAsia" w:ascii="黑体" w:hAnsi="宋体" w:eastAsia="黑体" w:cs="Times New Roman"/>
          <w:snapToGrid w:val="0"/>
          <w:color w:val="000000"/>
          <w:sz w:val="36"/>
          <w:szCs w:val="36"/>
          <w:lang w:bidi="ar"/>
        </w:rPr>
        <w:br w:type="page"/>
      </w:r>
      <w:r>
        <w:rPr>
          <w:rFonts w:hint="eastAsia" w:ascii="黑体" w:hAnsi="宋体" w:eastAsia="黑体" w:cs="黑体"/>
          <w:snapToGrid w:val="0"/>
          <w:color w:val="000000"/>
          <w:sz w:val="30"/>
          <w:szCs w:val="30"/>
          <w:lang/>
        </w:rPr>
        <w:t>四、主要环境影响和保护措施</w:t>
      </w:r>
    </w:p>
    <w:tbl>
      <w:tblPr>
        <w:tblStyle w:val="18"/>
        <w:tblpPr w:leftFromText="180" w:rightFromText="180" w:vertAnchor="text" w:tblpXSpec="center" w:tblpY="1"/>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tblLayout w:type="fixed"/>
        <w:tblCellMar>
          <w:top w:w="0" w:type="dxa"/>
          <w:left w:w="108" w:type="dxa"/>
          <w:bottom w:w="0" w:type="dxa"/>
          <w:right w:w="108" w:type="dxa"/>
        </w:tblCellMar>
      </w:tblPr>
      <w:tblGrid>
        <w:gridCol w:w="746"/>
        <w:gridCol w:w="8162"/>
      </w:tblGrid>
      <w:tr w14:paraId="029C96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tblCellMar>
            <w:top w:w="0" w:type="dxa"/>
            <w:left w:w="108" w:type="dxa"/>
            <w:bottom w:w="0" w:type="dxa"/>
            <w:right w:w="108" w:type="dxa"/>
          </w:tblCellMar>
        </w:tblPrEx>
        <w:trPr>
          <w:trHeight w:val="1859" w:hRule="atLeast"/>
        </w:trPr>
        <w:tc>
          <w:tcPr>
            <w:tcW w:w="746" w:type="dxa"/>
            <w:tcBorders>
              <w:top w:val="single" w:color="auto" w:sz="8" w:space="0"/>
              <w:left w:val="single" w:color="auto" w:sz="8" w:space="0"/>
              <w:bottom w:val="single" w:color="auto" w:sz="4" w:space="0"/>
              <w:right w:val="single" w:color="auto" w:sz="4" w:space="0"/>
            </w:tcBorders>
            <w:shd w:val="clear"/>
            <w:tcMar>
              <w:left w:w="28" w:type="dxa"/>
              <w:right w:w="28" w:type="dxa"/>
            </w:tcMar>
            <w:vAlign w:val="center"/>
          </w:tcPr>
          <w:p w14:paraId="0FE9852B">
            <w:pPr>
              <w:pStyle w:val="14"/>
              <w:widowControl/>
              <w:adjustRightInd w:val="0"/>
              <w:snapToGrid w:val="0"/>
              <w:spacing w:before="0" w:beforeAutospacing="0" w:after="0" w:afterAutospacing="0"/>
              <w:ind w:left="0" w:right="0"/>
              <w:jc w:val="center"/>
              <w:rPr>
                <w:rFonts w:cs="宋体"/>
                <w:color w:val="000000"/>
                <w:kern w:val="2"/>
                <w:szCs w:val="24"/>
                <w:bdr w:val="none" w:color="auto" w:sz="0" w:space="0"/>
                <w:lang w:val="en-US" w:eastAsia="zh-CN"/>
              </w:rPr>
            </w:pPr>
            <w:r>
              <w:rPr>
                <w:rFonts w:cs="宋体"/>
                <w:color w:val="000000"/>
                <w:kern w:val="2"/>
                <w:szCs w:val="24"/>
                <w:bdr w:val="none" w:color="auto" w:sz="0" w:space="0"/>
                <w:lang w:val="en-US" w:eastAsia="zh-CN"/>
              </w:rPr>
              <w:t>施工</w:t>
            </w:r>
          </w:p>
          <w:p w14:paraId="28661EB6">
            <w:pPr>
              <w:pStyle w:val="14"/>
              <w:widowControl/>
              <w:adjustRightInd w:val="0"/>
              <w:snapToGrid w:val="0"/>
              <w:spacing w:before="0" w:beforeAutospacing="0" w:after="0" w:afterAutospacing="0"/>
              <w:ind w:left="0" w:right="0"/>
              <w:jc w:val="center"/>
              <w:rPr>
                <w:rFonts w:cs="宋体"/>
                <w:color w:val="000000"/>
                <w:kern w:val="2"/>
                <w:szCs w:val="24"/>
                <w:bdr w:val="none" w:color="auto" w:sz="0" w:space="0"/>
                <w:lang w:val="en-US" w:eastAsia="zh-CN"/>
              </w:rPr>
            </w:pPr>
            <w:r>
              <w:rPr>
                <w:rFonts w:cs="宋体"/>
                <w:color w:val="000000"/>
                <w:kern w:val="2"/>
                <w:szCs w:val="24"/>
                <w:bdr w:val="none" w:color="auto" w:sz="0" w:space="0"/>
                <w:lang w:val="en-US" w:eastAsia="zh-CN"/>
              </w:rPr>
              <w:t>期环</w:t>
            </w:r>
          </w:p>
          <w:p w14:paraId="4FD0093B">
            <w:pPr>
              <w:pStyle w:val="14"/>
              <w:widowControl/>
              <w:adjustRightInd w:val="0"/>
              <w:snapToGrid w:val="0"/>
              <w:spacing w:before="0" w:beforeAutospacing="0" w:after="0" w:afterAutospacing="0"/>
              <w:ind w:left="0" w:right="0"/>
              <w:jc w:val="center"/>
              <w:rPr>
                <w:rFonts w:cs="宋体"/>
                <w:color w:val="000000"/>
                <w:kern w:val="2"/>
                <w:szCs w:val="24"/>
                <w:bdr w:val="none" w:color="auto" w:sz="0" w:space="0"/>
                <w:lang w:val="en-US" w:eastAsia="zh-CN"/>
              </w:rPr>
            </w:pPr>
            <w:r>
              <w:rPr>
                <w:rFonts w:cs="宋体"/>
                <w:color w:val="000000"/>
                <w:kern w:val="2"/>
                <w:szCs w:val="24"/>
                <w:bdr w:val="none" w:color="auto" w:sz="0" w:space="0"/>
                <w:lang w:val="en-US" w:eastAsia="zh-CN"/>
              </w:rPr>
              <w:t>境保</w:t>
            </w:r>
          </w:p>
          <w:p w14:paraId="5E3969FB">
            <w:pPr>
              <w:pStyle w:val="14"/>
              <w:widowControl/>
              <w:adjustRightInd w:val="0"/>
              <w:snapToGrid w:val="0"/>
              <w:spacing w:before="0" w:beforeAutospacing="0" w:after="0" w:afterAutospacing="0"/>
              <w:ind w:left="0" w:right="0"/>
              <w:jc w:val="center"/>
              <w:rPr>
                <w:rFonts w:cs="宋体"/>
                <w:color w:val="000000"/>
                <w:kern w:val="2"/>
                <w:szCs w:val="24"/>
                <w:bdr w:val="none" w:color="auto" w:sz="0" w:space="0"/>
                <w:lang w:val="en-US" w:eastAsia="zh-CN"/>
              </w:rPr>
            </w:pPr>
            <w:r>
              <w:rPr>
                <w:rFonts w:cs="宋体"/>
                <w:color w:val="000000"/>
                <w:kern w:val="2"/>
                <w:szCs w:val="24"/>
                <w:bdr w:val="none" w:color="auto" w:sz="0" w:space="0"/>
                <w:lang w:val="en-US" w:eastAsia="zh-CN"/>
              </w:rPr>
              <w:t>护措</w:t>
            </w:r>
          </w:p>
          <w:p w14:paraId="46F9731C">
            <w:pPr>
              <w:pStyle w:val="14"/>
              <w:widowControl/>
              <w:adjustRightInd w:val="0"/>
              <w:snapToGrid w:val="0"/>
              <w:spacing w:before="0" w:beforeAutospacing="0" w:after="0" w:afterAutospacing="0"/>
              <w:ind w:left="0" w:right="0"/>
              <w:jc w:val="center"/>
              <w:rPr>
                <w:rFonts w:cs="宋体"/>
                <w:bCs/>
                <w:color w:val="000000"/>
                <w:kern w:val="2"/>
                <w:szCs w:val="24"/>
                <w:bdr w:val="none" w:color="auto" w:sz="0" w:space="0"/>
                <w:lang w:val="en-US" w:eastAsia="zh-CN"/>
              </w:rPr>
            </w:pPr>
            <w:r>
              <w:rPr>
                <w:rFonts w:cs="宋体"/>
                <w:color w:val="000000"/>
                <w:kern w:val="2"/>
                <w:szCs w:val="24"/>
                <w:bdr w:val="none" w:color="auto" w:sz="0" w:space="0"/>
                <w:lang w:val="en-US" w:eastAsia="zh-CN"/>
              </w:rPr>
              <w:t>施</w:t>
            </w:r>
          </w:p>
        </w:tc>
        <w:tc>
          <w:tcPr>
            <w:tcW w:w="8162" w:type="dxa"/>
            <w:tcBorders>
              <w:top w:val="single" w:color="auto" w:sz="8" w:space="0"/>
              <w:left w:val="single" w:color="auto" w:sz="4" w:space="0"/>
              <w:bottom w:val="single" w:color="auto" w:sz="4" w:space="0"/>
              <w:right w:val="single" w:color="auto" w:sz="8" w:space="0"/>
            </w:tcBorders>
            <w:shd w:val="clear"/>
            <w:vAlign w:val="top"/>
          </w:tcPr>
          <w:p w14:paraId="1AC39D0E">
            <w:pPr>
              <w:keepNext w:val="0"/>
              <w:keepLines w:val="0"/>
              <w:widowControl w:val="0"/>
              <w:suppressLineNumbers w:val="0"/>
              <w:adjustRightInd w:val="0"/>
              <w:snapToGrid w:val="0"/>
              <w:spacing w:before="0" w:beforeAutospacing="0" w:after="0" w:afterAutospacing="0" w:line="440" w:lineRule="exact"/>
              <w:ind w:left="0" w:right="0"/>
              <w:jc w:val="left"/>
              <w:outlineLvl w:val="1"/>
              <w:rPr>
                <w:rFonts w:hint="default" w:ascii="Times New Roman" w:hAnsi="Times New Roman" w:cs="Times New Roman"/>
                <w:b/>
                <w:bCs/>
                <w:color w:val="000000"/>
                <w:spacing w:val="-10"/>
                <w:sz w:val="24"/>
                <w:szCs w:val="24"/>
                <w:bdr w:val="none" w:color="auto" w:sz="0" w:space="0"/>
                <w:lang w:val="en-US"/>
              </w:rPr>
            </w:pPr>
            <w:r>
              <w:rPr>
                <w:rFonts w:hint="default" w:ascii="Times New Roman" w:hAnsi="Times New Roman" w:eastAsia="宋体" w:cs="Times New Roman"/>
                <w:b/>
                <w:bCs/>
                <w:color w:val="000000"/>
                <w:spacing w:val="-10"/>
                <w:kern w:val="2"/>
                <w:sz w:val="24"/>
                <w:szCs w:val="24"/>
                <w:bdr w:val="none" w:color="auto" w:sz="0" w:space="0"/>
                <w:lang w:val="en-US" w:eastAsia="zh-CN" w:bidi="ar"/>
              </w:rPr>
              <w:t>4.1</w:t>
            </w:r>
            <w:r>
              <w:rPr>
                <w:rFonts w:hint="eastAsia" w:ascii="Times New Roman" w:hAnsi="Times New Roman" w:eastAsia="宋体" w:cs="宋体"/>
                <w:b/>
                <w:bCs/>
                <w:color w:val="000000"/>
                <w:spacing w:val="-10"/>
                <w:kern w:val="2"/>
                <w:sz w:val="24"/>
                <w:szCs w:val="24"/>
                <w:bdr w:val="none" w:color="auto" w:sz="0" w:space="0"/>
                <w:lang w:val="en-US" w:eastAsia="zh-CN" w:bidi="ar"/>
              </w:rPr>
              <w:t>施工期环境保护措施</w:t>
            </w:r>
          </w:p>
          <w:p w14:paraId="6F3EC0E0">
            <w:pPr>
              <w:keepNext w:val="0"/>
              <w:keepLines w:val="0"/>
              <w:widowControl w:val="0"/>
              <w:suppressLineNumbers w:val="0"/>
              <w:autoSpaceDE w:val="0"/>
              <w:autoSpaceDN w:val="0"/>
              <w:adjustRightInd w:val="0"/>
              <w:spacing w:before="0" w:beforeAutospacing="0" w:after="0" w:afterAutospacing="0" w:line="440" w:lineRule="exact"/>
              <w:ind w:left="0" w:right="0" w:firstLine="470" w:firstLineChars="196"/>
              <w:jc w:val="both"/>
              <w:rPr>
                <w:rFonts w:hint="default" w:ascii="Times New Roman" w:hAnsi="Times New Roman" w:cs="Times New Roman"/>
                <w:color w:val="000000"/>
                <w:kern w:val="0"/>
                <w:sz w:val="24"/>
                <w:szCs w:val="24"/>
                <w:bdr w:val="none" w:color="auto" w:sz="0" w:space="0"/>
                <w:lang w:val="en-US"/>
              </w:rPr>
            </w:pPr>
            <w:r>
              <w:rPr>
                <w:rFonts w:hint="eastAsia" w:ascii="Times New Roman" w:hAnsi="Times New Roman" w:eastAsia="宋体" w:cs="宋体"/>
                <w:color w:val="000000"/>
                <w:kern w:val="0"/>
                <w:sz w:val="24"/>
                <w:szCs w:val="24"/>
                <w:bdr w:val="none" w:color="auto" w:sz="0" w:space="0"/>
                <w:lang w:val="en-US" w:eastAsia="zh-CN" w:bidi="ar"/>
              </w:rPr>
              <w:t>扩建项目</w:t>
            </w:r>
            <w:r>
              <w:rPr>
                <w:rFonts w:hint="eastAsia" w:ascii="Times New Roman" w:hAnsi="Calibri" w:eastAsia="宋体" w:cs="宋体"/>
                <w:bCs/>
                <w:color w:val="000000"/>
                <w:kern w:val="2"/>
                <w:sz w:val="24"/>
                <w:szCs w:val="24"/>
                <w:bdr w:val="none" w:color="auto" w:sz="0" w:space="0"/>
                <w:lang w:val="en-US" w:eastAsia="zh-CN" w:bidi="ar"/>
              </w:rPr>
              <w:t>利用已建厂房</w:t>
            </w:r>
            <w:r>
              <w:rPr>
                <w:rFonts w:hint="eastAsia" w:ascii="Times New Roman" w:hAnsi="Times New Roman" w:eastAsia="宋体" w:cs="宋体"/>
                <w:color w:val="000000"/>
                <w:kern w:val="0"/>
                <w:sz w:val="24"/>
                <w:szCs w:val="24"/>
                <w:bdr w:val="none" w:color="auto" w:sz="0" w:space="0"/>
                <w:lang w:val="en-US" w:eastAsia="zh-CN" w:bidi="ar"/>
              </w:rPr>
              <w:t>进行建设，不涉及厂房新建及土石方挖动等。</w:t>
            </w:r>
          </w:p>
          <w:p w14:paraId="40AA8D6F">
            <w:pPr>
              <w:keepNext w:val="0"/>
              <w:keepLines w:val="0"/>
              <w:widowControl w:val="0"/>
              <w:suppressLineNumbers w:val="0"/>
              <w:autoSpaceDE w:val="0"/>
              <w:autoSpaceDN w:val="0"/>
              <w:adjustRightInd w:val="0"/>
              <w:spacing w:before="0" w:beforeAutospacing="0" w:after="0" w:afterAutospacing="0" w:line="440" w:lineRule="exact"/>
              <w:ind w:left="0" w:right="0" w:firstLine="470" w:firstLineChars="196"/>
              <w:jc w:val="both"/>
              <w:rPr>
                <w:rFonts w:hint="default" w:ascii="Times New Roman" w:hAnsi="Calibri" w:cs="Times New Roman"/>
                <w:bCs/>
                <w:color w:val="000000"/>
                <w:sz w:val="24"/>
                <w:szCs w:val="24"/>
                <w:bdr w:val="none" w:color="auto" w:sz="0" w:space="0"/>
                <w:lang w:val="en-US"/>
              </w:rPr>
            </w:pPr>
            <w:r>
              <w:rPr>
                <w:rFonts w:hint="eastAsia" w:ascii="Times New Roman" w:hAnsi="Times New Roman" w:eastAsia="宋体" w:cs="宋体"/>
                <w:color w:val="000000"/>
                <w:kern w:val="0"/>
                <w:sz w:val="24"/>
                <w:szCs w:val="24"/>
                <w:bdr w:val="none" w:color="auto" w:sz="0" w:space="0"/>
                <w:lang w:val="en-US" w:eastAsia="zh-CN" w:bidi="ar"/>
              </w:rPr>
              <w:t>施工期间主要为设备安装，</w:t>
            </w:r>
            <w:r>
              <w:rPr>
                <w:rFonts w:hint="eastAsia" w:ascii="Times New Roman" w:hAnsi="Calibri" w:eastAsia="宋体" w:cs="宋体"/>
                <w:bCs/>
                <w:color w:val="000000"/>
                <w:kern w:val="2"/>
                <w:sz w:val="24"/>
                <w:szCs w:val="24"/>
                <w:bdr w:val="none" w:color="auto" w:sz="0" w:space="0"/>
                <w:lang w:val="en-US" w:eastAsia="zh-CN" w:bidi="ar"/>
              </w:rPr>
              <w:t>对环境影响较小，一旦施工活动结束，施工期污染排放也就随之结束。</w:t>
            </w:r>
          </w:p>
          <w:p w14:paraId="33CBBDBF">
            <w:pPr>
              <w:keepNext w:val="0"/>
              <w:keepLines w:val="0"/>
              <w:widowControl w:val="0"/>
              <w:suppressLineNumbers w:val="0"/>
              <w:adjustRightInd w:val="0"/>
              <w:snapToGrid w:val="0"/>
              <w:spacing w:before="0" w:beforeAutospacing="0" w:after="0" w:afterAutospacing="0" w:line="440" w:lineRule="exact"/>
              <w:ind w:left="0" w:right="0"/>
              <w:jc w:val="left"/>
              <w:outlineLvl w:val="2"/>
              <w:rPr>
                <w:rFonts w:hint="default" w:ascii="Times New Roman" w:hAnsi="Times New Roman" w:cs="Times New Roman"/>
                <w:b/>
                <w:bCs/>
                <w:color w:val="000000"/>
                <w:spacing w:val="-10"/>
                <w:sz w:val="24"/>
                <w:szCs w:val="24"/>
                <w:bdr w:val="none" w:color="auto" w:sz="0" w:space="0"/>
                <w:lang w:val="en-US"/>
              </w:rPr>
            </w:pPr>
            <w:r>
              <w:rPr>
                <w:rFonts w:hint="default" w:ascii="Times New Roman" w:hAnsi="Times New Roman" w:eastAsia="宋体" w:cs="Times New Roman"/>
                <w:b/>
                <w:bCs/>
                <w:color w:val="000000"/>
                <w:spacing w:val="-10"/>
                <w:kern w:val="2"/>
                <w:sz w:val="24"/>
                <w:szCs w:val="24"/>
                <w:bdr w:val="none" w:color="auto" w:sz="0" w:space="0"/>
                <w:lang w:val="en-US" w:eastAsia="zh-CN" w:bidi="ar"/>
              </w:rPr>
              <w:t>4.1.1</w:t>
            </w:r>
            <w:r>
              <w:rPr>
                <w:rFonts w:hint="eastAsia" w:ascii="Times New Roman" w:hAnsi="Times New Roman" w:eastAsia="宋体" w:cs="宋体"/>
                <w:b/>
                <w:bCs/>
                <w:color w:val="000000"/>
                <w:spacing w:val="-10"/>
                <w:kern w:val="2"/>
                <w:sz w:val="24"/>
                <w:szCs w:val="24"/>
                <w:bdr w:val="none" w:color="auto" w:sz="0" w:space="0"/>
                <w:lang w:val="en-US" w:eastAsia="zh-CN" w:bidi="ar"/>
              </w:rPr>
              <w:t>声环境</w:t>
            </w:r>
          </w:p>
          <w:p w14:paraId="779CCAE2">
            <w:pPr>
              <w:keepNext w:val="0"/>
              <w:keepLines w:val="0"/>
              <w:widowControl w:val="0"/>
              <w:suppressLineNumbers w:val="0"/>
              <w:autoSpaceDE w:val="0"/>
              <w:autoSpaceDN w:val="0"/>
              <w:adjustRightInd w:val="0"/>
              <w:spacing w:before="0" w:beforeAutospacing="0" w:after="0" w:afterAutospacing="0" w:line="440" w:lineRule="exact"/>
              <w:ind w:left="0" w:right="0" w:firstLine="470" w:firstLineChars="196"/>
              <w:jc w:val="both"/>
              <w:rPr>
                <w:rFonts w:hint="default" w:ascii="Times New Roman" w:hAnsi="Times New Roman" w:cs="Times New Roman"/>
                <w:color w:val="000000"/>
                <w:kern w:val="0"/>
                <w:sz w:val="24"/>
                <w:szCs w:val="24"/>
                <w:bdr w:val="none" w:color="auto" w:sz="0" w:space="0"/>
                <w:lang w:val="en-US"/>
              </w:rPr>
            </w:pPr>
            <w:r>
              <w:rPr>
                <w:rFonts w:hint="eastAsia" w:ascii="Times New Roman" w:hAnsi="Times New Roman" w:eastAsia="宋体" w:cs="宋体"/>
                <w:color w:val="000000"/>
                <w:kern w:val="0"/>
                <w:sz w:val="24"/>
                <w:szCs w:val="24"/>
                <w:bdr w:val="none" w:color="auto" w:sz="0" w:space="0"/>
                <w:lang w:val="en-US" w:eastAsia="zh-CN" w:bidi="ar"/>
              </w:rPr>
              <w:t>施工期间的噪声主要是运输车辆的噪声、设备安装等产生的噪声，噪声值在</w:t>
            </w:r>
            <w:r>
              <w:rPr>
                <w:rFonts w:hint="default" w:ascii="Times New Roman" w:hAnsi="Times New Roman" w:eastAsia="宋体" w:cs="Times New Roman"/>
                <w:color w:val="000000"/>
                <w:kern w:val="0"/>
                <w:sz w:val="24"/>
                <w:szCs w:val="24"/>
                <w:bdr w:val="none" w:color="auto" w:sz="0" w:space="0"/>
                <w:lang w:val="en-US" w:eastAsia="zh-CN" w:bidi="ar"/>
              </w:rPr>
              <w:t>70~85dB</w:t>
            </w:r>
            <w:r>
              <w:rPr>
                <w:rFonts w:hint="eastAsia" w:ascii="Times New Roman" w:hAnsi="Times New Roman" w:eastAsia="宋体" w:cs="宋体"/>
                <w:color w:val="000000"/>
                <w:kern w:val="0"/>
                <w:sz w:val="24"/>
                <w:szCs w:val="24"/>
                <w:bdr w:val="none" w:color="auto" w:sz="0" w:space="0"/>
                <w:lang w:val="en-US" w:eastAsia="zh-CN" w:bidi="ar"/>
              </w:rPr>
              <w:t>（</w:t>
            </w:r>
            <w:r>
              <w:rPr>
                <w:rFonts w:hint="default" w:ascii="Times New Roman" w:hAnsi="Times New Roman" w:eastAsia="宋体" w:cs="Times New Roman"/>
                <w:color w:val="000000"/>
                <w:kern w:val="0"/>
                <w:sz w:val="24"/>
                <w:szCs w:val="24"/>
                <w:bdr w:val="none" w:color="auto" w:sz="0" w:space="0"/>
                <w:lang w:val="en-US" w:eastAsia="zh-CN" w:bidi="ar"/>
              </w:rPr>
              <w:t>A</w:t>
            </w:r>
            <w:r>
              <w:rPr>
                <w:rFonts w:hint="eastAsia" w:ascii="Times New Roman" w:hAnsi="Times New Roman" w:eastAsia="宋体" w:cs="宋体"/>
                <w:color w:val="000000"/>
                <w:kern w:val="0"/>
                <w:sz w:val="24"/>
                <w:szCs w:val="24"/>
                <w:bdr w:val="none" w:color="auto" w:sz="0" w:space="0"/>
                <w:lang w:val="en-US" w:eastAsia="zh-CN" w:bidi="ar"/>
              </w:rPr>
              <w:t>）之间。由于施工主要集中在车间内部，只对内部进行设备安装及调试，噪声产生时间短，施工噪声对周边环境影响很小，不会发生施工扰民现象。</w:t>
            </w:r>
          </w:p>
          <w:p w14:paraId="47248463">
            <w:pPr>
              <w:keepNext w:val="0"/>
              <w:keepLines w:val="0"/>
              <w:widowControl w:val="0"/>
              <w:suppressLineNumbers w:val="0"/>
              <w:adjustRightInd w:val="0"/>
              <w:snapToGrid w:val="0"/>
              <w:spacing w:before="0" w:beforeAutospacing="0" w:after="0" w:afterAutospacing="0" w:line="440" w:lineRule="exact"/>
              <w:ind w:left="0" w:right="0"/>
              <w:jc w:val="left"/>
              <w:outlineLvl w:val="2"/>
              <w:rPr>
                <w:rFonts w:hint="default" w:ascii="Times New Roman" w:hAnsi="Times New Roman" w:cs="Times New Roman"/>
                <w:b/>
                <w:bCs/>
                <w:color w:val="000000"/>
                <w:spacing w:val="-10"/>
                <w:sz w:val="24"/>
                <w:szCs w:val="24"/>
                <w:bdr w:val="none" w:color="auto" w:sz="0" w:space="0"/>
                <w:lang w:val="en-US"/>
              </w:rPr>
            </w:pPr>
            <w:r>
              <w:rPr>
                <w:rFonts w:hint="default" w:ascii="Times New Roman" w:hAnsi="Times New Roman" w:eastAsia="宋体" w:cs="Times New Roman"/>
                <w:b/>
                <w:bCs/>
                <w:color w:val="000000"/>
                <w:spacing w:val="-10"/>
                <w:kern w:val="2"/>
                <w:sz w:val="24"/>
                <w:szCs w:val="24"/>
                <w:bdr w:val="none" w:color="auto" w:sz="0" w:space="0"/>
                <w:lang w:val="en-US" w:eastAsia="zh-CN" w:bidi="ar"/>
              </w:rPr>
              <w:t>4.1.2</w:t>
            </w:r>
            <w:r>
              <w:rPr>
                <w:rFonts w:hint="eastAsia" w:ascii="Times New Roman" w:hAnsi="Times New Roman" w:eastAsia="宋体" w:cs="宋体"/>
                <w:b/>
                <w:bCs/>
                <w:color w:val="000000"/>
                <w:spacing w:val="-10"/>
                <w:kern w:val="2"/>
                <w:sz w:val="24"/>
                <w:szCs w:val="24"/>
                <w:bdr w:val="none" w:color="auto" w:sz="0" w:space="0"/>
                <w:lang w:val="en-US" w:eastAsia="zh-CN" w:bidi="ar"/>
              </w:rPr>
              <w:t>固体废物</w:t>
            </w:r>
          </w:p>
          <w:p w14:paraId="33764AEC">
            <w:pPr>
              <w:keepNext w:val="0"/>
              <w:keepLines w:val="0"/>
              <w:widowControl w:val="0"/>
              <w:suppressLineNumbers w:val="0"/>
              <w:autoSpaceDE w:val="0"/>
              <w:autoSpaceDN w:val="0"/>
              <w:adjustRightInd w:val="0"/>
              <w:spacing w:before="0" w:beforeAutospacing="0" w:after="0" w:afterAutospacing="0" w:line="440" w:lineRule="exact"/>
              <w:ind w:left="0" w:right="0" w:firstLine="470" w:firstLineChars="196"/>
              <w:jc w:val="both"/>
              <w:rPr>
                <w:rFonts w:hint="default" w:ascii="Times New Roman" w:hAnsi="Times New Roman" w:cs="Times New Roman"/>
                <w:color w:val="000000"/>
                <w:kern w:val="0"/>
                <w:sz w:val="24"/>
                <w:szCs w:val="24"/>
                <w:bdr w:val="none" w:color="auto" w:sz="0" w:space="0"/>
                <w:lang w:val="en-US"/>
              </w:rPr>
            </w:pPr>
            <w:r>
              <w:rPr>
                <w:rFonts w:hint="eastAsia" w:ascii="Times New Roman" w:hAnsi="Times New Roman" w:eastAsia="宋体" w:cs="宋体"/>
                <w:color w:val="000000"/>
                <w:kern w:val="0"/>
                <w:sz w:val="24"/>
                <w:szCs w:val="24"/>
                <w:bdr w:val="none" w:color="auto" w:sz="0" w:space="0"/>
                <w:lang w:val="en-US" w:eastAsia="zh-CN" w:bidi="ar"/>
              </w:rPr>
              <w:t>施工期间产生的固体废物主要是设备的包装废料。包装废料交由物资回收部门回收利用。</w:t>
            </w:r>
          </w:p>
        </w:tc>
      </w:tr>
      <w:tr w14:paraId="215A09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tblCellMar>
            <w:top w:w="0" w:type="dxa"/>
            <w:left w:w="108" w:type="dxa"/>
            <w:bottom w:w="0" w:type="dxa"/>
            <w:right w:w="108" w:type="dxa"/>
          </w:tblCellMar>
        </w:tblPrEx>
        <w:trPr>
          <w:trHeight w:val="70" w:hRule="atLeast"/>
        </w:trPr>
        <w:tc>
          <w:tcPr>
            <w:tcW w:w="746" w:type="dxa"/>
            <w:tcBorders>
              <w:top w:val="single" w:color="auto" w:sz="4" w:space="0"/>
              <w:left w:val="single" w:color="auto" w:sz="8" w:space="0"/>
              <w:bottom w:val="single" w:color="auto" w:sz="8" w:space="0"/>
              <w:right w:val="single" w:color="auto" w:sz="4" w:space="0"/>
            </w:tcBorders>
            <w:shd w:val="clear"/>
            <w:tcMar>
              <w:left w:w="28" w:type="dxa"/>
              <w:right w:w="28" w:type="dxa"/>
            </w:tcMar>
            <w:vAlign w:val="center"/>
          </w:tcPr>
          <w:p w14:paraId="65DD49E4">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Cs/>
                <w:color w:val="000000"/>
                <w:sz w:val="24"/>
                <w:szCs w:val="24"/>
                <w:bdr w:val="none" w:color="auto" w:sz="0" w:space="0"/>
                <w:lang w:val="en-US"/>
              </w:rPr>
            </w:pPr>
            <w:r>
              <w:rPr>
                <w:rFonts w:hint="eastAsia" w:ascii="宋体" w:hAnsi="宋体" w:eastAsia="宋体" w:cs="宋体"/>
                <w:bCs/>
                <w:color w:val="000000"/>
                <w:kern w:val="2"/>
                <w:sz w:val="24"/>
                <w:szCs w:val="24"/>
                <w:bdr w:val="none" w:color="auto" w:sz="0" w:space="0"/>
                <w:lang w:val="en-US" w:eastAsia="zh-CN" w:bidi="ar"/>
              </w:rPr>
              <w:t>运营</w:t>
            </w:r>
          </w:p>
          <w:p w14:paraId="7D159DE2">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Cs/>
                <w:color w:val="000000"/>
                <w:sz w:val="24"/>
                <w:szCs w:val="24"/>
                <w:bdr w:val="none" w:color="auto" w:sz="0" w:space="0"/>
                <w:lang w:val="en-US"/>
              </w:rPr>
            </w:pPr>
            <w:r>
              <w:rPr>
                <w:rFonts w:hint="eastAsia" w:ascii="宋体" w:hAnsi="宋体" w:eastAsia="宋体" w:cs="宋体"/>
                <w:bCs/>
                <w:color w:val="000000"/>
                <w:kern w:val="2"/>
                <w:sz w:val="24"/>
                <w:szCs w:val="24"/>
                <w:bdr w:val="none" w:color="auto" w:sz="0" w:space="0"/>
                <w:lang w:val="en-US" w:eastAsia="zh-CN" w:bidi="ar"/>
              </w:rPr>
              <w:t>期环</w:t>
            </w:r>
          </w:p>
          <w:p w14:paraId="12F88286">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Cs/>
                <w:color w:val="000000"/>
                <w:sz w:val="24"/>
                <w:szCs w:val="24"/>
                <w:bdr w:val="none" w:color="auto" w:sz="0" w:space="0"/>
                <w:lang w:val="en-US"/>
              </w:rPr>
            </w:pPr>
            <w:r>
              <w:rPr>
                <w:rFonts w:hint="eastAsia" w:ascii="宋体" w:hAnsi="宋体" w:eastAsia="宋体" w:cs="宋体"/>
                <w:bCs/>
                <w:color w:val="000000"/>
                <w:kern w:val="2"/>
                <w:sz w:val="24"/>
                <w:szCs w:val="24"/>
                <w:bdr w:val="none" w:color="auto" w:sz="0" w:space="0"/>
                <w:lang w:val="en-US" w:eastAsia="zh-CN" w:bidi="ar"/>
              </w:rPr>
              <w:t>境影</w:t>
            </w:r>
          </w:p>
          <w:p w14:paraId="6BA7BA4C">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Cs/>
                <w:color w:val="000000"/>
                <w:sz w:val="24"/>
                <w:szCs w:val="24"/>
                <w:bdr w:val="none" w:color="auto" w:sz="0" w:space="0"/>
                <w:lang w:val="en-US"/>
              </w:rPr>
            </w:pPr>
            <w:r>
              <w:rPr>
                <w:rFonts w:hint="eastAsia" w:ascii="宋体" w:hAnsi="宋体" w:eastAsia="宋体" w:cs="宋体"/>
                <w:bCs/>
                <w:color w:val="000000"/>
                <w:kern w:val="2"/>
                <w:sz w:val="24"/>
                <w:szCs w:val="24"/>
                <w:bdr w:val="none" w:color="auto" w:sz="0" w:space="0"/>
                <w:lang w:val="en-US" w:eastAsia="zh-CN" w:bidi="ar"/>
              </w:rPr>
              <w:t>响和</w:t>
            </w:r>
          </w:p>
          <w:p w14:paraId="79241944">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Cs/>
                <w:color w:val="000000"/>
                <w:sz w:val="24"/>
                <w:szCs w:val="24"/>
                <w:bdr w:val="none" w:color="auto" w:sz="0" w:space="0"/>
                <w:lang w:val="en-US"/>
              </w:rPr>
            </w:pPr>
            <w:r>
              <w:rPr>
                <w:rFonts w:hint="eastAsia" w:ascii="宋体" w:hAnsi="宋体" w:eastAsia="宋体" w:cs="宋体"/>
                <w:bCs/>
                <w:color w:val="000000"/>
                <w:kern w:val="2"/>
                <w:sz w:val="24"/>
                <w:szCs w:val="24"/>
                <w:bdr w:val="none" w:color="auto" w:sz="0" w:space="0"/>
                <w:lang w:val="en-US" w:eastAsia="zh-CN" w:bidi="ar"/>
              </w:rPr>
              <w:t>保护</w:t>
            </w:r>
          </w:p>
          <w:p w14:paraId="1775AA82">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Cs/>
                <w:color w:val="000000"/>
                <w:szCs w:val="21"/>
                <w:bdr w:val="none" w:color="auto" w:sz="0" w:space="0"/>
                <w:lang w:val="en-US"/>
              </w:rPr>
            </w:pPr>
            <w:r>
              <w:rPr>
                <w:rFonts w:hint="eastAsia" w:ascii="宋体" w:hAnsi="宋体" w:eastAsia="宋体" w:cs="宋体"/>
                <w:bCs/>
                <w:color w:val="000000"/>
                <w:kern w:val="2"/>
                <w:sz w:val="24"/>
                <w:szCs w:val="24"/>
                <w:bdr w:val="none" w:color="auto" w:sz="0" w:space="0"/>
                <w:lang w:val="en-US" w:eastAsia="zh-CN" w:bidi="ar"/>
              </w:rPr>
              <w:t>措施</w:t>
            </w:r>
          </w:p>
        </w:tc>
        <w:tc>
          <w:tcPr>
            <w:tcW w:w="8162" w:type="dxa"/>
            <w:tcBorders>
              <w:top w:val="single" w:color="auto" w:sz="4" w:space="0"/>
              <w:left w:val="single" w:color="auto" w:sz="4" w:space="0"/>
              <w:bottom w:val="single" w:color="auto" w:sz="8" w:space="0"/>
              <w:right w:val="single" w:color="auto" w:sz="8" w:space="0"/>
            </w:tcBorders>
            <w:shd w:val="clear"/>
            <w:vAlign w:val="top"/>
          </w:tcPr>
          <w:p w14:paraId="4671CA32">
            <w:pPr>
              <w:keepNext w:val="0"/>
              <w:keepLines w:val="0"/>
              <w:widowControl w:val="0"/>
              <w:suppressLineNumbers w:val="0"/>
              <w:adjustRightInd w:val="0"/>
              <w:snapToGrid w:val="0"/>
              <w:spacing w:before="0" w:beforeAutospacing="0" w:after="0" w:afterAutospacing="0" w:line="440" w:lineRule="exact"/>
              <w:ind w:left="0" w:right="0"/>
              <w:jc w:val="left"/>
              <w:outlineLvl w:val="1"/>
              <w:rPr>
                <w:rFonts w:hint="default" w:ascii="Times New Roman" w:hAnsi="宋体" w:cs="Times New Roman"/>
                <w:b/>
                <w:bCs/>
                <w:color w:val="000000"/>
                <w:spacing w:val="-10"/>
                <w:sz w:val="24"/>
                <w:szCs w:val="24"/>
                <w:bdr w:val="none" w:color="auto" w:sz="0" w:space="0"/>
                <w:lang w:val="en-US"/>
              </w:rPr>
            </w:pPr>
            <w:r>
              <w:rPr>
                <w:rFonts w:hint="default" w:ascii="Times New Roman" w:hAnsi="Times New Roman" w:eastAsia="宋体" w:cs="Times New Roman"/>
                <w:b/>
                <w:bCs/>
                <w:color w:val="000000"/>
                <w:spacing w:val="-10"/>
                <w:kern w:val="2"/>
                <w:sz w:val="24"/>
                <w:szCs w:val="24"/>
                <w:bdr w:val="none" w:color="auto" w:sz="0" w:space="0"/>
                <w:lang w:val="en-US" w:eastAsia="zh-CN" w:bidi="ar"/>
              </w:rPr>
              <w:t xml:space="preserve">4.2 </w:t>
            </w:r>
            <w:r>
              <w:rPr>
                <w:rFonts w:hint="eastAsia" w:ascii="Times New Roman" w:hAnsi="Times New Roman" w:eastAsia="宋体" w:cs="宋体"/>
                <w:b/>
                <w:bCs/>
                <w:color w:val="000000"/>
                <w:spacing w:val="-10"/>
                <w:kern w:val="2"/>
                <w:sz w:val="24"/>
                <w:szCs w:val="24"/>
                <w:bdr w:val="none" w:color="auto" w:sz="0" w:space="0"/>
                <w:lang w:val="en-US" w:eastAsia="zh-CN" w:bidi="ar"/>
              </w:rPr>
              <w:t>运营期</w:t>
            </w:r>
            <w:r>
              <w:rPr>
                <w:rFonts w:hint="eastAsia" w:ascii="Times New Roman" w:hAnsi="宋体" w:eastAsia="宋体" w:cs="宋体"/>
                <w:b/>
                <w:bCs/>
                <w:color w:val="000000"/>
                <w:spacing w:val="-10"/>
                <w:kern w:val="2"/>
                <w:sz w:val="24"/>
                <w:szCs w:val="24"/>
                <w:bdr w:val="none" w:color="auto" w:sz="0" w:space="0"/>
                <w:lang w:val="en-US" w:eastAsia="zh-CN" w:bidi="ar"/>
              </w:rPr>
              <w:t>废气</w:t>
            </w:r>
          </w:p>
          <w:p w14:paraId="511B72A9">
            <w:pPr>
              <w:keepNext w:val="0"/>
              <w:keepLines w:val="0"/>
              <w:widowControl w:val="0"/>
              <w:suppressLineNumbers w:val="0"/>
              <w:adjustRightInd w:val="0"/>
              <w:snapToGrid w:val="0"/>
              <w:spacing w:before="0" w:beforeAutospacing="0" w:after="0" w:afterAutospacing="0" w:line="440" w:lineRule="exact"/>
              <w:ind w:left="0" w:right="0"/>
              <w:jc w:val="left"/>
              <w:outlineLvl w:val="2"/>
              <w:rPr>
                <w:rFonts w:hint="default" w:ascii="Times New Roman" w:hAnsi="Times New Roman" w:cs="Times New Roman"/>
                <w:b/>
                <w:bCs/>
                <w:color w:val="000000"/>
                <w:spacing w:val="-10"/>
                <w:sz w:val="24"/>
                <w:szCs w:val="24"/>
                <w:bdr w:val="none" w:color="auto" w:sz="0" w:space="0"/>
                <w:lang w:val="en-US"/>
              </w:rPr>
            </w:pPr>
            <w:r>
              <w:rPr>
                <w:rFonts w:hint="default" w:ascii="Times New Roman" w:hAnsi="Times New Roman" w:eastAsia="宋体" w:cs="Times New Roman"/>
                <w:b/>
                <w:bCs/>
                <w:color w:val="000000"/>
                <w:spacing w:val="-10"/>
                <w:kern w:val="2"/>
                <w:sz w:val="24"/>
                <w:szCs w:val="24"/>
                <w:bdr w:val="none" w:color="auto" w:sz="0" w:space="0"/>
                <w:lang w:val="en-US" w:eastAsia="zh-CN" w:bidi="ar"/>
              </w:rPr>
              <w:t xml:space="preserve">4.2.1 </w:t>
            </w:r>
            <w:r>
              <w:rPr>
                <w:rFonts w:hint="eastAsia" w:ascii="Times New Roman" w:hAnsi="Times New Roman" w:eastAsia="宋体" w:cs="宋体"/>
                <w:b/>
                <w:bCs/>
                <w:color w:val="000000"/>
                <w:spacing w:val="-10"/>
                <w:kern w:val="2"/>
                <w:sz w:val="24"/>
                <w:szCs w:val="24"/>
                <w:bdr w:val="none" w:color="auto" w:sz="0" w:space="0"/>
                <w:lang w:val="en-US" w:eastAsia="zh-CN" w:bidi="ar"/>
              </w:rPr>
              <w:t>废气源强估算</w:t>
            </w:r>
          </w:p>
          <w:p w14:paraId="37F6B57B">
            <w:pPr>
              <w:keepNext w:val="0"/>
              <w:keepLines w:val="0"/>
              <w:widowControl w:val="0"/>
              <w:suppressLineNumbers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扩建项目废气主要为热熔胶熔化涂覆产生的有机废气</w:t>
            </w:r>
            <w:r>
              <w:rPr>
                <w:rFonts w:hint="default" w:ascii="Times New Roman" w:hAnsi="Times New Roman" w:eastAsia="宋体" w:cs="Times New Roman"/>
                <w:color w:val="000000"/>
                <w:kern w:val="2"/>
                <w:sz w:val="24"/>
                <w:szCs w:val="24"/>
                <w:bdr w:val="none" w:color="auto" w:sz="0" w:space="0"/>
                <w:lang w:val="en-US" w:eastAsia="zh-CN" w:bidi="ar"/>
              </w:rPr>
              <w:t>G1</w:t>
            </w:r>
            <w:r>
              <w:rPr>
                <w:rFonts w:hint="eastAsia" w:ascii="Times New Roman" w:hAnsi="Times New Roman" w:eastAsia="宋体" w:cs="宋体"/>
                <w:color w:val="000000"/>
                <w:kern w:val="2"/>
                <w:sz w:val="24"/>
                <w:szCs w:val="24"/>
                <w:bdr w:val="none" w:color="auto" w:sz="0" w:space="0"/>
                <w:lang w:val="en-US" w:eastAsia="zh-CN" w:bidi="ar"/>
              </w:rPr>
              <w:t>、背胶处理剂涂胶废气</w:t>
            </w:r>
            <w:r>
              <w:rPr>
                <w:rFonts w:hint="default" w:ascii="Times New Roman" w:hAnsi="Times New Roman" w:eastAsia="宋体" w:cs="Times New Roman"/>
                <w:color w:val="000000"/>
                <w:kern w:val="2"/>
                <w:sz w:val="24"/>
                <w:szCs w:val="24"/>
                <w:bdr w:val="none" w:color="auto" w:sz="0" w:space="0"/>
                <w:lang w:val="en-US" w:eastAsia="zh-CN" w:bidi="ar"/>
              </w:rPr>
              <w:t>G2</w:t>
            </w:r>
            <w:r>
              <w:rPr>
                <w:rFonts w:hint="eastAsia" w:ascii="Times New Roman" w:hAnsi="Times New Roman" w:eastAsia="宋体" w:cs="宋体"/>
                <w:color w:val="000000"/>
                <w:kern w:val="2"/>
                <w:sz w:val="24"/>
                <w:szCs w:val="24"/>
                <w:bdr w:val="none" w:color="auto" w:sz="0" w:space="0"/>
                <w:lang w:val="en-US" w:eastAsia="zh-CN" w:bidi="ar"/>
              </w:rPr>
              <w:t>、激光切割废气</w:t>
            </w:r>
            <w:r>
              <w:rPr>
                <w:rFonts w:hint="default" w:ascii="Times New Roman" w:hAnsi="Times New Roman" w:eastAsia="宋体" w:cs="Times New Roman"/>
                <w:color w:val="000000"/>
                <w:kern w:val="2"/>
                <w:sz w:val="24"/>
                <w:szCs w:val="24"/>
                <w:bdr w:val="none" w:color="auto" w:sz="0" w:space="0"/>
                <w:lang w:val="en-US" w:eastAsia="zh-CN" w:bidi="ar"/>
              </w:rPr>
              <w:t>G3</w:t>
            </w:r>
            <w:r>
              <w:rPr>
                <w:rFonts w:hint="eastAsia" w:ascii="Times New Roman" w:hAnsi="Times New Roman" w:eastAsia="宋体" w:cs="宋体"/>
                <w:color w:val="000000"/>
                <w:kern w:val="2"/>
                <w:sz w:val="24"/>
                <w:szCs w:val="24"/>
                <w:bdr w:val="none" w:color="auto" w:sz="0" w:space="0"/>
                <w:lang w:val="en-US" w:eastAsia="zh-CN" w:bidi="ar"/>
              </w:rPr>
              <w:t>、云母板雕刻粉尘</w:t>
            </w:r>
            <w:r>
              <w:rPr>
                <w:rFonts w:hint="default" w:ascii="Times New Roman" w:hAnsi="Times New Roman" w:eastAsia="宋体" w:cs="Times New Roman"/>
                <w:color w:val="000000"/>
                <w:kern w:val="2"/>
                <w:sz w:val="24"/>
                <w:szCs w:val="24"/>
                <w:bdr w:val="none" w:color="auto" w:sz="0" w:space="0"/>
                <w:lang w:val="en-US" w:eastAsia="zh-CN" w:bidi="ar"/>
              </w:rPr>
              <w:t>G4</w:t>
            </w:r>
            <w:r>
              <w:rPr>
                <w:rFonts w:hint="eastAsia" w:ascii="Times New Roman" w:hAnsi="Times New Roman" w:eastAsia="宋体" w:cs="宋体"/>
                <w:color w:val="000000"/>
                <w:kern w:val="2"/>
                <w:sz w:val="24"/>
                <w:szCs w:val="24"/>
                <w:bdr w:val="none" w:color="auto" w:sz="0" w:space="0"/>
                <w:lang w:val="en-US" w:eastAsia="zh-CN" w:bidi="ar"/>
              </w:rPr>
              <w:t>、打磨粉尘</w:t>
            </w:r>
            <w:r>
              <w:rPr>
                <w:rFonts w:hint="default" w:ascii="Times New Roman" w:hAnsi="Times New Roman" w:eastAsia="宋体" w:cs="Times New Roman"/>
                <w:color w:val="000000"/>
                <w:kern w:val="2"/>
                <w:sz w:val="24"/>
                <w:szCs w:val="24"/>
                <w:bdr w:val="none" w:color="auto" w:sz="0" w:space="0"/>
                <w:lang w:val="en-US" w:eastAsia="zh-CN" w:bidi="ar"/>
              </w:rPr>
              <w:t>G5</w:t>
            </w:r>
            <w:r>
              <w:rPr>
                <w:rFonts w:hint="eastAsia" w:ascii="Times New Roman" w:hAnsi="Times New Roman" w:eastAsia="宋体" w:cs="宋体"/>
                <w:color w:val="000000"/>
                <w:kern w:val="2"/>
                <w:sz w:val="24"/>
                <w:szCs w:val="24"/>
                <w:bdr w:val="none" w:color="auto" w:sz="0" w:space="0"/>
                <w:lang w:val="en-US" w:eastAsia="zh-CN" w:bidi="ar"/>
              </w:rPr>
              <w:t>。</w:t>
            </w:r>
          </w:p>
          <w:p w14:paraId="4AC0CCB6">
            <w:pPr>
              <w:keepNext w:val="0"/>
              <w:keepLines w:val="0"/>
              <w:widowControl w:val="0"/>
              <w:suppressLineNumbers w:val="0"/>
              <w:snapToGrid w:val="0"/>
              <w:spacing w:before="0" w:beforeAutospacing="0" w:after="0" w:afterAutospacing="0" w:line="440" w:lineRule="exact"/>
              <w:ind w:left="0" w:right="0" w:firstLine="482" w:firstLineChars="200"/>
              <w:jc w:val="both"/>
              <w:rPr>
                <w:rFonts w:hint="default" w:ascii="Times New Roman" w:hAnsi="Times New Roman" w:cs="Times New Roman"/>
                <w:b/>
                <w:bCs w:val="0"/>
                <w:color w:val="000000"/>
                <w:sz w:val="24"/>
                <w:szCs w:val="24"/>
                <w:bdr w:val="none" w:color="auto" w:sz="0" w:space="0"/>
                <w:lang w:val="en-US"/>
              </w:rPr>
            </w:pPr>
            <w:r>
              <w:rPr>
                <w:rFonts w:hint="default" w:ascii="Times New Roman" w:hAnsi="Times New Roman" w:eastAsia="宋体" w:cs="Times New Roman"/>
                <w:b/>
                <w:bCs w:val="0"/>
                <w:color w:val="000000"/>
                <w:kern w:val="2"/>
                <w:sz w:val="24"/>
                <w:szCs w:val="24"/>
                <w:bdr w:val="none" w:color="auto" w:sz="0" w:space="0"/>
                <w:lang w:val="en-US" w:eastAsia="zh-CN" w:bidi="ar"/>
              </w:rPr>
              <w:t>1</w:t>
            </w:r>
            <w:r>
              <w:rPr>
                <w:rFonts w:hint="eastAsia" w:ascii="Times New Roman" w:hAnsi="Times New Roman" w:eastAsia="宋体" w:cs="宋体"/>
                <w:b/>
                <w:bCs w:val="0"/>
                <w:color w:val="000000"/>
                <w:kern w:val="2"/>
                <w:sz w:val="24"/>
                <w:szCs w:val="24"/>
                <w:bdr w:val="none" w:color="auto" w:sz="0" w:space="0"/>
                <w:lang w:val="en-US" w:eastAsia="zh-CN" w:bidi="ar"/>
              </w:rPr>
              <w:t>、热熔胶涂覆有机废气</w:t>
            </w:r>
            <w:r>
              <w:rPr>
                <w:rFonts w:hint="default" w:ascii="Times New Roman" w:hAnsi="Times New Roman" w:eastAsia="宋体" w:cs="Times New Roman"/>
                <w:b/>
                <w:bCs w:val="0"/>
                <w:color w:val="000000"/>
                <w:kern w:val="2"/>
                <w:sz w:val="24"/>
                <w:szCs w:val="24"/>
                <w:bdr w:val="none" w:color="auto" w:sz="0" w:space="0"/>
                <w:lang w:val="en-US" w:eastAsia="zh-CN" w:bidi="ar"/>
              </w:rPr>
              <w:t>G1</w:t>
            </w:r>
          </w:p>
          <w:p w14:paraId="01079DE5">
            <w:pPr>
              <w:keepNext w:val="0"/>
              <w:keepLines w:val="0"/>
              <w:widowControl w:val="0"/>
              <w:suppressLineNumbers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1</w:t>
            </w:r>
            <w:r>
              <w:rPr>
                <w:rFonts w:hint="eastAsia" w:ascii="Times New Roman" w:hAnsi="Times New Roman" w:eastAsia="宋体" w:cs="宋体"/>
                <w:color w:val="000000"/>
                <w:kern w:val="2"/>
                <w:sz w:val="24"/>
                <w:szCs w:val="24"/>
                <w:bdr w:val="none" w:color="auto" w:sz="0" w:space="0"/>
                <w:lang w:val="en-US" w:eastAsia="zh-CN" w:bidi="ar"/>
              </w:rPr>
              <w:t>）产生情况</w:t>
            </w:r>
          </w:p>
          <w:p w14:paraId="21389901">
            <w:pPr>
              <w:keepNext w:val="0"/>
              <w:keepLines w:val="0"/>
              <w:widowControl w:val="0"/>
              <w:suppressLineNumbers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项目皮革条压合工序采用热熔胶进行胶粘压合，该过程会产生少量有机废气（以非甲烷总烃计）。</w:t>
            </w:r>
          </w:p>
          <w:p w14:paraId="64C93CB2">
            <w:pPr>
              <w:keepNext w:val="0"/>
              <w:keepLines w:val="0"/>
              <w:widowControl w:val="0"/>
              <w:suppressLineNumbers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热熔胶采用密闭容器电加热融化，加热温度约</w:t>
            </w:r>
            <w:r>
              <w:rPr>
                <w:rFonts w:hint="default" w:ascii="Times New Roman" w:hAnsi="Times New Roman" w:eastAsia="宋体" w:cs="Times New Roman"/>
                <w:color w:val="000000"/>
                <w:kern w:val="2"/>
                <w:sz w:val="24"/>
                <w:szCs w:val="24"/>
                <w:bdr w:val="none" w:color="auto" w:sz="0" w:space="0"/>
                <w:lang w:val="en-US" w:eastAsia="zh-CN" w:bidi="ar"/>
              </w:rPr>
              <w:t>140</w:t>
            </w:r>
            <w:r>
              <w:rPr>
                <w:rFonts w:hint="eastAsia" w:ascii="Times New Roman" w:hAnsi="Times New Roman" w:eastAsia="宋体" w:cs="宋体"/>
                <w:color w:val="000000"/>
                <w:kern w:val="2"/>
                <w:sz w:val="24"/>
                <w:szCs w:val="24"/>
                <w:bdr w:val="none" w:color="auto" w:sz="0" w:space="0"/>
                <w:lang w:val="en-US" w:eastAsia="zh-CN" w:bidi="ar"/>
              </w:rPr>
              <w:t>℃。根据业主提供热熔胶</w:t>
            </w:r>
            <w:r>
              <w:rPr>
                <w:rFonts w:hint="default" w:ascii="Times New Roman" w:hAnsi="Times New Roman" w:eastAsia="宋体" w:cs="Times New Roman"/>
                <w:color w:val="000000"/>
                <w:kern w:val="2"/>
                <w:sz w:val="24"/>
                <w:szCs w:val="24"/>
                <w:bdr w:val="none" w:color="auto" w:sz="0" w:space="0"/>
                <w:lang w:val="en-US" w:eastAsia="zh-CN" w:bidi="ar"/>
              </w:rPr>
              <w:t>VOCs</w:t>
            </w:r>
            <w:r>
              <w:rPr>
                <w:rFonts w:hint="eastAsia" w:ascii="Times New Roman" w:hAnsi="Times New Roman" w:eastAsia="宋体" w:cs="宋体"/>
                <w:color w:val="000000"/>
                <w:kern w:val="2"/>
                <w:sz w:val="24"/>
                <w:szCs w:val="24"/>
                <w:bdr w:val="none" w:color="auto" w:sz="0" w:space="0"/>
                <w:lang w:val="en-US" w:eastAsia="zh-CN" w:bidi="ar"/>
              </w:rPr>
              <w:t>检测报告，项目使用的热熔胶挥发性有机物含量为</w:t>
            </w:r>
            <w:r>
              <w:rPr>
                <w:rFonts w:hint="default" w:ascii="Times New Roman" w:hAnsi="Times New Roman" w:eastAsia="宋体" w:cs="Times New Roman"/>
                <w:color w:val="000000"/>
                <w:kern w:val="2"/>
                <w:sz w:val="24"/>
                <w:szCs w:val="24"/>
                <w:bdr w:val="none" w:color="auto" w:sz="0" w:space="0"/>
                <w:lang w:val="en-US" w:eastAsia="zh-CN" w:bidi="ar"/>
              </w:rPr>
              <w:t>4g/kg</w:t>
            </w:r>
            <w:r>
              <w:rPr>
                <w:rFonts w:hint="eastAsia" w:ascii="Times New Roman" w:hAnsi="Times New Roman" w:eastAsia="宋体" w:cs="宋体"/>
                <w:color w:val="000000"/>
                <w:kern w:val="2"/>
                <w:sz w:val="24"/>
                <w:szCs w:val="24"/>
                <w:bdr w:val="none" w:color="auto" w:sz="0" w:space="0"/>
                <w:lang w:val="en-US" w:eastAsia="zh-CN" w:bidi="ar"/>
              </w:rPr>
              <w:t>，热熔胶年使用量为</w:t>
            </w:r>
            <w:r>
              <w:rPr>
                <w:rFonts w:hint="default" w:ascii="Times New Roman" w:hAnsi="Times New Roman" w:eastAsia="宋体" w:cs="Times New Roman"/>
                <w:color w:val="000000"/>
                <w:kern w:val="2"/>
                <w:sz w:val="24"/>
                <w:szCs w:val="24"/>
                <w:bdr w:val="none" w:color="auto" w:sz="0" w:space="0"/>
                <w:lang w:val="en-US" w:eastAsia="zh-CN" w:bidi="ar"/>
              </w:rPr>
              <w:t>5t</w:t>
            </w:r>
            <w:r>
              <w:rPr>
                <w:rFonts w:hint="eastAsia" w:ascii="Times New Roman" w:hAnsi="Times New Roman" w:eastAsia="宋体" w:cs="宋体"/>
                <w:color w:val="000000"/>
                <w:kern w:val="2"/>
                <w:sz w:val="24"/>
                <w:szCs w:val="24"/>
                <w:bdr w:val="none" w:color="auto" w:sz="0" w:space="0"/>
                <w:lang w:val="en-US" w:eastAsia="zh-CN" w:bidi="ar"/>
              </w:rPr>
              <w:t>，年工作时间</w:t>
            </w:r>
            <w:r>
              <w:rPr>
                <w:rFonts w:hint="default" w:ascii="Times New Roman" w:hAnsi="Times New Roman" w:eastAsia="宋体" w:cs="Times New Roman"/>
                <w:color w:val="000000"/>
                <w:kern w:val="2"/>
                <w:sz w:val="24"/>
                <w:szCs w:val="24"/>
                <w:bdr w:val="none" w:color="auto" w:sz="0" w:space="0"/>
                <w:lang w:val="en-US" w:eastAsia="zh-CN" w:bidi="ar"/>
              </w:rPr>
              <w:t>4000h</w:t>
            </w:r>
            <w:r>
              <w:rPr>
                <w:rFonts w:hint="eastAsia" w:ascii="Times New Roman" w:hAnsi="Times New Roman" w:eastAsia="宋体" w:cs="宋体"/>
                <w:color w:val="000000"/>
                <w:kern w:val="2"/>
                <w:sz w:val="24"/>
                <w:szCs w:val="24"/>
                <w:bdr w:val="none" w:color="auto" w:sz="0" w:space="0"/>
                <w:lang w:val="en-US" w:eastAsia="zh-CN" w:bidi="ar"/>
              </w:rPr>
              <w:t>，则热熔胶加热熔化涂覆过程挥发性有机物（以非甲烷总烃计）产生量约</w:t>
            </w:r>
            <w:r>
              <w:rPr>
                <w:rFonts w:hint="default" w:ascii="Times New Roman" w:hAnsi="Times New Roman" w:eastAsia="宋体" w:cs="Times New Roman"/>
                <w:color w:val="000000"/>
                <w:kern w:val="2"/>
                <w:sz w:val="24"/>
                <w:szCs w:val="24"/>
                <w:bdr w:val="none" w:color="auto" w:sz="0" w:space="0"/>
                <w:lang w:val="en-US" w:eastAsia="zh-CN" w:bidi="ar"/>
              </w:rPr>
              <w:t>0.02t/a</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0.005kg/h</w:t>
            </w:r>
            <w:r>
              <w:rPr>
                <w:rFonts w:hint="eastAsia" w:ascii="Times New Roman" w:hAnsi="Times New Roman" w:eastAsia="宋体" w:cs="宋体"/>
                <w:color w:val="000000"/>
                <w:kern w:val="2"/>
                <w:sz w:val="24"/>
                <w:szCs w:val="24"/>
                <w:bdr w:val="none" w:color="auto" w:sz="0" w:space="0"/>
                <w:lang w:val="en-US" w:eastAsia="zh-CN" w:bidi="ar"/>
              </w:rPr>
              <w:t>）。</w:t>
            </w:r>
          </w:p>
          <w:p w14:paraId="6B632736">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2</w:t>
            </w:r>
            <w:r>
              <w:rPr>
                <w:rFonts w:hint="eastAsia" w:ascii="Times New Roman" w:hAnsi="Times New Roman" w:eastAsia="宋体" w:cs="宋体"/>
                <w:color w:val="000000"/>
                <w:kern w:val="2"/>
                <w:sz w:val="24"/>
                <w:szCs w:val="24"/>
                <w:bdr w:val="none" w:color="auto" w:sz="0" w:space="0"/>
                <w:lang w:val="en-US" w:eastAsia="zh-CN" w:bidi="ar"/>
              </w:rPr>
              <w:t>）处理措施</w:t>
            </w:r>
          </w:p>
          <w:p w14:paraId="325617B5">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根据《挥发性有机物无组织排放控制标准》（</w:t>
            </w:r>
            <w:r>
              <w:rPr>
                <w:rFonts w:hint="default" w:ascii="Times New Roman" w:hAnsi="Times New Roman" w:eastAsia="宋体" w:cs="Times New Roman"/>
                <w:color w:val="000000"/>
                <w:kern w:val="2"/>
                <w:sz w:val="24"/>
                <w:szCs w:val="24"/>
                <w:bdr w:val="none" w:color="auto" w:sz="0" w:space="0"/>
                <w:lang w:val="en-US" w:eastAsia="zh-CN" w:bidi="ar"/>
              </w:rPr>
              <w:t>GB37822-2019</w:t>
            </w:r>
            <w:r>
              <w:rPr>
                <w:rFonts w:hint="eastAsia" w:ascii="Times New Roman" w:hAnsi="Times New Roman" w:eastAsia="宋体" w:cs="宋体"/>
                <w:color w:val="000000"/>
                <w:kern w:val="2"/>
                <w:sz w:val="24"/>
                <w:szCs w:val="24"/>
                <w:bdr w:val="none" w:color="auto" w:sz="0" w:space="0"/>
                <w:lang w:val="en-US" w:eastAsia="zh-CN" w:bidi="ar"/>
              </w:rPr>
              <w:t>）：</w:t>
            </w:r>
          </w:p>
          <w:p w14:paraId="19BB7C58">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①含</w:t>
            </w:r>
            <w:r>
              <w:rPr>
                <w:rFonts w:hint="default" w:ascii="Times New Roman" w:hAnsi="Times New Roman" w:eastAsia="宋体" w:cs="Times New Roman"/>
                <w:color w:val="000000"/>
                <w:kern w:val="2"/>
                <w:sz w:val="24"/>
                <w:szCs w:val="24"/>
                <w:bdr w:val="none" w:color="auto" w:sz="0" w:space="0"/>
                <w:lang w:val="en-US" w:eastAsia="zh-CN" w:bidi="ar"/>
              </w:rPr>
              <w:t>VOCs</w:t>
            </w:r>
            <w:r>
              <w:rPr>
                <w:rFonts w:hint="eastAsia" w:ascii="Times New Roman" w:hAnsi="Times New Roman" w:eastAsia="宋体" w:cs="宋体"/>
                <w:color w:val="000000"/>
                <w:kern w:val="2"/>
                <w:sz w:val="24"/>
                <w:szCs w:val="24"/>
                <w:bdr w:val="none" w:color="auto" w:sz="0" w:space="0"/>
                <w:lang w:val="en-US" w:eastAsia="zh-CN" w:bidi="ar"/>
              </w:rPr>
              <w:t>物料使用过程中，</w:t>
            </w:r>
            <w:r>
              <w:rPr>
                <w:rFonts w:hint="default" w:ascii="Times New Roman" w:hAnsi="Times New Roman" w:eastAsia="宋体" w:cs="Times New Roman"/>
                <w:color w:val="000000"/>
                <w:kern w:val="2"/>
                <w:sz w:val="24"/>
                <w:szCs w:val="24"/>
                <w:bdr w:val="none" w:color="auto" w:sz="0" w:space="0"/>
                <w:lang w:val="en-US" w:eastAsia="zh-CN" w:bidi="ar"/>
              </w:rPr>
              <w:t>VOCs</w:t>
            </w:r>
            <w:r>
              <w:rPr>
                <w:rFonts w:hint="eastAsia" w:ascii="Times New Roman" w:hAnsi="Times New Roman" w:eastAsia="宋体" w:cs="宋体"/>
                <w:color w:val="000000"/>
                <w:kern w:val="2"/>
                <w:sz w:val="24"/>
                <w:szCs w:val="24"/>
                <w:bdr w:val="none" w:color="auto" w:sz="0" w:space="0"/>
                <w:lang w:val="en-US" w:eastAsia="zh-CN" w:bidi="ar"/>
              </w:rPr>
              <w:t>挥发质量占比大于等于</w:t>
            </w:r>
            <w:r>
              <w:rPr>
                <w:rFonts w:hint="default" w:ascii="Times New Roman" w:hAnsi="Times New Roman" w:eastAsia="宋体" w:cs="Times New Roman"/>
                <w:color w:val="000000"/>
                <w:kern w:val="2"/>
                <w:sz w:val="24"/>
                <w:szCs w:val="24"/>
                <w:bdr w:val="none" w:color="auto" w:sz="0" w:space="0"/>
                <w:lang w:val="en-US" w:eastAsia="zh-CN" w:bidi="ar"/>
              </w:rPr>
              <w:t>10%</w:t>
            </w:r>
            <w:r>
              <w:rPr>
                <w:rFonts w:hint="eastAsia" w:ascii="Times New Roman" w:hAnsi="Times New Roman" w:eastAsia="宋体" w:cs="宋体"/>
                <w:color w:val="000000"/>
                <w:kern w:val="2"/>
                <w:sz w:val="24"/>
                <w:szCs w:val="24"/>
                <w:bdr w:val="none" w:color="auto" w:sz="0" w:space="0"/>
                <w:lang w:val="en-US" w:eastAsia="zh-CN" w:bidi="ar"/>
              </w:rPr>
              <w:t>的，其使用过程应采用密闭设备或在密闭空间内操作，废气应排至</w:t>
            </w:r>
            <w:r>
              <w:rPr>
                <w:rFonts w:hint="default" w:ascii="Times New Roman" w:hAnsi="Times New Roman" w:eastAsia="宋体" w:cs="Times New Roman"/>
                <w:color w:val="000000"/>
                <w:kern w:val="2"/>
                <w:sz w:val="24"/>
                <w:szCs w:val="24"/>
                <w:bdr w:val="none" w:color="auto" w:sz="0" w:space="0"/>
                <w:lang w:val="en-US" w:eastAsia="zh-CN" w:bidi="ar"/>
              </w:rPr>
              <w:t>VOCs</w:t>
            </w:r>
            <w:r>
              <w:rPr>
                <w:rFonts w:hint="eastAsia" w:ascii="Times New Roman" w:hAnsi="Times New Roman" w:eastAsia="宋体" w:cs="宋体"/>
                <w:color w:val="000000"/>
                <w:kern w:val="2"/>
                <w:sz w:val="24"/>
                <w:szCs w:val="24"/>
                <w:bdr w:val="none" w:color="auto" w:sz="0" w:space="0"/>
                <w:lang w:val="en-US" w:eastAsia="zh-CN" w:bidi="ar"/>
              </w:rPr>
              <w:t>废气收集处理系统；无法密闭的，应采取局部气体收集措施，废气应排至</w:t>
            </w:r>
            <w:r>
              <w:rPr>
                <w:rFonts w:hint="default" w:ascii="Times New Roman" w:hAnsi="Times New Roman" w:eastAsia="宋体" w:cs="Times New Roman"/>
                <w:color w:val="000000"/>
                <w:kern w:val="2"/>
                <w:sz w:val="24"/>
                <w:szCs w:val="24"/>
                <w:bdr w:val="none" w:color="auto" w:sz="0" w:space="0"/>
                <w:lang w:val="en-US" w:eastAsia="zh-CN" w:bidi="ar"/>
              </w:rPr>
              <w:t>VOCs</w:t>
            </w:r>
            <w:r>
              <w:rPr>
                <w:rFonts w:hint="eastAsia" w:ascii="Times New Roman" w:hAnsi="Times New Roman" w:eastAsia="宋体" w:cs="宋体"/>
                <w:color w:val="000000"/>
                <w:kern w:val="2"/>
                <w:sz w:val="24"/>
                <w:szCs w:val="24"/>
                <w:bdr w:val="none" w:color="auto" w:sz="0" w:space="0"/>
                <w:lang w:val="en-US" w:eastAsia="zh-CN" w:bidi="ar"/>
              </w:rPr>
              <w:t>废气收集处理系统。</w:t>
            </w:r>
          </w:p>
          <w:p w14:paraId="66A5D41A">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②对于重点地区，收集的废气中</w:t>
            </w:r>
            <w:r>
              <w:rPr>
                <w:rFonts w:hint="default" w:ascii="Times New Roman" w:hAnsi="Times New Roman" w:eastAsia="宋体" w:cs="Times New Roman"/>
                <w:color w:val="000000"/>
                <w:kern w:val="2"/>
                <w:sz w:val="24"/>
                <w:szCs w:val="24"/>
                <w:bdr w:val="none" w:color="auto" w:sz="0" w:space="0"/>
                <w:lang w:val="en-US" w:eastAsia="zh-CN" w:bidi="ar"/>
              </w:rPr>
              <w:t>NMHC</w:t>
            </w:r>
            <w:r>
              <w:rPr>
                <w:rFonts w:hint="eastAsia" w:ascii="Times New Roman" w:hAnsi="Times New Roman" w:eastAsia="宋体" w:cs="宋体"/>
                <w:color w:val="000000"/>
                <w:kern w:val="2"/>
                <w:sz w:val="24"/>
                <w:szCs w:val="24"/>
                <w:bdr w:val="none" w:color="auto" w:sz="0" w:space="0"/>
                <w:lang w:val="en-US" w:eastAsia="zh-CN" w:bidi="ar"/>
              </w:rPr>
              <w:t>初始排放速率≥</w:t>
            </w:r>
            <w:r>
              <w:rPr>
                <w:rFonts w:hint="default" w:ascii="Times New Roman" w:hAnsi="Times New Roman" w:eastAsia="宋体" w:cs="Times New Roman"/>
                <w:color w:val="000000"/>
                <w:kern w:val="2"/>
                <w:sz w:val="24"/>
                <w:szCs w:val="24"/>
                <w:bdr w:val="none" w:color="auto" w:sz="0" w:space="0"/>
                <w:lang w:val="en-US" w:eastAsia="zh-CN" w:bidi="ar"/>
              </w:rPr>
              <w:t>2.0kg/h</w:t>
            </w:r>
            <w:r>
              <w:rPr>
                <w:rFonts w:hint="eastAsia" w:ascii="Times New Roman" w:hAnsi="Times New Roman" w:eastAsia="宋体" w:cs="宋体"/>
                <w:color w:val="000000"/>
                <w:kern w:val="2"/>
                <w:sz w:val="24"/>
                <w:szCs w:val="24"/>
                <w:bdr w:val="none" w:color="auto" w:sz="0" w:space="0"/>
                <w:lang w:val="en-US" w:eastAsia="zh-CN" w:bidi="ar"/>
              </w:rPr>
              <w:t>时，应配置</w:t>
            </w:r>
            <w:r>
              <w:rPr>
                <w:rFonts w:hint="default" w:ascii="Times New Roman" w:hAnsi="Times New Roman" w:eastAsia="宋体" w:cs="Times New Roman"/>
                <w:color w:val="000000"/>
                <w:kern w:val="2"/>
                <w:sz w:val="24"/>
                <w:szCs w:val="24"/>
                <w:bdr w:val="none" w:color="auto" w:sz="0" w:space="0"/>
                <w:lang w:val="en-US" w:eastAsia="zh-CN" w:bidi="ar"/>
              </w:rPr>
              <w:t>VOCs</w:t>
            </w:r>
            <w:r>
              <w:rPr>
                <w:rFonts w:hint="eastAsia" w:ascii="Times New Roman" w:hAnsi="Times New Roman" w:eastAsia="宋体" w:cs="宋体"/>
                <w:color w:val="000000"/>
                <w:kern w:val="2"/>
                <w:sz w:val="24"/>
                <w:szCs w:val="24"/>
                <w:bdr w:val="none" w:color="auto" w:sz="0" w:space="0"/>
                <w:lang w:val="en-US" w:eastAsia="zh-CN" w:bidi="ar"/>
              </w:rPr>
              <w:t>处理设施，处理效率不应低于</w:t>
            </w:r>
            <w:r>
              <w:rPr>
                <w:rFonts w:hint="default" w:ascii="Times New Roman" w:hAnsi="Times New Roman" w:eastAsia="宋体" w:cs="Times New Roman"/>
                <w:color w:val="000000"/>
                <w:kern w:val="2"/>
                <w:sz w:val="24"/>
                <w:szCs w:val="24"/>
                <w:bdr w:val="none" w:color="auto" w:sz="0" w:space="0"/>
                <w:lang w:val="en-US" w:eastAsia="zh-CN" w:bidi="ar"/>
              </w:rPr>
              <w:t>80%</w:t>
            </w:r>
            <w:r>
              <w:rPr>
                <w:rFonts w:hint="eastAsia" w:ascii="Times New Roman" w:hAnsi="Times New Roman" w:eastAsia="宋体" w:cs="宋体"/>
                <w:color w:val="000000"/>
                <w:kern w:val="2"/>
                <w:sz w:val="24"/>
                <w:szCs w:val="24"/>
                <w:bdr w:val="none" w:color="auto" w:sz="0" w:space="0"/>
                <w:lang w:val="en-US" w:eastAsia="zh-CN" w:bidi="ar"/>
              </w:rPr>
              <w:t>；采用的原辅材料符合国家有关低</w:t>
            </w:r>
            <w:r>
              <w:rPr>
                <w:rFonts w:hint="default" w:ascii="Times New Roman" w:hAnsi="Times New Roman" w:eastAsia="宋体" w:cs="Times New Roman"/>
                <w:color w:val="000000"/>
                <w:kern w:val="2"/>
                <w:sz w:val="24"/>
                <w:szCs w:val="24"/>
                <w:bdr w:val="none" w:color="auto" w:sz="0" w:space="0"/>
                <w:lang w:val="en-US" w:eastAsia="zh-CN" w:bidi="ar"/>
              </w:rPr>
              <w:t>VOCs</w:t>
            </w:r>
            <w:r>
              <w:rPr>
                <w:rFonts w:hint="eastAsia" w:ascii="Times New Roman" w:hAnsi="Times New Roman" w:eastAsia="宋体" w:cs="宋体"/>
                <w:color w:val="000000"/>
                <w:kern w:val="2"/>
                <w:sz w:val="24"/>
                <w:szCs w:val="24"/>
                <w:bdr w:val="none" w:color="auto" w:sz="0" w:space="0"/>
                <w:lang w:val="en-US" w:eastAsia="zh-CN" w:bidi="ar"/>
              </w:rPr>
              <w:t>含量产品规定的除外。</w:t>
            </w:r>
          </w:p>
          <w:p w14:paraId="1EA9EC2C">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项目使用的热熔胶</w:t>
            </w:r>
            <w:r>
              <w:rPr>
                <w:rFonts w:hint="default" w:ascii="Times New Roman" w:hAnsi="Times New Roman" w:eastAsia="宋体" w:cs="Times New Roman"/>
                <w:color w:val="000000"/>
                <w:kern w:val="2"/>
                <w:sz w:val="24"/>
                <w:szCs w:val="24"/>
                <w:bdr w:val="none" w:color="auto" w:sz="0" w:space="0"/>
                <w:lang w:val="en-US" w:eastAsia="zh-CN" w:bidi="ar"/>
              </w:rPr>
              <w:t>VOCs</w:t>
            </w:r>
            <w:r>
              <w:rPr>
                <w:rFonts w:hint="eastAsia" w:ascii="Times New Roman" w:hAnsi="Times New Roman" w:eastAsia="宋体" w:cs="宋体"/>
                <w:color w:val="000000"/>
                <w:kern w:val="2"/>
                <w:sz w:val="24"/>
                <w:szCs w:val="24"/>
                <w:bdr w:val="none" w:color="auto" w:sz="0" w:space="0"/>
                <w:lang w:val="en-US" w:eastAsia="zh-CN" w:bidi="ar"/>
              </w:rPr>
              <w:t>质量占比约</w:t>
            </w:r>
            <w:r>
              <w:rPr>
                <w:rFonts w:hint="default" w:ascii="Times New Roman" w:hAnsi="Times New Roman" w:eastAsia="宋体" w:cs="Times New Roman"/>
                <w:color w:val="000000"/>
                <w:kern w:val="2"/>
                <w:sz w:val="24"/>
                <w:szCs w:val="24"/>
                <w:bdr w:val="none" w:color="auto" w:sz="0" w:space="0"/>
                <w:lang w:val="en-US" w:eastAsia="zh-CN" w:bidi="ar"/>
              </w:rPr>
              <w:t>0.4%</w:t>
            </w:r>
            <w:r>
              <w:rPr>
                <w:rFonts w:hint="eastAsia" w:ascii="Times New Roman" w:hAnsi="Times New Roman" w:eastAsia="宋体" w:cs="宋体"/>
                <w:color w:val="000000"/>
                <w:kern w:val="2"/>
                <w:sz w:val="24"/>
                <w:szCs w:val="24"/>
                <w:bdr w:val="none" w:color="auto" w:sz="0" w:space="0"/>
                <w:lang w:val="en-US" w:eastAsia="zh-CN" w:bidi="ar"/>
              </w:rPr>
              <w:t>，属于低</w:t>
            </w:r>
            <w:r>
              <w:rPr>
                <w:rFonts w:hint="default" w:ascii="Times New Roman" w:hAnsi="Times New Roman" w:eastAsia="宋体" w:cs="Times New Roman"/>
                <w:color w:val="000000"/>
                <w:kern w:val="2"/>
                <w:sz w:val="24"/>
                <w:szCs w:val="24"/>
                <w:bdr w:val="none" w:color="auto" w:sz="0" w:space="0"/>
                <w:lang w:val="en-US" w:eastAsia="zh-CN" w:bidi="ar"/>
              </w:rPr>
              <w:t>VOCs</w:t>
            </w:r>
            <w:r>
              <w:rPr>
                <w:rFonts w:hint="eastAsia" w:ascii="Times New Roman" w:hAnsi="Times New Roman" w:eastAsia="宋体" w:cs="宋体"/>
                <w:color w:val="000000"/>
                <w:kern w:val="2"/>
                <w:sz w:val="24"/>
                <w:szCs w:val="24"/>
                <w:bdr w:val="none" w:color="auto" w:sz="0" w:space="0"/>
                <w:lang w:val="en-US" w:eastAsia="zh-CN" w:bidi="ar"/>
              </w:rPr>
              <w:t>含量，且有机废气初始排放速率</w:t>
            </w:r>
            <w:r>
              <w:rPr>
                <w:rFonts w:hint="default" w:ascii="Times New Roman" w:hAnsi="Times New Roman" w:eastAsia="宋体" w:cs="Times New Roman"/>
                <w:color w:val="000000"/>
                <w:kern w:val="2"/>
                <w:sz w:val="24"/>
                <w:szCs w:val="24"/>
                <w:bdr w:val="none" w:color="auto" w:sz="0" w:space="0"/>
                <w:lang w:val="en-US" w:eastAsia="zh-CN" w:bidi="ar"/>
              </w:rPr>
              <w:t>0.005kg/h</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2kg/h</w:t>
            </w:r>
            <w:r>
              <w:rPr>
                <w:rFonts w:hint="eastAsia" w:ascii="Times New Roman" w:hAnsi="Times New Roman" w:eastAsia="宋体" w:cs="宋体"/>
                <w:color w:val="000000"/>
                <w:kern w:val="2"/>
                <w:sz w:val="24"/>
                <w:szCs w:val="24"/>
                <w:bdr w:val="none" w:color="auto" w:sz="0" w:space="0"/>
                <w:lang w:val="en-US" w:eastAsia="zh-CN" w:bidi="ar"/>
              </w:rPr>
              <w:t>。因此，项目热熔胶熔化涂覆产生的有机废气呈无组织排放，通过加强车间通风，可实现达标排放，对环境影响较小。</w:t>
            </w:r>
          </w:p>
          <w:p w14:paraId="03690057">
            <w:pPr>
              <w:keepNext w:val="0"/>
              <w:keepLines w:val="0"/>
              <w:widowControl w:val="0"/>
              <w:suppressLineNumbers w:val="0"/>
              <w:adjustRightInd w:val="0"/>
              <w:snapToGrid w:val="0"/>
              <w:spacing w:before="0" w:beforeAutospacing="0" w:after="0" w:afterAutospacing="0" w:line="440" w:lineRule="exact"/>
              <w:ind w:left="0" w:right="0" w:firstLine="482" w:firstLineChars="200"/>
              <w:jc w:val="both"/>
              <w:rPr>
                <w:rFonts w:hint="default" w:ascii="Times New Roman" w:hAnsi="Times New Roman" w:cs="Times New Roman"/>
                <w:b/>
                <w:bCs w:val="0"/>
                <w:color w:val="000000"/>
                <w:sz w:val="24"/>
                <w:szCs w:val="24"/>
                <w:bdr w:val="none" w:color="auto" w:sz="0" w:space="0"/>
                <w:lang w:val="en-US"/>
              </w:rPr>
            </w:pPr>
            <w:r>
              <w:rPr>
                <w:rFonts w:hint="default" w:ascii="Times New Roman" w:hAnsi="Times New Roman" w:eastAsia="宋体" w:cs="Times New Roman"/>
                <w:b/>
                <w:bCs w:val="0"/>
                <w:color w:val="000000"/>
                <w:kern w:val="2"/>
                <w:sz w:val="24"/>
                <w:szCs w:val="24"/>
                <w:bdr w:val="none" w:color="auto" w:sz="0" w:space="0"/>
                <w:lang w:val="en-US" w:eastAsia="zh-CN" w:bidi="ar"/>
              </w:rPr>
              <w:t>2</w:t>
            </w:r>
            <w:r>
              <w:rPr>
                <w:rFonts w:hint="eastAsia" w:ascii="Times New Roman" w:hAnsi="Times New Roman" w:eastAsia="宋体" w:cs="宋体"/>
                <w:b/>
                <w:bCs w:val="0"/>
                <w:color w:val="000000"/>
                <w:kern w:val="2"/>
                <w:sz w:val="24"/>
                <w:szCs w:val="24"/>
                <w:bdr w:val="none" w:color="auto" w:sz="0" w:space="0"/>
                <w:lang w:val="en-US" w:eastAsia="zh-CN" w:bidi="ar"/>
              </w:rPr>
              <w:t>、</w:t>
            </w:r>
            <w:bookmarkStart w:id="33" w:name="OLE_LINK25"/>
            <w:bookmarkStart w:id="34" w:name="OLE_LINK24"/>
            <w:bookmarkStart w:id="35" w:name="OLE_LINK43"/>
            <w:bookmarkStart w:id="36" w:name="OLE_LINK42"/>
            <w:r>
              <w:rPr>
                <w:rFonts w:hint="eastAsia" w:ascii="Times New Roman" w:hAnsi="Times New Roman" w:eastAsia="宋体" w:cs="宋体"/>
                <w:b/>
                <w:bCs w:val="0"/>
                <w:color w:val="000000"/>
                <w:kern w:val="2"/>
                <w:sz w:val="24"/>
                <w:szCs w:val="24"/>
                <w:bdr w:val="none" w:color="auto" w:sz="0" w:space="0"/>
                <w:lang w:val="en-US" w:eastAsia="zh-CN" w:bidi="ar"/>
              </w:rPr>
              <w:t>背胶处理剂涂胶废气</w:t>
            </w:r>
            <w:bookmarkEnd w:id="33"/>
            <w:bookmarkEnd w:id="34"/>
            <w:r>
              <w:rPr>
                <w:rFonts w:hint="default" w:ascii="Times New Roman" w:hAnsi="Times New Roman" w:eastAsia="宋体" w:cs="Times New Roman"/>
                <w:b/>
                <w:bCs w:val="0"/>
                <w:color w:val="000000"/>
                <w:kern w:val="2"/>
                <w:sz w:val="24"/>
                <w:szCs w:val="24"/>
                <w:bdr w:val="none" w:color="auto" w:sz="0" w:space="0"/>
                <w:lang w:val="en-US" w:eastAsia="zh-CN" w:bidi="ar"/>
              </w:rPr>
              <w:t>G2</w:t>
            </w:r>
            <w:bookmarkEnd w:id="35"/>
            <w:bookmarkEnd w:id="36"/>
            <w:r>
              <w:rPr>
                <w:rFonts w:hint="default" w:ascii="Times New Roman" w:hAnsi="Times New Roman" w:eastAsia="宋体" w:cs="Times New Roman"/>
                <w:b/>
                <w:bCs w:val="0"/>
                <w:color w:val="000000"/>
                <w:kern w:val="2"/>
                <w:sz w:val="24"/>
                <w:szCs w:val="24"/>
                <w:bdr w:val="none" w:color="auto" w:sz="0" w:space="0"/>
                <w:lang w:val="en-US" w:eastAsia="zh-CN" w:bidi="ar"/>
              </w:rPr>
              <w:t xml:space="preserve"> </w:t>
            </w:r>
          </w:p>
          <w:p w14:paraId="43737CD0">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1</w:t>
            </w:r>
            <w:r>
              <w:rPr>
                <w:rFonts w:hint="eastAsia" w:ascii="Times New Roman" w:hAnsi="Times New Roman" w:eastAsia="宋体" w:cs="宋体"/>
                <w:color w:val="000000"/>
                <w:kern w:val="2"/>
                <w:sz w:val="24"/>
                <w:szCs w:val="24"/>
                <w:bdr w:val="none" w:color="auto" w:sz="0" w:space="0"/>
                <w:lang w:val="en-US" w:eastAsia="zh-CN" w:bidi="ar"/>
              </w:rPr>
              <w:t>）产生情况</w:t>
            </w:r>
          </w:p>
          <w:p w14:paraId="5067A7C5">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硅胶泡棉制品生产过程中，需要用背胶处理剂涂覆后以提高硅胶与双面胶的粘接性，涂胶过程会产生有机废气（以非甲烷总烃计）。</w:t>
            </w:r>
          </w:p>
          <w:p w14:paraId="3E233421">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根据业主提供的背胶处理剂</w:t>
            </w:r>
            <w:r>
              <w:rPr>
                <w:rFonts w:hint="default" w:ascii="Times New Roman" w:hAnsi="Times New Roman" w:eastAsia="宋体" w:cs="Times New Roman"/>
                <w:color w:val="000000"/>
                <w:kern w:val="2"/>
                <w:sz w:val="24"/>
                <w:szCs w:val="24"/>
                <w:bdr w:val="none" w:color="auto" w:sz="0" w:space="0"/>
                <w:lang w:val="en-US" w:eastAsia="zh-CN" w:bidi="ar"/>
              </w:rPr>
              <w:t>VOCs</w:t>
            </w:r>
            <w:r>
              <w:rPr>
                <w:rFonts w:hint="eastAsia" w:ascii="Times New Roman" w:hAnsi="Times New Roman" w:eastAsia="宋体" w:cs="宋体"/>
                <w:color w:val="000000"/>
                <w:kern w:val="2"/>
                <w:sz w:val="24"/>
                <w:szCs w:val="24"/>
                <w:bdr w:val="none" w:color="auto" w:sz="0" w:space="0"/>
                <w:lang w:val="en-US" w:eastAsia="zh-CN" w:bidi="ar"/>
              </w:rPr>
              <w:t>监测报告及</w:t>
            </w:r>
            <w:r>
              <w:rPr>
                <w:rFonts w:hint="default" w:ascii="Times New Roman" w:hAnsi="Times New Roman" w:eastAsia="宋体" w:cs="Times New Roman"/>
                <w:color w:val="000000"/>
                <w:kern w:val="2"/>
                <w:sz w:val="24"/>
                <w:szCs w:val="24"/>
                <w:bdr w:val="none" w:color="auto" w:sz="0" w:space="0"/>
                <w:lang w:val="en-US" w:eastAsia="zh-CN" w:bidi="ar"/>
              </w:rPr>
              <w:t>MSDS</w:t>
            </w:r>
            <w:r>
              <w:rPr>
                <w:rFonts w:hint="eastAsia" w:ascii="Times New Roman" w:hAnsi="Times New Roman" w:eastAsia="宋体" w:cs="宋体"/>
                <w:color w:val="000000"/>
                <w:kern w:val="2"/>
                <w:sz w:val="24"/>
                <w:szCs w:val="24"/>
                <w:bdr w:val="none" w:color="auto" w:sz="0" w:space="0"/>
                <w:lang w:val="en-US" w:eastAsia="zh-CN" w:bidi="ar"/>
              </w:rPr>
              <w:t>，背胶处理剂主要成分为：特殊硅氧烷聚合物</w:t>
            </w:r>
            <w:r>
              <w:rPr>
                <w:rFonts w:hint="default" w:ascii="Times New Roman" w:hAnsi="Times New Roman" w:eastAsia="宋体" w:cs="Times New Roman"/>
                <w:color w:val="000000"/>
                <w:kern w:val="2"/>
                <w:sz w:val="24"/>
                <w:szCs w:val="24"/>
                <w:bdr w:val="none" w:color="auto" w:sz="0" w:space="0"/>
                <w:lang w:val="en-US" w:eastAsia="zh-CN" w:bidi="ar"/>
              </w:rPr>
              <w:t>25~35%</w:t>
            </w:r>
            <w:r>
              <w:rPr>
                <w:rFonts w:hint="eastAsia" w:ascii="Times New Roman" w:hAnsi="Times New Roman" w:eastAsia="宋体" w:cs="宋体"/>
                <w:color w:val="000000"/>
                <w:kern w:val="2"/>
                <w:sz w:val="24"/>
                <w:szCs w:val="24"/>
                <w:bdr w:val="none" w:color="auto" w:sz="0" w:space="0"/>
                <w:lang w:val="en-US" w:eastAsia="zh-CN" w:bidi="ar"/>
              </w:rPr>
              <w:t>、偶联剂</w:t>
            </w:r>
            <w:r>
              <w:rPr>
                <w:rFonts w:hint="default" w:ascii="Times New Roman" w:hAnsi="Times New Roman" w:eastAsia="宋体" w:cs="Times New Roman"/>
                <w:color w:val="000000"/>
                <w:kern w:val="2"/>
                <w:sz w:val="24"/>
                <w:szCs w:val="24"/>
                <w:bdr w:val="none" w:color="auto" w:sz="0" w:space="0"/>
                <w:lang w:val="en-US" w:eastAsia="zh-CN" w:bidi="ar"/>
              </w:rPr>
              <w:t>5~10%</w:t>
            </w:r>
            <w:r>
              <w:rPr>
                <w:rFonts w:hint="eastAsia" w:ascii="Times New Roman" w:hAnsi="Times New Roman" w:eastAsia="宋体" w:cs="宋体"/>
                <w:color w:val="000000"/>
                <w:kern w:val="2"/>
                <w:sz w:val="24"/>
                <w:szCs w:val="24"/>
                <w:bdr w:val="none" w:color="auto" w:sz="0" w:space="0"/>
                <w:lang w:val="en-US" w:eastAsia="zh-CN" w:bidi="ar"/>
              </w:rPr>
              <w:t>、正庚烷</w:t>
            </w:r>
            <w:r>
              <w:rPr>
                <w:rFonts w:hint="default" w:ascii="Times New Roman" w:hAnsi="Times New Roman" w:eastAsia="宋体" w:cs="Times New Roman"/>
                <w:color w:val="000000"/>
                <w:kern w:val="2"/>
                <w:sz w:val="24"/>
                <w:szCs w:val="24"/>
                <w:bdr w:val="none" w:color="auto" w:sz="0" w:space="0"/>
                <w:lang w:val="en-US" w:eastAsia="zh-CN" w:bidi="ar"/>
              </w:rPr>
              <w:t>50~60%</w:t>
            </w:r>
            <w:r>
              <w:rPr>
                <w:rFonts w:hint="eastAsia" w:ascii="Times New Roman" w:hAnsi="Times New Roman" w:eastAsia="宋体" w:cs="宋体"/>
                <w:color w:val="000000"/>
                <w:kern w:val="2"/>
                <w:sz w:val="24"/>
                <w:szCs w:val="24"/>
                <w:bdr w:val="none" w:color="auto" w:sz="0" w:space="0"/>
                <w:lang w:val="en-US" w:eastAsia="zh-CN" w:bidi="ar"/>
              </w:rPr>
              <w:t>，考虑环境最坏影响，背胶处理剂可挥发性成分占比取</w:t>
            </w:r>
            <w:r>
              <w:rPr>
                <w:rFonts w:hint="default" w:ascii="Times New Roman" w:hAnsi="Times New Roman" w:eastAsia="宋体" w:cs="Times New Roman"/>
                <w:color w:val="000000"/>
                <w:kern w:val="2"/>
                <w:sz w:val="24"/>
                <w:szCs w:val="24"/>
                <w:bdr w:val="none" w:color="auto" w:sz="0" w:space="0"/>
                <w:lang w:val="en-US" w:eastAsia="zh-CN" w:bidi="ar"/>
              </w:rPr>
              <w:t>70%</w:t>
            </w:r>
            <w:r>
              <w:rPr>
                <w:rFonts w:hint="eastAsia" w:ascii="Times New Roman" w:hAnsi="Times New Roman" w:eastAsia="宋体" w:cs="宋体"/>
                <w:color w:val="000000"/>
                <w:kern w:val="2"/>
                <w:sz w:val="24"/>
                <w:szCs w:val="24"/>
                <w:bdr w:val="none" w:color="auto" w:sz="0" w:space="0"/>
                <w:lang w:val="en-US" w:eastAsia="zh-CN" w:bidi="ar"/>
              </w:rPr>
              <w:t>，环评按全部挥发计算。扩建项目背胶处理剂使用量</w:t>
            </w:r>
            <w:r>
              <w:rPr>
                <w:rFonts w:hint="default" w:ascii="Times New Roman" w:hAnsi="Times New Roman" w:eastAsia="宋体" w:cs="Times New Roman"/>
                <w:color w:val="000000"/>
                <w:kern w:val="2"/>
                <w:sz w:val="24"/>
                <w:szCs w:val="24"/>
                <w:bdr w:val="none" w:color="auto" w:sz="0" w:space="0"/>
                <w:lang w:val="en-US" w:eastAsia="zh-CN" w:bidi="ar"/>
              </w:rPr>
              <w:t>0.9t/a</w:t>
            </w:r>
            <w:r>
              <w:rPr>
                <w:rFonts w:hint="eastAsia" w:ascii="Times New Roman" w:hAnsi="Times New Roman" w:eastAsia="宋体" w:cs="宋体"/>
                <w:color w:val="000000"/>
                <w:kern w:val="2"/>
                <w:sz w:val="24"/>
                <w:szCs w:val="24"/>
                <w:bdr w:val="none" w:color="auto" w:sz="0" w:space="0"/>
                <w:lang w:val="en-US" w:eastAsia="zh-CN" w:bidi="ar"/>
              </w:rPr>
              <w:t>，</w:t>
            </w:r>
            <w:bookmarkStart w:id="37" w:name="OLE_LINK60"/>
            <w:bookmarkStart w:id="38" w:name="OLE_LINK59"/>
            <w:r>
              <w:rPr>
                <w:rFonts w:hint="eastAsia" w:ascii="Times New Roman" w:hAnsi="Times New Roman" w:eastAsia="宋体" w:cs="宋体"/>
                <w:color w:val="000000"/>
                <w:kern w:val="2"/>
                <w:sz w:val="24"/>
                <w:szCs w:val="24"/>
                <w:bdr w:val="none" w:color="auto" w:sz="0" w:space="0"/>
                <w:lang w:val="en-US" w:eastAsia="zh-CN" w:bidi="ar"/>
              </w:rPr>
              <w:t>年工作时间</w:t>
            </w:r>
            <w:r>
              <w:rPr>
                <w:rFonts w:hint="default" w:ascii="Times New Roman" w:hAnsi="Times New Roman" w:eastAsia="宋体" w:cs="Times New Roman"/>
                <w:color w:val="000000"/>
                <w:kern w:val="2"/>
                <w:sz w:val="24"/>
                <w:szCs w:val="24"/>
                <w:bdr w:val="none" w:color="auto" w:sz="0" w:space="0"/>
                <w:lang w:val="en-US" w:eastAsia="zh-CN" w:bidi="ar"/>
              </w:rPr>
              <w:t>4000h</w:t>
            </w:r>
            <w:bookmarkEnd w:id="37"/>
            <w:bookmarkEnd w:id="38"/>
            <w:r>
              <w:rPr>
                <w:rFonts w:hint="eastAsia" w:ascii="Times New Roman" w:hAnsi="Times New Roman" w:eastAsia="宋体" w:cs="宋体"/>
                <w:color w:val="000000"/>
                <w:kern w:val="2"/>
                <w:sz w:val="24"/>
                <w:szCs w:val="24"/>
                <w:bdr w:val="none" w:color="auto" w:sz="0" w:space="0"/>
                <w:lang w:val="en-US" w:eastAsia="zh-CN" w:bidi="ar"/>
              </w:rPr>
              <w:t>，则涂胶工序有机废气（以非甲烷总烃计）产生量约</w:t>
            </w:r>
            <w:r>
              <w:rPr>
                <w:rFonts w:hint="default" w:ascii="Times New Roman" w:hAnsi="Times New Roman" w:eastAsia="宋体" w:cs="Times New Roman"/>
                <w:color w:val="000000"/>
                <w:kern w:val="2"/>
                <w:sz w:val="24"/>
                <w:szCs w:val="24"/>
                <w:bdr w:val="none" w:color="auto" w:sz="0" w:space="0"/>
                <w:lang w:val="en-US" w:eastAsia="zh-CN" w:bidi="ar"/>
              </w:rPr>
              <w:t>0.63t/a</w:t>
            </w:r>
            <w:r>
              <w:rPr>
                <w:rFonts w:hint="eastAsia" w:ascii="Times New Roman" w:hAnsi="Times New Roman" w:eastAsia="宋体" w:cs="宋体"/>
                <w:color w:val="000000"/>
                <w:kern w:val="2"/>
                <w:sz w:val="24"/>
                <w:szCs w:val="24"/>
                <w:bdr w:val="none" w:color="auto" w:sz="0" w:space="0"/>
                <w:lang w:val="en-US" w:eastAsia="zh-CN" w:bidi="ar"/>
              </w:rPr>
              <w:t>。</w:t>
            </w:r>
          </w:p>
          <w:p w14:paraId="6635DD07">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2</w:t>
            </w:r>
            <w:r>
              <w:rPr>
                <w:rFonts w:hint="eastAsia" w:ascii="Times New Roman" w:hAnsi="Times New Roman" w:eastAsia="宋体" w:cs="宋体"/>
                <w:color w:val="000000"/>
                <w:kern w:val="2"/>
                <w:sz w:val="24"/>
                <w:szCs w:val="24"/>
                <w:bdr w:val="none" w:color="auto" w:sz="0" w:space="0"/>
                <w:lang w:val="en-US" w:eastAsia="zh-CN" w:bidi="ar"/>
              </w:rPr>
              <w:t>）处理措施</w:t>
            </w:r>
          </w:p>
          <w:p w14:paraId="78E842CB">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涂胶、激光切割废气收集后一并经“布袋除尘器</w:t>
            </w:r>
            <w:r>
              <w:rPr>
                <w:rFonts w:hint="default" w:ascii="Times New Roman" w:hAnsi="Times New Roman" w:eastAsia="宋体" w:cs="Times New Roman"/>
                <w:color w:val="000000"/>
                <w:kern w:val="2"/>
                <w:sz w:val="24"/>
                <w:szCs w:val="24"/>
                <w:bdr w:val="none" w:color="auto" w:sz="0" w:space="0"/>
                <w:lang w:val="en-US" w:eastAsia="zh-CN" w:bidi="ar"/>
              </w:rPr>
              <w:t>+UV</w:t>
            </w:r>
            <w:r>
              <w:rPr>
                <w:rFonts w:hint="eastAsia" w:ascii="Times New Roman" w:hAnsi="Times New Roman" w:eastAsia="宋体" w:cs="宋体"/>
                <w:color w:val="000000"/>
                <w:kern w:val="2"/>
                <w:sz w:val="24"/>
                <w:szCs w:val="24"/>
                <w:bdr w:val="none" w:color="auto" w:sz="0" w:space="0"/>
                <w:lang w:val="en-US" w:eastAsia="zh-CN" w:bidi="ar"/>
              </w:rPr>
              <w:t>光解</w:t>
            </w:r>
            <w:r>
              <w:rPr>
                <w:rFonts w:hint="default" w:ascii="Times New Roman" w:hAnsi="Times New Roman" w:eastAsia="宋体" w:cs="Times New Roman"/>
                <w:color w:val="000000"/>
                <w:kern w:val="2"/>
                <w:sz w:val="24"/>
                <w:szCs w:val="24"/>
                <w:bdr w:val="none" w:color="auto" w:sz="0" w:space="0"/>
                <w:lang w:val="en-US" w:eastAsia="zh-CN" w:bidi="ar"/>
              </w:rPr>
              <w:t>+</w:t>
            </w:r>
            <w:r>
              <w:rPr>
                <w:rFonts w:hint="eastAsia" w:ascii="Times New Roman" w:hAnsi="Times New Roman" w:eastAsia="宋体" w:cs="宋体"/>
                <w:color w:val="000000"/>
                <w:kern w:val="2"/>
                <w:sz w:val="24"/>
                <w:szCs w:val="24"/>
                <w:bdr w:val="none" w:color="auto" w:sz="0" w:space="0"/>
                <w:lang w:val="en-US" w:eastAsia="zh-CN" w:bidi="ar"/>
              </w:rPr>
              <w:t>二级活性炭吸附”处理后经</w:t>
            </w:r>
            <w:r>
              <w:rPr>
                <w:rFonts w:hint="default" w:ascii="Times New Roman" w:hAnsi="Times New Roman" w:eastAsia="宋体" w:cs="Times New Roman"/>
                <w:color w:val="000000"/>
                <w:kern w:val="2"/>
                <w:sz w:val="24"/>
                <w:szCs w:val="24"/>
                <w:bdr w:val="none" w:color="auto" w:sz="0" w:space="0"/>
                <w:lang w:val="en-US" w:eastAsia="zh-CN" w:bidi="ar"/>
              </w:rPr>
              <w:t>20m</w:t>
            </w:r>
            <w:r>
              <w:rPr>
                <w:rFonts w:hint="eastAsia" w:ascii="Times New Roman" w:hAnsi="Times New Roman" w:eastAsia="宋体" w:cs="宋体"/>
                <w:color w:val="000000"/>
                <w:kern w:val="2"/>
                <w:sz w:val="24"/>
                <w:szCs w:val="24"/>
                <w:bdr w:val="none" w:color="auto" w:sz="0" w:space="0"/>
                <w:lang w:val="en-US" w:eastAsia="zh-CN" w:bidi="ar"/>
              </w:rPr>
              <w:t>高</w:t>
            </w:r>
            <w:r>
              <w:rPr>
                <w:rFonts w:hint="default" w:ascii="Times New Roman" w:hAnsi="Times New Roman" w:eastAsia="宋体" w:cs="Times New Roman"/>
                <w:color w:val="000000"/>
                <w:kern w:val="2"/>
                <w:sz w:val="24"/>
                <w:szCs w:val="24"/>
                <w:bdr w:val="none" w:color="auto" w:sz="0" w:space="0"/>
                <w:lang w:val="en-US" w:eastAsia="zh-CN" w:bidi="ar"/>
              </w:rPr>
              <w:t>DA001</w:t>
            </w:r>
            <w:r>
              <w:rPr>
                <w:rFonts w:hint="eastAsia" w:ascii="Times New Roman" w:hAnsi="Times New Roman" w:eastAsia="宋体" w:cs="宋体"/>
                <w:color w:val="000000"/>
                <w:kern w:val="2"/>
                <w:sz w:val="24"/>
                <w:szCs w:val="24"/>
                <w:bdr w:val="none" w:color="auto" w:sz="0" w:space="0"/>
                <w:lang w:val="en-US" w:eastAsia="zh-CN" w:bidi="ar"/>
              </w:rPr>
              <w:t>排气筒排放，产排情况详见表</w:t>
            </w:r>
            <w:r>
              <w:rPr>
                <w:rFonts w:hint="default" w:ascii="Times New Roman" w:hAnsi="Times New Roman" w:eastAsia="宋体" w:cs="Times New Roman"/>
                <w:color w:val="000000"/>
                <w:kern w:val="2"/>
                <w:sz w:val="24"/>
                <w:szCs w:val="24"/>
                <w:bdr w:val="none" w:color="auto" w:sz="0" w:space="0"/>
                <w:lang w:val="en-US" w:eastAsia="zh-CN" w:bidi="ar"/>
              </w:rPr>
              <w:t>4.1</w:t>
            </w:r>
            <w:r>
              <w:rPr>
                <w:rFonts w:hint="eastAsia" w:ascii="Times New Roman" w:hAnsi="Times New Roman" w:eastAsia="宋体" w:cs="宋体"/>
                <w:color w:val="000000"/>
                <w:kern w:val="2"/>
                <w:sz w:val="24"/>
                <w:szCs w:val="24"/>
                <w:bdr w:val="none" w:color="auto" w:sz="0" w:space="0"/>
                <w:lang w:val="en-US" w:eastAsia="zh-CN" w:bidi="ar"/>
              </w:rPr>
              <w:t>。</w:t>
            </w:r>
          </w:p>
          <w:p w14:paraId="4D4481E4">
            <w:pPr>
              <w:keepNext w:val="0"/>
              <w:keepLines w:val="0"/>
              <w:widowControl w:val="0"/>
              <w:suppressLineNumbers w:val="0"/>
              <w:adjustRightInd w:val="0"/>
              <w:snapToGrid w:val="0"/>
              <w:spacing w:before="0" w:beforeAutospacing="0" w:after="0" w:afterAutospacing="0" w:line="440" w:lineRule="exact"/>
              <w:ind w:left="0" w:right="0" w:firstLine="482" w:firstLineChars="200"/>
              <w:jc w:val="both"/>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b/>
                <w:bCs w:val="0"/>
                <w:color w:val="000000"/>
                <w:kern w:val="2"/>
                <w:sz w:val="24"/>
                <w:szCs w:val="24"/>
                <w:bdr w:val="none" w:color="auto" w:sz="0" w:space="0"/>
                <w:lang w:val="en-US" w:eastAsia="zh-CN" w:bidi="ar"/>
              </w:rPr>
              <w:t>3</w:t>
            </w:r>
            <w:r>
              <w:rPr>
                <w:rFonts w:hint="eastAsia" w:ascii="Times New Roman" w:hAnsi="Times New Roman" w:eastAsia="宋体" w:cs="宋体"/>
                <w:b/>
                <w:bCs w:val="0"/>
                <w:color w:val="000000"/>
                <w:kern w:val="2"/>
                <w:sz w:val="24"/>
                <w:szCs w:val="24"/>
                <w:bdr w:val="none" w:color="auto" w:sz="0" w:space="0"/>
                <w:lang w:val="en-US" w:eastAsia="zh-CN" w:bidi="ar"/>
              </w:rPr>
              <w:t>、激光气化切割废气</w:t>
            </w:r>
            <w:r>
              <w:rPr>
                <w:rFonts w:hint="default" w:ascii="Times New Roman" w:hAnsi="Times New Roman" w:eastAsia="宋体" w:cs="Times New Roman"/>
                <w:b/>
                <w:bCs w:val="0"/>
                <w:color w:val="000000"/>
                <w:kern w:val="2"/>
                <w:sz w:val="24"/>
                <w:szCs w:val="24"/>
                <w:bdr w:val="none" w:color="auto" w:sz="0" w:space="0"/>
                <w:lang w:val="en-US" w:eastAsia="zh-CN" w:bidi="ar"/>
              </w:rPr>
              <w:t>G3</w:t>
            </w:r>
            <w:r>
              <w:rPr>
                <w:rFonts w:hint="default" w:ascii="Times New Roman" w:hAnsi="Times New Roman" w:eastAsia="宋体" w:cs="Times New Roman"/>
                <w:color w:val="000000"/>
                <w:kern w:val="2"/>
                <w:sz w:val="24"/>
                <w:szCs w:val="24"/>
                <w:bdr w:val="none" w:color="auto" w:sz="0" w:space="0"/>
                <w:lang w:val="en-US" w:eastAsia="zh-CN" w:bidi="ar"/>
              </w:rPr>
              <w:t xml:space="preserve"> </w:t>
            </w:r>
          </w:p>
          <w:p w14:paraId="1307F780">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1</w:t>
            </w:r>
            <w:r>
              <w:rPr>
                <w:rFonts w:hint="eastAsia" w:ascii="Times New Roman" w:hAnsi="Times New Roman" w:eastAsia="宋体" w:cs="宋体"/>
                <w:color w:val="000000"/>
                <w:kern w:val="2"/>
                <w:sz w:val="24"/>
                <w:szCs w:val="24"/>
                <w:bdr w:val="none" w:color="auto" w:sz="0" w:space="0"/>
                <w:lang w:val="en-US" w:eastAsia="zh-CN" w:bidi="ar"/>
              </w:rPr>
              <w:t>）产生情况</w:t>
            </w:r>
          </w:p>
          <w:p w14:paraId="1E49DFA8">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bookmarkStart w:id="39" w:name="OLE_LINK53"/>
            <w:bookmarkStart w:id="40" w:name="OLE_LINK52"/>
            <w:r>
              <w:rPr>
                <w:rFonts w:hint="eastAsia" w:ascii="Times New Roman" w:hAnsi="Times New Roman" w:eastAsia="宋体" w:cs="宋体"/>
                <w:color w:val="000000"/>
                <w:kern w:val="2"/>
                <w:sz w:val="24"/>
                <w:szCs w:val="24"/>
                <w:bdr w:val="none" w:color="auto" w:sz="0" w:space="0"/>
                <w:lang w:val="en-US" w:eastAsia="zh-CN" w:bidi="ar"/>
              </w:rPr>
              <w:t>激光气化切割</w:t>
            </w:r>
            <w:bookmarkEnd w:id="39"/>
            <w:bookmarkEnd w:id="40"/>
            <w:r>
              <w:rPr>
                <w:rFonts w:hint="eastAsia" w:ascii="Times New Roman" w:hAnsi="Times New Roman" w:eastAsia="宋体" w:cs="宋体"/>
                <w:color w:val="000000"/>
                <w:kern w:val="2"/>
                <w:sz w:val="24"/>
                <w:szCs w:val="24"/>
                <w:bdr w:val="none" w:color="auto" w:sz="0" w:space="0"/>
                <w:lang w:val="en-US" w:eastAsia="zh-CN" w:bidi="ar"/>
              </w:rPr>
              <w:t>用于网格通风棉（</w:t>
            </w:r>
            <w:r>
              <w:rPr>
                <w:rFonts w:hint="default" w:ascii="Times New Roman" w:hAnsi="Times New Roman" w:eastAsia="宋体" w:cs="Times New Roman"/>
                <w:color w:val="000000"/>
                <w:kern w:val="2"/>
                <w:sz w:val="24"/>
                <w:szCs w:val="24"/>
                <w:bdr w:val="none" w:color="auto" w:sz="0" w:space="0"/>
                <w:lang w:val="en-US" w:eastAsia="zh-CN" w:bidi="ar"/>
              </w:rPr>
              <w:t>PU</w:t>
            </w:r>
            <w:r>
              <w:rPr>
                <w:rFonts w:hint="eastAsia" w:ascii="Times New Roman" w:hAnsi="Times New Roman" w:eastAsia="宋体" w:cs="宋体"/>
                <w:color w:val="000000"/>
                <w:kern w:val="2"/>
                <w:sz w:val="24"/>
                <w:szCs w:val="24"/>
                <w:bdr w:val="none" w:color="auto" w:sz="0" w:space="0"/>
                <w:lang w:val="en-US" w:eastAsia="zh-CN" w:bidi="ar"/>
              </w:rPr>
              <w:t>，主要成分为</w:t>
            </w:r>
            <w:r>
              <w:rPr>
                <w:rFonts w:hint="default" w:ascii="Times New Roman" w:hAnsi="Times New Roman" w:eastAsia="宋体" w:cs="Times New Roman"/>
                <w:color w:val="000000"/>
                <w:kern w:val="2"/>
                <w:sz w:val="24"/>
                <w:szCs w:val="24"/>
                <w:bdr w:val="none" w:color="auto" w:sz="0" w:space="0"/>
                <w:lang w:val="en-US" w:eastAsia="zh-CN" w:bidi="ar"/>
              </w:rPr>
              <w:t>MDI</w:t>
            </w:r>
            <w:r>
              <w:rPr>
                <w:rFonts w:hint="eastAsia" w:ascii="Times New Roman" w:hAnsi="Times New Roman" w:eastAsia="宋体" w:cs="宋体"/>
                <w:color w:val="000000"/>
                <w:kern w:val="2"/>
                <w:sz w:val="24"/>
                <w:szCs w:val="24"/>
                <w:bdr w:val="none" w:color="auto" w:sz="0" w:space="0"/>
                <w:lang w:val="en-US" w:eastAsia="zh-CN" w:bidi="ar"/>
              </w:rPr>
              <w:t>聚氨酯）的切割，年工作时间</w:t>
            </w:r>
            <w:r>
              <w:rPr>
                <w:rFonts w:hint="default" w:ascii="Times New Roman" w:hAnsi="Times New Roman" w:eastAsia="宋体" w:cs="Times New Roman"/>
                <w:color w:val="000000"/>
                <w:kern w:val="2"/>
                <w:sz w:val="24"/>
                <w:szCs w:val="24"/>
                <w:bdr w:val="none" w:color="auto" w:sz="0" w:space="0"/>
                <w:lang w:val="en-US" w:eastAsia="zh-CN" w:bidi="ar"/>
              </w:rPr>
              <w:t>4000h</w:t>
            </w:r>
            <w:r>
              <w:rPr>
                <w:rFonts w:hint="eastAsia" w:ascii="Times New Roman" w:hAnsi="Times New Roman" w:eastAsia="宋体" w:cs="宋体"/>
                <w:color w:val="000000"/>
                <w:kern w:val="2"/>
                <w:sz w:val="24"/>
                <w:szCs w:val="24"/>
                <w:bdr w:val="none" w:color="auto" w:sz="0" w:space="0"/>
                <w:lang w:val="en-US" w:eastAsia="zh-CN" w:bidi="ar"/>
              </w:rPr>
              <w:t>，切割温度约</w:t>
            </w:r>
            <w:r>
              <w:rPr>
                <w:rFonts w:hint="default" w:ascii="Times New Roman" w:hAnsi="Times New Roman" w:eastAsia="宋体" w:cs="Times New Roman"/>
                <w:color w:val="000000"/>
                <w:kern w:val="2"/>
                <w:sz w:val="24"/>
                <w:szCs w:val="24"/>
                <w:bdr w:val="none" w:color="auto" w:sz="0" w:space="0"/>
                <w:lang w:val="en-US" w:eastAsia="zh-CN" w:bidi="ar"/>
              </w:rPr>
              <w:t>1000</w:t>
            </w:r>
            <w:r>
              <w:rPr>
                <w:rFonts w:hint="eastAsia" w:ascii="Times New Roman" w:hAnsi="Times New Roman" w:eastAsia="宋体" w:cs="宋体"/>
                <w:color w:val="000000"/>
                <w:kern w:val="2"/>
                <w:sz w:val="24"/>
                <w:szCs w:val="24"/>
                <w:bdr w:val="none" w:color="auto" w:sz="0" w:space="0"/>
                <w:lang w:val="en-US" w:eastAsia="zh-CN" w:bidi="ar"/>
              </w:rPr>
              <w:t>℃。激光切割机利用高能量、高密度的激光束加热工件，使温度快速升高，材料在短时间内气化形成蒸汽；当这些蒸汽喷出时，材料上会形成一个切口，从而达到切割效果，与光束同轴的辅助气流把气化材料吹走，形成烟尘。</w:t>
            </w:r>
          </w:p>
          <w:p w14:paraId="17B77C7D">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气化过程为物理过程，原料由固态直接变为气态，</w:t>
            </w:r>
            <w:r>
              <w:rPr>
                <w:rFonts w:hint="eastAsia" w:ascii="Calibri" w:hAnsi="Calibri" w:eastAsia="宋体" w:cs="宋体"/>
                <w:color w:val="000000"/>
                <w:kern w:val="0"/>
                <w:sz w:val="24"/>
                <w:szCs w:val="24"/>
                <w:bdr w:val="none" w:color="auto" w:sz="0" w:space="0"/>
                <w:lang w:val="en-US" w:eastAsia="zh-CN" w:bidi="ar"/>
              </w:rPr>
              <w:t>气化部分仍为原材料成分。此过程</w:t>
            </w:r>
            <w:r>
              <w:rPr>
                <w:rFonts w:hint="eastAsia" w:ascii="Times New Roman" w:hAnsi="Times New Roman" w:eastAsia="宋体" w:cs="宋体"/>
                <w:color w:val="000000"/>
                <w:kern w:val="2"/>
                <w:sz w:val="24"/>
                <w:szCs w:val="24"/>
                <w:bdr w:val="none" w:color="auto" w:sz="0" w:space="0"/>
                <w:lang w:val="en-US" w:eastAsia="zh-CN" w:bidi="ar"/>
              </w:rPr>
              <w:t>与燃烧过程产生的污染物截然不同</w:t>
            </w:r>
            <w:bookmarkStart w:id="41" w:name="OLE_LINK51"/>
            <w:bookmarkStart w:id="42" w:name="OLE_LINK50"/>
            <w:r>
              <w:rPr>
                <w:rFonts w:hint="eastAsia" w:ascii="Times New Roman" w:hAnsi="Times New Roman" w:eastAsia="宋体" w:cs="宋体"/>
                <w:color w:val="000000"/>
                <w:kern w:val="2"/>
                <w:sz w:val="24"/>
                <w:szCs w:val="24"/>
                <w:bdr w:val="none" w:color="auto" w:sz="0" w:space="0"/>
                <w:lang w:val="en-US" w:eastAsia="zh-CN" w:bidi="ar"/>
              </w:rPr>
              <w:t>，聚氨酯燃烧过程</w:t>
            </w:r>
            <w:bookmarkEnd w:id="41"/>
            <w:bookmarkEnd w:id="42"/>
            <w:r>
              <w:rPr>
                <w:rFonts w:hint="eastAsia" w:ascii="Times New Roman" w:hAnsi="Times New Roman" w:eastAsia="宋体" w:cs="宋体"/>
                <w:color w:val="000000"/>
                <w:kern w:val="2"/>
                <w:sz w:val="24"/>
                <w:szCs w:val="24"/>
                <w:bdr w:val="none" w:color="auto" w:sz="0" w:space="0"/>
                <w:lang w:val="en-US" w:eastAsia="zh-CN" w:bidi="ar"/>
              </w:rPr>
              <w:t>主要为氧化过程，在不完全燃烧的状态下，由于氧化不彻底产生</w:t>
            </w:r>
            <w:bookmarkStart w:id="43" w:name="OLE_LINK47"/>
            <w:bookmarkStart w:id="44" w:name="OLE_LINK46"/>
            <w:r>
              <w:rPr>
                <w:rFonts w:hint="eastAsia" w:ascii="Times New Roman" w:hAnsi="Times New Roman" w:eastAsia="宋体" w:cs="宋体"/>
                <w:color w:val="000000"/>
                <w:kern w:val="2"/>
                <w:sz w:val="24"/>
                <w:szCs w:val="24"/>
                <w:bdr w:val="none" w:color="auto" w:sz="0" w:space="0"/>
                <w:lang w:val="en-US" w:eastAsia="zh-CN" w:bidi="ar"/>
              </w:rPr>
              <w:t>氰化氢、甲醛、一氧化碳</w:t>
            </w:r>
            <w:bookmarkEnd w:id="43"/>
            <w:bookmarkEnd w:id="44"/>
            <w:r>
              <w:rPr>
                <w:rFonts w:hint="eastAsia" w:ascii="Times New Roman" w:hAnsi="Times New Roman" w:eastAsia="宋体" w:cs="宋体"/>
                <w:color w:val="000000"/>
                <w:kern w:val="2"/>
                <w:sz w:val="24"/>
                <w:szCs w:val="24"/>
                <w:bdr w:val="none" w:color="auto" w:sz="0" w:space="0"/>
                <w:lang w:val="en-US" w:eastAsia="zh-CN" w:bidi="ar"/>
              </w:rPr>
              <w:t>等气体。因此，扩建项目激光气化切割的物理过程不会产生氰化氢、甲醛、一氧化碳等污染物，产生的废气污染物主要为烟尘、</w:t>
            </w:r>
            <w:r>
              <w:rPr>
                <w:rFonts w:hint="default" w:ascii="Times New Roman" w:hAnsi="Times New Roman" w:eastAsia="宋体" w:cs="Times New Roman"/>
                <w:color w:val="000000"/>
                <w:kern w:val="2"/>
                <w:sz w:val="24"/>
                <w:szCs w:val="24"/>
                <w:bdr w:val="none" w:color="auto" w:sz="0" w:space="0"/>
                <w:lang w:val="en-US" w:eastAsia="zh-CN" w:bidi="ar"/>
              </w:rPr>
              <w:t>MDI</w:t>
            </w:r>
            <w:r>
              <w:rPr>
                <w:rFonts w:hint="eastAsia" w:ascii="Times New Roman" w:hAnsi="Times New Roman" w:eastAsia="宋体" w:cs="宋体"/>
                <w:color w:val="000000"/>
                <w:kern w:val="2"/>
                <w:sz w:val="24"/>
                <w:szCs w:val="24"/>
                <w:bdr w:val="none" w:color="auto" w:sz="0" w:space="0"/>
                <w:lang w:val="en-US" w:eastAsia="zh-CN" w:bidi="ar"/>
              </w:rPr>
              <w:t>和有机废气（以非甲烷总烃计）。</w:t>
            </w:r>
          </w:p>
          <w:p w14:paraId="671E288D">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color w:val="000000"/>
                <w:kern w:val="0"/>
                <w:sz w:val="24"/>
                <w:szCs w:val="24"/>
                <w:bdr w:val="none" w:color="auto" w:sz="0" w:space="0"/>
                <w:lang w:val="en-US"/>
              </w:rPr>
            </w:pPr>
            <w:r>
              <w:rPr>
                <w:rFonts w:hint="eastAsia" w:ascii="Calibri" w:hAnsi="Calibri" w:eastAsia="宋体" w:cs="宋体"/>
                <w:color w:val="000000"/>
                <w:kern w:val="0"/>
                <w:sz w:val="24"/>
                <w:szCs w:val="24"/>
                <w:bdr w:val="none" w:color="auto" w:sz="0" w:space="0"/>
                <w:lang w:val="en-US" w:eastAsia="zh-CN" w:bidi="ar"/>
              </w:rPr>
              <w:t>①非甲烷总烃</w:t>
            </w:r>
          </w:p>
          <w:p w14:paraId="7DD333DC">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color w:val="000000"/>
                <w:kern w:val="0"/>
                <w:sz w:val="24"/>
                <w:szCs w:val="24"/>
                <w:bdr w:val="none" w:color="auto" w:sz="0" w:space="0"/>
                <w:lang w:val="en-US"/>
              </w:rPr>
            </w:pPr>
            <w:r>
              <w:rPr>
                <w:rFonts w:hint="eastAsia" w:ascii="Calibri" w:hAnsi="Calibri" w:eastAsia="宋体" w:cs="宋体"/>
                <w:color w:val="000000"/>
                <w:kern w:val="0"/>
                <w:sz w:val="24"/>
                <w:szCs w:val="24"/>
                <w:bdr w:val="none" w:color="auto" w:sz="0" w:space="0"/>
                <w:lang w:val="en-US" w:eastAsia="zh-CN" w:bidi="ar"/>
              </w:rPr>
              <w:t>目前由于国家尚未发布泡棉激光切割废气产排污系数，本次环评为扩建项目，故</w:t>
            </w:r>
            <w:r>
              <w:rPr>
                <w:rFonts w:hint="eastAsia" w:ascii="Calibri" w:hAnsi="宋体" w:eastAsia="宋体" w:cs="宋体"/>
                <w:color w:val="000000"/>
                <w:kern w:val="2"/>
                <w:sz w:val="24"/>
                <w:szCs w:val="24"/>
                <w:bdr w:val="none" w:color="auto" w:sz="0" w:space="0"/>
                <w:lang w:val="en-US" w:eastAsia="zh-CN" w:bidi="ar"/>
              </w:rPr>
              <w:t>非甲烷总烃</w:t>
            </w:r>
            <w:r>
              <w:rPr>
                <w:rFonts w:hint="eastAsia" w:ascii="Times New Roman" w:hAnsi="Times New Roman" w:eastAsia="宋体" w:cs="宋体"/>
                <w:color w:val="000000"/>
                <w:kern w:val="2"/>
                <w:sz w:val="24"/>
                <w:szCs w:val="24"/>
                <w:bdr w:val="none" w:color="auto" w:sz="0" w:space="0"/>
                <w:lang w:val="en-US" w:eastAsia="zh-CN" w:bidi="ar"/>
              </w:rPr>
              <w:t>参照原环评的计算方式，参考《排放源统计调查产排污核算方法和系数手册》（环境部公告</w:t>
            </w:r>
            <w:r>
              <w:rPr>
                <w:rFonts w:hint="default" w:ascii="Times New Roman" w:hAnsi="Times New Roman" w:eastAsia="宋体" w:cs="Times New Roman"/>
                <w:color w:val="000000"/>
                <w:kern w:val="2"/>
                <w:sz w:val="24"/>
                <w:szCs w:val="24"/>
                <w:bdr w:val="none" w:color="auto" w:sz="0" w:space="0"/>
                <w:lang w:val="en-US" w:eastAsia="zh-CN" w:bidi="ar"/>
              </w:rPr>
              <w:t xml:space="preserve"> 2021</w:t>
            </w:r>
            <w:r>
              <w:rPr>
                <w:rFonts w:hint="eastAsia" w:ascii="Times New Roman" w:hAnsi="Times New Roman" w:eastAsia="宋体" w:cs="宋体"/>
                <w:color w:val="000000"/>
                <w:kern w:val="2"/>
                <w:sz w:val="24"/>
                <w:szCs w:val="24"/>
                <w:bdr w:val="none" w:color="auto" w:sz="0" w:space="0"/>
                <w:lang w:val="en-US" w:eastAsia="zh-CN" w:bidi="ar"/>
              </w:rPr>
              <w:t>年第</w:t>
            </w:r>
            <w:r>
              <w:rPr>
                <w:rFonts w:hint="default" w:ascii="Times New Roman" w:hAnsi="Times New Roman" w:eastAsia="宋体" w:cs="Times New Roman"/>
                <w:color w:val="000000"/>
                <w:kern w:val="2"/>
                <w:sz w:val="24"/>
                <w:szCs w:val="24"/>
                <w:bdr w:val="none" w:color="auto" w:sz="0" w:space="0"/>
                <w:lang w:val="en-US" w:eastAsia="zh-CN" w:bidi="ar"/>
              </w:rPr>
              <w:t>24</w:t>
            </w:r>
            <w:r>
              <w:rPr>
                <w:rFonts w:hint="eastAsia" w:ascii="Times New Roman" w:hAnsi="Times New Roman" w:eastAsia="宋体" w:cs="宋体"/>
                <w:color w:val="000000"/>
                <w:kern w:val="2"/>
                <w:sz w:val="24"/>
                <w:szCs w:val="24"/>
                <w:bdr w:val="none" w:color="auto" w:sz="0" w:space="0"/>
                <w:lang w:val="en-US" w:eastAsia="zh-CN" w:bidi="ar"/>
              </w:rPr>
              <w:t>号）中</w:t>
            </w:r>
            <w:r>
              <w:rPr>
                <w:rFonts w:hint="eastAsia" w:ascii="宋体" w:hAnsi="宋体"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 xml:space="preserve">08 </w:t>
            </w:r>
            <w:r>
              <w:rPr>
                <w:rFonts w:hint="eastAsia" w:ascii="Times New Roman" w:hAnsi="Times New Roman" w:eastAsia="宋体" w:cs="宋体"/>
                <w:color w:val="000000"/>
                <w:kern w:val="2"/>
                <w:sz w:val="24"/>
                <w:szCs w:val="24"/>
                <w:bdr w:val="none" w:color="auto" w:sz="0" w:space="0"/>
                <w:lang w:val="en-US" w:eastAsia="zh-CN" w:bidi="ar"/>
              </w:rPr>
              <w:t>树脂纤维加工</w:t>
            </w:r>
            <w:r>
              <w:rPr>
                <w:rFonts w:hint="default" w:ascii="Times New Roman" w:hAnsi="Times New Roman" w:eastAsia="宋体" w:cs="Times New Roman"/>
                <w:color w:val="000000"/>
                <w:kern w:val="2"/>
                <w:sz w:val="24"/>
                <w:szCs w:val="24"/>
                <w:bdr w:val="none" w:color="auto" w:sz="0" w:space="0"/>
                <w:lang w:val="en-US" w:eastAsia="zh-CN" w:bidi="ar"/>
              </w:rPr>
              <w:t>-</w:t>
            </w:r>
            <w:r>
              <w:rPr>
                <w:rFonts w:hint="eastAsia" w:ascii="Times New Roman" w:hAnsi="Times New Roman" w:eastAsia="宋体" w:cs="宋体"/>
                <w:color w:val="000000"/>
                <w:kern w:val="2"/>
                <w:sz w:val="24"/>
                <w:szCs w:val="24"/>
                <w:bdr w:val="none" w:color="auto" w:sz="0" w:space="0"/>
                <w:lang w:val="en-US" w:eastAsia="zh-CN" w:bidi="ar"/>
              </w:rPr>
              <w:t>注塑件、吹塑件、搪塑件、纤维材料</w:t>
            </w:r>
            <w:r>
              <w:rPr>
                <w:rFonts w:hint="eastAsia" w:ascii="宋体" w:hAnsi="宋体" w:eastAsia="宋体" w:cs="宋体"/>
                <w:color w:val="000000"/>
                <w:kern w:val="2"/>
                <w:sz w:val="24"/>
                <w:szCs w:val="24"/>
                <w:bdr w:val="none" w:color="auto" w:sz="0" w:space="0"/>
                <w:lang w:val="en-US" w:eastAsia="zh-CN" w:bidi="ar"/>
              </w:rPr>
              <w:t>”</w:t>
            </w:r>
            <w:r>
              <w:rPr>
                <w:rFonts w:hint="eastAsia" w:ascii="Times New Roman" w:hAnsi="Times New Roman" w:eastAsia="宋体" w:cs="宋体"/>
                <w:color w:val="000000"/>
                <w:kern w:val="2"/>
                <w:sz w:val="24"/>
                <w:szCs w:val="24"/>
                <w:bdr w:val="none" w:color="auto" w:sz="0" w:space="0"/>
                <w:lang w:val="en-US" w:eastAsia="zh-CN" w:bidi="ar"/>
              </w:rPr>
              <w:t>的产污系数进行估算，非甲烷总烃</w:t>
            </w:r>
            <w:r>
              <w:rPr>
                <w:rFonts w:hint="eastAsia" w:ascii="Times New Roman" w:hAnsi="Calibri" w:eastAsia="宋体" w:cs="宋体"/>
                <w:color w:val="000000"/>
                <w:kern w:val="2"/>
                <w:sz w:val="24"/>
                <w:szCs w:val="24"/>
                <w:bdr w:val="none" w:color="auto" w:sz="0" w:space="0"/>
                <w:lang w:val="en-US" w:eastAsia="zh-CN" w:bidi="ar"/>
              </w:rPr>
              <w:t>的产污系数以</w:t>
            </w:r>
            <w:r>
              <w:rPr>
                <w:rFonts w:hint="default" w:ascii="Times New Roman" w:hAnsi="Times New Roman" w:eastAsia="宋体" w:cs="Times New Roman"/>
                <w:color w:val="000000"/>
                <w:kern w:val="2"/>
                <w:sz w:val="24"/>
                <w:szCs w:val="24"/>
                <w:bdr w:val="none" w:color="auto" w:sz="0" w:space="0"/>
                <w:lang w:val="en-US" w:eastAsia="zh-CN" w:bidi="ar"/>
              </w:rPr>
              <w:t>1.2kg/t-</w:t>
            </w:r>
            <w:r>
              <w:rPr>
                <w:rFonts w:hint="eastAsia" w:ascii="Times New Roman" w:hAnsi="Calibri" w:eastAsia="宋体" w:cs="宋体"/>
                <w:color w:val="000000"/>
                <w:kern w:val="2"/>
                <w:sz w:val="24"/>
                <w:szCs w:val="24"/>
                <w:bdr w:val="none" w:color="auto" w:sz="0" w:space="0"/>
                <w:lang w:val="en-US" w:eastAsia="zh-CN" w:bidi="ar"/>
              </w:rPr>
              <w:t>原料计。扩建项目年用</w:t>
            </w:r>
            <w:r>
              <w:rPr>
                <w:rFonts w:hint="default" w:ascii="Times New Roman" w:hAnsi="Times New Roman" w:eastAsia="宋体" w:cs="Times New Roman"/>
                <w:color w:val="000000"/>
                <w:kern w:val="2"/>
                <w:sz w:val="24"/>
                <w:szCs w:val="24"/>
                <w:bdr w:val="none" w:color="auto" w:sz="0" w:space="0"/>
                <w:lang w:val="en-US" w:eastAsia="zh-CN" w:bidi="ar"/>
              </w:rPr>
              <w:t>5000m</w:t>
            </w:r>
            <w:r>
              <w:rPr>
                <w:rFonts w:hint="default" w:ascii="Times New Roman" w:hAnsi="Times New Roman" w:eastAsia="宋体" w:cs="Times New Roman"/>
                <w:color w:val="000000"/>
                <w:kern w:val="2"/>
                <w:sz w:val="24"/>
                <w:szCs w:val="24"/>
                <w:bdr w:val="none" w:color="auto" w:sz="0" w:space="0"/>
                <w:vertAlign w:val="superscript"/>
                <w:lang w:val="en-US" w:eastAsia="zh-CN" w:bidi="ar"/>
              </w:rPr>
              <w:t>2</w:t>
            </w:r>
            <w:r>
              <w:rPr>
                <w:rFonts w:hint="eastAsia" w:ascii="Times New Roman" w:hAnsi="Calibri" w:eastAsia="宋体" w:cs="宋体"/>
                <w:color w:val="000000"/>
                <w:kern w:val="2"/>
                <w:sz w:val="24"/>
                <w:szCs w:val="24"/>
                <w:bdr w:val="none" w:color="auto" w:sz="0" w:space="0"/>
                <w:lang w:val="en-US" w:eastAsia="zh-CN" w:bidi="ar"/>
              </w:rPr>
              <w:t>网格棉</w:t>
            </w:r>
            <w:r>
              <w:rPr>
                <w:rFonts w:hint="eastAsia" w:ascii="Calibri" w:hAnsi="Calibri" w:eastAsia="宋体" w:cs="宋体"/>
                <w:color w:val="000000"/>
                <w:kern w:val="2"/>
                <w:sz w:val="24"/>
                <w:szCs w:val="24"/>
                <w:bdr w:val="none" w:color="auto" w:sz="0" w:space="0"/>
                <w:lang w:val="en-US" w:eastAsia="zh-CN" w:bidi="ar"/>
              </w:rPr>
              <w:t>，</w:t>
            </w:r>
            <w:r>
              <w:rPr>
                <w:rFonts w:hint="eastAsia" w:ascii="Times New Roman" w:hAnsi="Calibri" w:eastAsia="宋体" w:cs="宋体"/>
                <w:color w:val="000000"/>
                <w:kern w:val="2"/>
                <w:sz w:val="24"/>
                <w:szCs w:val="24"/>
                <w:bdr w:val="none" w:color="auto" w:sz="0" w:space="0"/>
                <w:lang w:val="en-US" w:eastAsia="zh-CN" w:bidi="ar"/>
              </w:rPr>
              <w:t>厚度约</w:t>
            </w:r>
            <w:r>
              <w:rPr>
                <w:rFonts w:hint="default" w:ascii="Times New Roman" w:hAnsi="Times New Roman" w:eastAsia="宋体" w:cs="Times New Roman"/>
                <w:color w:val="000000"/>
                <w:kern w:val="2"/>
                <w:sz w:val="24"/>
                <w:szCs w:val="24"/>
                <w:bdr w:val="none" w:color="auto" w:sz="0" w:space="0"/>
                <w:lang w:val="en-US" w:eastAsia="zh-CN" w:bidi="ar"/>
              </w:rPr>
              <w:t>5~8mm</w:t>
            </w:r>
            <w:r>
              <w:rPr>
                <w:rFonts w:hint="eastAsia" w:ascii="Times New Roman" w:hAnsi="Calibri" w:eastAsia="宋体" w:cs="宋体"/>
                <w:color w:val="000000"/>
                <w:kern w:val="2"/>
                <w:sz w:val="24"/>
                <w:szCs w:val="24"/>
                <w:bdr w:val="none" w:color="auto" w:sz="0" w:space="0"/>
                <w:lang w:val="en-US" w:eastAsia="zh-CN" w:bidi="ar"/>
              </w:rPr>
              <w:t>（本评价以</w:t>
            </w:r>
            <w:r>
              <w:rPr>
                <w:rFonts w:hint="default" w:ascii="Times New Roman" w:hAnsi="Times New Roman" w:eastAsia="宋体" w:cs="Times New Roman"/>
                <w:color w:val="000000"/>
                <w:kern w:val="2"/>
                <w:sz w:val="24"/>
                <w:szCs w:val="24"/>
                <w:bdr w:val="none" w:color="auto" w:sz="0" w:space="0"/>
                <w:lang w:val="en-US" w:eastAsia="zh-CN" w:bidi="ar"/>
              </w:rPr>
              <w:t>8mm</w:t>
            </w:r>
            <w:r>
              <w:rPr>
                <w:rFonts w:hint="eastAsia" w:ascii="Times New Roman" w:hAnsi="Calibri" w:eastAsia="宋体" w:cs="宋体"/>
                <w:color w:val="000000"/>
                <w:kern w:val="2"/>
                <w:sz w:val="24"/>
                <w:szCs w:val="24"/>
                <w:bdr w:val="none" w:color="auto" w:sz="0" w:space="0"/>
                <w:lang w:val="en-US" w:eastAsia="zh-CN" w:bidi="ar"/>
              </w:rPr>
              <w:t>厚度核算），网格棉主要成分为聚氨酯，密度为</w:t>
            </w:r>
            <w:r>
              <w:rPr>
                <w:rFonts w:hint="default" w:ascii="Times New Roman" w:hAnsi="Times New Roman" w:eastAsia="宋体" w:cs="Times New Roman"/>
                <w:color w:val="000000"/>
                <w:kern w:val="2"/>
                <w:sz w:val="24"/>
                <w:szCs w:val="24"/>
                <w:bdr w:val="none" w:color="auto" w:sz="0" w:space="0"/>
                <w:lang w:val="en-US" w:eastAsia="zh-CN" w:bidi="ar"/>
              </w:rPr>
              <w:t>685kg/m</w:t>
            </w:r>
            <w:r>
              <w:rPr>
                <w:rFonts w:hint="default" w:ascii="Times New Roman" w:hAnsi="Times New Roman" w:eastAsia="宋体" w:cs="Times New Roman"/>
                <w:color w:val="000000"/>
                <w:kern w:val="2"/>
                <w:sz w:val="24"/>
                <w:szCs w:val="24"/>
                <w:bdr w:val="none" w:color="auto" w:sz="0" w:space="0"/>
                <w:vertAlign w:val="superscript"/>
                <w:lang w:val="en-US" w:eastAsia="zh-CN" w:bidi="ar"/>
              </w:rPr>
              <w:t>3</w:t>
            </w:r>
            <w:r>
              <w:rPr>
                <w:rFonts w:hint="eastAsia" w:ascii="Times New Roman" w:hAnsi="Calibri" w:eastAsia="宋体" w:cs="宋体"/>
                <w:color w:val="000000"/>
                <w:kern w:val="2"/>
                <w:sz w:val="24"/>
                <w:szCs w:val="24"/>
                <w:bdr w:val="none" w:color="auto" w:sz="0" w:space="0"/>
                <w:lang w:val="en-US" w:eastAsia="zh-CN" w:bidi="ar"/>
              </w:rPr>
              <w:t>，预计年切割网格棉</w:t>
            </w:r>
            <w:r>
              <w:rPr>
                <w:rFonts w:hint="default" w:ascii="Times New Roman" w:hAnsi="Times New Roman" w:eastAsia="宋体" w:cs="Times New Roman"/>
                <w:color w:val="000000"/>
                <w:kern w:val="2"/>
                <w:sz w:val="24"/>
                <w:szCs w:val="24"/>
                <w:bdr w:val="none" w:color="auto" w:sz="0" w:space="0"/>
                <w:lang w:val="en-US" w:eastAsia="zh-CN" w:bidi="ar"/>
              </w:rPr>
              <w:t>27.4t</w:t>
            </w:r>
            <w:r>
              <w:rPr>
                <w:rFonts w:hint="eastAsia" w:ascii="Times New Roman" w:hAnsi="Calibri" w:eastAsia="宋体" w:cs="宋体"/>
                <w:color w:val="000000"/>
                <w:kern w:val="2"/>
                <w:sz w:val="24"/>
                <w:szCs w:val="24"/>
                <w:bdr w:val="none" w:color="auto" w:sz="0" w:space="0"/>
                <w:lang w:val="en-US" w:eastAsia="zh-CN" w:bidi="ar"/>
              </w:rPr>
              <w:t>。根据激光气化切割原理，切割机仅对网格棉划线切割，切割过程约有</w:t>
            </w:r>
            <w:r>
              <w:rPr>
                <w:rFonts w:hint="default" w:ascii="Times New Roman" w:hAnsi="Times New Roman" w:eastAsia="宋体" w:cs="Times New Roman"/>
                <w:color w:val="000000"/>
                <w:kern w:val="2"/>
                <w:sz w:val="24"/>
                <w:szCs w:val="24"/>
                <w:bdr w:val="none" w:color="auto" w:sz="0" w:space="0"/>
                <w:lang w:val="en-US" w:eastAsia="zh-CN" w:bidi="ar"/>
              </w:rPr>
              <w:t>3%</w:t>
            </w:r>
            <w:r>
              <w:rPr>
                <w:rFonts w:hint="eastAsia" w:ascii="Times New Roman" w:hAnsi="Calibri" w:eastAsia="宋体" w:cs="宋体"/>
                <w:color w:val="000000"/>
                <w:kern w:val="2"/>
                <w:sz w:val="24"/>
                <w:szCs w:val="24"/>
                <w:bdr w:val="none" w:color="auto" w:sz="0" w:space="0"/>
                <w:lang w:val="en-US" w:eastAsia="zh-CN" w:bidi="ar"/>
              </w:rPr>
              <w:t>的原料被气化，故激光气化切割工序非甲烷总烃产生量约</w:t>
            </w:r>
            <w:r>
              <w:rPr>
                <w:rFonts w:hint="default" w:ascii="Times New Roman" w:hAnsi="Times New Roman" w:eastAsia="宋体" w:cs="Times New Roman"/>
                <w:color w:val="000000"/>
                <w:kern w:val="2"/>
                <w:sz w:val="24"/>
                <w:szCs w:val="24"/>
                <w:bdr w:val="none" w:color="auto" w:sz="0" w:space="0"/>
                <w:lang w:val="en-US" w:eastAsia="zh-CN" w:bidi="ar"/>
              </w:rPr>
              <w:t>0.001t/a</w:t>
            </w:r>
            <w:r>
              <w:rPr>
                <w:rFonts w:hint="eastAsia" w:ascii="Times New Roman" w:hAnsi="Calibri" w:eastAsia="宋体" w:cs="宋体"/>
                <w:color w:val="000000"/>
                <w:kern w:val="2"/>
                <w:sz w:val="24"/>
                <w:szCs w:val="24"/>
                <w:bdr w:val="none" w:color="auto" w:sz="0" w:space="0"/>
                <w:lang w:val="en-US" w:eastAsia="zh-CN" w:bidi="ar"/>
              </w:rPr>
              <w:t>。</w:t>
            </w:r>
          </w:p>
          <w:p w14:paraId="75AB07BE">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color w:val="000000"/>
                <w:kern w:val="0"/>
                <w:sz w:val="24"/>
                <w:szCs w:val="24"/>
                <w:bdr w:val="none" w:color="auto" w:sz="0" w:space="0"/>
                <w:lang w:val="en-US"/>
              </w:rPr>
            </w:pPr>
            <w:r>
              <w:rPr>
                <w:rFonts w:hint="eastAsia" w:ascii="Calibri" w:hAnsi="Calibri" w:eastAsia="宋体" w:cs="宋体"/>
                <w:color w:val="000000"/>
                <w:kern w:val="0"/>
                <w:sz w:val="24"/>
                <w:szCs w:val="24"/>
                <w:bdr w:val="none" w:color="auto" w:sz="0" w:space="0"/>
                <w:lang w:val="en-US" w:eastAsia="zh-CN" w:bidi="ar"/>
              </w:rPr>
              <w:t>②烟尘（颗粒物）</w:t>
            </w:r>
          </w:p>
          <w:p w14:paraId="7C085347">
            <w:pPr>
              <w:keepNext w:val="0"/>
              <w:keepLines w:val="0"/>
              <w:widowControl w:val="0"/>
              <w:suppressLineNumbers w:val="0"/>
              <w:spacing w:before="0" w:beforeAutospacing="0" w:after="0" w:afterAutospacing="0" w:line="460" w:lineRule="exact"/>
              <w:ind w:left="0" w:right="0" w:firstLine="480" w:firstLineChars="200"/>
              <w:jc w:val="both"/>
              <w:rPr>
                <w:rFonts w:hint="default" w:ascii="Times New Roman" w:hAnsi="Calibri" w:cs="Times New Roman"/>
                <w:bCs/>
                <w:color w:val="000000"/>
                <w:sz w:val="24"/>
                <w:szCs w:val="24"/>
                <w:bdr w:val="none" w:color="auto" w:sz="0" w:space="0"/>
                <w:lang w:val="en-US"/>
              </w:rPr>
            </w:pPr>
            <w:r>
              <w:rPr>
                <w:rFonts w:hint="eastAsia" w:ascii="Times New Roman" w:hAnsi="Calibri" w:eastAsia="宋体" w:cs="宋体"/>
                <w:bCs/>
                <w:color w:val="000000"/>
                <w:kern w:val="2"/>
                <w:sz w:val="24"/>
                <w:szCs w:val="24"/>
                <w:bdr w:val="none" w:color="auto" w:sz="0" w:space="0"/>
                <w:lang w:val="en-US" w:eastAsia="zh-CN" w:bidi="ar"/>
              </w:rPr>
              <w:t>激光气化切割的烟尘主要污染物为颗粒物，污染源强参考《排放源统计调查产排污核算方法和系数手册》中的“</w:t>
            </w:r>
            <w:r>
              <w:rPr>
                <w:rFonts w:hint="default" w:ascii="Times New Roman" w:hAnsi="Calibri" w:eastAsia="宋体" w:cs="Times New Roman"/>
                <w:bCs/>
                <w:color w:val="000000"/>
                <w:kern w:val="2"/>
                <w:sz w:val="24"/>
                <w:szCs w:val="24"/>
                <w:bdr w:val="none" w:color="auto" w:sz="0" w:space="0"/>
                <w:lang w:val="en-US" w:eastAsia="zh-CN" w:bidi="ar"/>
              </w:rPr>
              <w:t>33-37,431-434</w:t>
            </w:r>
            <w:r>
              <w:rPr>
                <w:rFonts w:hint="eastAsia" w:ascii="Times New Roman" w:hAnsi="Calibri" w:eastAsia="宋体" w:cs="宋体"/>
                <w:bCs/>
                <w:color w:val="000000"/>
                <w:kern w:val="2"/>
                <w:sz w:val="24"/>
                <w:szCs w:val="24"/>
                <w:bdr w:val="none" w:color="auto" w:sz="0" w:space="0"/>
                <w:lang w:val="en-US" w:eastAsia="zh-CN" w:bidi="ar"/>
              </w:rPr>
              <w:t>机械行业系数手册，</w:t>
            </w:r>
            <w:r>
              <w:rPr>
                <w:rFonts w:hint="default" w:ascii="Times New Roman" w:hAnsi="Calibri" w:eastAsia="宋体" w:cs="Times New Roman"/>
                <w:bCs/>
                <w:color w:val="000000"/>
                <w:kern w:val="2"/>
                <w:sz w:val="24"/>
                <w:szCs w:val="24"/>
                <w:bdr w:val="none" w:color="auto" w:sz="0" w:space="0"/>
                <w:lang w:val="en-US" w:eastAsia="zh-CN" w:bidi="ar"/>
              </w:rPr>
              <w:t>04</w:t>
            </w:r>
            <w:r>
              <w:rPr>
                <w:rFonts w:hint="eastAsia" w:ascii="Times New Roman" w:hAnsi="Calibri" w:eastAsia="宋体" w:cs="宋体"/>
                <w:bCs/>
                <w:color w:val="000000"/>
                <w:kern w:val="2"/>
                <w:sz w:val="24"/>
                <w:szCs w:val="24"/>
                <w:bdr w:val="none" w:color="auto" w:sz="0" w:space="0"/>
                <w:lang w:val="en-US" w:eastAsia="zh-CN" w:bidi="ar"/>
              </w:rPr>
              <w:t>下料等离子切割”颗粒物的产生系数进行估算，</w:t>
            </w:r>
            <w:r>
              <w:rPr>
                <w:rFonts w:hint="eastAsia" w:ascii="Times New Roman" w:hAnsi="Times New Roman" w:eastAsia="宋体" w:cs="宋体"/>
                <w:color w:val="000000"/>
                <w:kern w:val="2"/>
                <w:sz w:val="24"/>
                <w:szCs w:val="24"/>
                <w:bdr w:val="none" w:color="auto" w:sz="0" w:space="0"/>
                <w:lang w:val="en-US" w:eastAsia="zh-CN" w:bidi="ar"/>
              </w:rPr>
              <w:t>颗粒物</w:t>
            </w:r>
            <w:r>
              <w:rPr>
                <w:rFonts w:hint="eastAsia" w:ascii="Times New Roman" w:hAnsi="Calibri" w:eastAsia="宋体" w:cs="宋体"/>
                <w:color w:val="000000"/>
                <w:kern w:val="2"/>
                <w:sz w:val="24"/>
                <w:szCs w:val="24"/>
                <w:bdr w:val="none" w:color="auto" w:sz="0" w:space="0"/>
                <w:lang w:val="en-US" w:eastAsia="zh-CN" w:bidi="ar"/>
              </w:rPr>
              <w:t>的产污系数以</w:t>
            </w:r>
            <w:r>
              <w:rPr>
                <w:rFonts w:hint="default" w:ascii="Times New Roman" w:hAnsi="Times New Roman" w:eastAsia="宋体" w:cs="Times New Roman"/>
                <w:color w:val="000000"/>
                <w:kern w:val="2"/>
                <w:sz w:val="24"/>
                <w:szCs w:val="24"/>
                <w:bdr w:val="none" w:color="auto" w:sz="0" w:space="0"/>
                <w:lang w:val="en-US" w:eastAsia="zh-CN" w:bidi="ar"/>
              </w:rPr>
              <w:t>1.1kg/t-</w:t>
            </w:r>
            <w:r>
              <w:rPr>
                <w:rFonts w:hint="eastAsia" w:ascii="Times New Roman" w:hAnsi="Calibri" w:eastAsia="宋体" w:cs="宋体"/>
                <w:color w:val="000000"/>
                <w:kern w:val="2"/>
                <w:sz w:val="24"/>
                <w:szCs w:val="24"/>
                <w:bdr w:val="none" w:color="auto" w:sz="0" w:space="0"/>
                <w:lang w:val="en-US" w:eastAsia="zh-CN" w:bidi="ar"/>
              </w:rPr>
              <w:t>原料计，预计年切割网格棉</w:t>
            </w:r>
            <w:r>
              <w:rPr>
                <w:rFonts w:hint="default" w:ascii="Times New Roman" w:hAnsi="Times New Roman" w:eastAsia="宋体" w:cs="Times New Roman"/>
                <w:color w:val="000000"/>
                <w:kern w:val="2"/>
                <w:sz w:val="24"/>
                <w:szCs w:val="24"/>
                <w:bdr w:val="none" w:color="auto" w:sz="0" w:space="0"/>
                <w:lang w:val="en-US" w:eastAsia="zh-CN" w:bidi="ar"/>
              </w:rPr>
              <w:t>27.4t</w:t>
            </w:r>
            <w:r>
              <w:rPr>
                <w:rFonts w:hint="eastAsia" w:ascii="Times New Roman" w:hAnsi="Calibri" w:eastAsia="宋体" w:cs="宋体"/>
                <w:color w:val="000000"/>
                <w:kern w:val="2"/>
                <w:sz w:val="24"/>
                <w:szCs w:val="24"/>
                <w:bdr w:val="none" w:color="auto" w:sz="0" w:space="0"/>
                <w:lang w:val="en-US" w:eastAsia="zh-CN" w:bidi="ar"/>
              </w:rPr>
              <w:t>，</w:t>
            </w:r>
            <w:r>
              <w:rPr>
                <w:rFonts w:hint="eastAsia" w:ascii="Times New Roman" w:hAnsi="Calibri" w:eastAsia="宋体" w:cs="宋体"/>
                <w:bCs/>
                <w:color w:val="000000"/>
                <w:kern w:val="2"/>
                <w:sz w:val="24"/>
                <w:szCs w:val="24"/>
                <w:bdr w:val="none" w:color="auto" w:sz="0" w:space="0"/>
                <w:lang w:val="en-US" w:eastAsia="zh-CN" w:bidi="ar"/>
              </w:rPr>
              <w:t>则激光气化切割工序颗粒物产生量约</w:t>
            </w:r>
            <w:r>
              <w:rPr>
                <w:rFonts w:hint="default" w:ascii="Times New Roman" w:hAnsi="Times New Roman" w:eastAsia="宋体" w:cs="Times New Roman"/>
                <w:bCs/>
                <w:color w:val="000000"/>
                <w:kern w:val="2"/>
                <w:sz w:val="24"/>
                <w:szCs w:val="24"/>
                <w:bdr w:val="none" w:color="auto" w:sz="0" w:space="0"/>
                <w:lang w:val="en-US" w:eastAsia="zh-CN" w:bidi="ar"/>
              </w:rPr>
              <w:t>0.031t/a</w:t>
            </w:r>
            <w:r>
              <w:rPr>
                <w:rFonts w:hint="eastAsia" w:ascii="Times New Roman" w:hAnsi="Calibri" w:eastAsia="宋体" w:cs="宋体"/>
                <w:bCs/>
                <w:color w:val="000000"/>
                <w:kern w:val="2"/>
                <w:sz w:val="24"/>
                <w:szCs w:val="24"/>
                <w:bdr w:val="none" w:color="auto" w:sz="0" w:space="0"/>
                <w:lang w:val="en-US" w:eastAsia="zh-CN" w:bidi="ar"/>
              </w:rPr>
              <w:t>。</w:t>
            </w:r>
          </w:p>
          <w:p w14:paraId="636F741B">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bCs/>
                <w:color w:val="000000"/>
                <w:sz w:val="24"/>
                <w:szCs w:val="24"/>
                <w:bdr w:val="none" w:color="auto" w:sz="0" w:space="0"/>
                <w:lang w:val="en-US"/>
              </w:rPr>
            </w:pPr>
            <w:r>
              <w:rPr>
                <w:rFonts w:hint="eastAsia" w:ascii="Calibri" w:hAnsi="Calibri" w:eastAsia="宋体" w:cs="宋体"/>
                <w:color w:val="000000"/>
                <w:kern w:val="0"/>
                <w:sz w:val="24"/>
                <w:szCs w:val="24"/>
                <w:bdr w:val="none" w:color="auto" w:sz="0" w:space="0"/>
                <w:lang w:val="en-US" w:eastAsia="zh-CN" w:bidi="ar"/>
              </w:rPr>
              <w:t>③</w:t>
            </w:r>
            <w:r>
              <w:rPr>
                <w:rFonts w:hint="default" w:ascii="Times New Roman" w:hAnsi="Calibri" w:eastAsia="宋体" w:cs="Times New Roman"/>
                <w:bCs/>
                <w:color w:val="000000"/>
                <w:kern w:val="2"/>
                <w:sz w:val="24"/>
                <w:szCs w:val="24"/>
                <w:bdr w:val="none" w:color="auto" w:sz="0" w:space="0"/>
                <w:lang w:val="en-US" w:eastAsia="zh-CN" w:bidi="ar"/>
              </w:rPr>
              <w:t>MDI</w:t>
            </w:r>
          </w:p>
          <w:p w14:paraId="2ED0B323">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bCs/>
                <w:color w:val="000000"/>
                <w:sz w:val="24"/>
                <w:szCs w:val="24"/>
                <w:bdr w:val="none" w:color="auto" w:sz="0" w:space="0"/>
                <w:lang w:val="en-US"/>
              </w:rPr>
            </w:pPr>
            <w:r>
              <w:rPr>
                <w:rFonts w:hint="eastAsia" w:ascii="Times New Roman" w:hAnsi="Calibri" w:eastAsia="宋体" w:cs="宋体"/>
                <w:bCs/>
                <w:color w:val="000000"/>
                <w:kern w:val="2"/>
                <w:sz w:val="24"/>
                <w:szCs w:val="24"/>
                <w:bdr w:val="none" w:color="auto" w:sz="0" w:space="0"/>
                <w:lang w:val="en-US" w:eastAsia="zh-CN" w:bidi="ar"/>
              </w:rPr>
              <w:t>激光气化切割产生的</w:t>
            </w:r>
            <w:r>
              <w:rPr>
                <w:rFonts w:hint="default" w:ascii="Times New Roman" w:hAnsi="Calibri" w:eastAsia="宋体" w:cs="Times New Roman"/>
                <w:bCs/>
                <w:color w:val="000000"/>
                <w:kern w:val="2"/>
                <w:sz w:val="24"/>
                <w:szCs w:val="24"/>
                <w:bdr w:val="none" w:color="auto" w:sz="0" w:space="0"/>
                <w:lang w:val="en-US" w:eastAsia="zh-CN" w:bidi="ar"/>
              </w:rPr>
              <w:t>MDI</w:t>
            </w:r>
            <w:r>
              <w:rPr>
                <w:rFonts w:hint="eastAsia" w:ascii="Times New Roman" w:hAnsi="Calibri" w:eastAsia="宋体" w:cs="宋体"/>
                <w:bCs/>
                <w:color w:val="000000"/>
                <w:kern w:val="2"/>
                <w:sz w:val="24"/>
                <w:szCs w:val="24"/>
                <w:bdr w:val="none" w:color="auto" w:sz="0" w:space="0"/>
                <w:lang w:val="en-US" w:eastAsia="zh-CN" w:bidi="ar"/>
              </w:rPr>
              <w:t>，目前国家尚未发布相关</w:t>
            </w:r>
            <w:r>
              <w:rPr>
                <w:rFonts w:hint="eastAsia" w:ascii="Calibri" w:hAnsi="Calibri" w:eastAsia="宋体" w:cs="宋体"/>
                <w:color w:val="000000"/>
                <w:kern w:val="0"/>
                <w:sz w:val="24"/>
                <w:szCs w:val="24"/>
                <w:bdr w:val="none" w:color="auto" w:sz="0" w:space="0"/>
                <w:lang w:val="en-US" w:eastAsia="zh-CN" w:bidi="ar"/>
              </w:rPr>
              <w:t>产排污系数，同时无</w:t>
            </w:r>
            <w:r>
              <w:rPr>
                <w:rFonts w:hint="eastAsia" w:ascii="Times New Roman" w:hAnsi="Calibri" w:eastAsia="宋体" w:cs="宋体"/>
                <w:bCs/>
                <w:color w:val="000000"/>
                <w:kern w:val="2"/>
                <w:sz w:val="24"/>
                <w:szCs w:val="24"/>
                <w:bdr w:val="none" w:color="auto" w:sz="0" w:space="0"/>
                <w:lang w:val="en-US" w:eastAsia="zh-CN" w:bidi="ar"/>
              </w:rPr>
              <w:t>相关监测数据参考，</w:t>
            </w:r>
            <w:r>
              <w:rPr>
                <w:rFonts w:hint="eastAsia" w:ascii="Calibri" w:hAnsi="Calibri" w:eastAsia="宋体" w:cs="宋体"/>
                <w:color w:val="000000"/>
                <w:kern w:val="0"/>
                <w:sz w:val="24"/>
                <w:szCs w:val="24"/>
                <w:bdr w:val="none" w:color="auto" w:sz="0" w:space="0"/>
                <w:lang w:val="en-US" w:eastAsia="zh-CN" w:bidi="ar"/>
              </w:rPr>
              <w:t>本次环评为扩建项目，故</w:t>
            </w:r>
            <w:r>
              <w:rPr>
                <w:rFonts w:hint="default" w:ascii="Times New Roman" w:hAnsi="Calibri" w:eastAsia="宋体" w:cs="Times New Roman"/>
                <w:bCs/>
                <w:color w:val="000000"/>
                <w:kern w:val="2"/>
                <w:sz w:val="24"/>
                <w:szCs w:val="24"/>
                <w:bdr w:val="none" w:color="auto" w:sz="0" w:space="0"/>
                <w:lang w:val="en-US" w:eastAsia="zh-CN" w:bidi="ar"/>
              </w:rPr>
              <w:t>MDI</w:t>
            </w:r>
            <w:r>
              <w:rPr>
                <w:rFonts w:hint="eastAsia" w:ascii="Times New Roman" w:hAnsi="Calibri" w:eastAsia="宋体" w:cs="宋体"/>
                <w:bCs/>
                <w:color w:val="000000"/>
                <w:kern w:val="2"/>
                <w:sz w:val="24"/>
                <w:szCs w:val="24"/>
                <w:bdr w:val="none" w:color="auto" w:sz="0" w:space="0"/>
                <w:lang w:val="en-US" w:eastAsia="zh-CN" w:bidi="ar"/>
              </w:rPr>
              <w:t>产污源强采用类别原环评的方式进行计算。原环评切割</w:t>
            </w:r>
            <w:r>
              <w:rPr>
                <w:rFonts w:hint="eastAsia" w:ascii="Times New Roman" w:hAnsi="Calibri" w:eastAsia="宋体" w:cs="宋体"/>
                <w:color w:val="000000"/>
                <w:kern w:val="2"/>
                <w:sz w:val="24"/>
                <w:szCs w:val="24"/>
                <w:bdr w:val="none" w:color="auto" w:sz="0" w:space="0"/>
                <w:lang w:val="en-US" w:eastAsia="zh-CN" w:bidi="ar"/>
              </w:rPr>
              <w:t>切割网格棉</w:t>
            </w:r>
            <w:r>
              <w:rPr>
                <w:rFonts w:hint="default" w:ascii="Times New Roman" w:hAnsi="Times New Roman" w:eastAsia="宋体" w:cs="Times New Roman"/>
                <w:color w:val="000000"/>
                <w:kern w:val="2"/>
                <w:sz w:val="24"/>
                <w:szCs w:val="24"/>
                <w:bdr w:val="none" w:color="auto" w:sz="0" w:space="0"/>
                <w:lang w:val="en-US" w:eastAsia="zh-CN" w:bidi="ar"/>
              </w:rPr>
              <w:t>5.754t</w:t>
            </w:r>
            <w:r>
              <w:rPr>
                <w:rFonts w:hint="eastAsia" w:ascii="Times New Roman" w:hAnsi="Calibri" w:eastAsia="宋体" w:cs="宋体"/>
                <w:color w:val="000000"/>
                <w:kern w:val="2"/>
                <w:sz w:val="24"/>
                <w:szCs w:val="24"/>
                <w:bdr w:val="none" w:color="auto" w:sz="0" w:space="0"/>
                <w:lang w:val="en-US" w:eastAsia="zh-CN" w:bidi="ar"/>
              </w:rPr>
              <w:t>，</w:t>
            </w:r>
            <w:r>
              <w:rPr>
                <w:rFonts w:hint="default" w:ascii="Times New Roman" w:hAnsi="Calibri" w:eastAsia="宋体" w:cs="Times New Roman"/>
                <w:color w:val="000000"/>
                <w:kern w:val="2"/>
                <w:sz w:val="24"/>
                <w:szCs w:val="24"/>
                <w:bdr w:val="none" w:color="auto" w:sz="0" w:space="0"/>
                <w:lang w:val="en-US" w:eastAsia="zh-CN" w:bidi="ar"/>
              </w:rPr>
              <w:t>MDI</w:t>
            </w:r>
            <w:r>
              <w:rPr>
                <w:rFonts w:hint="eastAsia" w:ascii="Times New Roman" w:hAnsi="Calibri" w:eastAsia="宋体" w:cs="宋体"/>
                <w:color w:val="000000"/>
                <w:kern w:val="2"/>
                <w:sz w:val="24"/>
                <w:szCs w:val="24"/>
                <w:bdr w:val="none" w:color="auto" w:sz="0" w:space="0"/>
                <w:lang w:val="en-US" w:eastAsia="zh-CN" w:bidi="ar"/>
              </w:rPr>
              <w:t>产生量约</w:t>
            </w:r>
            <w:r>
              <w:rPr>
                <w:rFonts w:hint="default" w:ascii="Times New Roman" w:hAnsi="Calibri" w:eastAsia="宋体" w:cs="Times New Roman"/>
                <w:color w:val="000000"/>
                <w:kern w:val="2"/>
                <w:sz w:val="24"/>
                <w:szCs w:val="24"/>
                <w:bdr w:val="none" w:color="auto" w:sz="0" w:space="0"/>
                <w:lang w:val="en-US" w:eastAsia="zh-CN" w:bidi="ar"/>
              </w:rPr>
              <w:t>0.037t/a</w:t>
            </w:r>
            <w:r>
              <w:rPr>
                <w:rFonts w:hint="eastAsia" w:ascii="Times New Roman" w:hAnsi="Calibri" w:eastAsia="宋体" w:cs="宋体"/>
                <w:color w:val="000000"/>
                <w:kern w:val="2"/>
                <w:sz w:val="24"/>
                <w:szCs w:val="24"/>
                <w:bdr w:val="none" w:color="auto" w:sz="0" w:space="0"/>
                <w:lang w:val="en-US" w:eastAsia="zh-CN" w:bidi="ar"/>
              </w:rPr>
              <w:t>，本次环评切割网格棉</w:t>
            </w:r>
            <w:r>
              <w:rPr>
                <w:rFonts w:hint="default" w:ascii="Times New Roman" w:hAnsi="Times New Roman" w:eastAsia="宋体" w:cs="Times New Roman"/>
                <w:color w:val="000000"/>
                <w:kern w:val="2"/>
                <w:sz w:val="24"/>
                <w:szCs w:val="24"/>
                <w:bdr w:val="none" w:color="auto" w:sz="0" w:space="0"/>
                <w:lang w:val="en-US" w:eastAsia="zh-CN" w:bidi="ar"/>
              </w:rPr>
              <w:t>27.4t</w:t>
            </w:r>
            <w:r>
              <w:rPr>
                <w:rFonts w:hint="eastAsia" w:ascii="Times New Roman" w:hAnsi="Times New Roman" w:eastAsia="宋体" w:cs="宋体"/>
                <w:color w:val="000000"/>
                <w:kern w:val="2"/>
                <w:sz w:val="24"/>
                <w:szCs w:val="24"/>
                <w:bdr w:val="none" w:color="auto" w:sz="0" w:space="0"/>
                <w:lang w:val="en-US" w:eastAsia="zh-CN" w:bidi="ar"/>
              </w:rPr>
              <w:t>，则</w:t>
            </w:r>
            <w:r>
              <w:rPr>
                <w:rFonts w:hint="default" w:ascii="Times New Roman" w:hAnsi="Times New Roman" w:eastAsia="宋体" w:cs="Times New Roman"/>
                <w:color w:val="000000"/>
                <w:kern w:val="2"/>
                <w:sz w:val="24"/>
                <w:szCs w:val="24"/>
                <w:bdr w:val="none" w:color="auto" w:sz="0" w:space="0"/>
                <w:lang w:val="en-US" w:eastAsia="zh-CN" w:bidi="ar"/>
              </w:rPr>
              <w:t>MDI</w:t>
            </w:r>
            <w:r>
              <w:rPr>
                <w:rFonts w:hint="eastAsia" w:ascii="Times New Roman" w:hAnsi="Times New Roman" w:eastAsia="宋体" w:cs="宋体"/>
                <w:color w:val="000000"/>
                <w:kern w:val="2"/>
                <w:sz w:val="24"/>
                <w:szCs w:val="24"/>
                <w:bdr w:val="none" w:color="auto" w:sz="0" w:space="0"/>
                <w:lang w:val="en-US" w:eastAsia="zh-CN" w:bidi="ar"/>
              </w:rPr>
              <w:t>产生量约</w:t>
            </w:r>
            <w:r>
              <w:rPr>
                <w:rFonts w:hint="default" w:ascii="Times New Roman" w:hAnsi="Times New Roman" w:eastAsia="宋体" w:cs="Times New Roman"/>
                <w:color w:val="000000"/>
                <w:kern w:val="2"/>
                <w:sz w:val="24"/>
                <w:szCs w:val="24"/>
                <w:bdr w:val="none" w:color="auto" w:sz="0" w:space="0"/>
                <w:lang w:val="en-US" w:eastAsia="zh-CN" w:bidi="ar"/>
              </w:rPr>
              <w:t>0.176t/a</w:t>
            </w:r>
            <w:r>
              <w:rPr>
                <w:rFonts w:hint="eastAsia" w:ascii="Times New Roman" w:hAnsi="Times New Roman" w:eastAsia="宋体" w:cs="宋体"/>
                <w:color w:val="000000"/>
                <w:kern w:val="2"/>
                <w:sz w:val="24"/>
                <w:szCs w:val="24"/>
                <w:bdr w:val="none" w:color="auto" w:sz="0" w:space="0"/>
                <w:lang w:val="en-US" w:eastAsia="zh-CN" w:bidi="ar"/>
              </w:rPr>
              <w:t>。</w:t>
            </w:r>
          </w:p>
          <w:p w14:paraId="3D2C40C6">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2</w:t>
            </w:r>
            <w:r>
              <w:rPr>
                <w:rFonts w:hint="eastAsia" w:ascii="Times New Roman" w:hAnsi="Times New Roman" w:eastAsia="宋体" w:cs="宋体"/>
                <w:color w:val="000000"/>
                <w:kern w:val="2"/>
                <w:sz w:val="24"/>
                <w:szCs w:val="24"/>
                <w:bdr w:val="none" w:color="auto" w:sz="0" w:space="0"/>
                <w:lang w:val="en-US" w:eastAsia="zh-CN" w:bidi="ar"/>
              </w:rPr>
              <w:t>）处理措施</w:t>
            </w:r>
          </w:p>
          <w:p w14:paraId="035105A3">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激光切割废气与涂胶废气收集后一并经“布袋除尘</w:t>
            </w:r>
            <w:r>
              <w:rPr>
                <w:rFonts w:hint="default" w:ascii="Times New Roman" w:hAnsi="Times New Roman" w:eastAsia="宋体" w:cs="Times New Roman"/>
                <w:color w:val="000000"/>
                <w:kern w:val="2"/>
                <w:sz w:val="24"/>
                <w:szCs w:val="24"/>
                <w:bdr w:val="none" w:color="auto" w:sz="0" w:space="0"/>
                <w:lang w:val="en-US" w:eastAsia="zh-CN" w:bidi="ar"/>
              </w:rPr>
              <w:t>+UV</w:t>
            </w:r>
            <w:r>
              <w:rPr>
                <w:rFonts w:hint="eastAsia" w:ascii="Times New Roman" w:hAnsi="Times New Roman" w:eastAsia="宋体" w:cs="宋体"/>
                <w:color w:val="000000"/>
                <w:kern w:val="2"/>
                <w:sz w:val="24"/>
                <w:szCs w:val="24"/>
                <w:bdr w:val="none" w:color="auto" w:sz="0" w:space="0"/>
                <w:lang w:val="en-US" w:eastAsia="zh-CN" w:bidi="ar"/>
              </w:rPr>
              <w:t>光解</w:t>
            </w:r>
            <w:r>
              <w:rPr>
                <w:rFonts w:hint="default" w:ascii="Times New Roman" w:hAnsi="Times New Roman" w:eastAsia="宋体" w:cs="Times New Roman"/>
                <w:color w:val="000000"/>
                <w:kern w:val="2"/>
                <w:sz w:val="24"/>
                <w:szCs w:val="24"/>
                <w:bdr w:val="none" w:color="auto" w:sz="0" w:space="0"/>
                <w:lang w:val="en-US" w:eastAsia="zh-CN" w:bidi="ar"/>
              </w:rPr>
              <w:t>+</w:t>
            </w:r>
            <w:r>
              <w:rPr>
                <w:rFonts w:hint="eastAsia" w:ascii="Times New Roman" w:hAnsi="Times New Roman" w:eastAsia="宋体" w:cs="宋体"/>
                <w:color w:val="000000"/>
                <w:kern w:val="2"/>
                <w:sz w:val="24"/>
                <w:szCs w:val="24"/>
                <w:bdr w:val="none" w:color="auto" w:sz="0" w:space="0"/>
                <w:lang w:val="en-US" w:eastAsia="zh-CN" w:bidi="ar"/>
              </w:rPr>
              <w:t>二级活性炭吸附”处理后经</w:t>
            </w:r>
            <w:r>
              <w:rPr>
                <w:rFonts w:hint="default" w:ascii="Times New Roman" w:hAnsi="Times New Roman" w:eastAsia="宋体" w:cs="Times New Roman"/>
                <w:color w:val="000000"/>
                <w:kern w:val="2"/>
                <w:sz w:val="24"/>
                <w:szCs w:val="24"/>
                <w:bdr w:val="none" w:color="auto" w:sz="0" w:space="0"/>
                <w:lang w:val="en-US" w:eastAsia="zh-CN" w:bidi="ar"/>
              </w:rPr>
              <w:t>20m</w:t>
            </w:r>
            <w:r>
              <w:rPr>
                <w:rFonts w:hint="eastAsia" w:ascii="Times New Roman" w:hAnsi="Times New Roman" w:eastAsia="宋体" w:cs="宋体"/>
                <w:color w:val="000000"/>
                <w:kern w:val="2"/>
                <w:sz w:val="24"/>
                <w:szCs w:val="24"/>
                <w:bdr w:val="none" w:color="auto" w:sz="0" w:space="0"/>
                <w:lang w:val="en-US" w:eastAsia="zh-CN" w:bidi="ar"/>
              </w:rPr>
              <w:t>高</w:t>
            </w:r>
            <w:r>
              <w:rPr>
                <w:rFonts w:hint="default" w:ascii="Times New Roman" w:hAnsi="Times New Roman" w:eastAsia="宋体" w:cs="Times New Roman"/>
                <w:color w:val="000000"/>
                <w:kern w:val="2"/>
                <w:sz w:val="24"/>
                <w:szCs w:val="24"/>
                <w:bdr w:val="none" w:color="auto" w:sz="0" w:space="0"/>
                <w:lang w:val="en-US" w:eastAsia="zh-CN" w:bidi="ar"/>
              </w:rPr>
              <w:t>DA001</w:t>
            </w:r>
            <w:r>
              <w:rPr>
                <w:rFonts w:hint="eastAsia" w:ascii="Times New Roman" w:hAnsi="Times New Roman" w:eastAsia="宋体" w:cs="宋体"/>
                <w:color w:val="000000"/>
                <w:kern w:val="2"/>
                <w:sz w:val="24"/>
                <w:szCs w:val="24"/>
                <w:bdr w:val="none" w:color="auto" w:sz="0" w:space="0"/>
                <w:lang w:val="en-US" w:eastAsia="zh-CN" w:bidi="ar"/>
              </w:rPr>
              <w:t>排气筒排放。</w:t>
            </w:r>
          </w:p>
          <w:p w14:paraId="7483B611">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Calibri" w:hAnsi="Calibri" w:eastAsia="宋体" w:cs="宋体"/>
                <w:color w:val="000000"/>
                <w:kern w:val="2"/>
                <w:sz w:val="24"/>
                <w:szCs w:val="24"/>
                <w:bdr w:val="none" w:color="auto" w:sz="0" w:space="0"/>
                <w:lang w:val="en-US" w:eastAsia="zh-CN" w:bidi="ar"/>
              </w:rPr>
              <w:t>厂区激光切割工序现有废气治理</w:t>
            </w:r>
            <w:r>
              <w:rPr>
                <w:rFonts w:hint="eastAsia" w:ascii="Times New Roman" w:hAnsi="宋体" w:eastAsia="宋体" w:cs="宋体"/>
                <w:color w:val="000000"/>
                <w:kern w:val="2"/>
                <w:sz w:val="24"/>
                <w:szCs w:val="24"/>
                <w:bdr w:val="none" w:color="auto" w:sz="0" w:space="0"/>
                <w:lang w:val="en-US" w:eastAsia="zh-CN" w:bidi="ar"/>
              </w:rPr>
              <w:t>设施配套</w:t>
            </w:r>
            <w:r>
              <w:rPr>
                <w:rFonts w:hint="default" w:ascii="Times New Roman" w:hAnsi="宋体" w:eastAsia="宋体" w:cs="Times New Roman"/>
                <w:color w:val="000000"/>
                <w:kern w:val="2"/>
                <w:sz w:val="24"/>
                <w:szCs w:val="24"/>
                <w:bdr w:val="none" w:color="auto" w:sz="0" w:space="0"/>
                <w:lang w:val="en-US" w:eastAsia="zh-CN" w:bidi="ar"/>
              </w:rPr>
              <w:t>5000</w:t>
            </w:r>
            <w:r>
              <w:rPr>
                <w:rFonts w:hint="default" w:ascii="Times New Roman" w:hAnsi="Times New Roman" w:eastAsia="宋体" w:cs="Times New Roman"/>
                <w:color w:val="000000"/>
                <w:kern w:val="0"/>
                <w:sz w:val="21"/>
                <w:szCs w:val="21"/>
                <w:bdr w:val="none" w:color="auto" w:sz="0" w:space="0"/>
                <w:lang w:val="en-US" w:eastAsia="zh-CN" w:bidi="ar"/>
              </w:rPr>
              <w:t>m</w:t>
            </w:r>
            <w:r>
              <w:rPr>
                <w:rFonts w:hint="default" w:ascii="Times New Roman" w:hAnsi="Times New Roman" w:eastAsia="宋体" w:cs="Times New Roman"/>
                <w:color w:val="000000"/>
                <w:kern w:val="0"/>
                <w:sz w:val="21"/>
                <w:szCs w:val="21"/>
                <w:bdr w:val="none" w:color="auto" w:sz="0" w:space="0"/>
                <w:vertAlign w:val="superscript"/>
                <w:lang w:val="en-US" w:eastAsia="zh-CN" w:bidi="ar"/>
              </w:rPr>
              <w:t>3</w:t>
            </w:r>
            <w:r>
              <w:rPr>
                <w:rFonts w:hint="default" w:ascii="Times New Roman" w:hAnsi="Times New Roman" w:eastAsia="宋体" w:cs="Times New Roman"/>
                <w:color w:val="000000"/>
                <w:kern w:val="0"/>
                <w:sz w:val="21"/>
                <w:szCs w:val="21"/>
                <w:bdr w:val="none" w:color="auto" w:sz="0" w:space="0"/>
                <w:lang w:val="en-US" w:eastAsia="zh-CN" w:bidi="ar"/>
              </w:rPr>
              <w:t>/h</w:t>
            </w:r>
            <w:r>
              <w:rPr>
                <w:rFonts w:hint="eastAsia" w:ascii="Times New Roman" w:hAnsi="Times New Roman" w:eastAsia="宋体" w:cs="宋体"/>
                <w:color w:val="000000"/>
                <w:kern w:val="0"/>
                <w:sz w:val="24"/>
                <w:szCs w:val="24"/>
                <w:bdr w:val="none" w:color="auto" w:sz="0" w:space="0"/>
                <w:lang w:val="en-US" w:eastAsia="zh-CN" w:bidi="ar"/>
              </w:rPr>
              <w:t>风机</w:t>
            </w:r>
            <w:r>
              <w:rPr>
                <w:rFonts w:hint="eastAsia" w:ascii="Calibri" w:hAnsi="Calibri" w:eastAsia="宋体" w:cs="宋体"/>
                <w:color w:val="000000"/>
                <w:kern w:val="2"/>
                <w:sz w:val="24"/>
                <w:szCs w:val="24"/>
                <w:bdr w:val="none" w:color="auto" w:sz="0" w:space="0"/>
                <w:lang w:val="en-US" w:eastAsia="zh-CN" w:bidi="ar"/>
              </w:rPr>
              <w:t>，</w:t>
            </w:r>
            <w:r>
              <w:rPr>
                <w:rFonts w:hint="eastAsia" w:ascii="Times New Roman" w:hAnsi="Calibri" w:eastAsia="宋体" w:cs="宋体"/>
                <w:color w:val="000000"/>
                <w:kern w:val="2"/>
                <w:sz w:val="24"/>
                <w:szCs w:val="24"/>
                <w:bdr w:val="none" w:color="auto" w:sz="0" w:space="0"/>
                <w:lang w:val="en-US" w:eastAsia="zh-CN" w:bidi="ar"/>
              </w:rPr>
              <w:t>根据企业</w:t>
            </w:r>
            <w:r>
              <w:rPr>
                <w:rFonts w:hint="default" w:ascii="Times New Roman" w:hAnsi="Calibri" w:eastAsia="宋体" w:cs="Times New Roman"/>
                <w:color w:val="000000"/>
                <w:kern w:val="2"/>
                <w:sz w:val="24"/>
                <w:szCs w:val="24"/>
                <w:bdr w:val="none" w:color="auto" w:sz="0" w:space="0"/>
                <w:lang w:val="en-US" w:eastAsia="zh-CN" w:bidi="ar"/>
              </w:rPr>
              <w:t>2023</w:t>
            </w:r>
            <w:r>
              <w:rPr>
                <w:rFonts w:hint="eastAsia" w:ascii="Times New Roman" w:hAnsi="Calibri" w:eastAsia="宋体" w:cs="宋体"/>
                <w:color w:val="000000"/>
                <w:kern w:val="2"/>
                <w:sz w:val="24"/>
                <w:szCs w:val="24"/>
                <w:bdr w:val="none" w:color="auto" w:sz="0" w:space="0"/>
                <w:lang w:val="en-US" w:eastAsia="zh-CN" w:bidi="ar"/>
              </w:rPr>
              <w:t>年</w:t>
            </w:r>
            <w:r>
              <w:rPr>
                <w:rFonts w:hint="default" w:ascii="Times New Roman" w:hAnsi="Calibri" w:eastAsia="宋体" w:cs="Times New Roman"/>
                <w:color w:val="000000"/>
                <w:kern w:val="2"/>
                <w:sz w:val="24"/>
                <w:szCs w:val="24"/>
                <w:bdr w:val="none" w:color="auto" w:sz="0" w:space="0"/>
                <w:lang w:val="en-US" w:eastAsia="zh-CN" w:bidi="ar"/>
              </w:rPr>
              <w:t>12</w:t>
            </w:r>
            <w:r>
              <w:rPr>
                <w:rFonts w:hint="eastAsia" w:ascii="Times New Roman" w:hAnsi="Calibri" w:eastAsia="宋体" w:cs="宋体"/>
                <w:color w:val="000000"/>
                <w:kern w:val="2"/>
                <w:sz w:val="24"/>
                <w:szCs w:val="24"/>
                <w:bdr w:val="none" w:color="auto" w:sz="0" w:space="0"/>
                <w:lang w:val="en-US" w:eastAsia="zh-CN" w:bidi="ar"/>
              </w:rPr>
              <w:t>月验收监测报告，“布袋</w:t>
            </w:r>
            <w:r>
              <w:rPr>
                <w:rFonts w:hint="default" w:ascii="Times New Roman" w:hAnsi="Calibri" w:eastAsia="宋体" w:cs="Times New Roman"/>
                <w:color w:val="000000"/>
                <w:kern w:val="2"/>
                <w:sz w:val="24"/>
                <w:szCs w:val="24"/>
                <w:bdr w:val="none" w:color="auto" w:sz="0" w:space="0"/>
                <w:lang w:val="en-US" w:eastAsia="zh-CN" w:bidi="ar"/>
              </w:rPr>
              <w:t>+UV</w:t>
            </w:r>
            <w:r>
              <w:rPr>
                <w:rFonts w:hint="eastAsia" w:ascii="Times New Roman" w:hAnsi="Calibri" w:eastAsia="宋体" w:cs="宋体"/>
                <w:color w:val="000000"/>
                <w:kern w:val="2"/>
                <w:sz w:val="24"/>
                <w:szCs w:val="24"/>
                <w:bdr w:val="none" w:color="auto" w:sz="0" w:space="0"/>
                <w:lang w:val="en-US" w:eastAsia="zh-CN" w:bidi="ar"/>
              </w:rPr>
              <w:t>光解</w:t>
            </w:r>
            <w:r>
              <w:rPr>
                <w:rFonts w:hint="default" w:ascii="Times New Roman" w:hAnsi="Calibri" w:eastAsia="宋体" w:cs="Times New Roman"/>
                <w:color w:val="000000"/>
                <w:kern w:val="2"/>
                <w:sz w:val="24"/>
                <w:szCs w:val="24"/>
                <w:bdr w:val="none" w:color="auto" w:sz="0" w:space="0"/>
                <w:lang w:val="en-US" w:eastAsia="zh-CN" w:bidi="ar"/>
              </w:rPr>
              <w:t>+</w:t>
            </w:r>
            <w:r>
              <w:rPr>
                <w:rFonts w:hint="eastAsia" w:ascii="Times New Roman" w:hAnsi="Calibri" w:eastAsia="宋体" w:cs="宋体"/>
                <w:color w:val="000000"/>
                <w:kern w:val="2"/>
                <w:sz w:val="24"/>
                <w:szCs w:val="24"/>
                <w:bdr w:val="none" w:color="auto" w:sz="0" w:space="0"/>
                <w:lang w:val="en-US" w:eastAsia="zh-CN" w:bidi="ar"/>
              </w:rPr>
              <w:t>二级活性炭吸附”对有机废气的去除率约</w:t>
            </w:r>
            <w:r>
              <w:rPr>
                <w:rFonts w:hint="default" w:ascii="Times New Roman" w:hAnsi="Calibri" w:eastAsia="宋体" w:cs="Times New Roman"/>
                <w:color w:val="000000"/>
                <w:kern w:val="2"/>
                <w:sz w:val="24"/>
                <w:szCs w:val="24"/>
                <w:bdr w:val="none" w:color="auto" w:sz="0" w:space="0"/>
                <w:lang w:val="en-US" w:eastAsia="zh-CN" w:bidi="ar"/>
              </w:rPr>
              <w:t>85%</w:t>
            </w:r>
            <w:r>
              <w:rPr>
                <w:rFonts w:hint="eastAsia" w:ascii="Times New Roman" w:hAnsi="Calibri" w:eastAsia="宋体" w:cs="宋体"/>
                <w:color w:val="000000"/>
                <w:kern w:val="2"/>
                <w:sz w:val="24"/>
                <w:szCs w:val="24"/>
                <w:bdr w:val="none" w:color="auto" w:sz="0" w:space="0"/>
                <w:lang w:val="en-US" w:eastAsia="zh-CN" w:bidi="ar"/>
              </w:rPr>
              <w:t>左右</w:t>
            </w:r>
            <w:r>
              <w:rPr>
                <w:rFonts w:hint="eastAsia" w:ascii="Times New Roman" w:hAnsi="Times New Roman" w:eastAsia="宋体" w:cs="宋体"/>
                <w:color w:val="000000"/>
                <w:kern w:val="2"/>
                <w:sz w:val="24"/>
                <w:szCs w:val="24"/>
                <w:bdr w:val="none" w:color="auto" w:sz="0" w:space="0"/>
                <w:lang w:val="en-US" w:eastAsia="zh-CN" w:bidi="ar"/>
              </w:rPr>
              <w:t>（本次环评按</w:t>
            </w:r>
            <w:r>
              <w:rPr>
                <w:rFonts w:hint="default" w:ascii="Times New Roman" w:hAnsi="Times New Roman" w:eastAsia="宋体" w:cs="Times New Roman"/>
                <w:color w:val="000000"/>
                <w:kern w:val="2"/>
                <w:sz w:val="24"/>
                <w:szCs w:val="24"/>
                <w:bdr w:val="none" w:color="auto" w:sz="0" w:space="0"/>
                <w:lang w:val="en-US" w:eastAsia="zh-CN" w:bidi="ar"/>
              </w:rPr>
              <w:t>80%</w:t>
            </w:r>
            <w:r>
              <w:rPr>
                <w:rFonts w:hint="eastAsia" w:ascii="Times New Roman" w:hAnsi="Times New Roman" w:eastAsia="宋体" w:cs="宋体"/>
                <w:color w:val="000000"/>
                <w:kern w:val="2"/>
                <w:sz w:val="24"/>
                <w:szCs w:val="24"/>
                <w:bdr w:val="none" w:color="auto" w:sz="0" w:space="0"/>
                <w:lang w:val="en-US" w:eastAsia="zh-CN" w:bidi="ar"/>
              </w:rPr>
              <w:t>进行估算）；对颗粒物的去除率约</w:t>
            </w:r>
            <w:r>
              <w:rPr>
                <w:rFonts w:hint="default" w:ascii="Times New Roman" w:hAnsi="Times New Roman" w:eastAsia="宋体" w:cs="Times New Roman"/>
                <w:color w:val="000000"/>
                <w:kern w:val="2"/>
                <w:sz w:val="24"/>
                <w:szCs w:val="24"/>
                <w:bdr w:val="none" w:color="auto" w:sz="0" w:space="0"/>
                <w:lang w:val="en-US" w:eastAsia="zh-CN" w:bidi="ar"/>
              </w:rPr>
              <w:t>92%</w:t>
            </w:r>
            <w:r>
              <w:rPr>
                <w:rFonts w:hint="eastAsia" w:ascii="Times New Roman" w:hAnsi="Times New Roman" w:eastAsia="宋体" w:cs="宋体"/>
                <w:color w:val="000000"/>
                <w:kern w:val="2"/>
                <w:sz w:val="24"/>
                <w:szCs w:val="24"/>
                <w:bdr w:val="none" w:color="auto" w:sz="0" w:space="0"/>
                <w:lang w:val="en-US" w:eastAsia="zh-CN" w:bidi="ar"/>
              </w:rPr>
              <w:t>左右（本次环评按</w:t>
            </w:r>
            <w:r>
              <w:rPr>
                <w:rFonts w:hint="default" w:ascii="Times New Roman" w:hAnsi="Times New Roman" w:eastAsia="宋体" w:cs="Times New Roman"/>
                <w:color w:val="000000"/>
                <w:kern w:val="2"/>
                <w:sz w:val="24"/>
                <w:szCs w:val="24"/>
                <w:bdr w:val="none" w:color="auto" w:sz="0" w:space="0"/>
                <w:lang w:val="en-US" w:eastAsia="zh-CN" w:bidi="ar"/>
              </w:rPr>
              <w:t>90%</w:t>
            </w:r>
            <w:r>
              <w:rPr>
                <w:rFonts w:hint="eastAsia" w:ascii="Times New Roman" w:hAnsi="Times New Roman" w:eastAsia="宋体" w:cs="宋体"/>
                <w:color w:val="000000"/>
                <w:kern w:val="2"/>
                <w:sz w:val="24"/>
                <w:szCs w:val="24"/>
                <w:bdr w:val="none" w:color="auto" w:sz="0" w:space="0"/>
                <w:lang w:val="en-US" w:eastAsia="zh-CN" w:bidi="ar"/>
              </w:rPr>
              <w:t>进行估算）。</w:t>
            </w:r>
            <w:r>
              <w:rPr>
                <w:rFonts w:hint="eastAsia" w:ascii="Calibri" w:hAnsi="Calibri" w:eastAsia="宋体" w:cs="宋体"/>
                <w:color w:val="000000"/>
                <w:kern w:val="0"/>
                <w:sz w:val="24"/>
                <w:szCs w:val="24"/>
                <w:bdr w:val="none" w:color="auto" w:sz="0" w:space="0"/>
                <w:lang w:val="en-US" w:eastAsia="zh-CN" w:bidi="ar"/>
              </w:rPr>
              <w:t>激光切割台面为镂空钢网，下部设有抽风系统，</w:t>
            </w:r>
            <w:r>
              <w:rPr>
                <w:rFonts w:hint="eastAsia" w:ascii="Times New Roman" w:hAnsi="Calibri" w:eastAsia="宋体" w:cs="宋体"/>
                <w:color w:val="000000"/>
                <w:kern w:val="2"/>
                <w:sz w:val="24"/>
                <w:szCs w:val="24"/>
                <w:bdr w:val="none" w:color="auto" w:sz="0" w:space="0"/>
                <w:lang w:val="en-US" w:eastAsia="zh-CN" w:bidi="ar"/>
              </w:rPr>
              <w:t>污染物负压收集率按</w:t>
            </w:r>
            <w:r>
              <w:rPr>
                <w:rFonts w:hint="default" w:ascii="Times New Roman" w:hAnsi="Times New Roman" w:eastAsia="宋体" w:cs="Times New Roman"/>
                <w:color w:val="000000"/>
                <w:kern w:val="2"/>
                <w:sz w:val="24"/>
                <w:szCs w:val="24"/>
                <w:bdr w:val="none" w:color="auto" w:sz="0" w:space="0"/>
                <w:lang w:val="en-US" w:eastAsia="zh-CN" w:bidi="ar"/>
              </w:rPr>
              <w:t>85%</w:t>
            </w:r>
            <w:r>
              <w:rPr>
                <w:rFonts w:hint="eastAsia" w:ascii="Times New Roman" w:hAnsi="Calibri" w:eastAsia="宋体" w:cs="宋体"/>
                <w:color w:val="000000"/>
                <w:kern w:val="2"/>
                <w:sz w:val="24"/>
                <w:szCs w:val="24"/>
                <w:bdr w:val="none" w:color="auto" w:sz="0" w:space="0"/>
                <w:lang w:val="en-US" w:eastAsia="zh-CN" w:bidi="ar"/>
              </w:rPr>
              <w:t>考虑；涂胶和激光切割工序年生产时间</w:t>
            </w:r>
            <w:r>
              <w:rPr>
                <w:rFonts w:hint="default" w:ascii="Times New Roman" w:hAnsi="Calibri" w:eastAsia="宋体" w:cs="Times New Roman"/>
                <w:color w:val="000000"/>
                <w:kern w:val="2"/>
                <w:sz w:val="24"/>
                <w:szCs w:val="24"/>
                <w:bdr w:val="none" w:color="auto" w:sz="0" w:space="0"/>
                <w:lang w:val="en-US" w:eastAsia="zh-CN" w:bidi="ar"/>
              </w:rPr>
              <w:t>4000h</w:t>
            </w:r>
            <w:r>
              <w:rPr>
                <w:rFonts w:hint="eastAsia" w:ascii="Times New Roman" w:hAnsi="Calibri" w:eastAsia="宋体" w:cs="宋体"/>
                <w:color w:val="000000"/>
                <w:kern w:val="2"/>
                <w:sz w:val="24"/>
                <w:szCs w:val="24"/>
                <w:bdr w:val="none" w:color="auto" w:sz="0" w:space="0"/>
                <w:lang w:val="en-US" w:eastAsia="zh-CN" w:bidi="ar"/>
              </w:rPr>
              <w:t>。</w:t>
            </w:r>
            <w:r>
              <w:rPr>
                <w:rFonts w:hint="eastAsia" w:ascii="Times New Roman" w:hAnsi="Times New Roman" w:eastAsia="宋体" w:cs="宋体"/>
                <w:color w:val="000000"/>
                <w:kern w:val="2"/>
                <w:sz w:val="24"/>
                <w:szCs w:val="24"/>
                <w:bdr w:val="none" w:color="auto" w:sz="0" w:space="0"/>
                <w:lang w:val="en-US" w:eastAsia="zh-CN" w:bidi="ar"/>
              </w:rPr>
              <w:t>涂胶、激光切割废气产排情况详见表</w:t>
            </w:r>
            <w:r>
              <w:rPr>
                <w:rFonts w:hint="default" w:ascii="Times New Roman" w:hAnsi="Times New Roman" w:eastAsia="宋体" w:cs="Times New Roman"/>
                <w:color w:val="000000"/>
                <w:kern w:val="2"/>
                <w:sz w:val="24"/>
                <w:szCs w:val="24"/>
                <w:bdr w:val="none" w:color="auto" w:sz="0" w:space="0"/>
                <w:lang w:val="en-US" w:eastAsia="zh-CN" w:bidi="ar"/>
              </w:rPr>
              <w:t>4.2-1</w:t>
            </w:r>
            <w:r>
              <w:rPr>
                <w:rFonts w:hint="eastAsia" w:ascii="Times New Roman" w:hAnsi="Times New Roman" w:eastAsia="宋体" w:cs="宋体"/>
                <w:color w:val="000000"/>
                <w:kern w:val="2"/>
                <w:sz w:val="24"/>
                <w:szCs w:val="24"/>
                <w:bdr w:val="none" w:color="auto" w:sz="0" w:space="0"/>
                <w:lang w:val="en-US" w:eastAsia="zh-CN" w:bidi="ar"/>
              </w:rPr>
              <w:t>。</w:t>
            </w:r>
          </w:p>
          <w:p w14:paraId="42AA16A0">
            <w:pPr>
              <w:keepNext w:val="0"/>
              <w:keepLines w:val="0"/>
              <w:widowControl w:val="0"/>
              <w:suppressLineNumbers w:val="0"/>
              <w:snapToGrid w:val="0"/>
              <w:spacing w:before="0" w:beforeAutospacing="0" w:after="0" w:afterAutospacing="0" w:line="440" w:lineRule="exact"/>
              <w:ind w:left="0" w:right="0" w:firstLine="480" w:firstLineChars="200"/>
              <w:jc w:val="center"/>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表</w:t>
            </w:r>
            <w:r>
              <w:rPr>
                <w:rFonts w:hint="default" w:ascii="Times New Roman" w:hAnsi="Times New Roman" w:eastAsia="宋体" w:cs="Times New Roman"/>
                <w:color w:val="000000"/>
                <w:kern w:val="2"/>
                <w:sz w:val="24"/>
                <w:szCs w:val="24"/>
                <w:bdr w:val="none" w:color="auto" w:sz="0" w:space="0"/>
                <w:lang w:val="en-US" w:eastAsia="zh-CN" w:bidi="ar"/>
              </w:rPr>
              <w:t xml:space="preserve">4.2-1 </w:t>
            </w:r>
            <w:r>
              <w:rPr>
                <w:rFonts w:hint="eastAsia" w:ascii="Times New Roman" w:hAnsi="Times New Roman" w:eastAsia="宋体" w:cs="宋体"/>
                <w:color w:val="000000"/>
                <w:kern w:val="2"/>
                <w:sz w:val="24"/>
                <w:szCs w:val="24"/>
                <w:bdr w:val="none" w:color="auto" w:sz="0" w:space="0"/>
                <w:lang w:val="en-US" w:eastAsia="zh-CN" w:bidi="ar"/>
              </w:rPr>
              <w:t>涂胶、激光切割废气产排污情况表</w:t>
            </w:r>
          </w:p>
          <w:tbl>
            <w:tblPr>
              <w:tblStyle w:val="18"/>
              <w:tblpPr w:leftFromText="180" w:rightFromText="180" w:vertAnchor="text" w:tblpXSpec="center" w:tblpY="1"/>
              <w:tblOverlap w:val="never"/>
              <w:tblW w:w="5000" w:type="pct"/>
              <w:tblInd w:w="8" w:type="dxa"/>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tblLayout w:type="fixed"/>
              <w:tblCellMar>
                <w:top w:w="0" w:type="dxa"/>
                <w:left w:w="108" w:type="dxa"/>
                <w:bottom w:w="0" w:type="dxa"/>
                <w:right w:w="108" w:type="dxa"/>
              </w:tblCellMar>
            </w:tblPr>
            <w:tblGrid>
              <w:gridCol w:w="851"/>
              <w:gridCol w:w="709"/>
              <w:gridCol w:w="425"/>
              <w:gridCol w:w="727"/>
              <w:gridCol w:w="690"/>
              <w:gridCol w:w="603"/>
              <w:gridCol w:w="552"/>
              <w:gridCol w:w="546"/>
              <w:gridCol w:w="748"/>
              <w:gridCol w:w="812"/>
              <w:gridCol w:w="575"/>
              <w:gridCol w:w="708"/>
            </w:tblGrid>
            <w:tr w14:paraId="5A7DC318">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tblCellMar>
                  <w:top w:w="0" w:type="dxa"/>
                  <w:left w:w="108" w:type="dxa"/>
                  <w:bottom w:w="0" w:type="dxa"/>
                  <w:right w:w="108" w:type="dxa"/>
                </w:tblCellMar>
              </w:tblPrEx>
              <w:trPr>
                <w:trHeight w:val="20" w:hRule="atLeast"/>
              </w:trPr>
              <w:tc>
                <w:tcPr>
                  <w:tcW w:w="851" w:type="dxa"/>
                  <w:vMerge w:val="restart"/>
                  <w:tcBorders>
                    <w:top w:val="single" w:color="auto" w:sz="12" w:space="0"/>
                    <w:left w:val="nil"/>
                    <w:bottom w:val="single" w:color="auto" w:sz="6" w:space="0"/>
                    <w:right w:val="single" w:color="auto" w:sz="6" w:space="0"/>
                  </w:tcBorders>
                  <w:shd w:val="clear"/>
                  <w:vAlign w:val="center"/>
                </w:tcPr>
                <w:p w14:paraId="3D15675D">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污染源</w:t>
                  </w:r>
                </w:p>
              </w:tc>
              <w:tc>
                <w:tcPr>
                  <w:tcW w:w="709" w:type="dxa"/>
                  <w:vMerge w:val="restart"/>
                  <w:tcBorders>
                    <w:top w:val="single" w:color="auto" w:sz="12" w:space="0"/>
                    <w:left w:val="single" w:color="auto" w:sz="6" w:space="0"/>
                    <w:bottom w:val="single" w:color="auto" w:sz="6" w:space="0"/>
                    <w:right w:val="single" w:color="auto" w:sz="6" w:space="0"/>
                  </w:tcBorders>
                  <w:shd w:val="clear"/>
                  <w:vAlign w:val="center"/>
                </w:tcPr>
                <w:p w14:paraId="731E1037">
                  <w:pPr>
                    <w:keepNext w:val="0"/>
                    <w:keepLines w:val="0"/>
                    <w:widowControl w:val="0"/>
                    <w:suppressLineNumbers w:val="0"/>
                    <w:spacing w:before="0" w:beforeAutospacing="0" w:after="0" w:afterAutospacing="0"/>
                    <w:ind w:left="0" w:right="0"/>
                    <w:jc w:val="center"/>
                    <w:rPr>
                      <w:rFonts w:hint="default" w:ascii="Times New Roman" w:hAnsi="Calibri"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产生量</w:t>
                  </w:r>
                  <w:r>
                    <w:rPr>
                      <w:rFonts w:hint="default" w:ascii="Times New Roman" w:hAnsi="Calibri" w:eastAsia="宋体" w:cs="Times New Roman"/>
                      <w:color w:val="000000"/>
                      <w:kern w:val="2"/>
                      <w:sz w:val="21"/>
                      <w:szCs w:val="21"/>
                      <w:bdr w:val="none" w:color="auto" w:sz="0" w:space="0"/>
                      <w:lang w:val="en-US" w:eastAsia="zh-CN" w:bidi="ar"/>
                    </w:rPr>
                    <w:t>t/a</w:t>
                  </w:r>
                </w:p>
              </w:tc>
              <w:tc>
                <w:tcPr>
                  <w:tcW w:w="425" w:type="dxa"/>
                  <w:vMerge w:val="restart"/>
                  <w:tcBorders>
                    <w:top w:val="single" w:color="auto" w:sz="12" w:space="0"/>
                    <w:left w:val="single" w:color="auto" w:sz="6" w:space="0"/>
                    <w:bottom w:val="single" w:color="auto" w:sz="6" w:space="0"/>
                    <w:right w:val="single" w:color="auto" w:sz="6" w:space="0"/>
                  </w:tcBorders>
                  <w:shd w:val="clear"/>
                  <w:vAlign w:val="center"/>
                </w:tcPr>
                <w:p w14:paraId="6B43005B">
                  <w:pPr>
                    <w:keepNext w:val="0"/>
                    <w:keepLines w:val="0"/>
                    <w:widowControl w:val="0"/>
                    <w:suppressLineNumbers w:val="0"/>
                    <w:spacing w:before="0" w:beforeAutospacing="0" w:after="0" w:afterAutospacing="0"/>
                    <w:ind w:left="0" w:right="0"/>
                    <w:jc w:val="center"/>
                    <w:rPr>
                      <w:rFonts w:hint="default" w:ascii="Times New Roman" w:hAnsi="Calibri"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收集率</w:t>
                  </w:r>
                  <w:r>
                    <w:rPr>
                      <w:rFonts w:hint="default" w:ascii="Times New Roman" w:hAnsi="Times New Roman" w:eastAsia="宋体" w:cs="Times New Roman"/>
                      <w:snapToGrid w:val="0"/>
                      <w:color w:val="000000"/>
                      <w:kern w:val="28"/>
                      <w:sz w:val="21"/>
                      <w:szCs w:val="21"/>
                      <w:bdr w:val="none" w:color="auto" w:sz="0" w:space="0"/>
                      <w:lang w:val="en-US" w:eastAsia="zh-CN" w:bidi="ar"/>
                    </w:rPr>
                    <w:t>%</w:t>
                  </w:r>
                </w:p>
              </w:tc>
              <w:tc>
                <w:tcPr>
                  <w:tcW w:w="2020" w:type="dxa"/>
                  <w:gridSpan w:val="3"/>
                  <w:tcBorders>
                    <w:top w:val="single" w:color="auto" w:sz="12" w:space="0"/>
                    <w:left w:val="single" w:color="auto" w:sz="6" w:space="0"/>
                    <w:bottom w:val="single" w:color="auto" w:sz="6" w:space="0"/>
                    <w:right w:val="single" w:color="auto" w:sz="6" w:space="0"/>
                  </w:tcBorders>
                  <w:shd w:val="clear"/>
                  <w:vAlign w:val="center"/>
                </w:tcPr>
                <w:p w14:paraId="16DF77F4">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有组织产生情况</w:t>
                  </w:r>
                </w:p>
              </w:tc>
              <w:tc>
                <w:tcPr>
                  <w:tcW w:w="552" w:type="dxa"/>
                  <w:vMerge w:val="restart"/>
                  <w:tcBorders>
                    <w:top w:val="single" w:color="auto" w:sz="12" w:space="0"/>
                    <w:left w:val="single" w:color="auto" w:sz="6" w:space="0"/>
                    <w:bottom w:val="single" w:color="auto" w:sz="6" w:space="0"/>
                    <w:right w:val="single" w:color="auto" w:sz="6" w:space="0"/>
                  </w:tcBorders>
                  <w:shd w:val="clear"/>
                  <w:vAlign w:val="center"/>
                </w:tcPr>
                <w:p w14:paraId="2DBD6CF8">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eastAsia" w:ascii="Times New Roman" w:hAnsi="Calibri" w:eastAsia="宋体" w:cs="宋体"/>
                      <w:snapToGrid w:val="0"/>
                      <w:color w:val="000000"/>
                      <w:kern w:val="28"/>
                      <w:sz w:val="21"/>
                      <w:szCs w:val="21"/>
                      <w:bdr w:val="none" w:color="auto" w:sz="0" w:space="0"/>
                      <w:lang w:val="en-US" w:eastAsia="zh-CN" w:bidi="ar"/>
                    </w:rPr>
                    <w:t>去除</w:t>
                  </w:r>
                </w:p>
                <w:p w14:paraId="2816294F">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snapToGrid w:val="0"/>
                      <w:color w:val="000000"/>
                      <w:kern w:val="28"/>
                      <w:sz w:val="21"/>
                      <w:szCs w:val="21"/>
                      <w:bdr w:val="none" w:color="auto" w:sz="0" w:space="0"/>
                      <w:lang w:val="en-US" w:eastAsia="zh-CN" w:bidi="ar"/>
                    </w:rPr>
                    <w:t>率</w:t>
                  </w:r>
                  <w:r>
                    <w:rPr>
                      <w:rFonts w:hint="default" w:ascii="Times New Roman" w:hAnsi="Calibri" w:eastAsia="宋体" w:cs="Times New Roman"/>
                      <w:snapToGrid w:val="0"/>
                      <w:color w:val="000000"/>
                      <w:kern w:val="28"/>
                      <w:sz w:val="21"/>
                      <w:szCs w:val="21"/>
                      <w:bdr w:val="none" w:color="auto" w:sz="0" w:space="0"/>
                      <w:lang w:val="en-US" w:eastAsia="zh-CN" w:bidi="ar"/>
                    </w:rPr>
                    <w:t>%</w:t>
                  </w:r>
                </w:p>
              </w:tc>
              <w:tc>
                <w:tcPr>
                  <w:tcW w:w="546" w:type="dxa"/>
                  <w:vMerge w:val="restart"/>
                  <w:tcBorders>
                    <w:top w:val="single" w:color="auto" w:sz="12" w:space="0"/>
                    <w:left w:val="single" w:color="auto" w:sz="6" w:space="0"/>
                    <w:bottom w:val="single" w:color="auto" w:sz="6" w:space="0"/>
                    <w:right w:val="single" w:color="auto" w:sz="6" w:space="0"/>
                  </w:tcBorders>
                  <w:shd w:val="clear"/>
                  <w:vAlign w:val="center"/>
                </w:tcPr>
                <w:p w14:paraId="5182066D">
                  <w:pPr>
                    <w:keepNext w:val="0"/>
                    <w:keepLines w:val="0"/>
                    <w:widowControl w:val="0"/>
                    <w:suppressLineNumbers w:val="0"/>
                    <w:spacing w:before="0" w:beforeAutospacing="0" w:after="0" w:afterAutospacing="0"/>
                    <w:ind w:left="0" w:right="0"/>
                    <w:jc w:val="center"/>
                    <w:rPr>
                      <w:rFonts w:hint="default" w:ascii="Times New Roman" w:hAnsi="Calibri"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风量</w:t>
                  </w:r>
                  <w:r>
                    <w:rPr>
                      <w:rFonts w:hint="default" w:ascii="Times New Roman" w:hAnsi="Times New Roman" w:eastAsia="宋体" w:cs="Times New Roman"/>
                      <w:color w:val="000000"/>
                      <w:kern w:val="0"/>
                      <w:sz w:val="21"/>
                      <w:szCs w:val="21"/>
                      <w:bdr w:val="none" w:color="auto" w:sz="0" w:space="0"/>
                      <w:lang w:val="en-US" w:eastAsia="zh-CN" w:bidi="ar"/>
                    </w:rPr>
                    <w:t>m</w:t>
                  </w:r>
                  <w:r>
                    <w:rPr>
                      <w:rFonts w:hint="default" w:ascii="Times New Roman" w:hAnsi="Times New Roman" w:eastAsia="宋体" w:cs="Times New Roman"/>
                      <w:color w:val="000000"/>
                      <w:kern w:val="0"/>
                      <w:sz w:val="21"/>
                      <w:szCs w:val="21"/>
                      <w:bdr w:val="none" w:color="auto" w:sz="0" w:space="0"/>
                      <w:vertAlign w:val="superscript"/>
                      <w:lang w:val="en-US" w:eastAsia="zh-CN" w:bidi="ar"/>
                    </w:rPr>
                    <w:t>3</w:t>
                  </w:r>
                  <w:r>
                    <w:rPr>
                      <w:rFonts w:hint="default" w:ascii="Times New Roman" w:hAnsi="Times New Roman" w:eastAsia="宋体" w:cs="Times New Roman"/>
                      <w:color w:val="000000"/>
                      <w:kern w:val="0"/>
                      <w:sz w:val="21"/>
                      <w:szCs w:val="21"/>
                      <w:bdr w:val="none" w:color="auto" w:sz="0" w:space="0"/>
                      <w:lang w:val="en-US" w:eastAsia="zh-CN" w:bidi="ar"/>
                    </w:rPr>
                    <w:t>/h</w:t>
                  </w:r>
                </w:p>
              </w:tc>
              <w:tc>
                <w:tcPr>
                  <w:tcW w:w="2135" w:type="dxa"/>
                  <w:gridSpan w:val="3"/>
                  <w:tcBorders>
                    <w:top w:val="single" w:color="auto" w:sz="12" w:space="0"/>
                    <w:left w:val="single" w:color="auto" w:sz="6" w:space="0"/>
                    <w:bottom w:val="single" w:color="auto" w:sz="6" w:space="0"/>
                    <w:right w:val="single" w:color="auto" w:sz="6" w:space="0"/>
                  </w:tcBorders>
                  <w:shd w:val="clear"/>
                  <w:vAlign w:val="center"/>
                </w:tcPr>
                <w:p w14:paraId="2EE13BD7">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有组织排放情况</w:t>
                  </w:r>
                </w:p>
              </w:tc>
              <w:tc>
                <w:tcPr>
                  <w:tcW w:w="708" w:type="dxa"/>
                  <w:vMerge w:val="restart"/>
                  <w:tcBorders>
                    <w:top w:val="single" w:color="auto" w:sz="12" w:space="0"/>
                    <w:left w:val="single" w:color="auto" w:sz="6" w:space="0"/>
                    <w:bottom w:val="single" w:color="auto" w:sz="6" w:space="0"/>
                    <w:right w:val="nil"/>
                  </w:tcBorders>
                  <w:shd w:val="clear"/>
                  <w:vAlign w:val="center"/>
                </w:tcPr>
                <w:p w14:paraId="21150B76">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无组织排放量</w:t>
                  </w:r>
                  <w:r>
                    <w:rPr>
                      <w:rFonts w:hint="default" w:ascii="Times New Roman" w:hAnsi="Times New Roman" w:eastAsia="宋体" w:cs="Times New Roman"/>
                      <w:color w:val="000000"/>
                      <w:kern w:val="2"/>
                      <w:sz w:val="21"/>
                      <w:szCs w:val="21"/>
                      <w:bdr w:val="none" w:color="auto" w:sz="0" w:space="0"/>
                      <w:lang w:val="en-US" w:eastAsia="zh-CN" w:bidi="ar"/>
                    </w:rPr>
                    <w:t>t/a</w:t>
                  </w:r>
                </w:p>
              </w:tc>
            </w:tr>
            <w:tr w14:paraId="59FB4376">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51" w:type="dxa"/>
                  <w:vMerge w:val="continue"/>
                  <w:tcBorders>
                    <w:top w:val="single" w:color="auto" w:sz="12" w:space="0"/>
                    <w:left w:val="nil"/>
                    <w:bottom w:val="single" w:color="auto" w:sz="6" w:space="0"/>
                    <w:right w:val="single" w:color="auto" w:sz="6" w:space="0"/>
                  </w:tcBorders>
                  <w:shd w:val="clear"/>
                  <w:vAlign w:val="center"/>
                </w:tcPr>
                <w:p w14:paraId="1E505C3F">
                  <w:pPr>
                    <w:rPr>
                      <w:rFonts w:hint="default" w:ascii="Calibri" w:hAnsi="Calibri" w:cs="Calibri"/>
                      <w:sz w:val="20"/>
                      <w:szCs w:val="20"/>
                    </w:rPr>
                  </w:pPr>
                </w:p>
              </w:tc>
              <w:tc>
                <w:tcPr>
                  <w:tcW w:w="709" w:type="dxa"/>
                  <w:vMerge w:val="continue"/>
                  <w:tcBorders>
                    <w:top w:val="single" w:color="auto" w:sz="12" w:space="0"/>
                    <w:left w:val="single" w:color="auto" w:sz="6" w:space="0"/>
                    <w:bottom w:val="single" w:color="auto" w:sz="6" w:space="0"/>
                    <w:right w:val="single" w:color="auto" w:sz="6" w:space="0"/>
                  </w:tcBorders>
                  <w:shd w:val="clear"/>
                  <w:vAlign w:val="center"/>
                </w:tcPr>
                <w:p w14:paraId="65796A17">
                  <w:pPr>
                    <w:rPr>
                      <w:rFonts w:hint="default" w:ascii="Calibri" w:hAnsi="Calibri" w:cs="Calibri"/>
                      <w:sz w:val="20"/>
                      <w:szCs w:val="20"/>
                    </w:rPr>
                  </w:pPr>
                </w:p>
              </w:tc>
              <w:tc>
                <w:tcPr>
                  <w:tcW w:w="425" w:type="dxa"/>
                  <w:vMerge w:val="continue"/>
                  <w:tcBorders>
                    <w:top w:val="single" w:color="auto" w:sz="12" w:space="0"/>
                    <w:left w:val="single" w:color="auto" w:sz="6" w:space="0"/>
                    <w:bottom w:val="single" w:color="auto" w:sz="6" w:space="0"/>
                    <w:right w:val="single" w:color="auto" w:sz="6" w:space="0"/>
                  </w:tcBorders>
                  <w:shd w:val="clear"/>
                  <w:vAlign w:val="center"/>
                </w:tcPr>
                <w:p w14:paraId="42062EC1">
                  <w:pPr>
                    <w:rPr>
                      <w:rFonts w:hint="default" w:ascii="Calibri" w:hAnsi="Calibri" w:cs="Calibri"/>
                      <w:sz w:val="20"/>
                      <w:szCs w:val="20"/>
                    </w:rPr>
                  </w:pPr>
                </w:p>
              </w:tc>
              <w:tc>
                <w:tcPr>
                  <w:tcW w:w="727" w:type="dxa"/>
                  <w:tcBorders>
                    <w:top w:val="single" w:color="auto" w:sz="6" w:space="0"/>
                    <w:left w:val="single" w:color="auto" w:sz="6" w:space="0"/>
                    <w:bottom w:val="single" w:color="auto" w:sz="6" w:space="0"/>
                    <w:right w:val="single" w:color="auto" w:sz="6" w:space="0"/>
                  </w:tcBorders>
                  <w:shd w:val="clear"/>
                  <w:vAlign w:val="center"/>
                </w:tcPr>
                <w:p w14:paraId="73E6ED57">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收集量</w:t>
                  </w:r>
                </w:p>
                <w:p w14:paraId="7DBDE9B6">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t/a</w:t>
                  </w:r>
                </w:p>
              </w:tc>
              <w:tc>
                <w:tcPr>
                  <w:tcW w:w="690" w:type="dxa"/>
                  <w:tcBorders>
                    <w:top w:val="single" w:color="auto" w:sz="6" w:space="0"/>
                    <w:left w:val="single" w:color="auto" w:sz="6" w:space="0"/>
                    <w:bottom w:val="single" w:color="auto" w:sz="6" w:space="0"/>
                    <w:right w:val="single" w:color="auto" w:sz="6" w:space="0"/>
                  </w:tcBorders>
                  <w:shd w:val="clear"/>
                  <w:vAlign w:val="center"/>
                </w:tcPr>
                <w:p w14:paraId="367A6ECE">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snapToGrid w:val="0"/>
                      <w:color w:val="000000"/>
                      <w:kern w:val="28"/>
                      <w:sz w:val="21"/>
                      <w:szCs w:val="21"/>
                      <w:bdr w:val="none" w:color="auto" w:sz="0" w:space="0"/>
                      <w:lang w:val="en-US" w:eastAsia="zh-CN" w:bidi="ar"/>
                    </w:rPr>
                    <w:t>速率</w:t>
                  </w:r>
                  <w:r>
                    <w:rPr>
                      <w:rFonts w:hint="default" w:ascii="Times New Roman" w:hAnsi="Times New Roman" w:eastAsia="宋体" w:cs="Times New Roman"/>
                      <w:snapToGrid w:val="0"/>
                      <w:color w:val="000000"/>
                      <w:kern w:val="28"/>
                      <w:sz w:val="21"/>
                      <w:szCs w:val="21"/>
                      <w:bdr w:val="none" w:color="auto" w:sz="0" w:space="0"/>
                      <w:lang w:val="en-US" w:eastAsia="zh-CN" w:bidi="ar"/>
                    </w:rPr>
                    <w:t>kg/h</w:t>
                  </w:r>
                </w:p>
              </w:tc>
              <w:tc>
                <w:tcPr>
                  <w:tcW w:w="603" w:type="dxa"/>
                  <w:tcBorders>
                    <w:top w:val="single" w:color="auto" w:sz="6" w:space="0"/>
                    <w:left w:val="single" w:color="auto" w:sz="6" w:space="0"/>
                    <w:bottom w:val="single" w:color="auto" w:sz="6" w:space="0"/>
                    <w:right w:val="single" w:color="auto" w:sz="6" w:space="0"/>
                  </w:tcBorders>
                  <w:shd w:val="clear"/>
                  <w:vAlign w:val="center"/>
                </w:tcPr>
                <w:p w14:paraId="2B09C312">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浓度</w:t>
                  </w:r>
                </w:p>
                <w:p w14:paraId="7D7631EB">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mg/m</w:t>
                  </w:r>
                  <w:r>
                    <w:rPr>
                      <w:rFonts w:hint="default" w:ascii="Times New Roman" w:hAnsi="Times New Roman" w:eastAsia="宋体" w:cs="Times New Roman"/>
                      <w:color w:val="000000"/>
                      <w:kern w:val="2"/>
                      <w:sz w:val="21"/>
                      <w:szCs w:val="21"/>
                      <w:bdr w:val="none" w:color="auto" w:sz="0" w:space="0"/>
                      <w:vertAlign w:val="superscript"/>
                      <w:lang w:val="en-US" w:eastAsia="zh-CN" w:bidi="ar"/>
                    </w:rPr>
                    <w:t>3</w:t>
                  </w:r>
                </w:p>
              </w:tc>
              <w:tc>
                <w:tcPr>
                  <w:tcW w:w="552" w:type="dxa"/>
                  <w:vMerge w:val="continue"/>
                  <w:tcBorders>
                    <w:top w:val="single" w:color="auto" w:sz="12" w:space="0"/>
                    <w:left w:val="single" w:color="auto" w:sz="6" w:space="0"/>
                    <w:bottom w:val="single" w:color="auto" w:sz="6" w:space="0"/>
                    <w:right w:val="single" w:color="auto" w:sz="6" w:space="0"/>
                  </w:tcBorders>
                  <w:shd w:val="clear"/>
                  <w:vAlign w:val="center"/>
                </w:tcPr>
                <w:p w14:paraId="671C815E">
                  <w:pPr>
                    <w:rPr>
                      <w:rFonts w:hint="default" w:ascii="Calibri" w:hAnsi="Calibri" w:cs="Calibri"/>
                      <w:sz w:val="20"/>
                      <w:szCs w:val="20"/>
                    </w:rPr>
                  </w:pPr>
                </w:p>
              </w:tc>
              <w:tc>
                <w:tcPr>
                  <w:tcW w:w="546" w:type="dxa"/>
                  <w:vMerge w:val="continue"/>
                  <w:tcBorders>
                    <w:top w:val="single" w:color="auto" w:sz="12" w:space="0"/>
                    <w:left w:val="single" w:color="auto" w:sz="6" w:space="0"/>
                    <w:bottom w:val="single" w:color="auto" w:sz="6" w:space="0"/>
                    <w:right w:val="single" w:color="auto" w:sz="6" w:space="0"/>
                  </w:tcBorders>
                  <w:shd w:val="clear"/>
                  <w:vAlign w:val="center"/>
                </w:tcPr>
                <w:p w14:paraId="6C6FAE40">
                  <w:pPr>
                    <w:rPr>
                      <w:rFonts w:hint="default" w:ascii="Calibri" w:hAnsi="Calibri" w:cs="Calibri"/>
                      <w:sz w:val="20"/>
                      <w:szCs w:val="20"/>
                    </w:rPr>
                  </w:pPr>
                </w:p>
              </w:tc>
              <w:tc>
                <w:tcPr>
                  <w:tcW w:w="748" w:type="dxa"/>
                  <w:tcBorders>
                    <w:top w:val="single" w:color="auto" w:sz="6" w:space="0"/>
                    <w:left w:val="single" w:color="auto" w:sz="6" w:space="0"/>
                    <w:bottom w:val="single" w:color="auto" w:sz="6" w:space="0"/>
                    <w:right w:val="single" w:color="auto" w:sz="6" w:space="0"/>
                  </w:tcBorders>
                  <w:shd w:val="clear"/>
                  <w:vAlign w:val="center"/>
                </w:tcPr>
                <w:p w14:paraId="09892B48">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排放量</w:t>
                  </w:r>
                </w:p>
                <w:p w14:paraId="4F2D41AF">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t/a</w:t>
                  </w:r>
                </w:p>
              </w:tc>
              <w:tc>
                <w:tcPr>
                  <w:tcW w:w="812" w:type="dxa"/>
                  <w:tcBorders>
                    <w:top w:val="single" w:color="auto" w:sz="6" w:space="0"/>
                    <w:left w:val="single" w:color="auto" w:sz="6" w:space="0"/>
                    <w:bottom w:val="single" w:color="auto" w:sz="6" w:space="0"/>
                    <w:right w:val="single" w:color="auto" w:sz="6" w:space="0"/>
                  </w:tcBorders>
                  <w:shd w:val="clear"/>
                  <w:vAlign w:val="center"/>
                </w:tcPr>
                <w:p w14:paraId="102C7D11">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snapToGrid w:val="0"/>
                      <w:color w:val="000000"/>
                      <w:kern w:val="28"/>
                      <w:sz w:val="21"/>
                      <w:szCs w:val="21"/>
                      <w:bdr w:val="none" w:color="auto" w:sz="0" w:space="0"/>
                      <w:lang w:val="en-US" w:eastAsia="zh-CN" w:bidi="ar"/>
                    </w:rPr>
                    <w:t>速率</w:t>
                  </w:r>
                  <w:r>
                    <w:rPr>
                      <w:rFonts w:hint="default" w:ascii="Times New Roman" w:hAnsi="Times New Roman" w:eastAsia="宋体" w:cs="Times New Roman"/>
                      <w:snapToGrid w:val="0"/>
                      <w:color w:val="000000"/>
                      <w:kern w:val="28"/>
                      <w:sz w:val="21"/>
                      <w:szCs w:val="21"/>
                      <w:bdr w:val="none" w:color="auto" w:sz="0" w:space="0"/>
                      <w:lang w:val="en-US" w:eastAsia="zh-CN" w:bidi="ar"/>
                    </w:rPr>
                    <w:t>kg/h</w:t>
                  </w:r>
                </w:p>
              </w:tc>
              <w:tc>
                <w:tcPr>
                  <w:tcW w:w="575" w:type="dxa"/>
                  <w:tcBorders>
                    <w:top w:val="single" w:color="auto" w:sz="6" w:space="0"/>
                    <w:left w:val="single" w:color="auto" w:sz="6" w:space="0"/>
                    <w:bottom w:val="single" w:color="auto" w:sz="6" w:space="0"/>
                    <w:right w:val="single" w:color="auto" w:sz="6" w:space="0"/>
                  </w:tcBorders>
                  <w:shd w:val="clear"/>
                  <w:vAlign w:val="center"/>
                </w:tcPr>
                <w:p w14:paraId="4A922667">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浓度</w:t>
                  </w:r>
                </w:p>
                <w:p w14:paraId="0B2752DC">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mg/m</w:t>
                  </w:r>
                  <w:r>
                    <w:rPr>
                      <w:rFonts w:hint="default" w:ascii="Times New Roman" w:hAnsi="Times New Roman" w:eastAsia="宋体" w:cs="Times New Roman"/>
                      <w:color w:val="000000"/>
                      <w:kern w:val="2"/>
                      <w:sz w:val="21"/>
                      <w:szCs w:val="21"/>
                      <w:bdr w:val="none" w:color="auto" w:sz="0" w:space="0"/>
                      <w:vertAlign w:val="superscript"/>
                      <w:lang w:val="en-US" w:eastAsia="zh-CN" w:bidi="ar"/>
                    </w:rPr>
                    <w:t>3</w:t>
                  </w:r>
                </w:p>
              </w:tc>
              <w:tc>
                <w:tcPr>
                  <w:tcW w:w="708" w:type="dxa"/>
                  <w:vMerge w:val="continue"/>
                  <w:tcBorders>
                    <w:top w:val="single" w:color="auto" w:sz="12" w:space="0"/>
                    <w:left w:val="single" w:color="auto" w:sz="6" w:space="0"/>
                    <w:bottom w:val="single" w:color="auto" w:sz="6" w:space="0"/>
                    <w:right w:val="nil"/>
                  </w:tcBorders>
                  <w:shd w:val="clear"/>
                  <w:vAlign w:val="center"/>
                </w:tcPr>
                <w:p w14:paraId="30B20F1F">
                  <w:pPr>
                    <w:rPr>
                      <w:rFonts w:hint="default" w:ascii="Calibri" w:hAnsi="Calibri" w:cs="Calibri"/>
                      <w:sz w:val="20"/>
                      <w:szCs w:val="20"/>
                    </w:rPr>
                  </w:pPr>
                </w:p>
              </w:tc>
            </w:tr>
            <w:tr w14:paraId="09FF518F">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51" w:type="dxa"/>
                  <w:tcBorders>
                    <w:top w:val="single" w:color="auto" w:sz="6" w:space="0"/>
                    <w:left w:val="nil"/>
                    <w:bottom w:val="single" w:color="auto" w:sz="6" w:space="0"/>
                    <w:right w:val="single" w:color="auto" w:sz="6" w:space="0"/>
                  </w:tcBorders>
                  <w:shd w:val="clear"/>
                  <w:vAlign w:val="center"/>
                </w:tcPr>
                <w:p w14:paraId="06B2FA06">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非甲烷总烃</w:t>
                  </w:r>
                </w:p>
              </w:tc>
              <w:tc>
                <w:tcPr>
                  <w:tcW w:w="709" w:type="dxa"/>
                  <w:tcBorders>
                    <w:top w:val="single" w:color="auto" w:sz="6" w:space="0"/>
                    <w:left w:val="single" w:color="auto" w:sz="6" w:space="0"/>
                    <w:bottom w:val="single" w:color="auto" w:sz="6" w:space="0"/>
                    <w:right w:val="single" w:color="auto" w:sz="6" w:space="0"/>
                  </w:tcBorders>
                  <w:shd w:val="clear"/>
                  <w:vAlign w:val="center"/>
                </w:tcPr>
                <w:p w14:paraId="72D69770">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0.631</w:t>
                  </w:r>
                </w:p>
              </w:tc>
              <w:tc>
                <w:tcPr>
                  <w:tcW w:w="425" w:type="dxa"/>
                  <w:vMerge w:val="restart"/>
                  <w:tcBorders>
                    <w:top w:val="single" w:color="auto" w:sz="6" w:space="0"/>
                    <w:left w:val="single" w:color="auto" w:sz="6" w:space="0"/>
                    <w:bottom w:val="single" w:color="auto" w:sz="12" w:space="0"/>
                    <w:right w:val="single" w:color="auto" w:sz="6" w:space="0"/>
                  </w:tcBorders>
                  <w:shd w:val="clear"/>
                  <w:vAlign w:val="center"/>
                </w:tcPr>
                <w:p w14:paraId="6CEF1F4F">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85</w:t>
                  </w:r>
                </w:p>
              </w:tc>
              <w:tc>
                <w:tcPr>
                  <w:tcW w:w="727" w:type="dxa"/>
                  <w:tcBorders>
                    <w:top w:val="single" w:color="auto" w:sz="6" w:space="0"/>
                    <w:left w:val="single" w:color="auto" w:sz="6" w:space="0"/>
                    <w:bottom w:val="single" w:color="auto" w:sz="6" w:space="0"/>
                    <w:right w:val="single" w:color="auto" w:sz="6" w:space="0"/>
                  </w:tcBorders>
                  <w:shd w:val="clear"/>
                  <w:vAlign w:val="center"/>
                </w:tcPr>
                <w:p w14:paraId="6C4DA03D">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0.536</w:t>
                  </w:r>
                </w:p>
              </w:tc>
              <w:tc>
                <w:tcPr>
                  <w:tcW w:w="690" w:type="dxa"/>
                  <w:tcBorders>
                    <w:top w:val="single" w:color="auto" w:sz="6" w:space="0"/>
                    <w:left w:val="single" w:color="auto" w:sz="6" w:space="0"/>
                    <w:bottom w:val="single" w:color="auto" w:sz="6" w:space="0"/>
                    <w:right w:val="single" w:color="auto" w:sz="6" w:space="0"/>
                  </w:tcBorders>
                  <w:shd w:val="clear"/>
                  <w:vAlign w:val="center"/>
                </w:tcPr>
                <w:p w14:paraId="0ABADD1D">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0.134</w:t>
                  </w:r>
                </w:p>
              </w:tc>
              <w:tc>
                <w:tcPr>
                  <w:tcW w:w="603" w:type="dxa"/>
                  <w:tcBorders>
                    <w:top w:val="single" w:color="auto" w:sz="6" w:space="0"/>
                    <w:left w:val="single" w:color="auto" w:sz="6" w:space="0"/>
                    <w:bottom w:val="single" w:color="auto" w:sz="6" w:space="0"/>
                    <w:right w:val="single" w:color="auto" w:sz="6" w:space="0"/>
                  </w:tcBorders>
                  <w:shd w:val="clear"/>
                  <w:vAlign w:val="center"/>
                </w:tcPr>
                <w:p w14:paraId="4244F525">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26.8</w:t>
                  </w:r>
                </w:p>
              </w:tc>
              <w:tc>
                <w:tcPr>
                  <w:tcW w:w="552" w:type="dxa"/>
                  <w:vMerge w:val="restart"/>
                  <w:tcBorders>
                    <w:top w:val="single" w:color="auto" w:sz="6" w:space="0"/>
                    <w:left w:val="single" w:color="auto" w:sz="6" w:space="0"/>
                    <w:bottom w:val="single" w:color="auto" w:sz="6" w:space="0"/>
                    <w:right w:val="single" w:color="auto" w:sz="6" w:space="0"/>
                  </w:tcBorders>
                  <w:shd w:val="clear"/>
                  <w:vAlign w:val="center"/>
                </w:tcPr>
                <w:p w14:paraId="03B1F72F">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80</w:t>
                  </w:r>
                </w:p>
              </w:tc>
              <w:tc>
                <w:tcPr>
                  <w:tcW w:w="546" w:type="dxa"/>
                  <w:vMerge w:val="restart"/>
                  <w:tcBorders>
                    <w:top w:val="single" w:color="auto" w:sz="6" w:space="0"/>
                    <w:left w:val="single" w:color="auto" w:sz="6" w:space="0"/>
                    <w:bottom w:val="single" w:color="auto" w:sz="12" w:space="0"/>
                    <w:right w:val="single" w:color="auto" w:sz="6" w:space="0"/>
                  </w:tcBorders>
                  <w:shd w:val="clear"/>
                  <w:vAlign w:val="center"/>
                </w:tcPr>
                <w:p w14:paraId="636BAB10">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5000</w:t>
                  </w:r>
                </w:p>
              </w:tc>
              <w:tc>
                <w:tcPr>
                  <w:tcW w:w="748" w:type="dxa"/>
                  <w:tcBorders>
                    <w:top w:val="single" w:color="auto" w:sz="6" w:space="0"/>
                    <w:left w:val="single" w:color="auto" w:sz="6" w:space="0"/>
                    <w:bottom w:val="single" w:color="auto" w:sz="6" w:space="0"/>
                    <w:right w:val="single" w:color="auto" w:sz="6" w:space="0"/>
                  </w:tcBorders>
                  <w:shd w:val="clear"/>
                  <w:vAlign w:val="center"/>
                </w:tcPr>
                <w:p w14:paraId="13B9BF55">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0.107</w:t>
                  </w:r>
                </w:p>
              </w:tc>
              <w:tc>
                <w:tcPr>
                  <w:tcW w:w="812" w:type="dxa"/>
                  <w:tcBorders>
                    <w:top w:val="single" w:color="auto" w:sz="6" w:space="0"/>
                    <w:left w:val="single" w:color="auto" w:sz="6" w:space="0"/>
                    <w:bottom w:val="single" w:color="auto" w:sz="6" w:space="0"/>
                    <w:right w:val="single" w:color="auto" w:sz="6" w:space="0"/>
                  </w:tcBorders>
                  <w:shd w:val="clear"/>
                  <w:vAlign w:val="center"/>
                </w:tcPr>
                <w:p w14:paraId="1458658F">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0.027</w:t>
                  </w:r>
                </w:p>
              </w:tc>
              <w:tc>
                <w:tcPr>
                  <w:tcW w:w="575" w:type="dxa"/>
                  <w:tcBorders>
                    <w:top w:val="single" w:color="auto" w:sz="6" w:space="0"/>
                    <w:left w:val="single" w:color="auto" w:sz="6" w:space="0"/>
                    <w:bottom w:val="single" w:color="auto" w:sz="6" w:space="0"/>
                    <w:right w:val="single" w:color="auto" w:sz="6" w:space="0"/>
                  </w:tcBorders>
                  <w:shd w:val="clear"/>
                  <w:vAlign w:val="center"/>
                </w:tcPr>
                <w:p w14:paraId="7FD20C0E">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5.4</w:t>
                  </w:r>
                </w:p>
              </w:tc>
              <w:tc>
                <w:tcPr>
                  <w:tcW w:w="708" w:type="dxa"/>
                  <w:tcBorders>
                    <w:top w:val="single" w:color="auto" w:sz="6" w:space="0"/>
                    <w:left w:val="single" w:color="auto" w:sz="6" w:space="0"/>
                    <w:bottom w:val="single" w:color="auto" w:sz="6" w:space="0"/>
                    <w:right w:val="nil"/>
                  </w:tcBorders>
                  <w:shd w:val="clear"/>
                  <w:vAlign w:val="center"/>
                </w:tcPr>
                <w:p w14:paraId="01E1AF72">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0.095</w:t>
                  </w:r>
                </w:p>
              </w:tc>
            </w:tr>
            <w:tr w14:paraId="3B35D743">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51" w:type="dxa"/>
                  <w:tcBorders>
                    <w:top w:val="single" w:color="auto" w:sz="6" w:space="0"/>
                    <w:left w:val="nil"/>
                    <w:bottom w:val="single" w:color="auto" w:sz="6" w:space="0"/>
                    <w:right w:val="single" w:color="auto" w:sz="6" w:space="0"/>
                  </w:tcBorders>
                  <w:shd w:val="clear"/>
                  <w:vAlign w:val="center"/>
                </w:tcPr>
                <w:p w14:paraId="6452E165">
                  <w:pPr>
                    <w:keepNext w:val="0"/>
                    <w:keepLines w:val="0"/>
                    <w:widowControl w:val="0"/>
                    <w:suppressLineNumbers w:val="0"/>
                    <w:spacing w:before="0" w:beforeAutospacing="0" w:after="0" w:afterAutospacing="0"/>
                    <w:ind w:left="0" w:right="0"/>
                    <w:jc w:val="center"/>
                    <w:rPr>
                      <w:rFonts w:hint="default" w:ascii="Times New Roman" w:hAnsi="Calibri" w:cs="Times New Roman"/>
                      <w:color w:val="000000"/>
                      <w:szCs w:val="21"/>
                      <w:bdr w:val="none" w:color="auto" w:sz="0" w:space="0"/>
                      <w:lang w:val="en-US"/>
                    </w:rPr>
                  </w:pPr>
                  <w:r>
                    <w:rPr>
                      <w:rFonts w:hint="default" w:ascii="Times New Roman" w:hAnsi="Calibri" w:eastAsia="宋体" w:cs="Times New Roman"/>
                      <w:color w:val="000000"/>
                      <w:kern w:val="2"/>
                      <w:sz w:val="21"/>
                      <w:szCs w:val="21"/>
                      <w:bdr w:val="none" w:color="auto" w:sz="0" w:space="0"/>
                      <w:lang w:val="en-US" w:eastAsia="zh-CN" w:bidi="ar"/>
                    </w:rPr>
                    <w:t>MDI</w:t>
                  </w:r>
                </w:p>
              </w:tc>
              <w:tc>
                <w:tcPr>
                  <w:tcW w:w="709" w:type="dxa"/>
                  <w:tcBorders>
                    <w:top w:val="single" w:color="auto" w:sz="6" w:space="0"/>
                    <w:left w:val="single" w:color="auto" w:sz="6" w:space="0"/>
                    <w:bottom w:val="single" w:color="auto" w:sz="6" w:space="0"/>
                    <w:right w:val="single" w:color="auto" w:sz="6" w:space="0"/>
                  </w:tcBorders>
                  <w:shd w:val="clear"/>
                  <w:vAlign w:val="center"/>
                </w:tcPr>
                <w:p w14:paraId="6122AB2A">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0.176</w:t>
                  </w:r>
                </w:p>
              </w:tc>
              <w:tc>
                <w:tcPr>
                  <w:tcW w:w="425" w:type="dxa"/>
                  <w:vMerge w:val="continue"/>
                  <w:tcBorders>
                    <w:top w:val="single" w:color="auto" w:sz="6" w:space="0"/>
                    <w:left w:val="single" w:color="auto" w:sz="6" w:space="0"/>
                    <w:bottom w:val="single" w:color="auto" w:sz="12" w:space="0"/>
                    <w:right w:val="single" w:color="auto" w:sz="6" w:space="0"/>
                  </w:tcBorders>
                  <w:shd w:val="clear"/>
                  <w:vAlign w:val="center"/>
                </w:tcPr>
                <w:p w14:paraId="59B72411">
                  <w:pPr>
                    <w:rPr>
                      <w:rFonts w:hint="default" w:ascii="Calibri" w:hAnsi="Calibri" w:cs="Calibri"/>
                      <w:sz w:val="20"/>
                      <w:szCs w:val="20"/>
                    </w:rPr>
                  </w:pPr>
                </w:p>
              </w:tc>
              <w:tc>
                <w:tcPr>
                  <w:tcW w:w="727" w:type="dxa"/>
                  <w:tcBorders>
                    <w:top w:val="single" w:color="auto" w:sz="6" w:space="0"/>
                    <w:left w:val="single" w:color="auto" w:sz="6" w:space="0"/>
                    <w:bottom w:val="single" w:color="auto" w:sz="6" w:space="0"/>
                    <w:right w:val="single" w:color="auto" w:sz="6" w:space="0"/>
                  </w:tcBorders>
                  <w:shd w:val="clear"/>
                  <w:vAlign w:val="center"/>
                </w:tcPr>
                <w:p w14:paraId="79C34616">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0.150</w:t>
                  </w:r>
                </w:p>
              </w:tc>
              <w:tc>
                <w:tcPr>
                  <w:tcW w:w="690" w:type="dxa"/>
                  <w:tcBorders>
                    <w:top w:val="single" w:color="auto" w:sz="6" w:space="0"/>
                    <w:left w:val="single" w:color="auto" w:sz="6" w:space="0"/>
                    <w:bottom w:val="single" w:color="auto" w:sz="6" w:space="0"/>
                    <w:right w:val="single" w:color="auto" w:sz="6" w:space="0"/>
                  </w:tcBorders>
                  <w:shd w:val="clear"/>
                  <w:vAlign w:val="center"/>
                </w:tcPr>
                <w:p w14:paraId="1B8ABF56">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0.038</w:t>
                  </w:r>
                </w:p>
              </w:tc>
              <w:tc>
                <w:tcPr>
                  <w:tcW w:w="603" w:type="dxa"/>
                  <w:tcBorders>
                    <w:top w:val="single" w:color="auto" w:sz="6" w:space="0"/>
                    <w:left w:val="single" w:color="auto" w:sz="6" w:space="0"/>
                    <w:bottom w:val="single" w:color="auto" w:sz="6" w:space="0"/>
                    <w:right w:val="single" w:color="auto" w:sz="6" w:space="0"/>
                  </w:tcBorders>
                  <w:shd w:val="clear"/>
                  <w:vAlign w:val="center"/>
                </w:tcPr>
                <w:p w14:paraId="0851B7C2">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7.5</w:t>
                  </w:r>
                </w:p>
              </w:tc>
              <w:tc>
                <w:tcPr>
                  <w:tcW w:w="552" w:type="dxa"/>
                  <w:vMerge w:val="continue"/>
                  <w:tcBorders>
                    <w:top w:val="single" w:color="auto" w:sz="6" w:space="0"/>
                    <w:left w:val="single" w:color="auto" w:sz="6" w:space="0"/>
                    <w:bottom w:val="single" w:color="auto" w:sz="6" w:space="0"/>
                    <w:right w:val="single" w:color="auto" w:sz="6" w:space="0"/>
                  </w:tcBorders>
                  <w:shd w:val="clear"/>
                  <w:vAlign w:val="center"/>
                </w:tcPr>
                <w:p w14:paraId="044B7328">
                  <w:pPr>
                    <w:rPr>
                      <w:rFonts w:hint="default" w:ascii="Calibri" w:hAnsi="Calibri" w:cs="Calibri"/>
                      <w:sz w:val="20"/>
                      <w:szCs w:val="20"/>
                    </w:rPr>
                  </w:pPr>
                </w:p>
              </w:tc>
              <w:tc>
                <w:tcPr>
                  <w:tcW w:w="546" w:type="dxa"/>
                  <w:vMerge w:val="continue"/>
                  <w:tcBorders>
                    <w:top w:val="single" w:color="auto" w:sz="6" w:space="0"/>
                    <w:left w:val="single" w:color="auto" w:sz="6" w:space="0"/>
                    <w:bottom w:val="single" w:color="auto" w:sz="12" w:space="0"/>
                    <w:right w:val="single" w:color="auto" w:sz="6" w:space="0"/>
                  </w:tcBorders>
                  <w:shd w:val="clear"/>
                  <w:vAlign w:val="center"/>
                </w:tcPr>
                <w:p w14:paraId="3EFAD933">
                  <w:pPr>
                    <w:rPr>
                      <w:rFonts w:hint="default" w:ascii="Calibri" w:hAnsi="Calibri" w:cs="Calibri"/>
                      <w:sz w:val="20"/>
                      <w:szCs w:val="20"/>
                    </w:rPr>
                  </w:pPr>
                </w:p>
              </w:tc>
              <w:tc>
                <w:tcPr>
                  <w:tcW w:w="748" w:type="dxa"/>
                  <w:tcBorders>
                    <w:top w:val="single" w:color="auto" w:sz="6" w:space="0"/>
                    <w:left w:val="single" w:color="auto" w:sz="6" w:space="0"/>
                    <w:bottom w:val="single" w:color="auto" w:sz="6" w:space="0"/>
                    <w:right w:val="single" w:color="auto" w:sz="6" w:space="0"/>
                  </w:tcBorders>
                  <w:shd w:val="clear"/>
                  <w:vAlign w:val="center"/>
                </w:tcPr>
                <w:p w14:paraId="32DABABB">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0.030</w:t>
                  </w:r>
                </w:p>
              </w:tc>
              <w:tc>
                <w:tcPr>
                  <w:tcW w:w="812" w:type="dxa"/>
                  <w:tcBorders>
                    <w:top w:val="single" w:color="auto" w:sz="6" w:space="0"/>
                    <w:left w:val="single" w:color="auto" w:sz="6" w:space="0"/>
                    <w:bottom w:val="single" w:color="auto" w:sz="6" w:space="0"/>
                    <w:right w:val="single" w:color="auto" w:sz="6" w:space="0"/>
                  </w:tcBorders>
                  <w:shd w:val="clear"/>
                  <w:vAlign w:val="center"/>
                </w:tcPr>
                <w:p w14:paraId="26E38CEE">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0.008</w:t>
                  </w:r>
                </w:p>
              </w:tc>
              <w:tc>
                <w:tcPr>
                  <w:tcW w:w="575" w:type="dxa"/>
                  <w:tcBorders>
                    <w:top w:val="single" w:color="auto" w:sz="6" w:space="0"/>
                    <w:left w:val="single" w:color="auto" w:sz="6" w:space="0"/>
                    <w:bottom w:val="single" w:color="auto" w:sz="6" w:space="0"/>
                    <w:right w:val="single" w:color="auto" w:sz="6" w:space="0"/>
                  </w:tcBorders>
                  <w:shd w:val="clear"/>
                  <w:vAlign w:val="center"/>
                </w:tcPr>
                <w:p w14:paraId="2162CB46">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1.5</w:t>
                  </w:r>
                </w:p>
              </w:tc>
              <w:tc>
                <w:tcPr>
                  <w:tcW w:w="708" w:type="dxa"/>
                  <w:tcBorders>
                    <w:top w:val="single" w:color="auto" w:sz="6" w:space="0"/>
                    <w:left w:val="single" w:color="auto" w:sz="6" w:space="0"/>
                    <w:bottom w:val="single" w:color="auto" w:sz="6" w:space="0"/>
                    <w:right w:val="nil"/>
                  </w:tcBorders>
                  <w:shd w:val="clear"/>
                  <w:vAlign w:val="center"/>
                </w:tcPr>
                <w:p w14:paraId="340CA726">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0.026</w:t>
                  </w:r>
                </w:p>
              </w:tc>
            </w:tr>
            <w:tr w14:paraId="3C5B2A02">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51" w:type="dxa"/>
                  <w:tcBorders>
                    <w:top w:val="single" w:color="auto" w:sz="6" w:space="0"/>
                    <w:left w:val="nil"/>
                    <w:bottom w:val="single" w:color="auto" w:sz="12" w:space="0"/>
                    <w:right w:val="single" w:color="auto" w:sz="6" w:space="0"/>
                  </w:tcBorders>
                  <w:shd w:val="clear"/>
                  <w:vAlign w:val="center"/>
                </w:tcPr>
                <w:p w14:paraId="32FC5ECD">
                  <w:pPr>
                    <w:keepNext w:val="0"/>
                    <w:keepLines w:val="0"/>
                    <w:widowControl w:val="0"/>
                    <w:suppressLineNumbers w:val="0"/>
                    <w:spacing w:before="0" w:beforeAutospacing="0" w:after="0" w:afterAutospacing="0"/>
                    <w:ind w:left="0" w:right="0"/>
                    <w:jc w:val="center"/>
                    <w:rPr>
                      <w:rFonts w:hint="default" w:ascii="Times New Roman" w:hAnsi="Calibri" w:cs="Times New Roman"/>
                      <w:color w:val="000000"/>
                      <w:szCs w:val="21"/>
                      <w:bdr w:val="none" w:color="auto" w:sz="0" w:space="0"/>
                      <w:lang w:val="en-US"/>
                    </w:rPr>
                  </w:pPr>
                  <w:bookmarkStart w:id="45" w:name="_Hlk191903677"/>
                  <w:r>
                    <w:rPr>
                      <w:rFonts w:hint="eastAsia" w:ascii="Times New Roman" w:hAnsi="Calibri" w:eastAsia="宋体" w:cs="宋体"/>
                      <w:color w:val="000000"/>
                      <w:kern w:val="2"/>
                      <w:sz w:val="21"/>
                      <w:szCs w:val="21"/>
                      <w:bdr w:val="none" w:color="auto" w:sz="0" w:space="0"/>
                      <w:lang w:val="en-US" w:eastAsia="zh-CN" w:bidi="ar"/>
                    </w:rPr>
                    <w:t>颗粒物</w:t>
                  </w:r>
                </w:p>
              </w:tc>
              <w:tc>
                <w:tcPr>
                  <w:tcW w:w="709" w:type="dxa"/>
                  <w:tcBorders>
                    <w:top w:val="single" w:color="auto" w:sz="6" w:space="0"/>
                    <w:left w:val="single" w:color="auto" w:sz="6" w:space="0"/>
                    <w:bottom w:val="single" w:color="auto" w:sz="12" w:space="0"/>
                    <w:right w:val="single" w:color="auto" w:sz="6" w:space="0"/>
                  </w:tcBorders>
                  <w:shd w:val="clear"/>
                  <w:vAlign w:val="center"/>
                </w:tcPr>
                <w:p w14:paraId="3038A896">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0.031</w:t>
                  </w:r>
                </w:p>
              </w:tc>
              <w:tc>
                <w:tcPr>
                  <w:tcW w:w="425" w:type="dxa"/>
                  <w:vMerge w:val="continue"/>
                  <w:tcBorders>
                    <w:top w:val="single" w:color="auto" w:sz="6" w:space="0"/>
                    <w:left w:val="single" w:color="auto" w:sz="6" w:space="0"/>
                    <w:bottom w:val="single" w:color="auto" w:sz="12" w:space="0"/>
                    <w:right w:val="single" w:color="auto" w:sz="6" w:space="0"/>
                  </w:tcBorders>
                  <w:shd w:val="clear"/>
                  <w:vAlign w:val="center"/>
                </w:tcPr>
                <w:p w14:paraId="50A018C4">
                  <w:pPr>
                    <w:rPr>
                      <w:rFonts w:hint="default" w:ascii="Calibri" w:hAnsi="Calibri" w:cs="Calibri"/>
                      <w:sz w:val="20"/>
                      <w:szCs w:val="20"/>
                    </w:rPr>
                  </w:pPr>
                </w:p>
              </w:tc>
              <w:tc>
                <w:tcPr>
                  <w:tcW w:w="727" w:type="dxa"/>
                  <w:tcBorders>
                    <w:top w:val="single" w:color="auto" w:sz="6" w:space="0"/>
                    <w:left w:val="single" w:color="auto" w:sz="6" w:space="0"/>
                    <w:bottom w:val="single" w:color="auto" w:sz="12" w:space="0"/>
                    <w:right w:val="single" w:color="auto" w:sz="6" w:space="0"/>
                  </w:tcBorders>
                  <w:shd w:val="clear"/>
                  <w:vAlign w:val="center"/>
                </w:tcPr>
                <w:p w14:paraId="263AEE21">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0.026</w:t>
                  </w:r>
                </w:p>
              </w:tc>
              <w:tc>
                <w:tcPr>
                  <w:tcW w:w="690" w:type="dxa"/>
                  <w:tcBorders>
                    <w:top w:val="single" w:color="auto" w:sz="6" w:space="0"/>
                    <w:left w:val="single" w:color="auto" w:sz="6" w:space="0"/>
                    <w:bottom w:val="single" w:color="auto" w:sz="12" w:space="0"/>
                    <w:right w:val="single" w:color="auto" w:sz="6" w:space="0"/>
                  </w:tcBorders>
                  <w:shd w:val="clear"/>
                  <w:vAlign w:val="center"/>
                </w:tcPr>
                <w:p w14:paraId="1BCA7CBB">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0.007</w:t>
                  </w:r>
                </w:p>
              </w:tc>
              <w:tc>
                <w:tcPr>
                  <w:tcW w:w="603" w:type="dxa"/>
                  <w:tcBorders>
                    <w:top w:val="single" w:color="auto" w:sz="6" w:space="0"/>
                    <w:left w:val="single" w:color="auto" w:sz="6" w:space="0"/>
                    <w:bottom w:val="single" w:color="auto" w:sz="12" w:space="0"/>
                    <w:right w:val="single" w:color="auto" w:sz="6" w:space="0"/>
                  </w:tcBorders>
                  <w:shd w:val="clear"/>
                  <w:vAlign w:val="center"/>
                </w:tcPr>
                <w:p w14:paraId="051210E2">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1.3</w:t>
                  </w:r>
                </w:p>
              </w:tc>
              <w:tc>
                <w:tcPr>
                  <w:tcW w:w="552" w:type="dxa"/>
                  <w:tcBorders>
                    <w:top w:val="single" w:color="auto" w:sz="6" w:space="0"/>
                    <w:left w:val="single" w:color="auto" w:sz="6" w:space="0"/>
                    <w:bottom w:val="single" w:color="auto" w:sz="12" w:space="0"/>
                    <w:right w:val="single" w:color="auto" w:sz="6" w:space="0"/>
                  </w:tcBorders>
                  <w:shd w:val="clear"/>
                  <w:vAlign w:val="center"/>
                </w:tcPr>
                <w:p w14:paraId="59DA9434">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90</w:t>
                  </w:r>
                </w:p>
              </w:tc>
              <w:tc>
                <w:tcPr>
                  <w:tcW w:w="546" w:type="dxa"/>
                  <w:vMerge w:val="continue"/>
                  <w:tcBorders>
                    <w:top w:val="single" w:color="auto" w:sz="6" w:space="0"/>
                    <w:left w:val="single" w:color="auto" w:sz="6" w:space="0"/>
                    <w:bottom w:val="single" w:color="auto" w:sz="12" w:space="0"/>
                    <w:right w:val="single" w:color="auto" w:sz="6" w:space="0"/>
                  </w:tcBorders>
                  <w:shd w:val="clear"/>
                  <w:vAlign w:val="center"/>
                </w:tcPr>
                <w:p w14:paraId="4E2C047E">
                  <w:pPr>
                    <w:rPr>
                      <w:rFonts w:hint="default" w:ascii="Calibri" w:hAnsi="Calibri" w:cs="Calibri"/>
                      <w:sz w:val="20"/>
                      <w:szCs w:val="20"/>
                    </w:rPr>
                  </w:pPr>
                </w:p>
              </w:tc>
              <w:tc>
                <w:tcPr>
                  <w:tcW w:w="748" w:type="dxa"/>
                  <w:tcBorders>
                    <w:top w:val="single" w:color="auto" w:sz="6" w:space="0"/>
                    <w:left w:val="single" w:color="auto" w:sz="6" w:space="0"/>
                    <w:bottom w:val="single" w:color="auto" w:sz="12" w:space="0"/>
                    <w:right w:val="single" w:color="auto" w:sz="6" w:space="0"/>
                  </w:tcBorders>
                  <w:shd w:val="clear"/>
                  <w:vAlign w:val="center"/>
                </w:tcPr>
                <w:p w14:paraId="36AF14F0">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0.003</w:t>
                  </w:r>
                </w:p>
              </w:tc>
              <w:tc>
                <w:tcPr>
                  <w:tcW w:w="812" w:type="dxa"/>
                  <w:tcBorders>
                    <w:top w:val="single" w:color="auto" w:sz="6" w:space="0"/>
                    <w:left w:val="single" w:color="auto" w:sz="6" w:space="0"/>
                    <w:bottom w:val="single" w:color="auto" w:sz="12" w:space="0"/>
                    <w:right w:val="single" w:color="auto" w:sz="6" w:space="0"/>
                  </w:tcBorders>
                  <w:shd w:val="clear"/>
                  <w:vAlign w:val="center"/>
                </w:tcPr>
                <w:p w14:paraId="1C52144E">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0.001</w:t>
                  </w:r>
                </w:p>
              </w:tc>
              <w:tc>
                <w:tcPr>
                  <w:tcW w:w="575" w:type="dxa"/>
                  <w:tcBorders>
                    <w:top w:val="single" w:color="auto" w:sz="6" w:space="0"/>
                    <w:left w:val="single" w:color="auto" w:sz="6" w:space="0"/>
                    <w:bottom w:val="single" w:color="auto" w:sz="12" w:space="0"/>
                    <w:right w:val="single" w:color="auto" w:sz="6" w:space="0"/>
                  </w:tcBorders>
                  <w:shd w:val="clear"/>
                  <w:vAlign w:val="center"/>
                </w:tcPr>
                <w:p w14:paraId="3960873B">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0.1</w:t>
                  </w:r>
                </w:p>
              </w:tc>
              <w:tc>
                <w:tcPr>
                  <w:tcW w:w="708" w:type="dxa"/>
                  <w:tcBorders>
                    <w:top w:val="single" w:color="auto" w:sz="6" w:space="0"/>
                    <w:left w:val="single" w:color="auto" w:sz="6" w:space="0"/>
                    <w:bottom w:val="single" w:color="auto" w:sz="12" w:space="0"/>
                    <w:right w:val="nil"/>
                  </w:tcBorders>
                  <w:shd w:val="clear"/>
                  <w:vAlign w:val="center"/>
                </w:tcPr>
                <w:p w14:paraId="534B55D6">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0.005</w:t>
                  </w:r>
                </w:p>
              </w:tc>
            </w:tr>
            <w:bookmarkEnd w:id="45"/>
          </w:tbl>
          <w:p w14:paraId="78BE421E">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根据表</w:t>
            </w:r>
            <w:r>
              <w:rPr>
                <w:rFonts w:hint="default" w:ascii="Times New Roman" w:hAnsi="Calibri" w:eastAsia="宋体" w:cs="Times New Roman"/>
                <w:color w:val="000000"/>
                <w:kern w:val="2"/>
                <w:sz w:val="24"/>
                <w:szCs w:val="24"/>
                <w:bdr w:val="none" w:color="auto" w:sz="0" w:space="0"/>
                <w:lang w:val="en-US" w:eastAsia="zh-CN" w:bidi="ar"/>
              </w:rPr>
              <w:t>4.1</w:t>
            </w:r>
            <w:r>
              <w:rPr>
                <w:rFonts w:hint="eastAsia" w:ascii="Times New Roman" w:hAnsi="Calibri" w:eastAsia="宋体" w:cs="宋体"/>
                <w:color w:val="000000"/>
                <w:kern w:val="2"/>
                <w:sz w:val="24"/>
                <w:szCs w:val="24"/>
                <w:bdr w:val="none" w:color="auto" w:sz="0" w:space="0"/>
                <w:lang w:val="en-US" w:eastAsia="zh-CN" w:bidi="ar"/>
              </w:rPr>
              <w:t>，</w:t>
            </w:r>
            <w:r>
              <w:rPr>
                <w:rFonts w:hint="eastAsia" w:ascii="Times New Roman" w:hAnsi="Times New Roman" w:eastAsia="宋体" w:cs="宋体"/>
                <w:color w:val="000000"/>
                <w:kern w:val="2"/>
                <w:sz w:val="24"/>
                <w:szCs w:val="24"/>
                <w:bdr w:val="none" w:color="auto" w:sz="0" w:space="0"/>
                <w:lang w:val="en-US" w:eastAsia="zh-CN" w:bidi="ar"/>
              </w:rPr>
              <w:t>涂胶、激光切割</w:t>
            </w:r>
            <w:r>
              <w:rPr>
                <w:rFonts w:hint="eastAsia" w:ascii="Times New Roman" w:hAnsi="Calibri" w:eastAsia="宋体" w:cs="宋体"/>
                <w:color w:val="000000"/>
                <w:kern w:val="2"/>
                <w:sz w:val="24"/>
                <w:szCs w:val="24"/>
                <w:bdr w:val="none" w:color="auto" w:sz="0" w:space="0"/>
                <w:lang w:val="en-US" w:eastAsia="zh-CN" w:bidi="ar"/>
              </w:rPr>
              <w:t>过程未被收集的颗粒物（</w:t>
            </w:r>
            <w:r>
              <w:rPr>
                <w:rFonts w:hint="default" w:ascii="Times New Roman" w:hAnsi="Calibri" w:eastAsia="宋体" w:cs="Times New Roman"/>
                <w:color w:val="000000"/>
                <w:kern w:val="2"/>
                <w:sz w:val="24"/>
                <w:szCs w:val="24"/>
                <w:bdr w:val="none" w:color="auto" w:sz="0" w:space="0"/>
                <w:lang w:val="en-US" w:eastAsia="zh-CN" w:bidi="ar"/>
              </w:rPr>
              <w:t>0.005t/a</w:t>
            </w:r>
            <w:r>
              <w:rPr>
                <w:rFonts w:hint="eastAsia" w:ascii="Times New Roman" w:hAnsi="Calibri" w:eastAsia="宋体" w:cs="宋体"/>
                <w:color w:val="000000"/>
                <w:kern w:val="2"/>
                <w:sz w:val="24"/>
                <w:szCs w:val="24"/>
                <w:bdr w:val="none" w:color="auto" w:sz="0" w:space="0"/>
                <w:lang w:val="en-US" w:eastAsia="zh-CN" w:bidi="ar"/>
              </w:rPr>
              <w:t>）、非甲烷总烃（</w:t>
            </w:r>
            <w:r>
              <w:rPr>
                <w:rFonts w:hint="default" w:ascii="Times New Roman" w:hAnsi="Calibri" w:eastAsia="宋体" w:cs="Times New Roman"/>
                <w:color w:val="000000"/>
                <w:kern w:val="2"/>
                <w:sz w:val="24"/>
                <w:szCs w:val="24"/>
                <w:bdr w:val="none" w:color="auto" w:sz="0" w:space="0"/>
                <w:lang w:val="en-US" w:eastAsia="zh-CN" w:bidi="ar"/>
              </w:rPr>
              <w:t>0.095t/a</w:t>
            </w:r>
            <w:r>
              <w:rPr>
                <w:rFonts w:hint="eastAsia" w:ascii="Times New Roman" w:hAnsi="Calibri" w:eastAsia="宋体" w:cs="宋体"/>
                <w:color w:val="000000"/>
                <w:kern w:val="2"/>
                <w:sz w:val="24"/>
                <w:szCs w:val="24"/>
                <w:bdr w:val="none" w:color="auto" w:sz="0" w:space="0"/>
                <w:lang w:val="en-US" w:eastAsia="zh-CN" w:bidi="ar"/>
              </w:rPr>
              <w:t>）、</w:t>
            </w:r>
            <w:r>
              <w:rPr>
                <w:rFonts w:hint="default" w:ascii="Times New Roman" w:hAnsi="Calibri" w:eastAsia="宋体" w:cs="Times New Roman"/>
                <w:color w:val="000000"/>
                <w:kern w:val="2"/>
                <w:sz w:val="24"/>
                <w:szCs w:val="24"/>
                <w:bdr w:val="none" w:color="auto" w:sz="0" w:space="0"/>
                <w:lang w:val="en-US" w:eastAsia="zh-CN" w:bidi="ar"/>
              </w:rPr>
              <w:t>MDI</w:t>
            </w:r>
            <w:r>
              <w:rPr>
                <w:rFonts w:hint="eastAsia" w:ascii="Times New Roman" w:hAnsi="Calibri" w:eastAsia="宋体" w:cs="宋体"/>
                <w:color w:val="000000"/>
                <w:kern w:val="2"/>
                <w:sz w:val="24"/>
                <w:szCs w:val="24"/>
                <w:bdr w:val="none" w:color="auto" w:sz="0" w:space="0"/>
                <w:lang w:val="en-US" w:eastAsia="zh-CN" w:bidi="ar"/>
              </w:rPr>
              <w:t>（</w:t>
            </w:r>
            <w:r>
              <w:rPr>
                <w:rFonts w:hint="default" w:ascii="Times New Roman" w:hAnsi="Calibri" w:eastAsia="宋体" w:cs="Times New Roman"/>
                <w:color w:val="000000"/>
                <w:kern w:val="2"/>
                <w:sz w:val="24"/>
                <w:szCs w:val="24"/>
                <w:bdr w:val="none" w:color="auto" w:sz="0" w:space="0"/>
                <w:lang w:val="en-US" w:eastAsia="zh-CN" w:bidi="ar"/>
              </w:rPr>
              <w:t>0.026t/a</w:t>
            </w:r>
            <w:r>
              <w:rPr>
                <w:rFonts w:hint="eastAsia" w:ascii="Times New Roman" w:hAnsi="Calibri" w:eastAsia="宋体" w:cs="宋体"/>
                <w:color w:val="000000"/>
                <w:kern w:val="2"/>
                <w:sz w:val="24"/>
                <w:szCs w:val="24"/>
                <w:bdr w:val="none" w:color="auto" w:sz="0" w:space="0"/>
                <w:lang w:val="en-US" w:eastAsia="zh-CN" w:bidi="ar"/>
              </w:rPr>
              <w:t>）</w:t>
            </w:r>
            <w:r>
              <w:rPr>
                <w:rFonts w:hint="eastAsia" w:ascii="Calibri" w:hAnsi="Calibri" w:eastAsia="宋体" w:cs="宋体"/>
                <w:bCs/>
                <w:color w:val="000000"/>
                <w:kern w:val="2"/>
                <w:sz w:val="24"/>
                <w:szCs w:val="24"/>
                <w:bdr w:val="none" w:color="auto" w:sz="0" w:space="0"/>
                <w:lang w:val="en-US" w:eastAsia="zh-CN" w:bidi="ar"/>
              </w:rPr>
              <w:t>以无组织形式排放。</w:t>
            </w:r>
          </w:p>
          <w:p w14:paraId="05061B93">
            <w:pPr>
              <w:keepNext w:val="0"/>
              <w:keepLines w:val="0"/>
              <w:widowControl w:val="0"/>
              <w:suppressLineNumbers w:val="0"/>
              <w:adjustRightInd w:val="0"/>
              <w:snapToGrid w:val="0"/>
              <w:spacing w:before="0" w:beforeAutospacing="0" w:after="0" w:afterAutospacing="0" w:line="440" w:lineRule="exact"/>
              <w:ind w:left="0" w:right="0" w:firstLine="482" w:firstLineChars="200"/>
              <w:jc w:val="both"/>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b/>
                <w:bCs w:val="0"/>
                <w:color w:val="000000"/>
                <w:kern w:val="2"/>
                <w:sz w:val="24"/>
                <w:szCs w:val="24"/>
                <w:bdr w:val="none" w:color="auto" w:sz="0" w:space="0"/>
                <w:lang w:val="en-US" w:eastAsia="zh-CN" w:bidi="ar"/>
              </w:rPr>
              <w:t>4</w:t>
            </w:r>
            <w:r>
              <w:rPr>
                <w:rFonts w:hint="eastAsia" w:ascii="Times New Roman" w:hAnsi="Times New Roman" w:eastAsia="宋体" w:cs="宋体"/>
                <w:b/>
                <w:bCs w:val="0"/>
                <w:color w:val="000000"/>
                <w:kern w:val="2"/>
                <w:sz w:val="24"/>
                <w:szCs w:val="24"/>
                <w:bdr w:val="none" w:color="auto" w:sz="0" w:space="0"/>
                <w:lang w:val="en-US" w:eastAsia="zh-CN" w:bidi="ar"/>
              </w:rPr>
              <w:t>、云母板雕刻、打磨粉尘</w:t>
            </w:r>
            <w:r>
              <w:rPr>
                <w:rFonts w:hint="default" w:ascii="Times New Roman" w:hAnsi="Times New Roman" w:eastAsia="宋体" w:cs="Times New Roman"/>
                <w:b/>
                <w:bCs w:val="0"/>
                <w:color w:val="000000"/>
                <w:kern w:val="2"/>
                <w:sz w:val="24"/>
                <w:szCs w:val="24"/>
                <w:bdr w:val="none" w:color="auto" w:sz="0" w:space="0"/>
                <w:lang w:val="en-US" w:eastAsia="zh-CN" w:bidi="ar"/>
              </w:rPr>
              <w:t>G4/G5</w:t>
            </w:r>
          </w:p>
          <w:p w14:paraId="1602BEAD">
            <w:pPr>
              <w:keepNext w:val="0"/>
              <w:keepLines w:val="0"/>
              <w:widowControl w:val="0"/>
              <w:suppressLineNumbers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1</w:t>
            </w:r>
            <w:r>
              <w:rPr>
                <w:rFonts w:hint="eastAsia" w:ascii="Times New Roman" w:hAnsi="Times New Roman" w:eastAsia="宋体" w:cs="宋体"/>
                <w:color w:val="000000"/>
                <w:kern w:val="2"/>
                <w:sz w:val="24"/>
                <w:szCs w:val="24"/>
                <w:bdr w:val="none" w:color="auto" w:sz="0" w:space="0"/>
                <w:lang w:val="en-US" w:eastAsia="zh-CN" w:bidi="ar"/>
              </w:rPr>
              <w:t>）产生情况</w:t>
            </w:r>
          </w:p>
          <w:p w14:paraId="50EBD7FF">
            <w:pPr>
              <w:keepNext w:val="0"/>
              <w:keepLines w:val="0"/>
              <w:widowControl w:val="0"/>
              <w:suppressLineNumbers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云母板通过雕刻机雕刻成所需要的云母加工件，再通过打磨机将雕刻工件的四周打磨平整，雕刻打磨过程会产生粉尘。根据现有工程验收数据及类比同类型工程，雕刻打磨粉尘产生量约占切割云母板量的</w:t>
            </w:r>
            <w:r>
              <w:rPr>
                <w:rFonts w:hint="default" w:ascii="Times New Roman" w:hAnsi="Times New Roman" w:eastAsia="宋体" w:cs="Times New Roman"/>
                <w:color w:val="000000"/>
                <w:kern w:val="2"/>
                <w:sz w:val="24"/>
                <w:szCs w:val="24"/>
                <w:bdr w:val="none" w:color="auto" w:sz="0" w:space="0"/>
                <w:lang w:val="en-US" w:eastAsia="zh-CN" w:bidi="ar"/>
              </w:rPr>
              <w:t>1%</w:t>
            </w:r>
            <w:r>
              <w:rPr>
                <w:rFonts w:hint="eastAsia" w:ascii="Times New Roman" w:hAnsi="Times New Roman" w:eastAsia="宋体" w:cs="宋体"/>
                <w:color w:val="000000"/>
                <w:kern w:val="2"/>
                <w:sz w:val="24"/>
                <w:szCs w:val="24"/>
                <w:bdr w:val="none" w:color="auto" w:sz="0" w:space="0"/>
                <w:lang w:val="en-US" w:eastAsia="zh-CN" w:bidi="ar"/>
              </w:rPr>
              <w:t>，扩建项目云母板约</w:t>
            </w:r>
            <w:r>
              <w:rPr>
                <w:rFonts w:hint="default" w:ascii="Times New Roman" w:hAnsi="Times New Roman" w:eastAsia="宋体" w:cs="Times New Roman"/>
                <w:color w:val="000000"/>
                <w:kern w:val="2"/>
                <w:sz w:val="24"/>
                <w:szCs w:val="24"/>
                <w:bdr w:val="none" w:color="auto" w:sz="0" w:space="0"/>
                <w:lang w:val="en-US" w:eastAsia="zh-CN" w:bidi="ar"/>
              </w:rPr>
              <w:t>100t/a</w:t>
            </w:r>
            <w:r>
              <w:rPr>
                <w:rFonts w:hint="eastAsia" w:ascii="Times New Roman" w:hAnsi="Times New Roman" w:eastAsia="宋体" w:cs="宋体"/>
                <w:color w:val="000000"/>
                <w:kern w:val="2"/>
                <w:sz w:val="24"/>
                <w:szCs w:val="24"/>
                <w:bdr w:val="none" w:color="auto" w:sz="0" w:space="0"/>
                <w:lang w:val="en-US" w:eastAsia="zh-CN" w:bidi="ar"/>
              </w:rPr>
              <w:t>，则粉尘产生量约</w:t>
            </w:r>
            <w:r>
              <w:rPr>
                <w:rFonts w:hint="default" w:ascii="Times New Roman" w:hAnsi="Times New Roman" w:eastAsia="宋体" w:cs="Times New Roman"/>
                <w:color w:val="000000"/>
                <w:kern w:val="2"/>
                <w:sz w:val="24"/>
                <w:szCs w:val="24"/>
                <w:bdr w:val="none" w:color="auto" w:sz="0" w:space="0"/>
                <w:lang w:val="en-US" w:eastAsia="zh-CN" w:bidi="ar"/>
              </w:rPr>
              <w:t>1 t/a</w:t>
            </w:r>
            <w:r>
              <w:rPr>
                <w:rFonts w:hint="eastAsia" w:ascii="Times New Roman" w:hAnsi="Times New Roman" w:eastAsia="宋体" w:cs="宋体"/>
                <w:color w:val="000000"/>
                <w:kern w:val="2"/>
                <w:sz w:val="24"/>
                <w:szCs w:val="24"/>
                <w:bdr w:val="none" w:color="auto" w:sz="0" w:space="0"/>
                <w:lang w:val="en-US" w:eastAsia="zh-CN" w:bidi="ar"/>
              </w:rPr>
              <w:t>。</w:t>
            </w:r>
          </w:p>
          <w:p w14:paraId="32485924">
            <w:pPr>
              <w:keepNext w:val="0"/>
              <w:keepLines w:val="0"/>
              <w:widowControl w:val="0"/>
              <w:suppressLineNumbers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2</w:t>
            </w:r>
            <w:r>
              <w:rPr>
                <w:rFonts w:hint="eastAsia" w:ascii="Times New Roman" w:hAnsi="Times New Roman" w:eastAsia="宋体" w:cs="宋体"/>
                <w:color w:val="000000"/>
                <w:kern w:val="2"/>
                <w:sz w:val="24"/>
                <w:szCs w:val="24"/>
                <w:bdr w:val="none" w:color="auto" w:sz="0" w:space="0"/>
                <w:lang w:val="en-US" w:eastAsia="zh-CN" w:bidi="ar"/>
              </w:rPr>
              <w:t>）处理措施</w:t>
            </w:r>
          </w:p>
          <w:p w14:paraId="0D562721">
            <w:pPr>
              <w:keepNext w:val="0"/>
              <w:keepLines w:val="0"/>
              <w:widowControl w:val="0"/>
              <w:suppressLineNumbers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雕刻及打磨粉尘经收集后经“旋风除尘</w:t>
            </w:r>
            <w:r>
              <w:rPr>
                <w:rFonts w:hint="default" w:ascii="Times New Roman" w:hAnsi="Times New Roman" w:eastAsia="宋体" w:cs="Times New Roman"/>
                <w:color w:val="000000"/>
                <w:kern w:val="2"/>
                <w:sz w:val="24"/>
                <w:szCs w:val="24"/>
                <w:bdr w:val="none" w:color="auto" w:sz="0" w:space="0"/>
                <w:lang w:val="en-US" w:eastAsia="zh-CN" w:bidi="ar"/>
              </w:rPr>
              <w:t>+</w:t>
            </w:r>
            <w:r>
              <w:rPr>
                <w:rFonts w:hint="eastAsia" w:ascii="Times New Roman" w:hAnsi="Times New Roman" w:eastAsia="宋体" w:cs="宋体"/>
                <w:color w:val="000000"/>
                <w:kern w:val="2"/>
                <w:sz w:val="24"/>
                <w:szCs w:val="24"/>
                <w:bdr w:val="none" w:color="auto" w:sz="0" w:space="0"/>
                <w:lang w:val="en-US" w:eastAsia="zh-CN" w:bidi="ar"/>
              </w:rPr>
              <w:t>布袋除尘”装置</w:t>
            </w:r>
            <w:r>
              <w:rPr>
                <w:rFonts w:hint="eastAsia" w:ascii="Times New Roman" w:hAnsi="宋体" w:eastAsia="宋体" w:cs="宋体"/>
                <w:color w:val="000000"/>
                <w:kern w:val="2"/>
                <w:sz w:val="24"/>
                <w:szCs w:val="24"/>
                <w:bdr w:val="none" w:color="auto" w:sz="0" w:space="0"/>
                <w:lang w:val="en-US" w:eastAsia="zh-CN" w:bidi="ar"/>
              </w:rPr>
              <w:t>（配套</w:t>
            </w:r>
            <w:r>
              <w:rPr>
                <w:rFonts w:hint="default" w:ascii="Times New Roman" w:hAnsi="宋体" w:eastAsia="宋体" w:cs="Times New Roman"/>
                <w:color w:val="000000"/>
                <w:kern w:val="2"/>
                <w:sz w:val="24"/>
                <w:szCs w:val="24"/>
                <w:bdr w:val="none" w:color="auto" w:sz="0" w:space="0"/>
                <w:lang w:val="en-US" w:eastAsia="zh-CN" w:bidi="ar"/>
              </w:rPr>
              <w:t>5000</w:t>
            </w:r>
            <w:r>
              <w:rPr>
                <w:rFonts w:hint="default" w:ascii="Times New Roman" w:hAnsi="Times New Roman" w:eastAsia="宋体" w:cs="Times New Roman"/>
                <w:color w:val="000000"/>
                <w:kern w:val="0"/>
                <w:sz w:val="21"/>
                <w:szCs w:val="21"/>
                <w:bdr w:val="none" w:color="auto" w:sz="0" w:space="0"/>
                <w:lang w:val="en-US" w:eastAsia="zh-CN" w:bidi="ar"/>
              </w:rPr>
              <w:t>m</w:t>
            </w:r>
            <w:r>
              <w:rPr>
                <w:rFonts w:hint="default" w:ascii="Times New Roman" w:hAnsi="Times New Roman" w:eastAsia="宋体" w:cs="Times New Roman"/>
                <w:color w:val="000000"/>
                <w:kern w:val="0"/>
                <w:sz w:val="21"/>
                <w:szCs w:val="21"/>
                <w:bdr w:val="none" w:color="auto" w:sz="0" w:space="0"/>
                <w:vertAlign w:val="superscript"/>
                <w:lang w:val="en-US" w:eastAsia="zh-CN" w:bidi="ar"/>
              </w:rPr>
              <w:t>3</w:t>
            </w:r>
            <w:r>
              <w:rPr>
                <w:rFonts w:hint="default" w:ascii="Times New Roman" w:hAnsi="Times New Roman" w:eastAsia="宋体" w:cs="Times New Roman"/>
                <w:color w:val="000000"/>
                <w:kern w:val="0"/>
                <w:sz w:val="21"/>
                <w:szCs w:val="21"/>
                <w:bdr w:val="none" w:color="auto" w:sz="0" w:space="0"/>
                <w:lang w:val="en-US" w:eastAsia="zh-CN" w:bidi="ar"/>
              </w:rPr>
              <w:t>/h</w:t>
            </w:r>
            <w:r>
              <w:rPr>
                <w:rFonts w:hint="eastAsia" w:ascii="Times New Roman" w:hAnsi="Times New Roman" w:eastAsia="宋体" w:cs="宋体"/>
                <w:color w:val="000000"/>
                <w:kern w:val="0"/>
                <w:sz w:val="24"/>
                <w:szCs w:val="24"/>
                <w:bdr w:val="none" w:color="auto" w:sz="0" w:space="0"/>
                <w:lang w:val="en-US" w:eastAsia="zh-CN" w:bidi="ar"/>
              </w:rPr>
              <w:t>风机</w:t>
            </w:r>
            <w:r>
              <w:rPr>
                <w:rFonts w:hint="eastAsia" w:ascii="Times New Roman" w:hAnsi="宋体" w:eastAsia="宋体" w:cs="宋体"/>
                <w:color w:val="000000"/>
                <w:kern w:val="2"/>
                <w:sz w:val="24"/>
                <w:szCs w:val="24"/>
                <w:bdr w:val="none" w:color="auto" w:sz="0" w:space="0"/>
                <w:lang w:val="en-US" w:eastAsia="zh-CN" w:bidi="ar"/>
              </w:rPr>
              <w:t>）</w:t>
            </w:r>
            <w:r>
              <w:rPr>
                <w:rFonts w:hint="eastAsia" w:ascii="Times New Roman" w:hAnsi="Times New Roman" w:eastAsia="宋体" w:cs="宋体"/>
                <w:color w:val="000000"/>
                <w:kern w:val="2"/>
                <w:sz w:val="24"/>
                <w:szCs w:val="24"/>
                <w:bdr w:val="none" w:color="auto" w:sz="0" w:space="0"/>
                <w:lang w:val="en-US" w:eastAsia="zh-CN" w:bidi="ar"/>
              </w:rPr>
              <w:t>处理后由</w:t>
            </w:r>
            <w:r>
              <w:rPr>
                <w:rFonts w:hint="default" w:ascii="Times New Roman" w:hAnsi="Times New Roman" w:eastAsia="宋体" w:cs="Times New Roman"/>
                <w:color w:val="000000"/>
                <w:kern w:val="2"/>
                <w:sz w:val="24"/>
                <w:szCs w:val="24"/>
                <w:bdr w:val="none" w:color="auto" w:sz="0" w:space="0"/>
                <w:lang w:val="en-US" w:eastAsia="zh-CN" w:bidi="ar"/>
              </w:rPr>
              <w:t>20m</w:t>
            </w:r>
            <w:r>
              <w:rPr>
                <w:rFonts w:hint="eastAsia" w:ascii="Times New Roman" w:hAnsi="Times New Roman" w:eastAsia="宋体" w:cs="宋体"/>
                <w:color w:val="000000"/>
                <w:kern w:val="2"/>
                <w:sz w:val="24"/>
                <w:szCs w:val="24"/>
                <w:bdr w:val="none" w:color="auto" w:sz="0" w:space="0"/>
                <w:lang w:val="en-US" w:eastAsia="zh-CN" w:bidi="ar"/>
              </w:rPr>
              <w:t>高</w:t>
            </w:r>
            <w:r>
              <w:rPr>
                <w:rFonts w:hint="default" w:ascii="Times New Roman" w:hAnsi="Times New Roman" w:eastAsia="宋体" w:cs="Times New Roman"/>
                <w:color w:val="000000"/>
                <w:kern w:val="2"/>
                <w:sz w:val="24"/>
                <w:szCs w:val="24"/>
                <w:bdr w:val="none" w:color="auto" w:sz="0" w:space="0"/>
                <w:lang w:val="en-US" w:eastAsia="zh-CN" w:bidi="ar"/>
              </w:rPr>
              <w:t>DA002</w:t>
            </w:r>
            <w:r>
              <w:rPr>
                <w:rFonts w:hint="eastAsia" w:ascii="Times New Roman" w:hAnsi="Times New Roman" w:eastAsia="宋体" w:cs="宋体"/>
                <w:color w:val="000000"/>
                <w:kern w:val="2"/>
                <w:sz w:val="24"/>
                <w:szCs w:val="24"/>
                <w:bdr w:val="none" w:color="auto" w:sz="0" w:space="0"/>
                <w:lang w:val="en-US" w:eastAsia="zh-CN" w:bidi="ar"/>
              </w:rPr>
              <w:t>排气筒排放。</w:t>
            </w:r>
          </w:p>
          <w:p w14:paraId="2A70AED5">
            <w:pPr>
              <w:keepNext w:val="0"/>
              <w:keepLines w:val="0"/>
              <w:widowControl w:val="0"/>
              <w:suppressLineNumbers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根据企业</w:t>
            </w:r>
            <w:r>
              <w:rPr>
                <w:rFonts w:hint="default" w:ascii="Times New Roman" w:hAnsi="Calibri" w:eastAsia="宋体" w:cs="Times New Roman"/>
                <w:color w:val="000000"/>
                <w:kern w:val="2"/>
                <w:sz w:val="24"/>
                <w:szCs w:val="24"/>
                <w:bdr w:val="none" w:color="auto" w:sz="0" w:space="0"/>
                <w:lang w:val="en-US" w:eastAsia="zh-CN" w:bidi="ar"/>
              </w:rPr>
              <w:t>2023</w:t>
            </w:r>
            <w:r>
              <w:rPr>
                <w:rFonts w:hint="eastAsia" w:ascii="Times New Roman" w:hAnsi="Calibri" w:eastAsia="宋体" w:cs="宋体"/>
                <w:color w:val="000000"/>
                <w:kern w:val="2"/>
                <w:sz w:val="24"/>
                <w:szCs w:val="24"/>
                <w:bdr w:val="none" w:color="auto" w:sz="0" w:space="0"/>
                <w:lang w:val="en-US" w:eastAsia="zh-CN" w:bidi="ar"/>
              </w:rPr>
              <w:t>年</w:t>
            </w:r>
            <w:r>
              <w:rPr>
                <w:rFonts w:hint="default" w:ascii="Times New Roman" w:hAnsi="Calibri" w:eastAsia="宋体" w:cs="Times New Roman"/>
                <w:color w:val="000000"/>
                <w:kern w:val="2"/>
                <w:sz w:val="24"/>
                <w:szCs w:val="24"/>
                <w:bdr w:val="none" w:color="auto" w:sz="0" w:space="0"/>
                <w:lang w:val="en-US" w:eastAsia="zh-CN" w:bidi="ar"/>
              </w:rPr>
              <w:t>12</w:t>
            </w:r>
            <w:r>
              <w:rPr>
                <w:rFonts w:hint="eastAsia" w:ascii="Times New Roman" w:hAnsi="Calibri" w:eastAsia="宋体" w:cs="宋体"/>
                <w:color w:val="000000"/>
                <w:kern w:val="2"/>
                <w:sz w:val="24"/>
                <w:szCs w:val="24"/>
                <w:bdr w:val="none" w:color="auto" w:sz="0" w:space="0"/>
                <w:lang w:val="en-US" w:eastAsia="zh-CN" w:bidi="ar"/>
              </w:rPr>
              <w:t>月验收监测报告，“</w:t>
            </w:r>
            <w:r>
              <w:rPr>
                <w:rFonts w:hint="eastAsia" w:ascii="Times New Roman" w:hAnsi="Times New Roman" w:eastAsia="宋体" w:cs="宋体"/>
                <w:color w:val="000000"/>
                <w:kern w:val="2"/>
                <w:sz w:val="24"/>
                <w:szCs w:val="24"/>
                <w:bdr w:val="none" w:color="auto" w:sz="0" w:space="0"/>
                <w:lang w:val="en-US" w:eastAsia="zh-CN" w:bidi="ar"/>
              </w:rPr>
              <w:t>旋风除尘</w:t>
            </w:r>
            <w:r>
              <w:rPr>
                <w:rFonts w:hint="default" w:ascii="Times New Roman" w:hAnsi="Times New Roman" w:eastAsia="宋体" w:cs="Times New Roman"/>
                <w:color w:val="000000"/>
                <w:kern w:val="2"/>
                <w:sz w:val="24"/>
                <w:szCs w:val="24"/>
                <w:bdr w:val="none" w:color="auto" w:sz="0" w:space="0"/>
                <w:lang w:val="en-US" w:eastAsia="zh-CN" w:bidi="ar"/>
              </w:rPr>
              <w:t>+</w:t>
            </w:r>
            <w:r>
              <w:rPr>
                <w:rFonts w:hint="eastAsia" w:ascii="Times New Roman" w:hAnsi="Times New Roman" w:eastAsia="宋体" w:cs="宋体"/>
                <w:color w:val="000000"/>
                <w:kern w:val="2"/>
                <w:sz w:val="24"/>
                <w:szCs w:val="24"/>
                <w:bdr w:val="none" w:color="auto" w:sz="0" w:space="0"/>
                <w:lang w:val="en-US" w:eastAsia="zh-CN" w:bidi="ar"/>
              </w:rPr>
              <w:t>布袋除尘</w:t>
            </w:r>
            <w:r>
              <w:rPr>
                <w:rFonts w:hint="eastAsia" w:ascii="Times New Roman" w:hAnsi="Calibri" w:eastAsia="宋体" w:cs="宋体"/>
                <w:color w:val="000000"/>
                <w:kern w:val="2"/>
                <w:sz w:val="24"/>
                <w:szCs w:val="24"/>
                <w:bdr w:val="none" w:color="auto" w:sz="0" w:space="0"/>
                <w:lang w:val="en-US" w:eastAsia="zh-CN" w:bidi="ar"/>
              </w:rPr>
              <w:t>”对颗粒物的去除率约</w:t>
            </w:r>
            <w:r>
              <w:rPr>
                <w:rFonts w:hint="default" w:ascii="Times New Roman" w:hAnsi="Calibri" w:eastAsia="宋体" w:cs="Times New Roman"/>
                <w:color w:val="000000"/>
                <w:kern w:val="2"/>
                <w:sz w:val="24"/>
                <w:szCs w:val="24"/>
                <w:bdr w:val="none" w:color="auto" w:sz="0" w:space="0"/>
                <w:lang w:val="en-US" w:eastAsia="zh-CN" w:bidi="ar"/>
              </w:rPr>
              <w:t>94~97%</w:t>
            </w:r>
            <w:r>
              <w:rPr>
                <w:rFonts w:hint="eastAsia" w:ascii="Times New Roman" w:hAnsi="Times New Roman" w:eastAsia="宋体" w:cs="宋体"/>
                <w:color w:val="000000"/>
                <w:kern w:val="2"/>
                <w:sz w:val="24"/>
                <w:szCs w:val="24"/>
                <w:bdr w:val="none" w:color="auto" w:sz="0" w:space="0"/>
                <w:lang w:val="en-US" w:eastAsia="zh-CN" w:bidi="ar"/>
              </w:rPr>
              <w:t>，本次环评按</w:t>
            </w:r>
            <w:r>
              <w:rPr>
                <w:rFonts w:hint="default" w:ascii="Times New Roman" w:hAnsi="Times New Roman" w:eastAsia="宋体" w:cs="Times New Roman"/>
                <w:color w:val="000000"/>
                <w:kern w:val="2"/>
                <w:sz w:val="24"/>
                <w:szCs w:val="24"/>
                <w:bdr w:val="none" w:color="auto" w:sz="0" w:space="0"/>
                <w:lang w:val="en-US" w:eastAsia="zh-CN" w:bidi="ar"/>
              </w:rPr>
              <w:t>95%</w:t>
            </w:r>
            <w:r>
              <w:rPr>
                <w:rFonts w:hint="eastAsia" w:ascii="Times New Roman" w:hAnsi="Times New Roman" w:eastAsia="宋体" w:cs="宋体"/>
                <w:color w:val="000000"/>
                <w:kern w:val="2"/>
                <w:sz w:val="24"/>
                <w:szCs w:val="24"/>
                <w:bdr w:val="none" w:color="auto" w:sz="0" w:space="0"/>
                <w:lang w:val="en-US" w:eastAsia="zh-CN" w:bidi="ar"/>
              </w:rPr>
              <w:t>考虑。</w:t>
            </w:r>
            <w:r>
              <w:rPr>
                <w:rFonts w:hint="eastAsia" w:ascii="Calibri" w:hAnsi="宋体" w:eastAsia="宋体" w:cs="宋体"/>
                <w:color w:val="000000"/>
                <w:kern w:val="2"/>
                <w:sz w:val="24"/>
                <w:szCs w:val="24"/>
                <w:bdr w:val="none" w:color="auto" w:sz="0" w:space="0"/>
                <w:lang w:val="en-US" w:eastAsia="zh-CN" w:bidi="ar"/>
              </w:rPr>
              <w:t>打磨台面为网状镂空台面，底部设置抽</w:t>
            </w:r>
            <w:r>
              <w:rPr>
                <w:rFonts w:hint="eastAsia" w:ascii="Times New Roman" w:hAnsi="Times New Roman" w:eastAsia="宋体" w:cs="宋体"/>
                <w:color w:val="000000"/>
                <w:kern w:val="2"/>
                <w:sz w:val="24"/>
                <w:szCs w:val="24"/>
                <w:bdr w:val="none" w:color="auto" w:sz="0" w:space="0"/>
                <w:lang w:val="en-US" w:eastAsia="zh-CN" w:bidi="ar"/>
              </w:rPr>
              <w:t>风系统；</w:t>
            </w:r>
            <w:r>
              <w:rPr>
                <w:rFonts w:hint="eastAsia" w:ascii="Calibri" w:hAnsi="宋体" w:eastAsia="宋体" w:cs="宋体"/>
                <w:color w:val="000000"/>
                <w:kern w:val="2"/>
                <w:sz w:val="24"/>
                <w:szCs w:val="24"/>
                <w:bdr w:val="none" w:color="auto" w:sz="0" w:space="0"/>
                <w:lang w:val="en-US" w:eastAsia="zh-CN" w:bidi="ar"/>
              </w:rPr>
              <w:t>雕刻机头的毛刷右侧设有一个直径约</w:t>
            </w:r>
            <w:r>
              <w:rPr>
                <w:rFonts w:hint="default" w:ascii="Times New Roman" w:hAnsi="Times New Roman" w:eastAsia="宋体" w:cs="Times New Roman"/>
                <w:color w:val="000000"/>
                <w:kern w:val="2"/>
                <w:sz w:val="24"/>
                <w:szCs w:val="24"/>
                <w:bdr w:val="none" w:color="auto" w:sz="0" w:space="0"/>
                <w:lang w:val="en-US" w:eastAsia="zh-CN" w:bidi="ar"/>
              </w:rPr>
              <w:t>10cm</w:t>
            </w:r>
            <w:r>
              <w:rPr>
                <w:rFonts w:hint="eastAsia" w:ascii="Calibri" w:hAnsi="宋体" w:eastAsia="宋体" w:cs="宋体"/>
                <w:color w:val="000000"/>
                <w:kern w:val="2"/>
                <w:sz w:val="24"/>
                <w:szCs w:val="24"/>
                <w:bdr w:val="none" w:color="auto" w:sz="0" w:space="0"/>
                <w:lang w:val="en-US" w:eastAsia="zh-CN" w:bidi="ar"/>
              </w:rPr>
              <w:t>的收集孔，通过软管连接收集云母板雕刻粉尘；故雕刻打磨粉尘的收集率可</w:t>
            </w:r>
            <w:r>
              <w:rPr>
                <w:rFonts w:hint="eastAsia" w:ascii="Times New Roman" w:hAnsi="Times New Roman" w:eastAsia="宋体" w:cs="宋体"/>
                <w:color w:val="000000"/>
                <w:kern w:val="2"/>
                <w:sz w:val="24"/>
                <w:szCs w:val="24"/>
                <w:bdr w:val="none" w:color="auto" w:sz="0" w:space="0"/>
                <w:lang w:val="en-US" w:eastAsia="zh-CN" w:bidi="ar"/>
              </w:rPr>
              <w:t>达</w:t>
            </w:r>
            <w:r>
              <w:rPr>
                <w:rFonts w:hint="default" w:ascii="Times New Roman" w:hAnsi="Times New Roman" w:eastAsia="宋体" w:cs="Times New Roman"/>
                <w:color w:val="000000"/>
                <w:kern w:val="2"/>
                <w:sz w:val="24"/>
                <w:szCs w:val="24"/>
                <w:bdr w:val="none" w:color="auto" w:sz="0" w:space="0"/>
                <w:lang w:val="en-US" w:eastAsia="zh-CN" w:bidi="ar"/>
              </w:rPr>
              <w:t>90%</w:t>
            </w:r>
            <w:r>
              <w:rPr>
                <w:rFonts w:hint="eastAsia" w:ascii="Times New Roman" w:hAnsi="Times New Roman" w:eastAsia="宋体" w:cs="宋体"/>
                <w:color w:val="000000"/>
                <w:kern w:val="2"/>
                <w:sz w:val="24"/>
                <w:szCs w:val="24"/>
                <w:bdr w:val="none" w:color="auto" w:sz="0" w:space="0"/>
                <w:lang w:val="en-US" w:eastAsia="zh-CN" w:bidi="ar"/>
              </w:rPr>
              <w:t>。云母板年加工时间为</w:t>
            </w:r>
            <w:r>
              <w:rPr>
                <w:rFonts w:hint="default" w:ascii="Times New Roman" w:hAnsi="Times New Roman" w:eastAsia="宋体" w:cs="Times New Roman"/>
                <w:color w:val="000000"/>
                <w:kern w:val="2"/>
                <w:sz w:val="24"/>
                <w:szCs w:val="24"/>
                <w:bdr w:val="none" w:color="auto" w:sz="0" w:space="0"/>
                <w:lang w:val="en-US" w:eastAsia="zh-CN" w:bidi="ar"/>
              </w:rPr>
              <w:t>4000h</w:t>
            </w:r>
            <w:r>
              <w:rPr>
                <w:rFonts w:hint="eastAsia" w:ascii="Times New Roman" w:hAnsi="Times New Roman" w:eastAsia="宋体" w:cs="宋体"/>
                <w:color w:val="000000"/>
                <w:kern w:val="2"/>
                <w:sz w:val="24"/>
                <w:szCs w:val="24"/>
                <w:bdr w:val="none" w:color="auto" w:sz="0" w:space="0"/>
                <w:lang w:val="en-US" w:eastAsia="zh-CN" w:bidi="ar"/>
              </w:rPr>
              <w:t>，产排情况详见表</w:t>
            </w:r>
            <w:r>
              <w:rPr>
                <w:rFonts w:hint="default" w:ascii="Times New Roman" w:hAnsi="Times New Roman" w:eastAsia="宋体" w:cs="Times New Roman"/>
                <w:color w:val="000000"/>
                <w:kern w:val="2"/>
                <w:sz w:val="24"/>
                <w:szCs w:val="24"/>
                <w:bdr w:val="none" w:color="auto" w:sz="0" w:space="0"/>
                <w:lang w:val="en-US" w:eastAsia="zh-CN" w:bidi="ar"/>
              </w:rPr>
              <w:t>4.2-2</w:t>
            </w:r>
            <w:r>
              <w:rPr>
                <w:rFonts w:hint="eastAsia" w:ascii="Times New Roman" w:hAnsi="Times New Roman" w:eastAsia="宋体" w:cs="宋体"/>
                <w:color w:val="000000"/>
                <w:kern w:val="2"/>
                <w:sz w:val="24"/>
                <w:szCs w:val="24"/>
                <w:bdr w:val="none" w:color="auto" w:sz="0" w:space="0"/>
                <w:lang w:val="en-US" w:eastAsia="zh-CN" w:bidi="ar"/>
              </w:rPr>
              <w:t>。</w:t>
            </w:r>
          </w:p>
          <w:p w14:paraId="3ACDD5E8">
            <w:pPr>
              <w:keepNext w:val="0"/>
              <w:keepLines w:val="0"/>
              <w:widowControl w:val="0"/>
              <w:suppressLineNumbers w:val="0"/>
              <w:snapToGrid w:val="0"/>
              <w:spacing w:before="0" w:beforeAutospacing="0" w:after="0" w:afterAutospacing="0" w:line="440" w:lineRule="exact"/>
              <w:ind w:left="0" w:right="0" w:firstLine="480" w:firstLineChars="200"/>
              <w:jc w:val="center"/>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表</w:t>
            </w:r>
            <w:r>
              <w:rPr>
                <w:rFonts w:hint="default" w:ascii="Times New Roman" w:hAnsi="Times New Roman" w:eastAsia="宋体" w:cs="Times New Roman"/>
                <w:color w:val="000000"/>
                <w:kern w:val="2"/>
                <w:sz w:val="24"/>
                <w:szCs w:val="24"/>
                <w:bdr w:val="none" w:color="auto" w:sz="0" w:space="0"/>
                <w:lang w:val="en-US" w:eastAsia="zh-CN" w:bidi="ar"/>
              </w:rPr>
              <w:t xml:space="preserve">4.2-2 </w:t>
            </w:r>
            <w:r>
              <w:rPr>
                <w:rFonts w:hint="eastAsia" w:ascii="Times New Roman" w:hAnsi="Times New Roman" w:eastAsia="宋体" w:cs="宋体"/>
                <w:color w:val="000000"/>
                <w:kern w:val="2"/>
                <w:sz w:val="24"/>
                <w:szCs w:val="24"/>
                <w:bdr w:val="none" w:color="auto" w:sz="0" w:space="0"/>
                <w:lang w:val="en-US" w:eastAsia="zh-CN" w:bidi="ar"/>
              </w:rPr>
              <w:t>雕刻、打磨粉尘产排污情况表</w:t>
            </w:r>
          </w:p>
          <w:tbl>
            <w:tblPr>
              <w:tblStyle w:val="18"/>
              <w:tblpPr w:leftFromText="180" w:rightFromText="180" w:vertAnchor="text" w:tblpXSpec="center" w:tblpY="1"/>
              <w:tblOverlap w:val="never"/>
              <w:tblW w:w="5000" w:type="pct"/>
              <w:tblInd w:w="8" w:type="dxa"/>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tblLayout w:type="fixed"/>
              <w:tblCellMar>
                <w:top w:w="0" w:type="dxa"/>
                <w:left w:w="108" w:type="dxa"/>
                <w:bottom w:w="0" w:type="dxa"/>
                <w:right w:w="108" w:type="dxa"/>
              </w:tblCellMar>
            </w:tblPr>
            <w:tblGrid>
              <w:gridCol w:w="851"/>
              <w:gridCol w:w="709"/>
              <w:gridCol w:w="425"/>
              <w:gridCol w:w="727"/>
              <w:gridCol w:w="690"/>
              <w:gridCol w:w="603"/>
              <w:gridCol w:w="552"/>
              <w:gridCol w:w="546"/>
              <w:gridCol w:w="748"/>
              <w:gridCol w:w="812"/>
              <w:gridCol w:w="575"/>
              <w:gridCol w:w="708"/>
            </w:tblGrid>
            <w:tr w14:paraId="1C5D7D92">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tblCellMar>
                  <w:top w:w="0" w:type="dxa"/>
                  <w:left w:w="108" w:type="dxa"/>
                  <w:bottom w:w="0" w:type="dxa"/>
                  <w:right w:w="108" w:type="dxa"/>
                </w:tblCellMar>
              </w:tblPrEx>
              <w:trPr>
                <w:trHeight w:val="20" w:hRule="atLeast"/>
              </w:trPr>
              <w:tc>
                <w:tcPr>
                  <w:tcW w:w="851" w:type="dxa"/>
                  <w:vMerge w:val="restart"/>
                  <w:tcBorders>
                    <w:top w:val="single" w:color="auto" w:sz="12" w:space="0"/>
                    <w:left w:val="nil"/>
                    <w:bottom w:val="single" w:color="auto" w:sz="6" w:space="0"/>
                    <w:right w:val="single" w:color="auto" w:sz="6" w:space="0"/>
                  </w:tcBorders>
                  <w:shd w:val="clear"/>
                  <w:vAlign w:val="center"/>
                </w:tcPr>
                <w:p w14:paraId="3E566771">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污染源</w:t>
                  </w:r>
                </w:p>
              </w:tc>
              <w:tc>
                <w:tcPr>
                  <w:tcW w:w="709" w:type="dxa"/>
                  <w:vMerge w:val="restart"/>
                  <w:tcBorders>
                    <w:top w:val="single" w:color="auto" w:sz="12" w:space="0"/>
                    <w:left w:val="single" w:color="auto" w:sz="6" w:space="0"/>
                    <w:bottom w:val="single" w:color="auto" w:sz="6" w:space="0"/>
                    <w:right w:val="single" w:color="auto" w:sz="6" w:space="0"/>
                  </w:tcBorders>
                  <w:shd w:val="clear"/>
                  <w:vAlign w:val="center"/>
                </w:tcPr>
                <w:p w14:paraId="7E9FF497">
                  <w:pPr>
                    <w:keepNext w:val="0"/>
                    <w:keepLines w:val="0"/>
                    <w:widowControl w:val="0"/>
                    <w:suppressLineNumbers w:val="0"/>
                    <w:spacing w:before="0" w:beforeAutospacing="0" w:after="0" w:afterAutospacing="0"/>
                    <w:ind w:left="0" w:right="0"/>
                    <w:jc w:val="center"/>
                    <w:rPr>
                      <w:rFonts w:hint="default" w:ascii="Times New Roman" w:hAnsi="Calibri"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产生量</w:t>
                  </w:r>
                  <w:r>
                    <w:rPr>
                      <w:rFonts w:hint="default" w:ascii="Times New Roman" w:hAnsi="Calibri" w:eastAsia="宋体" w:cs="Times New Roman"/>
                      <w:color w:val="000000"/>
                      <w:kern w:val="2"/>
                      <w:sz w:val="21"/>
                      <w:szCs w:val="21"/>
                      <w:bdr w:val="none" w:color="auto" w:sz="0" w:space="0"/>
                      <w:lang w:val="en-US" w:eastAsia="zh-CN" w:bidi="ar"/>
                    </w:rPr>
                    <w:t>t/a</w:t>
                  </w:r>
                </w:p>
              </w:tc>
              <w:tc>
                <w:tcPr>
                  <w:tcW w:w="425" w:type="dxa"/>
                  <w:vMerge w:val="restart"/>
                  <w:tcBorders>
                    <w:top w:val="single" w:color="auto" w:sz="12" w:space="0"/>
                    <w:left w:val="single" w:color="auto" w:sz="6" w:space="0"/>
                    <w:bottom w:val="single" w:color="auto" w:sz="6" w:space="0"/>
                    <w:right w:val="single" w:color="auto" w:sz="6" w:space="0"/>
                  </w:tcBorders>
                  <w:shd w:val="clear"/>
                  <w:vAlign w:val="center"/>
                </w:tcPr>
                <w:p w14:paraId="310660B9">
                  <w:pPr>
                    <w:keepNext w:val="0"/>
                    <w:keepLines w:val="0"/>
                    <w:widowControl w:val="0"/>
                    <w:suppressLineNumbers w:val="0"/>
                    <w:spacing w:before="0" w:beforeAutospacing="0" w:after="0" w:afterAutospacing="0"/>
                    <w:ind w:left="0" w:right="0"/>
                    <w:jc w:val="center"/>
                    <w:rPr>
                      <w:rFonts w:hint="default" w:ascii="Times New Roman" w:hAnsi="Calibri"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收集率</w:t>
                  </w:r>
                  <w:r>
                    <w:rPr>
                      <w:rFonts w:hint="default" w:ascii="Times New Roman" w:hAnsi="Times New Roman" w:eastAsia="宋体" w:cs="Times New Roman"/>
                      <w:snapToGrid w:val="0"/>
                      <w:color w:val="000000"/>
                      <w:kern w:val="28"/>
                      <w:sz w:val="21"/>
                      <w:szCs w:val="21"/>
                      <w:bdr w:val="none" w:color="auto" w:sz="0" w:space="0"/>
                      <w:lang w:val="en-US" w:eastAsia="zh-CN" w:bidi="ar"/>
                    </w:rPr>
                    <w:t>%</w:t>
                  </w:r>
                </w:p>
              </w:tc>
              <w:tc>
                <w:tcPr>
                  <w:tcW w:w="2020" w:type="dxa"/>
                  <w:gridSpan w:val="3"/>
                  <w:tcBorders>
                    <w:top w:val="single" w:color="auto" w:sz="12" w:space="0"/>
                    <w:left w:val="single" w:color="auto" w:sz="6" w:space="0"/>
                    <w:bottom w:val="single" w:color="auto" w:sz="6" w:space="0"/>
                    <w:right w:val="single" w:color="auto" w:sz="6" w:space="0"/>
                  </w:tcBorders>
                  <w:shd w:val="clear"/>
                  <w:vAlign w:val="center"/>
                </w:tcPr>
                <w:p w14:paraId="13FD72CD">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有组织产生情况</w:t>
                  </w:r>
                </w:p>
              </w:tc>
              <w:tc>
                <w:tcPr>
                  <w:tcW w:w="552" w:type="dxa"/>
                  <w:vMerge w:val="restart"/>
                  <w:tcBorders>
                    <w:top w:val="single" w:color="auto" w:sz="12" w:space="0"/>
                    <w:left w:val="single" w:color="auto" w:sz="6" w:space="0"/>
                    <w:bottom w:val="single" w:color="auto" w:sz="6" w:space="0"/>
                    <w:right w:val="single" w:color="auto" w:sz="6" w:space="0"/>
                  </w:tcBorders>
                  <w:shd w:val="clear"/>
                  <w:vAlign w:val="center"/>
                </w:tcPr>
                <w:p w14:paraId="77665FF1">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eastAsia" w:ascii="Times New Roman" w:hAnsi="Calibri" w:eastAsia="宋体" w:cs="宋体"/>
                      <w:snapToGrid w:val="0"/>
                      <w:color w:val="000000"/>
                      <w:kern w:val="28"/>
                      <w:sz w:val="21"/>
                      <w:szCs w:val="21"/>
                      <w:bdr w:val="none" w:color="auto" w:sz="0" w:space="0"/>
                      <w:lang w:val="en-US" w:eastAsia="zh-CN" w:bidi="ar"/>
                    </w:rPr>
                    <w:t>去除</w:t>
                  </w:r>
                </w:p>
                <w:p w14:paraId="7D5CE747">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snapToGrid w:val="0"/>
                      <w:color w:val="000000"/>
                      <w:kern w:val="28"/>
                      <w:sz w:val="21"/>
                      <w:szCs w:val="21"/>
                      <w:bdr w:val="none" w:color="auto" w:sz="0" w:space="0"/>
                      <w:lang w:val="en-US" w:eastAsia="zh-CN" w:bidi="ar"/>
                    </w:rPr>
                    <w:t>率</w:t>
                  </w:r>
                  <w:r>
                    <w:rPr>
                      <w:rFonts w:hint="default" w:ascii="Times New Roman" w:hAnsi="Calibri" w:eastAsia="宋体" w:cs="Times New Roman"/>
                      <w:snapToGrid w:val="0"/>
                      <w:color w:val="000000"/>
                      <w:kern w:val="28"/>
                      <w:sz w:val="21"/>
                      <w:szCs w:val="21"/>
                      <w:bdr w:val="none" w:color="auto" w:sz="0" w:space="0"/>
                      <w:lang w:val="en-US" w:eastAsia="zh-CN" w:bidi="ar"/>
                    </w:rPr>
                    <w:t>%</w:t>
                  </w:r>
                </w:p>
              </w:tc>
              <w:tc>
                <w:tcPr>
                  <w:tcW w:w="546" w:type="dxa"/>
                  <w:vMerge w:val="restart"/>
                  <w:tcBorders>
                    <w:top w:val="single" w:color="auto" w:sz="12" w:space="0"/>
                    <w:left w:val="single" w:color="auto" w:sz="6" w:space="0"/>
                    <w:bottom w:val="single" w:color="auto" w:sz="6" w:space="0"/>
                    <w:right w:val="single" w:color="auto" w:sz="6" w:space="0"/>
                  </w:tcBorders>
                  <w:shd w:val="clear"/>
                  <w:vAlign w:val="center"/>
                </w:tcPr>
                <w:p w14:paraId="2BA0BA08">
                  <w:pPr>
                    <w:keepNext w:val="0"/>
                    <w:keepLines w:val="0"/>
                    <w:widowControl w:val="0"/>
                    <w:suppressLineNumbers w:val="0"/>
                    <w:spacing w:before="0" w:beforeAutospacing="0" w:after="0" w:afterAutospacing="0"/>
                    <w:ind w:left="0" w:right="0"/>
                    <w:jc w:val="center"/>
                    <w:rPr>
                      <w:rFonts w:hint="default" w:ascii="Times New Roman" w:hAnsi="Calibri"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风量</w:t>
                  </w:r>
                  <w:r>
                    <w:rPr>
                      <w:rFonts w:hint="default" w:ascii="Times New Roman" w:hAnsi="Times New Roman" w:eastAsia="宋体" w:cs="Times New Roman"/>
                      <w:color w:val="000000"/>
                      <w:kern w:val="0"/>
                      <w:sz w:val="21"/>
                      <w:szCs w:val="21"/>
                      <w:bdr w:val="none" w:color="auto" w:sz="0" w:space="0"/>
                      <w:lang w:val="en-US" w:eastAsia="zh-CN" w:bidi="ar"/>
                    </w:rPr>
                    <w:t>m</w:t>
                  </w:r>
                  <w:r>
                    <w:rPr>
                      <w:rFonts w:hint="default" w:ascii="Times New Roman" w:hAnsi="Times New Roman" w:eastAsia="宋体" w:cs="Times New Roman"/>
                      <w:color w:val="000000"/>
                      <w:kern w:val="0"/>
                      <w:sz w:val="21"/>
                      <w:szCs w:val="21"/>
                      <w:bdr w:val="none" w:color="auto" w:sz="0" w:space="0"/>
                      <w:vertAlign w:val="superscript"/>
                      <w:lang w:val="en-US" w:eastAsia="zh-CN" w:bidi="ar"/>
                    </w:rPr>
                    <w:t>3</w:t>
                  </w:r>
                  <w:r>
                    <w:rPr>
                      <w:rFonts w:hint="default" w:ascii="Times New Roman" w:hAnsi="Times New Roman" w:eastAsia="宋体" w:cs="Times New Roman"/>
                      <w:color w:val="000000"/>
                      <w:kern w:val="0"/>
                      <w:sz w:val="21"/>
                      <w:szCs w:val="21"/>
                      <w:bdr w:val="none" w:color="auto" w:sz="0" w:space="0"/>
                      <w:lang w:val="en-US" w:eastAsia="zh-CN" w:bidi="ar"/>
                    </w:rPr>
                    <w:t>/h</w:t>
                  </w:r>
                </w:p>
              </w:tc>
              <w:tc>
                <w:tcPr>
                  <w:tcW w:w="2135" w:type="dxa"/>
                  <w:gridSpan w:val="3"/>
                  <w:tcBorders>
                    <w:top w:val="single" w:color="auto" w:sz="12" w:space="0"/>
                    <w:left w:val="single" w:color="auto" w:sz="6" w:space="0"/>
                    <w:bottom w:val="single" w:color="auto" w:sz="6" w:space="0"/>
                    <w:right w:val="single" w:color="auto" w:sz="6" w:space="0"/>
                  </w:tcBorders>
                  <w:shd w:val="clear"/>
                  <w:vAlign w:val="center"/>
                </w:tcPr>
                <w:p w14:paraId="03850EB2">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有组织排放情况</w:t>
                  </w:r>
                </w:p>
              </w:tc>
              <w:tc>
                <w:tcPr>
                  <w:tcW w:w="708" w:type="dxa"/>
                  <w:vMerge w:val="restart"/>
                  <w:tcBorders>
                    <w:top w:val="single" w:color="auto" w:sz="12" w:space="0"/>
                    <w:left w:val="single" w:color="auto" w:sz="6" w:space="0"/>
                    <w:bottom w:val="single" w:color="auto" w:sz="6" w:space="0"/>
                    <w:right w:val="nil"/>
                  </w:tcBorders>
                  <w:shd w:val="clear"/>
                  <w:vAlign w:val="center"/>
                </w:tcPr>
                <w:p w14:paraId="7603BDC0">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无组织排放量</w:t>
                  </w:r>
                  <w:r>
                    <w:rPr>
                      <w:rFonts w:hint="default" w:ascii="Times New Roman" w:hAnsi="Times New Roman" w:eastAsia="宋体" w:cs="Times New Roman"/>
                      <w:color w:val="000000"/>
                      <w:kern w:val="2"/>
                      <w:sz w:val="21"/>
                      <w:szCs w:val="21"/>
                      <w:bdr w:val="none" w:color="auto" w:sz="0" w:space="0"/>
                      <w:lang w:val="en-US" w:eastAsia="zh-CN" w:bidi="ar"/>
                    </w:rPr>
                    <w:t>t/a</w:t>
                  </w:r>
                </w:p>
              </w:tc>
            </w:tr>
            <w:tr w14:paraId="323E96F8">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51" w:type="dxa"/>
                  <w:vMerge w:val="continue"/>
                  <w:tcBorders>
                    <w:top w:val="single" w:color="auto" w:sz="12" w:space="0"/>
                    <w:left w:val="nil"/>
                    <w:bottom w:val="single" w:color="auto" w:sz="6" w:space="0"/>
                    <w:right w:val="single" w:color="auto" w:sz="6" w:space="0"/>
                  </w:tcBorders>
                  <w:shd w:val="clear"/>
                  <w:vAlign w:val="center"/>
                </w:tcPr>
                <w:p w14:paraId="1FD5BB48">
                  <w:pPr>
                    <w:rPr>
                      <w:rFonts w:hint="default" w:ascii="Calibri" w:hAnsi="Calibri" w:cs="Calibri"/>
                      <w:sz w:val="20"/>
                      <w:szCs w:val="20"/>
                    </w:rPr>
                  </w:pPr>
                </w:p>
              </w:tc>
              <w:tc>
                <w:tcPr>
                  <w:tcW w:w="709" w:type="dxa"/>
                  <w:vMerge w:val="continue"/>
                  <w:tcBorders>
                    <w:top w:val="single" w:color="auto" w:sz="12" w:space="0"/>
                    <w:left w:val="single" w:color="auto" w:sz="6" w:space="0"/>
                    <w:bottom w:val="single" w:color="auto" w:sz="6" w:space="0"/>
                    <w:right w:val="single" w:color="auto" w:sz="6" w:space="0"/>
                  </w:tcBorders>
                  <w:shd w:val="clear"/>
                  <w:vAlign w:val="center"/>
                </w:tcPr>
                <w:p w14:paraId="5B240D69">
                  <w:pPr>
                    <w:rPr>
                      <w:rFonts w:hint="default" w:ascii="Calibri" w:hAnsi="Calibri" w:cs="Calibri"/>
                      <w:sz w:val="20"/>
                      <w:szCs w:val="20"/>
                    </w:rPr>
                  </w:pPr>
                </w:p>
              </w:tc>
              <w:tc>
                <w:tcPr>
                  <w:tcW w:w="425" w:type="dxa"/>
                  <w:vMerge w:val="continue"/>
                  <w:tcBorders>
                    <w:top w:val="single" w:color="auto" w:sz="12" w:space="0"/>
                    <w:left w:val="single" w:color="auto" w:sz="6" w:space="0"/>
                    <w:bottom w:val="single" w:color="auto" w:sz="6" w:space="0"/>
                    <w:right w:val="single" w:color="auto" w:sz="6" w:space="0"/>
                  </w:tcBorders>
                  <w:shd w:val="clear"/>
                  <w:vAlign w:val="center"/>
                </w:tcPr>
                <w:p w14:paraId="69635508">
                  <w:pPr>
                    <w:rPr>
                      <w:rFonts w:hint="default" w:ascii="Calibri" w:hAnsi="Calibri" w:cs="Calibri"/>
                      <w:sz w:val="20"/>
                      <w:szCs w:val="20"/>
                    </w:rPr>
                  </w:pPr>
                </w:p>
              </w:tc>
              <w:tc>
                <w:tcPr>
                  <w:tcW w:w="727" w:type="dxa"/>
                  <w:tcBorders>
                    <w:top w:val="single" w:color="auto" w:sz="6" w:space="0"/>
                    <w:left w:val="single" w:color="auto" w:sz="6" w:space="0"/>
                    <w:bottom w:val="single" w:color="auto" w:sz="6" w:space="0"/>
                    <w:right w:val="single" w:color="auto" w:sz="6" w:space="0"/>
                  </w:tcBorders>
                  <w:shd w:val="clear"/>
                  <w:vAlign w:val="center"/>
                </w:tcPr>
                <w:p w14:paraId="702BBB82">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收集量</w:t>
                  </w:r>
                </w:p>
                <w:p w14:paraId="1AD60E8C">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t/a</w:t>
                  </w:r>
                </w:p>
              </w:tc>
              <w:tc>
                <w:tcPr>
                  <w:tcW w:w="690" w:type="dxa"/>
                  <w:tcBorders>
                    <w:top w:val="single" w:color="auto" w:sz="6" w:space="0"/>
                    <w:left w:val="single" w:color="auto" w:sz="6" w:space="0"/>
                    <w:bottom w:val="single" w:color="auto" w:sz="6" w:space="0"/>
                    <w:right w:val="single" w:color="auto" w:sz="6" w:space="0"/>
                  </w:tcBorders>
                  <w:shd w:val="clear"/>
                  <w:vAlign w:val="center"/>
                </w:tcPr>
                <w:p w14:paraId="489A41E3">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snapToGrid w:val="0"/>
                      <w:color w:val="000000"/>
                      <w:kern w:val="28"/>
                      <w:sz w:val="21"/>
                      <w:szCs w:val="21"/>
                      <w:bdr w:val="none" w:color="auto" w:sz="0" w:space="0"/>
                      <w:lang w:val="en-US" w:eastAsia="zh-CN" w:bidi="ar"/>
                    </w:rPr>
                    <w:t>速率</w:t>
                  </w:r>
                  <w:r>
                    <w:rPr>
                      <w:rFonts w:hint="default" w:ascii="Times New Roman" w:hAnsi="Times New Roman" w:eastAsia="宋体" w:cs="Times New Roman"/>
                      <w:snapToGrid w:val="0"/>
                      <w:color w:val="000000"/>
                      <w:kern w:val="28"/>
                      <w:sz w:val="21"/>
                      <w:szCs w:val="21"/>
                      <w:bdr w:val="none" w:color="auto" w:sz="0" w:space="0"/>
                      <w:lang w:val="en-US" w:eastAsia="zh-CN" w:bidi="ar"/>
                    </w:rPr>
                    <w:t>kg/h</w:t>
                  </w:r>
                </w:p>
              </w:tc>
              <w:tc>
                <w:tcPr>
                  <w:tcW w:w="603" w:type="dxa"/>
                  <w:tcBorders>
                    <w:top w:val="single" w:color="auto" w:sz="6" w:space="0"/>
                    <w:left w:val="single" w:color="auto" w:sz="6" w:space="0"/>
                    <w:bottom w:val="single" w:color="auto" w:sz="6" w:space="0"/>
                    <w:right w:val="single" w:color="auto" w:sz="6" w:space="0"/>
                  </w:tcBorders>
                  <w:shd w:val="clear"/>
                  <w:vAlign w:val="center"/>
                </w:tcPr>
                <w:p w14:paraId="42D13AEE">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浓度</w:t>
                  </w:r>
                </w:p>
                <w:p w14:paraId="5688A5C7">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mg/m</w:t>
                  </w:r>
                  <w:r>
                    <w:rPr>
                      <w:rFonts w:hint="default" w:ascii="Times New Roman" w:hAnsi="Times New Roman" w:eastAsia="宋体" w:cs="Times New Roman"/>
                      <w:color w:val="000000"/>
                      <w:kern w:val="2"/>
                      <w:sz w:val="21"/>
                      <w:szCs w:val="21"/>
                      <w:bdr w:val="none" w:color="auto" w:sz="0" w:space="0"/>
                      <w:vertAlign w:val="superscript"/>
                      <w:lang w:val="en-US" w:eastAsia="zh-CN" w:bidi="ar"/>
                    </w:rPr>
                    <w:t>3</w:t>
                  </w:r>
                </w:p>
              </w:tc>
              <w:tc>
                <w:tcPr>
                  <w:tcW w:w="552" w:type="dxa"/>
                  <w:vMerge w:val="continue"/>
                  <w:tcBorders>
                    <w:top w:val="single" w:color="auto" w:sz="12" w:space="0"/>
                    <w:left w:val="single" w:color="auto" w:sz="6" w:space="0"/>
                    <w:bottom w:val="single" w:color="auto" w:sz="6" w:space="0"/>
                    <w:right w:val="single" w:color="auto" w:sz="6" w:space="0"/>
                  </w:tcBorders>
                  <w:shd w:val="clear"/>
                  <w:vAlign w:val="center"/>
                </w:tcPr>
                <w:p w14:paraId="5929AAFF">
                  <w:pPr>
                    <w:rPr>
                      <w:rFonts w:hint="default" w:ascii="Calibri" w:hAnsi="Calibri" w:cs="Calibri"/>
                      <w:sz w:val="20"/>
                      <w:szCs w:val="20"/>
                    </w:rPr>
                  </w:pPr>
                </w:p>
              </w:tc>
              <w:tc>
                <w:tcPr>
                  <w:tcW w:w="546" w:type="dxa"/>
                  <w:vMerge w:val="continue"/>
                  <w:tcBorders>
                    <w:top w:val="single" w:color="auto" w:sz="12" w:space="0"/>
                    <w:left w:val="single" w:color="auto" w:sz="6" w:space="0"/>
                    <w:bottom w:val="single" w:color="auto" w:sz="6" w:space="0"/>
                    <w:right w:val="single" w:color="auto" w:sz="6" w:space="0"/>
                  </w:tcBorders>
                  <w:shd w:val="clear"/>
                  <w:vAlign w:val="center"/>
                </w:tcPr>
                <w:p w14:paraId="35493A30">
                  <w:pPr>
                    <w:rPr>
                      <w:rFonts w:hint="default" w:ascii="Calibri" w:hAnsi="Calibri" w:cs="Calibri"/>
                      <w:sz w:val="20"/>
                      <w:szCs w:val="20"/>
                    </w:rPr>
                  </w:pPr>
                </w:p>
              </w:tc>
              <w:tc>
                <w:tcPr>
                  <w:tcW w:w="748" w:type="dxa"/>
                  <w:tcBorders>
                    <w:top w:val="single" w:color="auto" w:sz="6" w:space="0"/>
                    <w:left w:val="single" w:color="auto" w:sz="6" w:space="0"/>
                    <w:bottom w:val="single" w:color="auto" w:sz="6" w:space="0"/>
                    <w:right w:val="single" w:color="auto" w:sz="6" w:space="0"/>
                  </w:tcBorders>
                  <w:shd w:val="clear"/>
                  <w:vAlign w:val="center"/>
                </w:tcPr>
                <w:p w14:paraId="657148EB">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排放量</w:t>
                  </w:r>
                </w:p>
                <w:p w14:paraId="538CF400">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t/a</w:t>
                  </w:r>
                </w:p>
              </w:tc>
              <w:tc>
                <w:tcPr>
                  <w:tcW w:w="812" w:type="dxa"/>
                  <w:tcBorders>
                    <w:top w:val="single" w:color="auto" w:sz="6" w:space="0"/>
                    <w:left w:val="single" w:color="auto" w:sz="6" w:space="0"/>
                    <w:bottom w:val="single" w:color="auto" w:sz="6" w:space="0"/>
                    <w:right w:val="single" w:color="auto" w:sz="6" w:space="0"/>
                  </w:tcBorders>
                  <w:shd w:val="clear"/>
                  <w:vAlign w:val="center"/>
                </w:tcPr>
                <w:p w14:paraId="36759D00">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snapToGrid w:val="0"/>
                      <w:color w:val="000000"/>
                      <w:kern w:val="28"/>
                      <w:sz w:val="21"/>
                      <w:szCs w:val="21"/>
                      <w:bdr w:val="none" w:color="auto" w:sz="0" w:space="0"/>
                      <w:lang w:val="en-US" w:eastAsia="zh-CN" w:bidi="ar"/>
                    </w:rPr>
                    <w:t>速率</w:t>
                  </w:r>
                  <w:r>
                    <w:rPr>
                      <w:rFonts w:hint="default" w:ascii="Times New Roman" w:hAnsi="Times New Roman" w:eastAsia="宋体" w:cs="Times New Roman"/>
                      <w:snapToGrid w:val="0"/>
                      <w:color w:val="000000"/>
                      <w:kern w:val="28"/>
                      <w:sz w:val="21"/>
                      <w:szCs w:val="21"/>
                      <w:bdr w:val="none" w:color="auto" w:sz="0" w:space="0"/>
                      <w:lang w:val="en-US" w:eastAsia="zh-CN" w:bidi="ar"/>
                    </w:rPr>
                    <w:t>kg/h</w:t>
                  </w:r>
                </w:p>
              </w:tc>
              <w:tc>
                <w:tcPr>
                  <w:tcW w:w="575" w:type="dxa"/>
                  <w:tcBorders>
                    <w:top w:val="single" w:color="auto" w:sz="6" w:space="0"/>
                    <w:left w:val="single" w:color="auto" w:sz="6" w:space="0"/>
                    <w:bottom w:val="single" w:color="auto" w:sz="6" w:space="0"/>
                    <w:right w:val="single" w:color="auto" w:sz="6" w:space="0"/>
                  </w:tcBorders>
                  <w:shd w:val="clear"/>
                  <w:vAlign w:val="center"/>
                </w:tcPr>
                <w:p w14:paraId="2AF2A20C">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浓度</w:t>
                  </w:r>
                </w:p>
                <w:p w14:paraId="1A7E4AB6">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mg/m</w:t>
                  </w:r>
                  <w:r>
                    <w:rPr>
                      <w:rFonts w:hint="default" w:ascii="Times New Roman" w:hAnsi="Times New Roman" w:eastAsia="宋体" w:cs="Times New Roman"/>
                      <w:color w:val="000000"/>
                      <w:kern w:val="2"/>
                      <w:sz w:val="21"/>
                      <w:szCs w:val="21"/>
                      <w:bdr w:val="none" w:color="auto" w:sz="0" w:space="0"/>
                      <w:vertAlign w:val="superscript"/>
                      <w:lang w:val="en-US" w:eastAsia="zh-CN" w:bidi="ar"/>
                    </w:rPr>
                    <w:t>3</w:t>
                  </w:r>
                </w:p>
              </w:tc>
              <w:tc>
                <w:tcPr>
                  <w:tcW w:w="708" w:type="dxa"/>
                  <w:vMerge w:val="continue"/>
                  <w:tcBorders>
                    <w:top w:val="single" w:color="auto" w:sz="12" w:space="0"/>
                    <w:left w:val="single" w:color="auto" w:sz="6" w:space="0"/>
                    <w:bottom w:val="single" w:color="auto" w:sz="6" w:space="0"/>
                    <w:right w:val="nil"/>
                  </w:tcBorders>
                  <w:shd w:val="clear"/>
                  <w:vAlign w:val="center"/>
                </w:tcPr>
                <w:p w14:paraId="29B79A99">
                  <w:pPr>
                    <w:rPr>
                      <w:rFonts w:hint="default" w:ascii="Calibri" w:hAnsi="Calibri" w:cs="Calibri"/>
                      <w:sz w:val="20"/>
                      <w:szCs w:val="20"/>
                    </w:rPr>
                  </w:pPr>
                </w:p>
              </w:tc>
            </w:tr>
            <w:tr w14:paraId="2345C7DC">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51" w:type="dxa"/>
                  <w:tcBorders>
                    <w:top w:val="single" w:color="auto" w:sz="6" w:space="0"/>
                    <w:left w:val="nil"/>
                    <w:bottom w:val="single" w:color="auto" w:sz="12" w:space="0"/>
                    <w:right w:val="single" w:color="auto" w:sz="6" w:space="0"/>
                  </w:tcBorders>
                  <w:shd w:val="clear"/>
                  <w:vAlign w:val="center"/>
                </w:tcPr>
                <w:p w14:paraId="10E2F3DB">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颗粒物</w:t>
                  </w:r>
                </w:p>
              </w:tc>
              <w:tc>
                <w:tcPr>
                  <w:tcW w:w="709" w:type="dxa"/>
                  <w:tcBorders>
                    <w:top w:val="single" w:color="auto" w:sz="6" w:space="0"/>
                    <w:left w:val="single" w:color="auto" w:sz="6" w:space="0"/>
                    <w:bottom w:val="single" w:color="auto" w:sz="12" w:space="0"/>
                    <w:right w:val="single" w:color="auto" w:sz="6" w:space="0"/>
                  </w:tcBorders>
                  <w:shd w:val="clear"/>
                  <w:vAlign w:val="center"/>
                </w:tcPr>
                <w:p w14:paraId="1E67C19B">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1</w:t>
                  </w:r>
                </w:p>
              </w:tc>
              <w:tc>
                <w:tcPr>
                  <w:tcW w:w="425" w:type="dxa"/>
                  <w:tcBorders>
                    <w:top w:val="single" w:color="auto" w:sz="6" w:space="0"/>
                    <w:left w:val="single" w:color="auto" w:sz="6" w:space="0"/>
                    <w:bottom w:val="single" w:color="auto" w:sz="12" w:space="0"/>
                    <w:right w:val="single" w:color="auto" w:sz="6" w:space="0"/>
                  </w:tcBorders>
                  <w:shd w:val="clear"/>
                  <w:vAlign w:val="center"/>
                </w:tcPr>
                <w:p w14:paraId="15D07709">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90</w:t>
                  </w:r>
                </w:p>
              </w:tc>
              <w:tc>
                <w:tcPr>
                  <w:tcW w:w="727" w:type="dxa"/>
                  <w:tcBorders>
                    <w:top w:val="single" w:color="auto" w:sz="6" w:space="0"/>
                    <w:left w:val="single" w:color="auto" w:sz="6" w:space="0"/>
                    <w:bottom w:val="single" w:color="auto" w:sz="12" w:space="0"/>
                    <w:right w:val="single" w:color="auto" w:sz="6" w:space="0"/>
                  </w:tcBorders>
                  <w:shd w:val="clear"/>
                  <w:vAlign w:val="center"/>
                </w:tcPr>
                <w:p w14:paraId="20E6D2EC">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0.9</w:t>
                  </w:r>
                </w:p>
              </w:tc>
              <w:tc>
                <w:tcPr>
                  <w:tcW w:w="690" w:type="dxa"/>
                  <w:tcBorders>
                    <w:top w:val="single" w:color="auto" w:sz="6" w:space="0"/>
                    <w:left w:val="single" w:color="auto" w:sz="6" w:space="0"/>
                    <w:bottom w:val="single" w:color="auto" w:sz="12" w:space="0"/>
                    <w:right w:val="single" w:color="auto" w:sz="6" w:space="0"/>
                  </w:tcBorders>
                  <w:shd w:val="clear"/>
                  <w:vAlign w:val="center"/>
                </w:tcPr>
                <w:p w14:paraId="6C478BBE">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0.225</w:t>
                  </w:r>
                </w:p>
              </w:tc>
              <w:tc>
                <w:tcPr>
                  <w:tcW w:w="603" w:type="dxa"/>
                  <w:tcBorders>
                    <w:top w:val="single" w:color="auto" w:sz="6" w:space="0"/>
                    <w:left w:val="single" w:color="auto" w:sz="6" w:space="0"/>
                    <w:bottom w:val="single" w:color="auto" w:sz="12" w:space="0"/>
                    <w:right w:val="single" w:color="auto" w:sz="6" w:space="0"/>
                  </w:tcBorders>
                  <w:shd w:val="clear"/>
                  <w:vAlign w:val="center"/>
                </w:tcPr>
                <w:p w14:paraId="4B40EED1">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45</w:t>
                  </w:r>
                </w:p>
              </w:tc>
              <w:tc>
                <w:tcPr>
                  <w:tcW w:w="552" w:type="dxa"/>
                  <w:tcBorders>
                    <w:top w:val="single" w:color="auto" w:sz="6" w:space="0"/>
                    <w:left w:val="single" w:color="auto" w:sz="6" w:space="0"/>
                    <w:bottom w:val="single" w:color="auto" w:sz="12" w:space="0"/>
                    <w:right w:val="single" w:color="auto" w:sz="6" w:space="0"/>
                  </w:tcBorders>
                  <w:shd w:val="clear"/>
                  <w:vAlign w:val="center"/>
                </w:tcPr>
                <w:p w14:paraId="1654E84C">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95</w:t>
                  </w:r>
                </w:p>
              </w:tc>
              <w:tc>
                <w:tcPr>
                  <w:tcW w:w="546" w:type="dxa"/>
                  <w:tcBorders>
                    <w:top w:val="single" w:color="auto" w:sz="6" w:space="0"/>
                    <w:left w:val="single" w:color="auto" w:sz="6" w:space="0"/>
                    <w:bottom w:val="single" w:color="auto" w:sz="12" w:space="0"/>
                    <w:right w:val="single" w:color="auto" w:sz="6" w:space="0"/>
                  </w:tcBorders>
                  <w:shd w:val="clear"/>
                  <w:vAlign w:val="center"/>
                </w:tcPr>
                <w:p w14:paraId="3A5EBB71">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5000</w:t>
                  </w:r>
                </w:p>
              </w:tc>
              <w:tc>
                <w:tcPr>
                  <w:tcW w:w="748" w:type="dxa"/>
                  <w:tcBorders>
                    <w:top w:val="single" w:color="auto" w:sz="6" w:space="0"/>
                    <w:left w:val="single" w:color="auto" w:sz="6" w:space="0"/>
                    <w:bottom w:val="single" w:color="auto" w:sz="12" w:space="0"/>
                    <w:right w:val="single" w:color="auto" w:sz="6" w:space="0"/>
                  </w:tcBorders>
                  <w:shd w:val="clear"/>
                  <w:vAlign w:val="center"/>
                </w:tcPr>
                <w:p w14:paraId="220D7EBE">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0.045</w:t>
                  </w:r>
                </w:p>
              </w:tc>
              <w:tc>
                <w:tcPr>
                  <w:tcW w:w="812" w:type="dxa"/>
                  <w:tcBorders>
                    <w:top w:val="single" w:color="auto" w:sz="6" w:space="0"/>
                    <w:left w:val="single" w:color="auto" w:sz="6" w:space="0"/>
                    <w:bottom w:val="single" w:color="auto" w:sz="12" w:space="0"/>
                    <w:right w:val="single" w:color="auto" w:sz="6" w:space="0"/>
                  </w:tcBorders>
                  <w:shd w:val="clear"/>
                  <w:vAlign w:val="center"/>
                </w:tcPr>
                <w:p w14:paraId="39456F79">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0.011</w:t>
                  </w:r>
                </w:p>
              </w:tc>
              <w:tc>
                <w:tcPr>
                  <w:tcW w:w="575" w:type="dxa"/>
                  <w:tcBorders>
                    <w:top w:val="single" w:color="auto" w:sz="6" w:space="0"/>
                    <w:left w:val="single" w:color="auto" w:sz="6" w:space="0"/>
                    <w:bottom w:val="single" w:color="auto" w:sz="12" w:space="0"/>
                    <w:right w:val="single" w:color="auto" w:sz="6" w:space="0"/>
                  </w:tcBorders>
                  <w:shd w:val="clear"/>
                  <w:vAlign w:val="center"/>
                </w:tcPr>
                <w:p w14:paraId="413CB2B2">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2.3</w:t>
                  </w:r>
                </w:p>
              </w:tc>
              <w:tc>
                <w:tcPr>
                  <w:tcW w:w="708" w:type="dxa"/>
                  <w:tcBorders>
                    <w:top w:val="single" w:color="auto" w:sz="6" w:space="0"/>
                    <w:left w:val="single" w:color="auto" w:sz="6" w:space="0"/>
                    <w:bottom w:val="single" w:color="auto" w:sz="12" w:space="0"/>
                    <w:right w:val="nil"/>
                  </w:tcBorders>
                  <w:shd w:val="clear"/>
                  <w:vAlign w:val="center"/>
                </w:tcPr>
                <w:p w14:paraId="5556F23E">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0.1</w:t>
                  </w:r>
                </w:p>
              </w:tc>
            </w:tr>
          </w:tbl>
          <w:p w14:paraId="193498BF">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Calibri"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雕刻打磨</w:t>
            </w:r>
            <w:r>
              <w:rPr>
                <w:rFonts w:hint="eastAsia" w:ascii="Times New Roman" w:hAnsi="Calibri" w:eastAsia="宋体" w:cs="宋体"/>
                <w:color w:val="000000"/>
                <w:kern w:val="2"/>
                <w:sz w:val="24"/>
                <w:szCs w:val="24"/>
                <w:bdr w:val="none" w:color="auto" w:sz="0" w:space="0"/>
                <w:lang w:val="en-US" w:eastAsia="zh-CN" w:bidi="ar"/>
              </w:rPr>
              <w:t>过程未被收集的颗粒物（</w:t>
            </w:r>
            <w:r>
              <w:rPr>
                <w:rFonts w:hint="default" w:ascii="Times New Roman" w:hAnsi="Calibri" w:eastAsia="宋体" w:cs="Times New Roman"/>
                <w:color w:val="000000"/>
                <w:kern w:val="2"/>
                <w:sz w:val="24"/>
                <w:szCs w:val="24"/>
                <w:bdr w:val="none" w:color="auto" w:sz="0" w:space="0"/>
                <w:lang w:val="en-US" w:eastAsia="zh-CN" w:bidi="ar"/>
              </w:rPr>
              <w:t>0.1t/a</w:t>
            </w:r>
            <w:r>
              <w:rPr>
                <w:rFonts w:hint="eastAsia" w:ascii="Times New Roman" w:hAnsi="Calibri" w:eastAsia="宋体" w:cs="宋体"/>
                <w:color w:val="000000"/>
                <w:kern w:val="2"/>
                <w:sz w:val="24"/>
                <w:szCs w:val="24"/>
                <w:bdr w:val="none" w:color="auto" w:sz="0" w:space="0"/>
                <w:lang w:val="en-US" w:eastAsia="zh-CN" w:bidi="ar"/>
              </w:rPr>
              <w:t>）</w:t>
            </w:r>
            <w:r>
              <w:rPr>
                <w:rFonts w:hint="eastAsia" w:ascii="Calibri" w:hAnsi="Calibri" w:eastAsia="宋体" w:cs="宋体"/>
                <w:bCs/>
                <w:color w:val="000000"/>
                <w:kern w:val="2"/>
                <w:sz w:val="24"/>
                <w:szCs w:val="24"/>
                <w:bdr w:val="none" w:color="auto" w:sz="0" w:space="0"/>
                <w:lang w:val="en-US" w:eastAsia="zh-CN" w:bidi="ar"/>
              </w:rPr>
              <w:t>以无组织形式排放。</w:t>
            </w:r>
          </w:p>
          <w:p w14:paraId="3D3BE802">
            <w:pPr>
              <w:keepNext w:val="0"/>
              <w:keepLines w:val="0"/>
              <w:widowControl w:val="0"/>
              <w:suppressLineNumbers w:val="0"/>
              <w:snapToGrid w:val="0"/>
              <w:spacing w:before="0" w:beforeAutospacing="0" w:after="0" w:afterAutospacing="0" w:line="440" w:lineRule="exact"/>
              <w:ind w:left="0" w:right="0" w:firstLine="482" w:firstLineChars="200"/>
              <w:jc w:val="both"/>
              <w:rPr>
                <w:rFonts w:hint="default" w:ascii="Times New Roman" w:hAnsi="Times New Roman" w:cs="Times New Roman"/>
                <w:b/>
                <w:bCs w:val="0"/>
                <w:color w:val="000000"/>
                <w:sz w:val="24"/>
                <w:szCs w:val="24"/>
                <w:bdr w:val="none" w:color="auto" w:sz="0" w:space="0"/>
                <w:lang w:val="en-US"/>
              </w:rPr>
            </w:pPr>
            <w:r>
              <w:rPr>
                <w:rFonts w:hint="default" w:ascii="Times New Roman" w:hAnsi="Times New Roman" w:eastAsia="宋体" w:cs="Times New Roman"/>
                <w:b/>
                <w:bCs w:val="0"/>
                <w:color w:val="000000"/>
                <w:kern w:val="2"/>
                <w:sz w:val="24"/>
                <w:szCs w:val="24"/>
                <w:bdr w:val="none" w:color="auto" w:sz="0" w:space="0"/>
                <w:lang w:val="en-US" w:eastAsia="zh-CN" w:bidi="ar"/>
              </w:rPr>
              <w:t>5</w:t>
            </w:r>
            <w:r>
              <w:rPr>
                <w:rFonts w:hint="eastAsia" w:ascii="Times New Roman" w:hAnsi="Times New Roman" w:eastAsia="宋体" w:cs="宋体"/>
                <w:b/>
                <w:bCs w:val="0"/>
                <w:color w:val="000000"/>
                <w:kern w:val="2"/>
                <w:sz w:val="24"/>
                <w:szCs w:val="24"/>
                <w:bdr w:val="none" w:color="auto" w:sz="0" w:space="0"/>
                <w:lang w:val="en-US" w:eastAsia="zh-CN" w:bidi="ar"/>
              </w:rPr>
              <w:t>、危废贮存库废气</w:t>
            </w:r>
          </w:p>
          <w:p w14:paraId="19454E87">
            <w:pPr>
              <w:keepNext w:val="0"/>
              <w:keepLines w:val="0"/>
              <w:widowControl w:val="0"/>
              <w:suppressLineNumbers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扩建项目产生的废活性炭、</w:t>
            </w:r>
            <w:r>
              <w:rPr>
                <w:rFonts w:hint="eastAsia" w:ascii="Times New Roman" w:hAnsi="Calibri" w:eastAsia="宋体" w:cs="宋体"/>
                <w:color w:val="000000"/>
                <w:kern w:val="2"/>
                <w:sz w:val="24"/>
                <w:szCs w:val="24"/>
                <w:bdr w:val="none" w:color="auto" w:sz="0" w:space="0"/>
                <w:lang w:val="en-US" w:eastAsia="zh-CN" w:bidi="ar"/>
              </w:rPr>
              <w:t>废润滑油和废油桶、废背胶处理剂空瓶等危险废物分类暂存于危废贮存库内，其中废活性炭袋装封存后置于防渗地面，携带的有机废气被活性炭吸附固定，常温封存状态下，不会挥发出来；废油桶及废油均为桶装加盖方式密闭暂存；废背胶处理剂空瓶袋装封存，危废贮存库常温状态下，由于空瓶暂存量较少，沾染的少量胶水挥发为无组织排放，本次评价不定量分析。</w:t>
            </w:r>
          </w:p>
          <w:p w14:paraId="44FE0844">
            <w:pPr>
              <w:keepNext w:val="0"/>
              <w:keepLines w:val="0"/>
              <w:widowControl w:val="0"/>
              <w:suppressLineNumbers w:val="0"/>
              <w:adjustRightInd w:val="0"/>
              <w:snapToGrid w:val="0"/>
              <w:spacing w:before="0" w:beforeAutospacing="0" w:after="0" w:afterAutospacing="0" w:line="440" w:lineRule="exact"/>
              <w:ind w:left="0" w:right="0"/>
              <w:jc w:val="left"/>
              <w:outlineLvl w:val="2"/>
              <w:rPr>
                <w:rFonts w:hint="default" w:ascii="Times New Roman" w:hAnsi="宋体" w:cs="Times New Roman"/>
                <w:b/>
                <w:bCs/>
                <w:color w:val="000000"/>
                <w:spacing w:val="-10"/>
                <w:sz w:val="24"/>
                <w:szCs w:val="24"/>
                <w:bdr w:val="none" w:color="auto" w:sz="0" w:space="0"/>
                <w:lang w:val="en-US"/>
              </w:rPr>
            </w:pPr>
            <w:r>
              <w:rPr>
                <w:rFonts w:hint="default" w:ascii="Times New Roman" w:hAnsi="宋体" w:eastAsia="宋体" w:cs="Times New Roman"/>
                <w:b/>
                <w:bCs/>
                <w:color w:val="000000"/>
                <w:spacing w:val="-10"/>
                <w:kern w:val="2"/>
                <w:sz w:val="24"/>
                <w:szCs w:val="24"/>
                <w:bdr w:val="none" w:color="auto" w:sz="0" w:space="0"/>
                <w:lang w:val="en-US" w:eastAsia="zh-CN" w:bidi="ar"/>
              </w:rPr>
              <w:t>4.2.2</w:t>
            </w:r>
            <w:r>
              <w:rPr>
                <w:rFonts w:hint="eastAsia" w:ascii="Times New Roman" w:hAnsi="宋体" w:eastAsia="宋体" w:cs="宋体"/>
                <w:b/>
                <w:bCs/>
                <w:color w:val="000000"/>
                <w:spacing w:val="-10"/>
                <w:kern w:val="2"/>
                <w:sz w:val="24"/>
                <w:szCs w:val="24"/>
                <w:bdr w:val="none" w:color="auto" w:sz="0" w:space="0"/>
                <w:lang w:val="en-US" w:eastAsia="zh-CN" w:bidi="ar"/>
              </w:rPr>
              <w:t>废气产排污染情况汇总</w:t>
            </w:r>
          </w:p>
          <w:p w14:paraId="10A1EB9F">
            <w:pPr>
              <w:keepNext w:val="0"/>
              <w:keepLines w:val="0"/>
              <w:widowControl w:val="0"/>
              <w:suppressLineNumbers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扩建项目废气产排情况见表</w:t>
            </w:r>
            <w:r>
              <w:rPr>
                <w:rFonts w:hint="default" w:ascii="Times New Roman" w:hAnsi="Calibri" w:eastAsia="宋体" w:cs="Times New Roman"/>
                <w:color w:val="000000"/>
                <w:kern w:val="2"/>
                <w:sz w:val="24"/>
                <w:szCs w:val="24"/>
                <w:bdr w:val="none" w:color="auto" w:sz="0" w:space="0"/>
                <w:lang w:val="en-US" w:eastAsia="zh-CN" w:bidi="ar"/>
              </w:rPr>
              <w:t>4.2-3</w:t>
            </w:r>
            <w:r>
              <w:rPr>
                <w:rFonts w:hint="eastAsia" w:ascii="Times New Roman" w:hAnsi="Calibri" w:eastAsia="宋体" w:cs="宋体"/>
                <w:color w:val="000000"/>
                <w:kern w:val="2"/>
                <w:sz w:val="24"/>
                <w:szCs w:val="24"/>
                <w:bdr w:val="none" w:color="auto" w:sz="0" w:space="0"/>
                <w:lang w:val="en-US" w:eastAsia="zh-CN" w:bidi="ar"/>
              </w:rPr>
              <w:t>。</w:t>
            </w:r>
          </w:p>
          <w:p w14:paraId="79317310">
            <w:pPr>
              <w:keepNext w:val="0"/>
              <w:keepLines w:val="0"/>
              <w:widowControl w:val="0"/>
              <w:suppressLineNumbers w:val="0"/>
              <w:spacing w:before="0" w:beforeAutospacing="0" w:after="0" w:afterAutospacing="0" w:line="460" w:lineRule="exact"/>
              <w:ind w:left="0" w:right="0" w:firstLine="480" w:firstLineChars="200"/>
              <w:jc w:val="center"/>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表</w:t>
            </w:r>
            <w:r>
              <w:rPr>
                <w:rFonts w:hint="default" w:ascii="Times New Roman" w:hAnsi="Times New Roman" w:eastAsia="宋体" w:cs="Times New Roman"/>
                <w:color w:val="000000"/>
                <w:kern w:val="2"/>
                <w:sz w:val="24"/>
                <w:szCs w:val="24"/>
                <w:bdr w:val="none" w:color="auto" w:sz="0" w:space="0"/>
                <w:lang w:val="en-US" w:eastAsia="zh-CN" w:bidi="ar"/>
              </w:rPr>
              <w:t xml:space="preserve">4.2-3  </w:t>
            </w:r>
            <w:r>
              <w:rPr>
                <w:rFonts w:hint="eastAsia" w:ascii="Times New Roman" w:hAnsi="Calibri" w:eastAsia="宋体" w:cs="宋体"/>
                <w:color w:val="000000"/>
                <w:kern w:val="2"/>
                <w:sz w:val="24"/>
                <w:szCs w:val="24"/>
                <w:bdr w:val="none" w:color="auto" w:sz="0" w:space="0"/>
                <w:lang w:val="en-US" w:eastAsia="zh-CN" w:bidi="ar"/>
              </w:rPr>
              <w:t>废气产排污汇总表</w:t>
            </w:r>
          </w:p>
          <w:tbl>
            <w:tblPr>
              <w:tblStyle w:val="18"/>
              <w:tblpPr w:leftFromText="180" w:rightFromText="180" w:vertAnchor="text" w:tblpXSpec="center" w:tblpY="1"/>
              <w:tblOverlap w:val="never"/>
              <w:tblW w:w="5000" w:type="pct"/>
              <w:tblInd w:w="8"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Layout w:type="fixed"/>
              <w:tblCellMar>
                <w:top w:w="0" w:type="dxa"/>
                <w:left w:w="108" w:type="dxa"/>
                <w:bottom w:w="0" w:type="dxa"/>
                <w:right w:w="108" w:type="dxa"/>
              </w:tblCellMar>
            </w:tblPr>
            <w:tblGrid>
              <w:gridCol w:w="851"/>
              <w:gridCol w:w="850"/>
              <w:gridCol w:w="1276"/>
              <w:gridCol w:w="992"/>
              <w:gridCol w:w="142"/>
              <w:gridCol w:w="1702"/>
              <w:gridCol w:w="992"/>
              <w:gridCol w:w="1142"/>
            </w:tblGrid>
            <w:tr w14:paraId="6BCC58D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CellMar>
                  <w:top w:w="0" w:type="dxa"/>
                  <w:left w:w="108" w:type="dxa"/>
                  <w:bottom w:w="0" w:type="dxa"/>
                  <w:right w:w="108" w:type="dxa"/>
                </w:tblCellMar>
              </w:tblPrEx>
              <w:trPr>
                <w:trHeight w:val="402" w:hRule="atLeast"/>
              </w:trPr>
              <w:tc>
                <w:tcPr>
                  <w:tcW w:w="851" w:type="dxa"/>
                  <w:tcBorders>
                    <w:top w:val="single" w:color="auto" w:sz="12" w:space="0"/>
                    <w:left w:val="nil"/>
                    <w:bottom w:val="single" w:color="auto" w:sz="4" w:space="0"/>
                    <w:right w:val="single" w:color="auto" w:sz="4" w:space="0"/>
                  </w:tcBorders>
                  <w:shd w:val="clear"/>
                  <w:vAlign w:val="center"/>
                </w:tcPr>
                <w:p w14:paraId="13B11855">
                  <w:pPr>
                    <w:keepNext w:val="0"/>
                    <w:keepLines w:val="0"/>
                    <w:widowControl/>
                    <w:suppressLineNumbers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排气筒</w:t>
                  </w:r>
                </w:p>
              </w:tc>
              <w:tc>
                <w:tcPr>
                  <w:tcW w:w="850" w:type="dxa"/>
                  <w:tcBorders>
                    <w:top w:val="single" w:color="auto" w:sz="12" w:space="0"/>
                    <w:left w:val="single" w:color="auto" w:sz="4" w:space="0"/>
                    <w:bottom w:val="single" w:color="auto" w:sz="4" w:space="0"/>
                    <w:right w:val="single" w:color="auto" w:sz="4" w:space="0"/>
                  </w:tcBorders>
                  <w:shd w:val="clear"/>
                  <w:vAlign w:val="center"/>
                </w:tcPr>
                <w:p w14:paraId="1C5A78FC">
                  <w:pPr>
                    <w:keepNext w:val="0"/>
                    <w:keepLines w:val="0"/>
                    <w:widowControl/>
                    <w:suppressLineNumbers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产污</w:t>
                  </w:r>
                </w:p>
                <w:p w14:paraId="0D6AD40A">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环节</w:t>
                  </w:r>
                </w:p>
              </w:tc>
              <w:tc>
                <w:tcPr>
                  <w:tcW w:w="1276" w:type="dxa"/>
                  <w:tcBorders>
                    <w:top w:val="single" w:color="auto" w:sz="12" w:space="0"/>
                    <w:left w:val="single" w:color="auto" w:sz="4" w:space="0"/>
                    <w:bottom w:val="single" w:color="auto" w:sz="4" w:space="0"/>
                    <w:right w:val="single" w:color="auto" w:sz="4" w:space="0"/>
                  </w:tcBorders>
                  <w:shd w:val="clear"/>
                  <w:vAlign w:val="center"/>
                </w:tcPr>
                <w:p w14:paraId="0BB59C74">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污染物</w:t>
                  </w:r>
                </w:p>
              </w:tc>
              <w:tc>
                <w:tcPr>
                  <w:tcW w:w="992" w:type="dxa"/>
                  <w:tcBorders>
                    <w:top w:val="single" w:color="auto" w:sz="12" w:space="0"/>
                    <w:left w:val="single" w:color="auto" w:sz="4" w:space="0"/>
                    <w:bottom w:val="single" w:color="auto" w:sz="4" w:space="0"/>
                    <w:right w:val="single" w:color="auto" w:sz="4" w:space="0"/>
                  </w:tcBorders>
                  <w:shd w:val="clear"/>
                  <w:vAlign w:val="center"/>
                </w:tcPr>
                <w:p w14:paraId="0880537D">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收集量</w:t>
                  </w:r>
                  <w:r>
                    <w:rPr>
                      <w:rFonts w:hint="default" w:ascii="Times New Roman" w:hAnsi="Times New Roman" w:eastAsia="宋体" w:cs="Times New Roman"/>
                      <w:color w:val="000000"/>
                      <w:kern w:val="0"/>
                      <w:sz w:val="21"/>
                      <w:szCs w:val="21"/>
                      <w:bdr w:val="none" w:color="auto" w:sz="0" w:space="0"/>
                      <w:lang w:val="en-US" w:eastAsia="zh-CN" w:bidi="ar"/>
                    </w:rPr>
                    <w:t>t/a</w:t>
                  </w:r>
                </w:p>
              </w:tc>
              <w:tc>
                <w:tcPr>
                  <w:tcW w:w="1843" w:type="dxa"/>
                  <w:gridSpan w:val="2"/>
                  <w:tcBorders>
                    <w:top w:val="single" w:color="auto" w:sz="12" w:space="0"/>
                    <w:left w:val="single" w:color="auto" w:sz="4" w:space="0"/>
                    <w:bottom w:val="single" w:color="auto" w:sz="4" w:space="0"/>
                    <w:right w:val="single" w:color="auto" w:sz="4" w:space="0"/>
                  </w:tcBorders>
                  <w:shd w:val="clear"/>
                  <w:vAlign w:val="center"/>
                </w:tcPr>
                <w:p w14:paraId="32E4B476">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处理措施</w:t>
                  </w:r>
                </w:p>
              </w:tc>
              <w:tc>
                <w:tcPr>
                  <w:tcW w:w="992" w:type="dxa"/>
                  <w:tcBorders>
                    <w:top w:val="single" w:color="auto" w:sz="12" w:space="0"/>
                    <w:left w:val="single" w:color="auto" w:sz="4" w:space="0"/>
                    <w:bottom w:val="single" w:color="auto" w:sz="4" w:space="0"/>
                    <w:right w:val="single" w:color="auto" w:sz="4" w:space="0"/>
                  </w:tcBorders>
                  <w:shd w:val="clear"/>
                  <w:vAlign w:val="center"/>
                </w:tcPr>
                <w:p w14:paraId="07B30B9F">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排放量</w:t>
                  </w:r>
                  <w:r>
                    <w:rPr>
                      <w:rFonts w:hint="default" w:ascii="Times New Roman" w:hAnsi="Times New Roman" w:eastAsia="宋体" w:cs="Times New Roman"/>
                      <w:color w:val="000000"/>
                      <w:kern w:val="0"/>
                      <w:sz w:val="21"/>
                      <w:szCs w:val="21"/>
                      <w:bdr w:val="none" w:color="auto" w:sz="0" w:space="0"/>
                      <w:lang w:val="en-US" w:eastAsia="zh-CN" w:bidi="ar"/>
                    </w:rPr>
                    <w:t>t/a</w:t>
                  </w:r>
                </w:p>
              </w:tc>
              <w:tc>
                <w:tcPr>
                  <w:tcW w:w="1142" w:type="dxa"/>
                  <w:tcBorders>
                    <w:top w:val="single" w:color="auto" w:sz="12" w:space="0"/>
                    <w:left w:val="single" w:color="auto" w:sz="4" w:space="0"/>
                    <w:bottom w:val="single" w:color="auto" w:sz="4" w:space="0"/>
                    <w:right w:val="nil"/>
                  </w:tcBorders>
                  <w:shd w:val="clear"/>
                  <w:vAlign w:val="center"/>
                </w:tcPr>
                <w:p w14:paraId="71D763A7">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去除量</w:t>
                  </w:r>
                  <w:r>
                    <w:rPr>
                      <w:rFonts w:hint="default" w:ascii="Times New Roman" w:hAnsi="Times New Roman" w:eastAsia="宋体" w:cs="Times New Roman"/>
                      <w:color w:val="000000"/>
                      <w:kern w:val="0"/>
                      <w:sz w:val="21"/>
                      <w:szCs w:val="21"/>
                      <w:bdr w:val="none" w:color="auto" w:sz="0" w:space="0"/>
                      <w:lang w:val="en-US" w:eastAsia="zh-CN" w:bidi="ar"/>
                    </w:rPr>
                    <w:t>t/a</w:t>
                  </w:r>
                </w:p>
              </w:tc>
            </w:tr>
            <w:tr w14:paraId="2A4B3ED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851" w:type="dxa"/>
                  <w:vMerge w:val="restart"/>
                  <w:tcBorders>
                    <w:top w:val="single" w:color="auto" w:sz="4" w:space="0"/>
                    <w:left w:val="nil"/>
                    <w:bottom w:val="single" w:color="auto" w:sz="4" w:space="0"/>
                    <w:right w:val="single" w:color="auto" w:sz="4" w:space="0"/>
                  </w:tcBorders>
                  <w:shd w:val="clear"/>
                  <w:vAlign w:val="center"/>
                </w:tcPr>
                <w:p w14:paraId="49E3986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DA001</w:t>
                  </w:r>
                </w:p>
              </w:tc>
              <w:tc>
                <w:tcPr>
                  <w:tcW w:w="850" w:type="dxa"/>
                  <w:vMerge w:val="restart"/>
                  <w:tcBorders>
                    <w:top w:val="single" w:color="auto" w:sz="4" w:space="0"/>
                    <w:left w:val="single" w:color="auto" w:sz="4" w:space="0"/>
                    <w:bottom w:val="single" w:color="auto" w:sz="4" w:space="0"/>
                    <w:right w:val="single" w:color="auto" w:sz="4" w:space="0"/>
                  </w:tcBorders>
                  <w:shd w:val="clear"/>
                  <w:vAlign w:val="center"/>
                </w:tcPr>
                <w:p w14:paraId="18F3EA70">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涂胶、激光切割</w:t>
                  </w:r>
                </w:p>
              </w:tc>
              <w:tc>
                <w:tcPr>
                  <w:tcW w:w="1276" w:type="dxa"/>
                  <w:tcBorders>
                    <w:top w:val="single" w:color="auto" w:sz="4" w:space="0"/>
                    <w:left w:val="single" w:color="auto" w:sz="4" w:space="0"/>
                    <w:bottom w:val="single" w:color="auto" w:sz="4" w:space="0"/>
                    <w:right w:val="single" w:color="auto" w:sz="4" w:space="0"/>
                  </w:tcBorders>
                  <w:shd w:val="clear"/>
                  <w:vAlign w:val="center"/>
                </w:tcPr>
                <w:p w14:paraId="3A1DDD1B">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颗粒物</w:t>
                  </w:r>
                </w:p>
              </w:tc>
              <w:tc>
                <w:tcPr>
                  <w:tcW w:w="992" w:type="dxa"/>
                  <w:tcBorders>
                    <w:top w:val="single" w:color="auto" w:sz="4" w:space="0"/>
                    <w:left w:val="single" w:color="auto" w:sz="4" w:space="0"/>
                    <w:bottom w:val="single" w:color="auto" w:sz="4" w:space="0"/>
                    <w:right w:val="single" w:color="auto" w:sz="4" w:space="0"/>
                  </w:tcBorders>
                  <w:shd w:val="clear"/>
                  <w:vAlign w:val="center"/>
                </w:tcPr>
                <w:p w14:paraId="3E9B7515">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0.026</w:t>
                  </w:r>
                </w:p>
              </w:tc>
              <w:tc>
                <w:tcPr>
                  <w:tcW w:w="1843" w:type="dxa"/>
                  <w:gridSpan w:val="2"/>
                  <w:vMerge w:val="restart"/>
                  <w:tcBorders>
                    <w:top w:val="single" w:color="auto" w:sz="4" w:space="0"/>
                    <w:left w:val="single" w:color="auto" w:sz="4" w:space="0"/>
                    <w:bottom w:val="single" w:color="auto" w:sz="4" w:space="0"/>
                    <w:right w:val="single" w:color="auto" w:sz="4" w:space="0"/>
                  </w:tcBorders>
                  <w:shd w:val="clear"/>
                  <w:vAlign w:val="center"/>
                </w:tcPr>
                <w:p w14:paraId="4445C1C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“布袋</w:t>
                  </w:r>
                  <w:r>
                    <w:rPr>
                      <w:rFonts w:hint="default" w:ascii="Times New Roman" w:hAnsi="Times New Roman" w:eastAsia="宋体" w:cs="Times New Roman"/>
                      <w:color w:val="000000"/>
                      <w:kern w:val="0"/>
                      <w:sz w:val="21"/>
                      <w:szCs w:val="21"/>
                      <w:bdr w:val="none" w:color="auto" w:sz="0" w:space="0"/>
                      <w:lang w:val="en-US" w:eastAsia="zh-CN" w:bidi="ar"/>
                    </w:rPr>
                    <w:t>+UV</w:t>
                  </w:r>
                  <w:r>
                    <w:rPr>
                      <w:rFonts w:hint="eastAsia" w:ascii="Times New Roman" w:hAnsi="Times New Roman" w:eastAsia="宋体" w:cs="宋体"/>
                      <w:color w:val="000000"/>
                      <w:kern w:val="0"/>
                      <w:sz w:val="21"/>
                      <w:szCs w:val="21"/>
                      <w:bdr w:val="none" w:color="auto" w:sz="0" w:space="0"/>
                      <w:lang w:val="en-US" w:eastAsia="zh-CN" w:bidi="ar"/>
                    </w:rPr>
                    <w:t>光解</w:t>
                  </w:r>
                  <w:r>
                    <w:rPr>
                      <w:rFonts w:hint="default" w:ascii="Times New Roman" w:hAnsi="Times New Roman" w:eastAsia="宋体" w:cs="Times New Roman"/>
                      <w:color w:val="000000"/>
                      <w:kern w:val="0"/>
                      <w:sz w:val="21"/>
                      <w:szCs w:val="21"/>
                      <w:bdr w:val="none" w:color="auto" w:sz="0" w:space="0"/>
                      <w:lang w:val="en-US" w:eastAsia="zh-CN" w:bidi="ar"/>
                    </w:rPr>
                    <w:t>+</w:t>
                  </w:r>
                  <w:r>
                    <w:rPr>
                      <w:rFonts w:hint="eastAsia" w:ascii="Times New Roman" w:hAnsi="Times New Roman" w:eastAsia="宋体" w:cs="宋体"/>
                      <w:color w:val="000000"/>
                      <w:kern w:val="0"/>
                      <w:sz w:val="21"/>
                      <w:szCs w:val="21"/>
                      <w:bdr w:val="none" w:color="auto" w:sz="0" w:space="0"/>
                      <w:lang w:val="en-US" w:eastAsia="zh-CN" w:bidi="ar"/>
                    </w:rPr>
                    <w:t>二级活性炭”</w:t>
                  </w:r>
                  <w:r>
                    <w:rPr>
                      <w:rFonts w:hint="default" w:ascii="Times New Roman" w:hAnsi="Times New Roman" w:eastAsia="宋体" w:cs="Times New Roman"/>
                      <w:color w:val="000000"/>
                      <w:kern w:val="0"/>
                      <w:sz w:val="21"/>
                      <w:szCs w:val="21"/>
                      <w:bdr w:val="none" w:color="auto" w:sz="0" w:space="0"/>
                      <w:lang w:val="en-US" w:eastAsia="zh-CN" w:bidi="ar"/>
                    </w:rPr>
                    <w:t>+20m</w:t>
                  </w:r>
                  <w:r>
                    <w:rPr>
                      <w:rFonts w:hint="eastAsia" w:ascii="Times New Roman" w:hAnsi="Times New Roman" w:eastAsia="宋体" w:cs="宋体"/>
                      <w:color w:val="000000"/>
                      <w:kern w:val="0"/>
                      <w:sz w:val="21"/>
                      <w:szCs w:val="21"/>
                      <w:bdr w:val="none" w:color="auto" w:sz="0" w:space="0"/>
                      <w:lang w:val="en-US" w:eastAsia="zh-CN" w:bidi="ar"/>
                    </w:rPr>
                    <w:t>排气筒</w:t>
                  </w:r>
                </w:p>
              </w:tc>
              <w:tc>
                <w:tcPr>
                  <w:tcW w:w="992" w:type="dxa"/>
                  <w:tcBorders>
                    <w:top w:val="single" w:color="auto" w:sz="4" w:space="0"/>
                    <w:left w:val="single" w:color="auto" w:sz="4" w:space="0"/>
                    <w:bottom w:val="single" w:color="auto" w:sz="4" w:space="0"/>
                    <w:right w:val="single" w:color="auto" w:sz="4" w:space="0"/>
                  </w:tcBorders>
                  <w:shd w:val="clear"/>
                  <w:vAlign w:val="center"/>
                </w:tcPr>
                <w:p w14:paraId="66F1546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0.003</w:t>
                  </w:r>
                </w:p>
              </w:tc>
              <w:tc>
                <w:tcPr>
                  <w:tcW w:w="1142" w:type="dxa"/>
                  <w:tcBorders>
                    <w:top w:val="single" w:color="auto" w:sz="4" w:space="0"/>
                    <w:left w:val="single" w:color="auto" w:sz="4" w:space="0"/>
                    <w:bottom w:val="single" w:color="auto" w:sz="4" w:space="0"/>
                    <w:right w:val="nil"/>
                  </w:tcBorders>
                  <w:shd w:val="clear"/>
                  <w:vAlign w:val="center"/>
                </w:tcPr>
                <w:p w14:paraId="21F205E0">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0.023</w:t>
                  </w:r>
                </w:p>
              </w:tc>
            </w:tr>
            <w:tr w14:paraId="38A287D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851" w:type="dxa"/>
                  <w:vMerge w:val="continue"/>
                  <w:tcBorders>
                    <w:top w:val="single" w:color="auto" w:sz="4" w:space="0"/>
                    <w:left w:val="nil"/>
                    <w:bottom w:val="single" w:color="auto" w:sz="4" w:space="0"/>
                    <w:right w:val="single" w:color="auto" w:sz="4" w:space="0"/>
                  </w:tcBorders>
                  <w:shd w:val="clear"/>
                  <w:vAlign w:val="center"/>
                </w:tcPr>
                <w:p w14:paraId="7ABCF945">
                  <w:pPr>
                    <w:rPr>
                      <w:rFonts w:hint="default" w:ascii="Calibri" w:hAnsi="Calibri" w:cs="Calibri"/>
                      <w:sz w:val="20"/>
                      <w:szCs w:val="20"/>
                    </w:rPr>
                  </w:pPr>
                </w:p>
              </w:tc>
              <w:tc>
                <w:tcPr>
                  <w:tcW w:w="850" w:type="dxa"/>
                  <w:vMerge w:val="continue"/>
                  <w:tcBorders>
                    <w:top w:val="single" w:color="auto" w:sz="4" w:space="0"/>
                    <w:left w:val="single" w:color="auto" w:sz="4" w:space="0"/>
                    <w:bottom w:val="single" w:color="auto" w:sz="4" w:space="0"/>
                    <w:right w:val="single" w:color="auto" w:sz="4" w:space="0"/>
                  </w:tcBorders>
                  <w:shd w:val="clear"/>
                  <w:vAlign w:val="center"/>
                </w:tcPr>
                <w:p w14:paraId="3851EA90">
                  <w:pPr>
                    <w:rPr>
                      <w:rFonts w:hint="default" w:ascii="Calibri" w:hAnsi="Calibri" w:cs="Calibri"/>
                      <w:sz w:val="20"/>
                      <w:szCs w:val="20"/>
                    </w:rPr>
                  </w:pPr>
                </w:p>
              </w:tc>
              <w:tc>
                <w:tcPr>
                  <w:tcW w:w="1276" w:type="dxa"/>
                  <w:tcBorders>
                    <w:top w:val="single" w:color="auto" w:sz="4" w:space="0"/>
                    <w:left w:val="single" w:color="auto" w:sz="4" w:space="0"/>
                    <w:bottom w:val="single" w:color="auto" w:sz="4" w:space="0"/>
                    <w:right w:val="single" w:color="auto" w:sz="4" w:space="0"/>
                  </w:tcBorders>
                  <w:shd w:val="clear"/>
                  <w:vAlign w:val="center"/>
                </w:tcPr>
                <w:p w14:paraId="7C0FA8DF">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非甲烷总烃</w:t>
                  </w:r>
                </w:p>
              </w:tc>
              <w:tc>
                <w:tcPr>
                  <w:tcW w:w="992" w:type="dxa"/>
                  <w:tcBorders>
                    <w:top w:val="single" w:color="auto" w:sz="4" w:space="0"/>
                    <w:left w:val="single" w:color="auto" w:sz="4" w:space="0"/>
                    <w:bottom w:val="single" w:color="auto" w:sz="4" w:space="0"/>
                    <w:right w:val="single" w:color="auto" w:sz="4" w:space="0"/>
                  </w:tcBorders>
                  <w:shd w:val="clear"/>
                  <w:vAlign w:val="center"/>
                </w:tcPr>
                <w:p w14:paraId="5D4DF411">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0.536</w:t>
                  </w:r>
                </w:p>
              </w:tc>
              <w:tc>
                <w:tcPr>
                  <w:tcW w:w="1843" w:type="dxa"/>
                  <w:gridSpan w:val="2"/>
                  <w:vMerge w:val="continue"/>
                  <w:tcBorders>
                    <w:top w:val="single" w:color="auto" w:sz="4" w:space="0"/>
                    <w:left w:val="single" w:color="auto" w:sz="4" w:space="0"/>
                    <w:bottom w:val="single" w:color="auto" w:sz="4" w:space="0"/>
                    <w:right w:val="single" w:color="auto" w:sz="4" w:space="0"/>
                  </w:tcBorders>
                  <w:shd w:val="clear"/>
                  <w:vAlign w:val="center"/>
                </w:tcPr>
                <w:p w14:paraId="290DFE18">
                  <w:pPr>
                    <w:rPr>
                      <w:rFonts w:hint="default" w:ascii="Calibri" w:hAnsi="Calibri" w:cs="Calibri"/>
                      <w:sz w:val="20"/>
                      <w:szCs w:val="20"/>
                    </w:rPr>
                  </w:pPr>
                </w:p>
              </w:tc>
              <w:tc>
                <w:tcPr>
                  <w:tcW w:w="992" w:type="dxa"/>
                  <w:tcBorders>
                    <w:top w:val="single" w:color="auto" w:sz="4" w:space="0"/>
                    <w:left w:val="single" w:color="auto" w:sz="4" w:space="0"/>
                    <w:bottom w:val="single" w:color="auto" w:sz="4" w:space="0"/>
                    <w:right w:val="single" w:color="auto" w:sz="4" w:space="0"/>
                  </w:tcBorders>
                  <w:shd w:val="clear"/>
                  <w:vAlign w:val="center"/>
                </w:tcPr>
                <w:p w14:paraId="397FD20D">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0.107</w:t>
                  </w:r>
                </w:p>
              </w:tc>
              <w:tc>
                <w:tcPr>
                  <w:tcW w:w="1142" w:type="dxa"/>
                  <w:tcBorders>
                    <w:top w:val="single" w:color="auto" w:sz="4" w:space="0"/>
                    <w:left w:val="single" w:color="auto" w:sz="4" w:space="0"/>
                    <w:bottom w:val="single" w:color="auto" w:sz="4" w:space="0"/>
                    <w:right w:val="nil"/>
                  </w:tcBorders>
                  <w:shd w:val="clear"/>
                  <w:vAlign w:val="center"/>
                </w:tcPr>
                <w:p w14:paraId="73A2B0B2">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0.429</w:t>
                  </w:r>
                </w:p>
              </w:tc>
            </w:tr>
            <w:tr w14:paraId="7FC5E65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51" w:type="dxa"/>
                  <w:vMerge w:val="continue"/>
                  <w:tcBorders>
                    <w:top w:val="single" w:color="auto" w:sz="4" w:space="0"/>
                    <w:left w:val="nil"/>
                    <w:bottom w:val="single" w:color="auto" w:sz="4" w:space="0"/>
                    <w:right w:val="single" w:color="auto" w:sz="4" w:space="0"/>
                  </w:tcBorders>
                  <w:shd w:val="clear"/>
                  <w:vAlign w:val="center"/>
                </w:tcPr>
                <w:p w14:paraId="1B0F669E">
                  <w:pPr>
                    <w:rPr>
                      <w:rFonts w:hint="default" w:ascii="Calibri" w:hAnsi="Calibri" w:cs="Calibri"/>
                      <w:sz w:val="20"/>
                      <w:szCs w:val="20"/>
                    </w:rPr>
                  </w:pPr>
                </w:p>
              </w:tc>
              <w:tc>
                <w:tcPr>
                  <w:tcW w:w="850" w:type="dxa"/>
                  <w:vMerge w:val="continue"/>
                  <w:tcBorders>
                    <w:top w:val="single" w:color="auto" w:sz="4" w:space="0"/>
                    <w:left w:val="single" w:color="auto" w:sz="4" w:space="0"/>
                    <w:bottom w:val="single" w:color="auto" w:sz="4" w:space="0"/>
                    <w:right w:val="single" w:color="auto" w:sz="4" w:space="0"/>
                  </w:tcBorders>
                  <w:shd w:val="clear"/>
                  <w:vAlign w:val="center"/>
                </w:tcPr>
                <w:p w14:paraId="74701589">
                  <w:pPr>
                    <w:rPr>
                      <w:rFonts w:hint="default" w:ascii="Calibri" w:hAnsi="Calibri" w:cs="Calibri"/>
                      <w:sz w:val="20"/>
                      <w:szCs w:val="20"/>
                    </w:rPr>
                  </w:pPr>
                </w:p>
              </w:tc>
              <w:tc>
                <w:tcPr>
                  <w:tcW w:w="1276" w:type="dxa"/>
                  <w:tcBorders>
                    <w:top w:val="single" w:color="auto" w:sz="4" w:space="0"/>
                    <w:left w:val="single" w:color="auto" w:sz="4" w:space="0"/>
                    <w:bottom w:val="single" w:color="auto" w:sz="4" w:space="0"/>
                    <w:right w:val="single" w:color="auto" w:sz="4" w:space="0"/>
                  </w:tcBorders>
                  <w:shd w:val="clear"/>
                  <w:vAlign w:val="center"/>
                </w:tcPr>
                <w:p w14:paraId="38C9B5A6">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MDI</w:t>
                  </w:r>
                </w:p>
              </w:tc>
              <w:tc>
                <w:tcPr>
                  <w:tcW w:w="992" w:type="dxa"/>
                  <w:tcBorders>
                    <w:top w:val="single" w:color="auto" w:sz="4" w:space="0"/>
                    <w:left w:val="single" w:color="auto" w:sz="4" w:space="0"/>
                    <w:bottom w:val="single" w:color="auto" w:sz="4" w:space="0"/>
                    <w:right w:val="single" w:color="auto" w:sz="4" w:space="0"/>
                  </w:tcBorders>
                  <w:shd w:val="clear"/>
                  <w:vAlign w:val="center"/>
                </w:tcPr>
                <w:p w14:paraId="3FC9F03B">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0.150</w:t>
                  </w:r>
                </w:p>
              </w:tc>
              <w:tc>
                <w:tcPr>
                  <w:tcW w:w="1843" w:type="dxa"/>
                  <w:gridSpan w:val="2"/>
                  <w:vMerge w:val="continue"/>
                  <w:tcBorders>
                    <w:top w:val="single" w:color="auto" w:sz="4" w:space="0"/>
                    <w:left w:val="single" w:color="auto" w:sz="4" w:space="0"/>
                    <w:bottom w:val="single" w:color="auto" w:sz="4" w:space="0"/>
                    <w:right w:val="single" w:color="auto" w:sz="4" w:space="0"/>
                  </w:tcBorders>
                  <w:shd w:val="clear"/>
                  <w:vAlign w:val="center"/>
                </w:tcPr>
                <w:p w14:paraId="50DCECDD">
                  <w:pPr>
                    <w:rPr>
                      <w:rFonts w:hint="default" w:ascii="Calibri" w:hAnsi="Calibri" w:cs="Calibri"/>
                      <w:sz w:val="20"/>
                      <w:szCs w:val="20"/>
                    </w:rPr>
                  </w:pPr>
                </w:p>
              </w:tc>
              <w:tc>
                <w:tcPr>
                  <w:tcW w:w="992" w:type="dxa"/>
                  <w:tcBorders>
                    <w:top w:val="single" w:color="auto" w:sz="4" w:space="0"/>
                    <w:left w:val="single" w:color="auto" w:sz="4" w:space="0"/>
                    <w:bottom w:val="single" w:color="auto" w:sz="4" w:space="0"/>
                    <w:right w:val="single" w:color="auto" w:sz="4" w:space="0"/>
                  </w:tcBorders>
                  <w:shd w:val="clear"/>
                  <w:vAlign w:val="center"/>
                </w:tcPr>
                <w:p w14:paraId="2B2EF260">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0.030</w:t>
                  </w:r>
                </w:p>
              </w:tc>
              <w:tc>
                <w:tcPr>
                  <w:tcW w:w="1142" w:type="dxa"/>
                  <w:tcBorders>
                    <w:top w:val="single" w:color="auto" w:sz="4" w:space="0"/>
                    <w:left w:val="single" w:color="auto" w:sz="4" w:space="0"/>
                    <w:bottom w:val="single" w:color="auto" w:sz="4" w:space="0"/>
                    <w:right w:val="nil"/>
                  </w:tcBorders>
                  <w:shd w:val="clear"/>
                  <w:vAlign w:val="center"/>
                </w:tcPr>
                <w:p w14:paraId="4A8EB2C3">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0.120</w:t>
                  </w:r>
                </w:p>
              </w:tc>
            </w:tr>
            <w:tr w14:paraId="7B6F43B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51" w:type="dxa"/>
                  <w:tcBorders>
                    <w:top w:val="single" w:color="auto" w:sz="4" w:space="0"/>
                    <w:left w:val="nil"/>
                    <w:bottom w:val="single" w:color="auto" w:sz="4" w:space="0"/>
                    <w:right w:val="single" w:color="auto" w:sz="4" w:space="0"/>
                  </w:tcBorders>
                  <w:shd w:val="clear"/>
                  <w:vAlign w:val="center"/>
                </w:tcPr>
                <w:p w14:paraId="7E69EA2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DA002</w:t>
                  </w:r>
                </w:p>
              </w:tc>
              <w:tc>
                <w:tcPr>
                  <w:tcW w:w="850" w:type="dxa"/>
                  <w:tcBorders>
                    <w:top w:val="single" w:color="auto" w:sz="4" w:space="0"/>
                    <w:left w:val="single" w:color="auto" w:sz="4" w:space="0"/>
                    <w:bottom w:val="single" w:color="auto" w:sz="4" w:space="0"/>
                    <w:right w:val="single" w:color="auto" w:sz="4" w:space="0"/>
                  </w:tcBorders>
                  <w:shd w:val="clear"/>
                  <w:vAlign w:val="center"/>
                </w:tcPr>
                <w:p w14:paraId="2364E42B">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雕刻、打磨</w:t>
                  </w:r>
                </w:p>
              </w:tc>
              <w:tc>
                <w:tcPr>
                  <w:tcW w:w="1276" w:type="dxa"/>
                  <w:tcBorders>
                    <w:top w:val="single" w:color="auto" w:sz="4" w:space="0"/>
                    <w:left w:val="single" w:color="auto" w:sz="4" w:space="0"/>
                    <w:bottom w:val="single" w:color="auto" w:sz="4" w:space="0"/>
                    <w:right w:val="single" w:color="auto" w:sz="4" w:space="0"/>
                  </w:tcBorders>
                  <w:shd w:val="clear"/>
                  <w:vAlign w:val="center"/>
                </w:tcPr>
                <w:p w14:paraId="0D437D7A">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颗粒物</w:t>
                  </w:r>
                </w:p>
              </w:tc>
              <w:tc>
                <w:tcPr>
                  <w:tcW w:w="992" w:type="dxa"/>
                  <w:tcBorders>
                    <w:top w:val="single" w:color="auto" w:sz="4" w:space="0"/>
                    <w:left w:val="single" w:color="auto" w:sz="4" w:space="0"/>
                    <w:bottom w:val="single" w:color="auto" w:sz="4" w:space="0"/>
                    <w:right w:val="single" w:color="auto" w:sz="4" w:space="0"/>
                  </w:tcBorders>
                  <w:shd w:val="clear"/>
                  <w:vAlign w:val="center"/>
                </w:tcPr>
                <w:p w14:paraId="6BF335B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kern w:val="28"/>
                      <w:szCs w:val="32"/>
                      <w:bdr w:val="none" w:color="auto" w:sz="0" w:space="0"/>
                      <w:lang w:val="en-US"/>
                    </w:rPr>
                  </w:pPr>
                  <w:r>
                    <w:rPr>
                      <w:rFonts w:hint="default" w:ascii="Times New Roman" w:hAnsi="Times New Roman" w:eastAsia="宋体" w:cs="Times New Roman"/>
                      <w:bCs/>
                      <w:color w:val="000000"/>
                      <w:kern w:val="28"/>
                      <w:sz w:val="21"/>
                      <w:szCs w:val="32"/>
                      <w:bdr w:val="none" w:color="auto" w:sz="0" w:space="0"/>
                      <w:lang w:val="en-US" w:eastAsia="zh-CN" w:bidi="ar"/>
                    </w:rPr>
                    <w:t>0.900</w:t>
                  </w:r>
                </w:p>
              </w:tc>
              <w:tc>
                <w:tcPr>
                  <w:tcW w:w="1843" w:type="dxa"/>
                  <w:gridSpan w:val="2"/>
                  <w:tcBorders>
                    <w:top w:val="single" w:color="auto" w:sz="4" w:space="0"/>
                    <w:left w:val="single" w:color="auto" w:sz="4" w:space="0"/>
                    <w:bottom w:val="single" w:color="auto" w:sz="4" w:space="0"/>
                    <w:right w:val="single" w:color="auto" w:sz="4" w:space="0"/>
                  </w:tcBorders>
                  <w:shd w:val="clear"/>
                  <w:vAlign w:val="center"/>
                </w:tcPr>
                <w:p w14:paraId="7D10ED2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kern w:val="28"/>
                      <w:szCs w:val="32"/>
                      <w:bdr w:val="none" w:color="auto" w:sz="0" w:space="0"/>
                      <w:lang w:val="en-US"/>
                    </w:rPr>
                  </w:pPr>
                  <w:r>
                    <w:rPr>
                      <w:rFonts w:hint="eastAsia" w:ascii="Times New Roman" w:hAnsi="Times New Roman" w:eastAsia="宋体" w:cs="宋体"/>
                      <w:bCs/>
                      <w:color w:val="000000"/>
                      <w:kern w:val="28"/>
                      <w:sz w:val="21"/>
                      <w:szCs w:val="32"/>
                      <w:bdr w:val="none" w:color="auto" w:sz="0" w:space="0"/>
                      <w:lang w:val="en-US" w:eastAsia="zh-CN" w:bidi="ar"/>
                    </w:rPr>
                    <w:t>“旋风</w:t>
                  </w:r>
                  <w:r>
                    <w:rPr>
                      <w:rFonts w:hint="default" w:ascii="Times New Roman" w:hAnsi="Times New Roman" w:eastAsia="宋体" w:cs="Times New Roman"/>
                      <w:bCs/>
                      <w:color w:val="000000"/>
                      <w:kern w:val="28"/>
                      <w:sz w:val="21"/>
                      <w:szCs w:val="32"/>
                      <w:bdr w:val="none" w:color="auto" w:sz="0" w:space="0"/>
                      <w:lang w:val="en-US" w:eastAsia="zh-CN" w:bidi="ar"/>
                    </w:rPr>
                    <w:t>+</w:t>
                  </w:r>
                  <w:r>
                    <w:rPr>
                      <w:rFonts w:hint="eastAsia" w:ascii="Times New Roman" w:hAnsi="Times New Roman" w:eastAsia="宋体" w:cs="宋体"/>
                      <w:bCs/>
                      <w:color w:val="000000"/>
                      <w:kern w:val="28"/>
                      <w:sz w:val="21"/>
                      <w:szCs w:val="32"/>
                      <w:bdr w:val="none" w:color="auto" w:sz="0" w:space="0"/>
                      <w:lang w:val="en-US" w:eastAsia="zh-CN" w:bidi="ar"/>
                    </w:rPr>
                    <w:t>布袋除尘”</w:t>
                  </w:r>
                  <w:r>
                    <w:rPr>
                      <w:rFonts w:hint="default" w:ascii="Times New Roman" w:hAnsi="Times New Roman" w:eastAsia="宋体" w:cs="Times New Roman"/>
                      <w:bCs/>
                      <w:color w:val="000000"/>
                      <w:kern w:val="28"/>
                      <w:sz w:val="21"/>
                      <w:szCs w:val="32"/>
                      <w:bdr w:val="none" w:color="auto" w:sz="0" w:space="0"/>
                      <w:lang w:val="en-US" w:eastAsia="zh-CN" w:bidi="ar"/>
                    </w:rPr>
                    <w:t>+</w:t>
                  </w:r>
                  <w:r>
                    <w:rPr>
                      <w:rFonts w:hint="default" w:ascii="Times New Roman" w:hAnsi="Times New Roman" w:eastAsia="宋体" w:cs="Times New Roman"/>
                      <w:color w:val="000000"/>
                      <w:kern w:val="0"/>
                      <w:sz w:val="21"/>
                      <w:szCs w:val="21"/>
                      <w:bdr w:val="none" w:color="auto" w:sz="0" w:space="0"/>
                      <w:lang w:val="en-US" w:eastAsia="zh-CN" w:bidi="ar"/>
                    </w:rPr>
                    <w:t>20m</w:t>
                  </w:r>
                  <w:r>
                    <w:rPr>
                      <w:rFonts w:hint="eastAsia" w:ascii="Times New Roman" w:hAnsi="Times New Roman" w:eastAsia="宋体" w:cs="宋体"/>
                      <w:color w:val="000000"/>
                      <w:kern w:val="0"/>
                      <w:sz w:val="21"/>
                      <w:szCs w:val="21"/>
                      <w:bdr w:val="none" w:color="auto" w:sz="0" w:space="0"/>
                      <w:lang w:val="en-US" w:eastAsia="zh-CN" w:bidi="ar"/>
                    </w:rPr>
                    <w:t>排气筒</w:t>
                  </w:r>
                </w:p>
              </w:tc>
              <w:tc>
                <w:tcPr>
                  <w:tcW w:w="992" w:type="dxa"/>
                  <w:tcBorders>
                    <w:top w:val="single" w:color="auto" w:sz="4" w:space="0"/>
                    <w:left w:val="single" w:color="auto" w:sz="4" w:space="0"/>
                    <w:bottom w:val="single" w:color="auto" w:sz="4" w:space="0"/>
                    <w:right w:val="single" w:color="auto" w:sz="4" w:space="0"/>
                  </w:tcBorders>
                  <w:shd w:val="clear"/>
                  <w:vAlign w:val="center"/>
                </w:tcPr>
                <w:p w14:paraId="66ED9B8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kern w:val="28"/>
                      <w:szCs w:val="32"/>
                      <w:bdr w:val="none" w:color="auto" w:sz="0" w:space="0"/>
                      <w:lang w:val="en-US"/>
                    </w:rPr>
                  </w:pPr>
                  <w:r>
                    <w:rPr>
                      <w:rFonts w:hint="default" w:ascii="Times New Roman" w:hAnsi="Times New Roman" w:eastAsia="宋体" w:cs="Times New Roman"/>
                      <w:bCs/>
                      <w:color w:val="000000"/>
                      <w:kern w:val="28"/>
                      <w:sz w:val="21"/>
                      <w:szCs w:val="32"/>
                      <w:bdr w:val="none" w:color="auto" w:sz="0" w:space="0"/>
                      <w:lang w:val="en-US" w:eastAsia="zh-CN" w:bidi="ar"/>
                    </w:rPr>
                    <w:t>0.045</w:t>
                  </w:r>
                </w:p>
              </w:tc>
              <w:tc>
                <w:tcPr>
                  <w:tcW w:w="1142" w:type="dxa"/>
                  <w:tcBorders>
                    <w:top w:val="single" w:color="auto" w:sz="4" w:space="0"/>
                    <w:left w:val="single" w:color="auto" w:sz="4" w:space="0"/>
                    <w:bottom w:val="single" w:color="auto" w:sz="4" w:space="0"/>
                    <w:right w:val="nil"/>
                  </w:tcBorders>
                  <w:shd w:val="clear"/>
                  <w:vAlign w:val="center"/>
                </w:tcPr>
                <w:p w14:paraId="07E2E7DB">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0.855</w:t>
                  </w:r>
                </w:p>
              </w:tc>
            </w:tr>
            <w:tr w14:paraId="10F30EA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946" w:type="dxa"/>
                  <w:gridSpan w:val="8"/>
                  <w:tcBorders>
                    <w:top w:val="single" w:color="auto" w:sz="4" w:space="0"/>
                    <w:left w:val="nil"/>
                    <w:bottom w:val="single" w:color="auto" w:sz="4" w:space="0"/>
                    <w:right w:val="nil"/>
                  </w:tcBorders>
                  <w:shd w:val="clear"/>
                  <w:vAlign w:val="center"/>
                </w:tcPr>
                <w:p w14:paraId="1762F370">
                  <w:pPr>
                    <w:keepNext w:val="0"/>
                    <w:keepLines w:val="0"/>
                    <w:widowControl w:val="0"/>
                    <w:suppressLineNumbers w:val="0"/>
                    <w:autoSpaceDE w:val="0"/>
                    <w:autoSpaceDN w:val="0"/>
                    <w:snapToGrid w:val="0"/>
                    <w:spacing w:before="0" w:beforeAutospacing="0" w:after="0" w:afterAutospacing="0" w:line="300" w:lineRule="exact"/>
                    <w:ind w:left="0" w:right="0"/>
                    <w:jc w:val="center"/>
                    <w:rPr>
                      <w:rFonts w:hint="default" w:ascii="Times New Roman" w:hAnsi="Calibri"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全厂有组织废气合计</w:t>
                  </w:r>
                </w:p>
              </w:tc>
            </w:tr>
            <w:tr w14:paraId="3D27192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977" w:type="dxa"/>
                  <w:gridSpan w:val="3"/>
                  <w:tcBorders>
                    <w:top w:val="single" w:color="auto" w:sz="4" w:space="0"/>
                    <w:left w:val="nil"/>
                    <w:bottom w:val="single" w:color="auto" w:sz="4" w:space="0"/>
                    <w:right w:val="single" w:color="auto" w:sz="4" w:space="0"/>
                  </w:tcBorders>
                  <w:shd w:val="clear"/>
                  <w:vAlign w:val="center"/>
                </w:tcPr>
                <w:p w14:paraId="49CEC6E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颗粒物</w:t>
                  </w:r>
                </w:p>
              </w:tc>
              <w:tc>
                <w:tcPr>
                  <w:tcW w:w="1135" w:type="dxa"/>
                  <w:gridSpan w:val="2"/>
                  <w:tcBorders>
                    <w:top w:val="single" w:color="auto" w:sz="4" w:space="0"/>
                    <w:left w:val="single" w:color="auto" w:sz="4" w:space="0"/>
                    <w:bottom w:val="single" w:color="auto" w:sz="4" w:space="0"/>
                    <w:right w:val="single" w:color="auto" w:sz="4" w:space="0"/>
                  </w:tcBorders>
                  <w:shd w:val="clear"/>
                  <w:vAlign w:val="center"/>
                </w:tcPr>
                <w:p w14:paraId="50C3BA2A">
                  <w:pPr>
                    <w:keepNext w:val="0"/>
                    <w:keepLines w:val="0"/>
                    <w:widowControl w:val="0"/>
                    <w:suppressLineNumbers w:val="0"/>
                    <w:autoSpaceDE w:val="0"/>
                    <w:autoSpaceDN w:val="0"/>
                    <w:snapToGrid w:val="0"/>
                    <w:spacing w:before="0" w:beforeAutospacing="0" w:after="0" w:afterAutospacing="0" w:line="300" w:lineRule="exact"/>
                    <w:ind w:left="0" w:right="0"/>
                    <w:jc w:val="center"/>
                    <w:rPr>
                      <w:rFonts w:hint="default" w:ascii="Times New Roman" w:hAnsi="Calibri" w:cs="Times New Roman"/>
                      <w:color w:val="000000"/>
                      <w:szCs w:val="21"/>
                      <w:bdr w:val="none" w:color="auto" w:sz="0" w:space="0"/>
                      <w:lang w:val="en-US"/>
                    </w:rPr>
                  </w:pPr>
                  <w:r>
                    <w:rPr>
                      <w:rFonts w:hint="default" w:ascii="Times New Roman" w:hAnsi="Calibri" w:eastAsia="宋体" w:cs="Times New Roman"/>
                      <w:color w:val="000000"/>
                      <w:kern w:val="2"/>
                      <w:sz w:val="21"/>
                      <w:szCs w:val="21"/>
                      <w:bdr w:val="none" w:color="auto" w:sz="0" w:space="0"/>
                      <w:lang w:val="en-US" w:eastAsia="zh-CN" w:bidi="ar"/>
                    </w:rPr>
                    <w:t>0.926</w:t>
                  </w:r>
                </w:p>
              </w:tc>
              <w:tc>
                <w:tcPr>
                  <w:tcW w:w="1702" w:type="dxa"/>
                  <w:tcBorders>
                    <w:top w:val="single" w:color="auto" w:sz="4" w:space="0"/>
                    <w:left w:val="single" w:color="auto" w:sz="4" w:space="0"/>
                    <w:bottom w:val="single" w:color="auto" w:sz="4" w:space="0"/>
                    <w:right w:val="single" w:color="auto" w:sz="4" w:space="0"/>
                  </w:tcBorders>
                  <w:shd w:val="clear"/>
                  <w:vAlign w:val="center"/>
                </w:tcPr>
                <w:p w14:paraId="1105B597">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w:t>
                  </w:r>
                </w:p>
              </w:tc>
              <w:tc>
                <w:tcPr>
                  <w:tcW w:w="992" w:type="dxa"/>
                  <w:tcBorders>
                    <w:top w:val="single" w:color="auto" w:sz="4" w:space="0"/>
                    <w:left w:val="single" w:color="auto" w:sz="4" w:space="0"/>
                    <w:bottom w:val="single" w:color="auto" w:sz="4" w:space="0"/>
                    <w:right w:val="single" w:color="auto" w:sz="4" w:space="0"/>
                  </w:tcBorders>
                  <w:shd w:val="clear"/>
                  <w:vAlign w:val="center"/>
                </w:tcPr>
                <w:p w14:paraId="6E812C43">
                  <w:pPr>
                    <w:keepNext w:val="0"/>
                    <w:keepLines w:val="0"/>
                    <w:widowControl w:val="0"/>
                    <w:suppressLineNumbers w:val="0"/>
                    <w:autoSpaceDE w:val="0"/>
                    <w:autoSpaceDN w:val="0"/>
                    <w:snapToGrid w:val="0"/>
                    <w:spacing w:before="0" w:beforeAutospacing="0" w:after="0" w:afterAutospacing="0" w:line="300" w:lineRule="exact"/>
                    <w:ind w:left="0" w:right="0"/>
                    <w:jc w:val="center"/>
                    <w:rPr>
                      <w:rFonts w:hint="default" w:ascii="Times New Roman" w:hAnsi="Calibri" w:cs="Times New Roman"/>
                      <w:color w:val="000000"/>
                      <w:szCs w:val="21"/>
                      <w:bdr w:val="none" w:color="auto" w:sz="0" w:space="0"/>
                      <w:lang w:val="en-US"/>
                    </w:rPr>
                  </w:pPr>
                  <w:r>
                    <w:rPr>
                      <w:rFonts w:hint="default" w:ascii="Times New Roman" w:hAnsi="Calibri" w:eastAsia="宋体" w:cs="Times New Roman"/>
                      <w:color w:val="000000"/>
                      <w:kern w:val="2"/>
                      <w:sz w:val="21"/>
                      <w:szCs w:val="21"/>
                      <w:bdr w:val="none" w:color="auto" w:sz="0" w:space="0"/>
                      <w:lang w:val="en-US" w:eastAsia="zh-CN" w:bidi="ar"/>
                    </w:rPr>
                    <w:t>0.048</w:t>
                  </w:r>
                </w:p>
              </w:tc>
              <w:tc>
                <w:tcPr>
                  <w:tcW w:w="1142" w:type="dxa"/>
                  <w:tcBorders>
                    <w:top w:val="single" w:color="auto" w:sz="4" w:space="0"/>
                    <w:left w:val="single" w:color="auto" w:sz="4" w:space="0"/>
                    <w:bottom w:val="single" w:color="auto" w:sz="4" w:space="0"/>
                    <w:right w:val="nil"/>
                  </w:tcBorders>
                  <w:shd w:val="clear"/>
                  <w:vAlign w:val="center"/>
                </w:tcPr>
                <w:p w14:paraId="1BD74CF8">
                  <w:pPr>
                    <w:keepNext w:val="0"/>
                    <w:keepLines w:val="0"/>
                    <w:widowControl w:val="0"/>
                    <w:suppressLineNumbers w:val="0"/>
                    <w:autoSpaceDE w:val="0"/>
                    <w:autoSpaceDN w:val="0"/>
                    <w:snapToGrid w:val="0"/>
                    <w:spacing w:before="0" w:beforeAutospacing="0" w:after="0" w:afterAutospacing="0" w:line="300" w:lineRule="exact"/>
                    <w:ind w:left="0" w:right="0"/>
                    <w:jc w:val="center"/>
                    <w:rPr>
                      <w:rFonts w:hint="default" w:ascii="Times New Roman" w:hAnsi="Calibri" w:cs="Times New Roman"/>
                      <w:color w:val="000000"/>
                      <w:szCs w:val="21"/>
                      <w:bdr w:val="none" w:color="auto" w:sz="0" w:space="0"/>
                      <w:lang w:val="en-US"/>
                    </w:rPr>
                  </w:pPr>
                  <w:r>
                    <w:rPr>
                      <w:rFonts w:hint="default" w:ascii="Times New Roman" w:hAnsi="Calibri" w:eastAsia="宋体" w:cs="Times New Roman"/>
                      <w:color w:val="000000"/>
                      <w:kern w:val="2"/>
                      <w:sz w:val="21"/>
                      <w:szCs w:val="21"/>
                      <w:bdr w:val="none" w:color="auto" w:sz="0" w:space="0"/>
                      <w:lang w:val="en-US" w:eastAsia="zh-CN" w:bidi="ar"/>
                    </w:rPr>
                    <w:t>0.878</w:t>
                  </w:r>
                </w:p>
              </w:tc>
            </w:tr>
            <w:tr w14:paraId="5F14867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977" w:type="dxa"/>
                  <w:gridSpan w:val="3"/>
                  <w:tcBorders>
                    <w:top w:val="single" w:color="auto" w:sz="4" w:space="0"/>
                    <w:left w:val="nil"/>
                    <w:bottom w:val="single" w:color="auto" w:sz="4" w:space="0"/>
                    <w:right w:val="single" w:color="auto" w:sz="4" w:space="0"/>
                  </w:tcBorders>
                  <w:shd w:val="clear"/>
                  <w:vAlign w:val="center"/>
                </w:tcPr>
                <w:p w14:paraId="1E11EDAD">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非甲烷总烃</w:t>
                  </w:r>
                </w:p>
              </w:tc>
              <w:tc>
                <w:tcPr>
                  <w:tcW w:w="1135" w:type="dxa"/>
                  <w:gridSpan w:val="2"/>
                  <w:tcBorders>
                    <w:top w:val="single" w:color="auto" w:sz="4" w:space="0"/>
                    <w:left w:val="single" w:color="auto" w:sz="4" w:space="0"/>
                    <w:bottom w:val="single" w:color="auto" w:sz="4" w:space="0"/>
                    <w:right w:val="single" w:color="auto" w:sz="4" w:space="0"/>
                  </w:tcBorders>
                  <w:shd w:val="clear"/>
                  <w:vAlign w:val="center"/>
                </w:tcPr>
                <w:p w14:paraId="40091BA7">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0.536</w:t>
                  </w:r>
                </w:p>
              </w:tc>
              <w:tc>
                <w:tcPr>
                  <w:tcW w:w="1702" w:type="dxa"/>
                  <w:tcBorders>
                    <w:top w:val="single" w:color="auto" w:sz="4" w:space="0"/>
                    <w:left w:val="single" w:color="auto" w:sz="4" w:space="0"/>
                    <w:bottom w:val="single" w:color="auto" w:sz="4" w:space="0"/>
                    <w:right w:val="single" w:color="auto" w:sz="4" w:space="0"/>
                  </w:tcBorders>
                  <w:shd w:val="clear"/>
                  <w:vAlign w:val="center"/>
                </w:tcPr>
                <w:p w14:paraId="04FC98D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w:t>
                  </w:r>
                </w:p>
              </w:tc>
              <w:tc>
                <w:tcPr>
                  <w:tcW w:w="992" w:type="dxa"/>
                  <w:tcBorders>
                    <w:top w:val="single" w:color="auto" w:sz="4" w:space="0"/>
                    <w:left w:val="single" w:color="auto" w:sz="4" w:space="0"/>
                    <w:bottom w:val="single" w:color="auto" w:sz="4" w:space="0"/>
                    <w:right w:val="single" w:color="auto" w:sz="4" w:space="0"/>
                  </w:tcBorders>
                  <w:shd w:val="clear"/>
                  <w:vAlign w:val="center"/>
                </w:tcPr>
                <w:p w14:paraId="4CB90C45">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0.107</w:t>
                  </w:r>
                </w:p>
              </w:tc>
              <w:tc>
                <w:tcPr>
                  <w:tcW w:w="1142" w:type="dxa"/>
                  <w:tcBorders>
                    <w:top w:val="single" w:color="auto" w:sz="4" w:space="0"/>
                    <w:left w:val="single" w:color="auto" w:sz="4" w:space="0"/>
                    <w:bottom w:val="single" w:color="auto" w:sz="4" w:space="0"/>
                    <w:right w:val="nil"/>
                  </w:tcBorders>
                  <w:shd w:val="clear"/>
                  <w:vAlign w:val="center"/>
                </w:tcPr>
                <w:p w14:paraId="5BA4E473">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0.429</w:t>
                  </w:r>
                </w:p>
              </w:tc>
            </w:tr>
            <w:tr w14:paraId="4E6D74B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2977" w:type="dxa"/>
                  <w:gridSpan w:val="3"/>
                  <w:tcBorders>
                    <w:top w:val="single" w:color="auto" w:sz="4" w:space="0"/>
                    <w:left w:val="nil"/>
                    <w:bottom w:val="single" w:color="auto" w:sz="4" w:space="0"/>
                    <w:right w:val="single" w:color="auto" w:sz="4" w:space="0"/>
                  </w:tcBorders>
                  <w:shd w:val="clear"/>
                  <w:vAlign w:val="center"/>
                </w:tcPr>
                <w:p w14:paraId="5F824415">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MDI</w:t>
                  </w:r>
                </w:p>
              </w:tc>
              <w:tc>
                <w:tcPr>
                  <w:tcW w:w="1135" w:type="dxa"/>
                  <w:gridSpan w:val="2"/>
                  <w:tcBorders>
                    <w:top w:val="single" w:color="auto" w:sz="4" w:space="0"/>
                    <w:left w:val="single" w:color="auto" w:sz="4" w:space="0"/>
                    <w:bottom w:val="single" w:color="auto" w:sz="4" w:space="0"/>
                    <w:right w:val="single" w:color="auto" w:sz="4" w:space="0"/>
                  </w:tcBorders>
                  <w:shd w:val="clear"/>
                  <w:vAlign w:val="center"/>
                </w:tcPr>
                <w:p w14:paraId="20BD8B07">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0.150</w:t>
                  </w:r>
                </w:p>
              </w:tc>
              <w:tc>
                <w:tcPr>
                  <w:tcW w:w="1702" w:type="dxa"/>
                  <w:tcBorders>
                    <w:top w:val="single" w:color="auto" w:sz="4" w:space="0"/>
                    <w:left w:val="single" w:color="auto" w:sz="4" w:space="0"/>
                    <w:bottom w:val="single" w:color="auto" w:sz="4" w:space="0"/>
                    <w:right w:val="single" w:color="auto" w:sz="4" w:space="0"/>
                  </w:tcBorders>
                  <w:shd w:val="clear"/>
                  <w:vAlign w:val="center"/>
                </w:tcPr>
                <w:p w14:paraId="44996C6D">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w:t>
                  </w:r>
                </w:p>
              </w:tc>
              <w:tc>
                <w:tcPr>
                  <w:tcW w:w="992" w:type="dxa"/>
                  <w:tcBorders>
                    <w:top w:val="single" w:color="auto" w:sz="4" w:space="0"/>
                    <w:left w:val="single" w:color="auto" w:sz="4" w:space="0"/>
                    <w:bottom w:val="single" w:color="auto" w:sz="4" w:space="0"/>
                    <w:right w:val="single" w:color="auto" w:sz="4" w:space="0"/>
                  </w:tcBorders>
                  <w:shd w:val="clear"/>
                  <w:vAlign w:val="center"/>
                </w:tcPr>
                <w:p w14:paraId="2DE8E1BE">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0.030</w:t>
                  </w:r>
                </w:p>
              </w:tc>
              <w:tc>
                <w:tcPr>
                  <w:tcW w:w="1142" w:type="dxa"/>
                  <w:tcBorders>
                    <w:top w:val="single" w:color="auto" w:sz="4" w:space="0"/>
                    <w:left w:val="single" w:color="auto" w:sz="4" w:space="0"/>
                    <w:bottom w:val="single" w:color="auto" w:sz="4" w:space="0"/>
                    <w:right w:val="nil"/>
                  </w:tcBorders>
                  <w:shd w:val="clear"/>
                  <w:vAlign w:val="center"/>
                </w:tcPr>
                <w:p w14:paraId="16D25847">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0.120</w:t>
                  </w:r>
                </w:p>
              </w:tc>
            </w:tr>
            <w:tr w14:paraId="7D8FF23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946" w:type="dxa"/>
                  <w:gridSpan w:val="8"/>
                  <w:tcBorders>
                    <w:top w:val="single" w:color="auto" w:sz="4" w:space="0"/>
                    <w:left w:val="nil"/>
                    <w:bottom w:val="single" w:color="auto" w:sz="4" w:space="0"/>
                    <w:right w:val="nil"/>
                  </w:tcBorders>
                  <w:shd w:val="clear"/>
                  <w:vAlign w:val="center"/>
                </w:tcPr>
                <w:p w14:paraId="5145EBC9">
                  <w:pPr>
                    <w:keepNext w:val="0"/>
                    <w:keepLines w:val="0"/>
                    <w:widowControl w:val="0"/>
                    <w:suppressLineNumbers w:val="0"/>
                    <w:autoSpaceDE w:val="0"/>
                    <w:autoSpaceDN w:val="0"/>
                    <w:snapToGrid w:val="0"/>
                    <w:spacing w:before="0" w:beforeAutospacing="0" w:after="0" w:afterAutospacing="0" w:line="300" w:lineRule="exact"/>
                    <w:ind w:left="0" w:right="0"/>
                    <w:jc w:val="center"/>
                    <w:rPr>
                      <w:rFonts w:hint="default" w:ascii="Times New Roman" w:hAnsi="Calibri"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无组织排放合计情况</w:t>
                  </w:r>
                </w:p>
              </w:tc>
            </w:tr>
            <w:tr w14:paraId="1DC9620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2977" w:type="dxa"/>
                  <w:gridSpan w:val="3"/>
                  <w:tcBorders>
                    <w:top w:val="single" w:color="auto" w:sz="4" w:space="0"/>
                    <w:left w:val="nil"/>
                    <w:bottom w:val="single" w:color="auto" w:sz="4" w:space="0"/>
                    <w:right w:val="single" w:color="auto" w:sz="4" w:space="0"/>
                  </w:tcBorders>
                  <w:shd w:val="clear"/>
                  <w:vAlign w:val="center"/>
                </w:tcPr>
                <w:p w14:paraId="4DC2E97C">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颗粒物</w:t>
                  </w:r>
                </w:p>
              </w:tc>
              <w:tc>
                <w:tcPr>
                  <w:tcW w:w="1135" w:type="dxa"/>
                  <w:gridSpan w:val="2"/>
                  <w:tcBorders>
                    <w:top w:val="single" w:color="auto" w:sz="4" w:space="0"/>
                    <w:left w:val="single" w:color="auto" w:sz="4" w:space="0"/>
                    <w:bottom w:val="single" w:color="auto" w:sz="4" w:space="0"/>
                    <w:right w:val="single" w:color="auto" w:sz="4" w:space="0"/>
                  </w:tcBorders>
                  <w:shd w:val="clear"/>
                  <w:vAlign w:val="center"/>
                </w:tcPr>
                <w:p w14:paraId="4EDD9224">
                  <w:pPr>
                    <w:keepNext w:val="0"/>
                    <w:keepLines w:val="0"/>
                    <w:widowControl w:val="0"/>
                    <w:suppressLineNumbers w:val="0"/>
                    <w:autoSpaceDE w:val="0"/>
                    <w:autoSpaceDN w:val="0"/>
                    <w:snapToGrid w:val="0"/>
                    <w:spacing w:before="0" w:beforeAutospacing="0" w:after="0" w:afterAutospacing="0" w:line="300" w:lineRule="exact"/>
                    <w:ind w:left="0" w:right="0"/>
                    <w:jc w:val="center"/>
                    <w:rPr>
                      <w:rFonts w:hint="default" w:ascii="Times New Roman" w:hAnsi="Calibri" w:cs="Times New Roman"/>
                      <w:color w:val="000000"/>
                      <w:szCs w:val="21"/>
                      <w:bdr w:val="none" w:color="auto" w:sz="0" w:space="0"/>
                      <w:lang w:val="en-US"/>
                    </w:rPr>
                  </w:pPr>
                  <w:r>
                    <w:rPr>
                      <w:rFonts w:hint="default" w:ascii="Times New Roman" w:hAnsi="Calibri" w:eastAsia="宋体" w:cs="Times New Roman"/>
                      <w:color w:val="000000"/>
                      <w:kern w:val="2"/>
                      <w:sz w:val="21"/>
                      <w:szCs w:val="21"/>
                      <w:bdr w:val="none" w:color="auto" w:sz="0" w:space="0"/>
                      <w:lang w:val="en-US" w:eastAsia="zh-CN" w:bidi="ar"/>
                    </w:rPr>
                    <w:t>0.105</w:t>
                  </w:r>
                </w:p>
              </w:tc>
              <w:tc>
                <w:tcPr>
                  <w:tcW w:w="1702" w:type="dxa"/>
                  <w:vMerge w:val="restart"/>
                  <w:tcBorders>
                    <w:top w:val="single" w:color="auto" w:sz="4" w:space="0"/>
                    <w:left w:val="single" w:color="auto" w:sz="4" w:space="0"/>
                    <w:bottom w:val="single" w:color="auto" w:sz="12" w:space="0"/>
                    <w:right w:val="single" w:color="auto" w:sz="4" w:space="0"/>
                  </w:tcBorders>
                  <w:shd w:val="clear"/>
                  <w:vAlign w:val="center"/>
                </w:tcPr>
                <w:p w14:paraId="3CDB1AB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加强通风</w:t>
                  </w:r>
                </w:p>
              </w:tc>
              <w:tc>
                <w:tcPr>
                  <w:tcW w:w="992" w:type="dxa"/>
                  <w:tcBorders>
                    <w:top w:val="single" w:color="auto" w:sz="4" w:space="0"/>
                    <w:left w:val="single" w:color="auto" w:sz="4" w:space="0"/>
                    <w:bottom w:val="single" w:color="auto" w:sz="4" w:space="0"/>
                    <w:right w:val="single" w:color="auto" w:sz="4" w:space="0"/>
                  </w:tcBorders>
                  <w:shd w:val="clear"/>
                  <w:vAlign w:val="center"/>
                </w:tcPr>
                <w:p w14:paraId="325C7AA1">
                  <w:pPr>
                    <w:keepNext w:val="0"/>
                    <w:keepLines w:val="0"/>
                    <w:widowControl w:val="0"/>
                    <w:suppressLineNumbers w:val="0"/>
                    <w:autoSpaceDE w:val="0"/>
                    <w:autoSpaceDN w:val="0"/>
                    <w:snapToGrid w:val="0"/>
                    <w:spacing w:before="0" w:beforeAutospacing="0" w:after="0" w:afterAutospacing="0" w:line="300" w:lineRule="exact"/>
                    <w:ind w:left="0" w:right="0"/>
                    <w:jc w:val="center"/>
                    <w:rPr>
                      <w:rFonts w:hint="default" w:ascii="Times New Roman" w:hAnsi="Calibri" w:cs="Times New Roman"/>
                      <w:color w:val="000000"/>
                      <w:szCs w:val="21"/>
                      <w:bdr w:val="none" w:color="auto" w:sz="0" w:space="0"/>
                      <w:lang w:val="en-US"/>
                    </w:rPr>
                  </w:pPr>
                  <w:r>
                    <w:rPr>
                      <w:rFonts w:hint="default" w:ascii="Times New Roman" w:hAnsi="Calibri" w:eastAsia="宋体" w:cs="Times New Roman"/>
                      <w:color w:val="000000"/>
                      <w:kern w:val="2"/>
                      <w:sz w:val="21"/>
                      <w:szCs w:val="21"/>
                      <w:bdr w:val="none" w:color="auto" w:sz="0" w:space="0"/>
                      <w:lang w:val="en-US" w:eastAsia="zh-CN" w:bidi="ar"/>
                    </w:rPr>
                    <w:t>0.105</w:t>
                  </w:r>
                </w:p>
              </w:tc>
              <w:tc>
                <w:tcPr>
                  <w:tcW w:w="1142" w:type="dxa"/>
                  <w:tcBorders>
                    <w:top w:val="single" w:color="auto" w:sz="4" w:space="0"/>
                    <w:left w:val="single" w:color="auto" w:sz="4" w:space="0"/>
                    <w:bottom w:val="single" w:color="auto" w:sz="4" w:space="0"/>
                    <w:right w:val="nil"/>
                  </w:tcBorders>
                  <w:shd w:val="clear"/>
                  <w:vAlign w:val="center"/>
                </w:tcPr>
                <w:p w14:paraId="5ADB9486">
                  <w:pPr>
                    <w:keepNext w:val="0"/>
                    <w:keepLines w:val="0"/>
                    <w:widowControl w:val="0"/>
                    <w:suppressLineNumbers w:val="0"/>
                    <w:autoSpaceDE w:val="0"/>
                    <w:autoSpaceDN w:val="0"/>
                    <w:snapToGrid w:val="0"/>
                    <w:spacing w:before="0" w:beforeAutospacing="0" w:after="0" w:afterAutospacing="0" w:line="300" w:lineRule="exact"/>
                    <w:ind w:left="0" w:right="0"/>
                    <w:jc w:val="center"/>
                    <w:rPr>
                      <w:rFonts w:hint="default" w:ascii="Times New Roman" w:hAnsi="Calibri" w:cs="Times New Roman"/>
                      <w:color w:val="000000"/>
                      <w:szCs w:val="21"/>
                      <w:bdr w:val="none" w:color="auto" w:sz="0" w:space="0"/>
                      <w:lang w:val="en-US"/>
                    </w:rPr>
                  </w:pPr>
                  <w:r>
                    <w:rPr>
                      <w:rFonts w:hint="default" w:ascii="Times New Roman" w:hAnsi="Calibri" w:eastAsia="宋体" w:cs="Times New Roman"/>
                      <w:color w:val="000000"/>
                      <w:kern w:val="2"/>
                      <w:sz w:val="21"/>
                      <w:szCs w:val="21"/>
                      <w:bdr w:val="none" w:color="auto" w:sz="0" w:space="0"/>
                      <w:lang w:val="en-US" w:eastAsia="zh-CN" w:bidi="ar"/>
                    </w:rPr>
                    <w:t>0</w:t>
                  </w:r>
                </w:p>
              </w:tc>
            </w:tr>
            <w:tr w14:paraId="117D74B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2977" w:type="dxa"/>
                  <w:gridSpan w:val="3"/>
                  <w:tcBorders>
                    <w:top w:val="single" w:color="auto" w:sz="4" w:space="0"/>
                    <w:left w:val="nil"/>
                    <w:bottom w:val="single" w:color="auto" w:sz="4" w:space="0"/>
                    <w:right w:val="single" w:color="auto" w:sz="4" w:space="0"/>
                  </w:tcBorders>
                  <w:shd w:val="clear"/>
                  <w:vAlign w:val="center"/>
                </w:tcPr>
                <w:p w14:paraId="1FBCD45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非甲烷总烃</w:t>
                  </w:r>
                </w:p>
              </w:tc>
              <w:tc>
                <w:tcPr>
                  <w:tcW w:w="1135" w:type="dxa"/>
                  <w:gridSpan w:val="2"/>
                  <w:tcBorders>
                    <w:top w:val="single" w:color="auto" w:sz="4" w:space="0"/>
                    <w:left w:val="single" w:color="auto" w:sz="4" w:space="0"/>
                    <w:bottom w:val="single" w:color="auto" w:sz="4" w:space="0"/>
                    <w:right w:val="single" w:color="auto" w:sz="4" w:space="0"/>
                  </w:tcBorders>
                  <w:shd w:val="clear"/>
                  <w:vAlign w:val="center"/>
                </w:tcPr>
                <w:p w14:paraId="41867092">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0.095</w:t>
                  </w:r>
                </w:p>
              </w:tc>
              <w:tc>
                <w:tcPr>
                  <w:tcW w:w="1702" w:type="dxa"/>
                  <w:vMerge w:val="continue"/>
                  <w:tcBorders>
                    <w:top w:val="single" w:color="auto" w:sz="4" w:space="0"/>
                    <w:left w:val="single" w:color="auto" w:sz="4" w:space="0"/>
                    <w:bottom w:val="single" w:color="auto" w:sz="12" w:space="0"/>
                    <w:right w:val="single" w:color="auto" w:sz="4" w:space="0"/>
                  </w:tcBorders>
                  <w:shd w:val="clear"/>
                  <w:vAlign w:val="center"/>
                </w:tcPr>
                <w:p w14:paraId="1DF6321A">
                  <w:pPr>
                    <w:rPr>
                      <w:rFonts w:hint="default" w:ascii="Calibri" w:hAnsi="Calibri" w:cs="Calibri"/>
                      <w:sz w:val="20"/>
                      <w:szCs w:val="20"/>
                    </w:rPr>
                  </w:pPr>
                </w:p>
              </w:tc>
              <w:tc>
                <w:tcPr>
                  <w:tcW w:w="992" w:type="dxa"/>
                  <w:tcBorders>
                    <w:top w:val="single" w:color="auto" w:sz="4" w:space="0"/>
                    <w:left w:val="single" w:color="auto" w:sz="4" w:space="0"/>
                    <w:bottom w:val="single" w:color="auto" w:sz="4" w:space="0"/>
                    <w:right w:val="single" w:color="auto" w:sz="4" w:space="0"/>
                  </w:tcBorders>
                  <w:shd w:val="clear"/>
                  <w:vAlign w:val="center"/>
                </w:tcPr>
                <w:p w14:paraId="06B1571B">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0.095</w:t>
                  </w:r>
                </w:p>
              </w:tc>
              <w:tc>
                <w:tcPr>
                  <w:tcW w:w="1142" w:type="dxa"/>
                  <w:tcBorders>
                    <w:top w:val="single" w:color="auto" w:sz="4" w:space="0"/>
                    <w:left w:val="single" w:color="auto" w:sz="4" w:space="0"/>
                    <w:bottom w:val="single" w:color="auto" w:sz="4" w:space="0"/>
                    <w:right w:val="nil"/>
                  </w:tcBorders>
                  <w:shd w:val="clear"/>
                  <w:vAlign w:val="center"/>
                </w:tcPr>
                <w:p w14:paraId="4F5368B8">
                  <w:pPr>
                    <w:keepNext w:val="0"/>
                    <w:keepLines w:val="0"/>
                    <w:widowControl w:val="0"/>
                    <w:suppressLineNumbers w:val="0"/>
                    <w:autoSpaceDE w:val="0"/>
                    <w:autoSpaceDN w:val="0"/>
                    <w:snapToGrid w:val="0"/>
                    <w:spacing w:before="0" w:beforeAutospacing="0" w:after="0" w:afterAutospacing="0" w:line="300" w:lineRule="exact"/>
                    <w:ind w:left="0" w:right="0"/>
                    <w:jc w:val="center"/>
                    <w:rPr>
                      <w:rFonts w:hint="default" w:ascii="Times New Roman" w:hAnsi="Calibri" w:cs="Times New Roman"/>
                      <w:color w:val="000000"/>
                      <w:szCs w:val="21"/>
                      <w:bdr w:val="none" w:color="auto" w:sz="0" w:space="0"/>
                      <w:lang w:val="en-US"/>
                    </w:rPr>
                  </w:pPr>
                  <w:r>
                    <w:rPr>
                      <w:rFonts w:hint="default" w:ascii="Times New Roman" w:hAnsi="Calibri" w:eastAsia="宋体" w:cs="Times New Roman"/>
                      <w:color w:val="000000"/>
                      <w:kern w:val="2"/>
                      <w:sz w:val="21"/>
                      <w:szCs w:val="21"/>
                      <w:bdr w:val="none" w:color="auto" w:sz="0" w:space="0"/>
                      <w:lang w:val="en-US" w:eastAsia="zh-CN" w:bidi="ar"/>
                    </w:rPr>
                    <w:t>0</w:t>
                  </w:r>
                </w:p>
              </w:tc>
            </w:tr>
            <w:tr w14:paraId="7A1AB79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977" w:type="dxa"/>
                  <w:gridSpan w:val="3"/>
                  <w:tcBorders>
                    <w:top w:val="single" w:color="auto" w:sz="4" w:space="0"/>
                    <w:left w:val="nil"/>
                    <w:bottom w:val="single" w:color="auto" w:sz="12" w:space="0"/>
                    <w:right w:val="single" w:color="auto" w:sz="4" w:space="0"/>
                  </w:tcBorders>
                  <w:shd w:val="clear"/>
                  <w:vAlign w:val="center"/>
                </w:tcPr>
                <w:p w14:paraId="66067358">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MDI</w:t>
                  </w:r>
                </w:p>
              </w:tc>
              <w:tc>
                <w:tcPr>
                  <w:tcW w:w="1135" w:type="dxa"/>
                  <w:gridSpan w:val="2"/>
                  <w:tcBorders>
                    <w:top w:val="single" w:color="auto" w:sz="4" w:space="0"/>
                    <w:left w:val="single" w:color="auto" w:sz="4" w:space="0"/>
                    <w:bottom w:val="single" w:color="auto" w:sz="12" w:space="0"/>
                    <w:right w:val="single" w:color="auto" w:sz="4" w:space="0"/>
                  </w:tcBorders>
                  <w:shd w:val="clear"/>
                  <w:vAlign w:val="center"/>
                </w:tcPr>
                <w:p w14:paraId="55310863">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0.026</w:t>
                  </w:r>
                </w:p>
              </w:tc>
              <w:tc>
                <w:tcPr>
                  <w:tcW w:w="1702" w:type="dxa"/>
                  <w:vMerge w:val="continue"/>
                  <w:tcBorders>
                    <w:top w:val="single" w:color="auto" w:sz="4" w:space="0"/>
                    <w:left w:val="single" w:color="auto" w:sz="4" w:space="0"/>
                    <w:bottom w:val="single" w:color="auto" w:sz="12" w:space="0"/>
                    <w:right w:val="single" w:color="auto" w:sz="4" w:space="0"/>
                  </w:tcBorders>
                  <w:shd w:val="clear"/>
                  <w:vAlign w:val="center"/>
                </w:tcPr>
                <w:p w14:paraId="11DD708F">
                  <w:pPr>
                    <w:rPr>
                      <w:rFonts w:hint="default" w:ascii="Calibri" w:hAnsi="Calibri" w:cs="Calibri"/>
                      <w:sz w:val="20"/>
                      <w:szCs w:val="20"/>
                    </w:rPr>
                  </w:pPr>
                </w:p>
              </w:tc>
              <w:tc>
                <w:tcPr>
                  <w:tcW w:w="992" w:type="dxa"/>
                  <w:tcBorders>
                    <w:top w:val="single" w:color="auto" w:sz="4" w:space="0"/>
                    <w:left w:val="single" w:color="auto" w:sz="4" w:space="0"/>
                    <w:bottom w:val="single" w:color="auto" w:sz="12" w:space="0"/>
                    <w:right w:val="single" w:color="auto" w:sz="4" w:space="0"/>
                  </w:tcBorders>
                  <w:shd w:val="clear"/>
                  <w:vAlign w:val="center"/>
                </w:tcPr>
                <w:p w14:paraId="6D035811">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0.026</w:t>
                  </w:r>
                </w:p>
              </w:tc>
              <w:tc>
                <w:tcPr>
                  <w:tcW w:w="1142" w:type="dxa"/>
                  <w:tcBorders>
                    <w:top w:val="single" w:color="auto" w:sz="4" w:space="0"/>
                    <w:left w:val="single" w:color="auto" w:sz="4" w:space="0"/>
                    <w:bottom w:val="single" w:color="auto" w:sz="12" w:space="0"/>
                    <w:right w:val="nil"/>
                  </w:tcBorders>
                  <w:shd w:val="clear"/>
                  <w:vAlign w:val="center"/>
                </w:tcPr>
                <w:p w14:paraId="462EBB71">
                  <w:pPr>
                    <w:keepNext w:val="0"/>
                    <w:keepLines w:val="0"/>
                    <w:widowControl w:val="0"/>
                    <w:suppressLineNumbers w:val="0"/>
                    <w:autoSpaceDE w:val="0"/>
                    <w:autoSpaceDN w:val="0"/>
                    <w:snapToGrid w:val="0"/>
                    <w:spacing w:before="0" w:beforeAutospacing="0" w:after="0" w:afterAutospacing="0" w:line="300" w:lineRule="exact"/>
                    <w:ind w:left="0" w:right="0"/>
                    <w:jc w:val="center"/>
                    <w:rPr>
                      <w:rFonts w:hint="default" w:ascii="Times New Roman" w:hAnsi="Calibri" w:cs="Times New Roman"/>
                      <w:color w:val="000000"/>
                      <w:szCs w:val="21"/>
                      <w:bdr w:val="none" w:color="auto" w:sz="0" w:space="0"/>
                      <w:lang w:val="en-US"/>
                    </w:rPr>
                  </w:pPr>
                  <w:r>
                    <w:rPr>
                      <w:rFonts w:hint="default" w:ascii="Times New Roman" w:hAnsi="Calibri" w:eastAsia="宋体" w:cs="Times New Roman"/>
                      <w:color w:val="000000"/>
                      <w:kern w:val="2"/>
                      <w:sz w:val="21"/>
                      <w:szCs w:val="21"/>
                      <w:bdr w:val="none" w:color="auto" w:sz="0" w:space="0"/>
                      <w:lang w:val="en-US" w:eastAsia="zh-CN" w:bidi="ar"/>
                    </w:rPr>
                    <w:t>0</w:t>
                  </w:r>
                </w:p>
              </w:tc>
            </w:tr>
          </w:tbl>
          <w:p w14:paraId="54A4F122">
            <w:pPr>
              <w:keepNext w:val="0"/>
              <w:keepLines w:val="0"/>
              <w:widowControl w:val="0"/>
              <w:suppressLineNumbers w:val="0"/>
              <w:adjustRightInd w:val="0"/>
              <w:snapToGrid w:val="0"/>
              <w:spacing w:before="0" w:beforeAutospacing="0" w:after="0" w:afterAutospacing="0" w:line="440" w:lineRule="exact"/>
              <w:ind w:left="0" w:right="0"/>
              <w:jc w:val="left"/>
              <w:outlineLvl w:val="2"/>
              <w:rPr>
                <w:rFonts w:hint="default" w:ascii="Times New Roman" w:hAnsi="宋体" w:cs="Times New Roman"/>
                <w:b/>
                <w:bCs/>
                <w:color w:val="000000"/>
                <w:spacing w:val="-10"/>
                <w:sz w:val="24"/>
                <w:szCs w:val="24"/>
                <w:bdr w:val="none" w:color="auto" w:sz="0" w:space="0"/>
                <w:lang w:val="en-US"/>
              </w:rPr>
            </w:pPr>
            <w:r>
              <w:rPr>
                <w:rFonts w:hint="default" w:ascii="Times New Roman" w:hAnsi="宋体" w:eastAsia="宋体" w:cs="Times New Roman"/>
                <w:b/>
                <w:bCs/>
                <w:color w:val="000000"/>
                <w:spacing w:val="-10"/>
                <w:kern w:val="2"/>
                <w:sz w:val="24"/>
                <w:szCs w:val="24"/>
                <w:bdr w:val="none" w:color="auto" w:sz="0" w:space="0"/>
                <w:lang w:val="en-US" w:eastAsia="zh-CN" w:bidi="ar"/>
              </w:rPr>
              <w:t xml:space="preserve">4.2.3 </w:t>
            </w:r>
            <w:r>
              <w:rPr>
                <w:rFonts w:hint="eastAsia" w:ascii="Times New Roman" w:hAnsi="宋体" w:eastAsia="宋体" w:cs="宋体"/>
                <w:b/>
                <w:bCs/>
                <w:color w:val="000000"/>
                <w:spacing w:val="-10"/>
                <w:kern w:val="2"/>
                <w:sz w:val="24"/>
                <w:szCs w:val="24"/>
                <w:bdr w:val="none" w:color="auto" w:sz="0" w:space="0"/>
                <w:lang w:val="en-US" w:eastAsia="zh-CN" w:bidi="ar"/>
              </w:rPr>
              <w:t>废气达标分析及</w:t>
            </w:r>
            <w:r>
              <w:rPr>
                <w:rFonts w:hint="eastAsia" w:ascii="Calibri" w:hAnsi="Calibri" w:eastAsia="宋体" w:cs="宋体"/>
                <w:b/>
                <w:bCs/>
                <w:color w:val="000000"/>
                <w:kern w:val="2"/>
                <w:sz w:val="24"/>
                <w:szCs w:val="32"/>
                <w:bdr w:val="none" w:color="auto" w:sz="0" w:space="0"/>
                <w:lang w:val="en-US" w:eastAsia="zh-CN" w:bidi="ar"/>
              </w:rPr>
              <w:t>污染防治技术可行性</w:t>
            </w:r>
          </w:p>
          <w:p w14:paraId="6D5D4B40">
            <w:pPr>
              <w:keepNext w:val="0"/>
              <w:keepLines w:val="0"/>
              <w:widowControl w:val="0"/>
              <w:suppressLineNumbers w:val="0"/>
              <w:adjustRightInd w:val="0"/>
              <w:snapToGrid w:val="0"/>
              <w:spacing w:before="0" w:beforeAutospacing="0" w:after="0" w:afterAutospacing="0" w:line="460" w:lineRule="exact"/>
              <w:ind w:left="0" w:right="0" w:firstLine="480"/>
              <w:jc w:val="left"/>
              <w:rPr>
                <w:rFonts w:hint="eastAsia" w:ascii="宋体" w:hAnsi="宋体" w:eastAsia="宋体" w:cs="宋体"/>
                <w:color w:val="000000"/>
                <w:kern w:val="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1</w:t>
            </w:r>
            <w:r>
              <w:rPr>
                <w:rFonts w:hint="eastAsia" w:ascii="Times New Roman" w:hAnsi="Times New Roman" w:eastAsia="宋体" w:cs="宋体"/>
                <w:color w:val="000000"/>
                <w:kern w:val="2"/>
                <w:sz w:val="24"/>
                <w:szCs w:val="24"/>
                <w:bdr w:val="none" w:color="auto" w:sz="0" w:space="0"/>
                <w:lang w:val="en-US" w:eastAsia="zh-CN" w:bidi="ar"/>
              </w:rPr>
              <w:t>）</w:t>
            </w:r>
            <w:r>
              <w:rPr>
                <w:rFonts w:hint="eastAsia" w:ascii="Calibri" w:hAnsi="Calibri" w:eastAsia="宋体" w:cs="宋体"/>
                <w:color w:val="000000"/>
                <w:kern w:val="2"/>
                <w:sz w:val="24"/>
                <w:szCs w:val="24"/>
                <w:bdr w:val="none" w:color="auto" w:sz="0" w:space="0"/>
                <w:lang w:val="en-US" w:eastAsia="zh-CN" w:bidi="ar"/>
              </w:rPr>
              <w:t>废气达标分析</w:t>
            </w:r>
          </w:p>
          <w:p w14:paraId="332DE379">
            <w:pPr>
              <w:keepNext w:val="0"/>
              <w:keepLines w:val="0"/>
              <w:widowControl w:val="0"/>
              <w:suppressLineNumbers w:val="0"/>
              <w:adjustRightInd w:val="0"/>
              <w:snapToGrid w:val="0"/>
              <w:spacing w:before="0" w:beforeAutospacing="0" w:after="0" w:afterAutospacing="0" w:line="460" w:lineRule="exact"/>
              <w:ind w:left="0" w:right="0" w:firstLine="480"/>
              <w:jc w:val="left"/>
              <w:rPr>
                <w:rFonts w:hint="eastAsia" w:ascii="宋体" w:hAnsi="宋体" w:eastAsia="宋体" w:cs="宋体"/>
                <w:color w:val="000000"/>
                <w:kern w:val="0"/>
                <w:sz w:val="24"/>
                <w:szCs w:val="24"/>
                <w:bdr w:val="none" w:color="auto" w:sz="0" w:space="0"/>
                <w:lang w:val="en-US"/>
              </w:rPr>
            </w:pPr>
            <w:r>
              <w:rPr>
                <w:rFonts w:hint="eastAsia" w:ascii="Calibri" w:hAnsi="Calibri" w:eastAsia="宋体" w:cs="宋体"/>
                <w:color w:val="000000"/>
                <w:kern w:val="2"/>
                <w:sz w:val="24"/>
                <w:szCs w:val="24"/>
                <w:bdr w:val="none" w:color="auto" w:sz="0" w:space="0"/>
                <w:lang w:val="en-US" w:eastAsia="zh-CN" w:bidi="ar"/>
              </w:rPr>
              <w:t>扩建项目</w:t>
            </w:r>
            <w:r>
              <w:rPr>
                <w:rFonts w:hint="eastAsia" w:ascii="Times New Roman" w:hAnsi="宋体" w:eastAsia="宋体" w:cs="宋体"/>
                <w:color w:val="000000"/>
                <w:kern w:val="0"/>
                <w:sz w:val="24"/>
                <w:szCs w:val="24"/>
                <w:bdr w:val="none" w:color="auto" w:sz="0" w:space="0"/>
                <w:lang w:val="en-US" w:eastAsia="zh-CN" w:bidi="ar"/>
              </w:rPr>
              <w:t>共设</w:t>
            </w:r>
            <w:r>
              <w:rPr>
                <w:rFonts w:hint="default" w:ascii="Times New Roman" w:hAnsi="Times New Roman" w:eastAsia="宋体" w:cs="Times New Roman"/>
                <w:color w:val="000000"/>
                <w:kern w:val="0"/>
                <w:sz w:val="24"/>
                <w:szCs w:val="24"/>
                <w:bdr w:val="none" w:color="auto" w:sz="0" w:space="0"/>
                <w:lang w:val="en-US" w:eastAsia="zh-CN" w:bidi="ar"/>
              </w:rPr>
              <w:t>2</w:t>
            </w:r>
            <w:r>
              <w:rPr>
                <w:rFonts w:hint="eastAsia" w:ascii="Times New Roman" w:hAnsi="宋体" w:eastAsia="宋体" w:cs="宋体"/>
                <w:color w:val="000000"/>
                <w:kern w:val="0"/>
                <w:sz w:val="24"/>
                <w:szCs w:val="24"/>
                <w:bdr w:val="none" w:color="auto" w:sz="0" w:space="0"/>
                <w:lang w:val="en-US" w:eastAsia="zh-CN" w:bidi="ar"/>
              </w:rPr>
              <w:t>根排</w:t>
            </w:r>
            <w:r>
              <w:rPr>
                <w:rFonts w:hint="eastAsia" w:ascii="宋体" w:hAnsi="宋体" w:eastAsia="宋体" w:cs="宋体"/>
                <w:color w:val="000000"/>
                <w:kern w:val="0"/>
                <w:sz w:val="24"/>
                <w:szCs w:val="24"/>
                <w:bdr w:val="none" w:color="auto" w:sz="0" w:space="0"/>
                <w:lang w:val="en-US" w:eastAsia="zh-CN" w:bidi="ar"/>
              </w:rPr>
              <w:t>气筒</w:t>
            </w:r>
            <w:r>
              <w:rPr>
                <w:rFonts w:hint="eastAsia" w:ascii="Times New Roman" w:hAnsi="宋体" w:eastAsia="宋体" w:cs="宋体"/>
                <w:color w:val="000000"/>
                <w:kern w:val="0"/>
                <w:sz w:val="24"/>
                <w:szCs w:val="24"/>
                <w:bdr w:val="none" w:color="auto" w:sz="0" w:space="0"/>
                <w:lang w:val="en-US" w:eastAsia="zh-CN" w:bidi="ar"/>
              </w:rPr>
              <w:t>，</w:t>
            </w:r>
            <w:r>
              <w:rPr>
                <w:rFonts w:hint="eastAsia" w:ascii="Calibri" w:hAnsi="Calibri" w:eastAsia="宋体" w:cs="宋体"/>
                <w:color w:val="000000"/>
                <w:kern w:val="2"/>
                <w:sz w:val="24"/>
                <w:szCs w:val="24"/>
                <w:bdr w:val="none" w:color="auto" w:sz="0" w:space="0"/>
                <w:lang w:val="en-US" w:eastAsia="zh-CN" w:bidi="ar"/>
              </w:rPr>
              <w:t>有组织废气达标排放情况分析见表</w:t>
            </w:r>
            <w:r>
              <w:rPr>
                <w:rFonts w:hint="default" w:ascii="Times New Roman" w:hAnsi="Times New Roman" w:eastAsia="宋体" w:cs="Times New Roman"/>
                <w:color w:val="000000"/>
                <w:kern w:val="2"/>
                <w:sz w:val="24"/>
                <w:szCs w:val="24"/>
                <w:bdr w:val="none" w:color="auto" w:sz="0" w:space="0"/>
                <w:lang w:val="en-US" w:eastAsia="zh-CN" w:bidi="ar"/>
              </w:rPr>
              <w:t>4.2-4</w:t>
            </w:r>
            <w:r>
              <w:rPr>
                <w:rFonts w:hint="eastAsia" w:ascii="Calibri" w:hAnsi="Calibri" w:eastAsia="宋体" w:cs="宋体"/>
                <w:color w:val="000000"/>
                <w:kern w:val="2"/>
                <w:sz w:val="24"/>
                <w:szCs w:val="24"/>
                <w:bdr w:val="none" w:color="auto" w:sz="0" w:space="0"/>
                <w:lang w:val="en-US" w:eastAsia="zh-CN" w:bidi="ar"/>
              </w:rPr>
              <w:t>。</w:t>
            </w:r>
          </w:p>
          <w:p w14:paraId="10089DE0">
            <w:pPr>
              <w:keepNext w:val="0"/>
              <w:keepLines w:val="0"/>
              <w:widowControl w:val="0"/>
              <w:suppressLineNumbers w:val="0"/>
              <w:adjustRightInd w:val="0"/>
              <w:snapToGrid w:val="0"/>
              <w:spacing w:before="0" w:beforeAutospacing="0" w:after="0" w:afterAutospacing="0" w:line="460" w:lineRule="exact"/>
              <w:ind w:left="0" w:right="0" w:firstLine="480"/>
              <w:jc w:val="center"/>
              <w:rPr>
                <w:rFonts w:hint="eastAsia" w:ascii="宋体" w:hAnsi="宋体" w:eastAsia="宋体" w:cs="宋体"/>
                <w:color w:val="000000"/>
                <w:kern w:val="0"/>
                <w:sz w:val="24"/>
                <w:szCs w:val="24"/>
                <w:bdr w:val="none" w:color="auto" w:sz="0" w:space="0"/>
                <w:lang w:val="en-US"/>
              </w:rPr>
            </w:pPr>
            <w:r>
              <w:rPr>
                <w:rFonts w:hint="eastAsia" w:ascii="宋体" w:hAnsi="宋体" w:eastAsia="宋体" w:cs="宋体"/>
                <w:color w:val="000000"/>
                <w:kern w:val="0"/>
                <w:sz w:val="24"/>
                <w:szCs w:val="24"/>
                <w:bdr w:val="none" w:color="auto" w:sz="0" w:space="0"/>
                <w:lang w:val="en-US" w:eastAsia="zh-CN" w:bidi="ar"/>
              </w:rPr>
              <w:t>表</w:t>
            </w:r>
            <w:r>
              <w:rPr>
                <w:rFonts w:hint="default" w:ascii="Times New Roman" w:hAnsi="Times New Roman" w:eastAsia="宋体" w:cs="Times New Roman"/>
                <w:color w:val="000000"/>
                <w:kern w:val="0"/>
                <w:sz w:val="24"/>
                <w:szCs w:val="24"/>
                <w:bdr w:val="none" w:color="auto" w:sz="0" w:space="0"/>
                <w:lang w:val="en-US" w:eastAsia="zh-CN" w:bidi="ar"/>
              </w:rPr>
              <w:t>4.2-4</w:t>
            </w:r>
            <w:r>
              <w:rPr>
                <w:rFonts w:hint="default" w:ascii="Calibri" w:hAnsi="Calibri" w:eastAsia="宋体" w:cs="Times New Roman"/>
                <w:color w:val="000000"/>
                <w:kern w:val="0"/>
                <w:sz w:val="24"/>
                <w:szCs w:val="24"/>
                <w:bdr w:val="none" w:color="auto" w:sz="0" w:space="0"/>
                <w:lang w:val="en-US" w:eastAsia="zh-CN" w:bidi="ar"/>
              </w:rPr>
              <w:t xml:space="preserve"> </w:t>
            </w:r>
            <w:r>
              <w:rPr>
                <w:rFonts w:hint="eastAsia" w:ascii="宋体" w:hAnsi="宋体" w:eastAsia="宋体" w:cs="宋体"/>
                <w:color w:val="000000"/>
                <w:kern w:val="0"/>
                <w:sz w:val="24"/>
                <w:szCs w:val="24"/>
                <w:bdr w:val="none" w:color="auto" w:sz="0" w:space="0"/>
                <w:lang w:val="en-US" w:eastAsia="zh-CN" w:bidi="ar"/>
              </w:rPr>
              <w:t>有组织废气达标排放情况分析表</w:t>
            </w:r>
          </w:p>
          <w:tbl>
            <w:tblPr>
              <w:tblStyle w:val="18"/>
              <w:tblpPr w:leftFromText="180" w:rightFromText="180" w:vertAnchor="text" w:tblpXSpec="center" w:tblpY="1"/>
              <w:tblOverlap w:val="never"/>
              <w:tblW w:w="5000" w:type="pct"/>
              <w:tblInd w:w="8"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Layout w:type="fixed"/>
              <w:tblCellMar>
                <w:top w:w="0" w:type="dxa"/>
                <w:left w:w="108" w:type="dxa"/>
                <w:bottom w:w="0" w:type="dxa"/>
                <w:right w:w="108" w:type="dxa"/>
              </w:tblCellMar>
            </w:tblPr>
            <w:tblGrid>
              <w:gridCol w:w="709"/>
              <w:gridCol w:w="851"/>
              <w:gridCol w:w="766"/>
              <w:gridCol w:w="850"/>
              <w:gridCol w:w="1928"/>
              <w:gridCol w:w="993"/>
              <w:gridCol w:w="1191"/>
              <w:gridCol w:w="658"/>
            </w:tblGrid>
            <w:tr w14:paraId="29F0B44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CellMar>
                  <w:top w:w="0" w:type="dxa"/>
                  <w:left w:w="108" w:type="dxa"/>
                  <w:bottom w:w="0" w:type="dxa"/>
                  <w:right w:w="108" w:type="dxa"/>
                </w:tblCellMar>
              </w:tblPrEx>
              <w:trPr>
                <w:trHeight w:val="817" w:hRule="atLeast"/>
              </w:trPr>
              <w:tc>
                <w:tcPr>
                  <w:tcW w:w="709" w:type="dxa"/>
                  <w:tcBorders>
                    <w:top w:val="single" w:color="auto" w:sz="12" w:space="0"/>
                    <w:left w:val="nil"/>
                    <w:bottom w:val="single" w:color="auto" w:sz="4" w:space="0"/>
                    <w:right w:val="single" w:color="auto" w:sz="4" w:space="0"/>
                  </w:tcBorders>
                  <w:shd w:val="clear"/>
                  <w:vAlign w:val="center"/>
                </w:tcPr>
                <w:p w14:paraId="79047E6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污染源</w:t>
                  </w:r>
                </w:p>
              </w:tc>
              <w:tc>
                <w:tcPr>
                  <w:tcW w:w="851" w:type="dxa"/>
                  <w:tcBorders>
                    <w:top w:val="single" w:color="auto" w:sz="12" w:space="0"/>
                    <w:left w:val="single" w:color="auto" w:sz="4" w:space="0"/>
                    <w:bottom w:val="single" w:color="auto" w:sz="4" w:space="0"/>
                    <w:right w:val="single" w:color="auto" w:sz="4" w:space="0"/>
                  </w:tcBorders>
                  <w:shd w:val="clear"/>
                  <w:vAlign w:val="center"/>
                </w:tcPr>
                <w:p w14:paraId="677379E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污染物</w:t>
                  </w:r>
                </w:p>
              </w:tc>
              <w:tc>
                <w:tcPr>
                  <w:tcW w:w="766" w:type="dxa"/>
                  <w:tcBorders>
                    <w:top w:val="single" w:color="auto" w:sz="12" w:space="0"/>
                    <w:left w:val="single" w:color="auto" w:sz="4" w:space="0"/>
                    <w:bottom w:val="single" w:color="auto" w:sz="4" w:space="0"/>
                    <w:right w:val="single" w:color="auto" w:sz="4" w:space="0"/>
                  </w:tcBorders>
                  <w:shd w:val="clear"/>
                  <w:vAlign w:val="center"/>
                </w:tcPr>
                <w:p w14:paraId="26C0C85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排放</w:t>
                  </w:r>
                </w:p>
                <w:p w14:paraId="06BCEFE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速率</w:t>
                  </w:r>
                </w:p>
                <w:p w14:paraId="6A89EE0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kg/h</w:t>
                  </w:r>
                </w:p>
              </w:tc>
              <w:tc>
                <w:tcPr>
                  <w:tcW w:w="850" w:type="dxa"/>
                  <w:tcBorders>
                    <w:top w:val="single" w:color="auto" w:sz="12" w:space="0"/>
                    <w:left w:val="single" w:color="auto" w:sz="4" w:space="0"/>
                    <w:bottom w:val="single" w:color="auto" w:sz="4" w:space="0"/>
                    <w:right w:val="single" w:color="auto" w:sz="4" w:space="0"/>
                  </w:tcBorders>
                  <w:shd w:val="clear"/>
                  <w:vAlign w:val="center"/>
                </w:tcPr>
                <w:p w14:paraId="2DEB22F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排放</w:t>
                  </w:r>
                </w:p>
                <w:p w14:paraId="6D47F10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浓度</w:t>
                  </w:r>
                </w:p>
                <w:p w14:paraId="143889E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mg/m</w:t>
                  </w:r>
                  <w:r>
                    <w:rPr>
                      <w:rFonts w:hint="default" w:ascii="Times New Roman" w:hAnsi="Times New Roman" w:eastAsia="宋体" w:cs="Times New Roman"/>
                      <w:color w:val="000000"/>
                      <w:kern w:val="0"/>
                      <w:sz w:val="21"/>
                      <w:szCs w:val="21"/>
                      <w:bdr w:val="none" w:color="auto" w:sz="0" w:space="0"/>
                      <w:vertAlign w:val="superscript"/>
                      <w:lang w:val="en-US" w:eastAsia="zh-CN" w:bidi="ar"/>
                    </w:rPr>
                    <w:t>3</w:t>
                  </w:r>
                </w:p>
              </w:tc>
              <w:tc>
                <w:tcPr>
                  <w:tcW w:w="1927" w:type="dxa"/>
                  <w:tcBorders>
                    <w:top w:val="single" w:color="auto" w:sz="12" w:space="0"/>
                    <w:left w:val="single" w:color="auto" w:sz="4" w:space="0"/>
                    <w:bottom w:val="single" w:color="auto" w:sz="4" w:space="0"/>
                    <w:right w:val="single" w:color="auto" w:sz="4" w:space="0"/>
                  </w:tcBorders>
                  <w:shd w:val="clear"/>
                  <w:vAlign w:val="center"/>
                </w:tcPr>
                <w:p w14:paraId="27A39CA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执行标准</w:t>
                  </w:r>
                </w:p>
              </w:tc>
              <w:tc>
                <w:tcPr>
                  <w:tcW w:w="993" w:type="dxa"/>
                  <w:tcBorders>
                    <w:top w:val="single" w:color="auto" w:sz="12" w:space="0"/>
                    <w:left w:val="single" w:color="auto" w:sz="4" w:space="0"/>
                    <w:bottom w:val="single" w:color="auto" w:sz="4" w:space="0"/>
                    <w:right w:val="single" w:color="auto" w:sz="4" w:space="0"/>
                  </w:tcBorders>
                  <w:shd w:val="clear"/>
                  <w:vAlign w:val="center"/>
                </w:tcPr>
                <w:p w14:paraId="35AC0E3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排放速率限值</w:t>
                  </w:r>
                  <w:r>
                    <w:rPr>
                      <w:rFonts w:hint="default" w:ascii="Times New Roman" w:hAnsi="Times New Roman" w:eastAsia="宋体" w:cs="Times New Roman"/>
                      <w:color w:val="000000"/>
                      <w:kern w:val="0"/>
                      <w:sz w:val="21"/>
                      <w:szCs w:val="21"/>
                      <w:bdr w:val="none" w:color="auto" w:sz="0" w:space="0"/>
                      <w:lang w:val="en-US" w:eastAsia="zh-CN" w:bidi="ar"/>
                    </w:rPr>
                    <w:t>kg/h</w:t>
                  </w:r>
                </w:p>
              </w:tc>
              <w:tc>
                <w:tcPr>
                  <w:tcW w:w="1191" w:type="dxa"/>
                  <w:tcBorders>
                    <w:top w:val="single" w:color="auto" w:sz="12" w:space="0"/>
                    <w:left w:val="single" w:color="auto" w:sz="4" w:space="0"/>
                    <w:bottom w:val="single" w:color="auto" w:sz="4" w:space="0"/>
                    <w:right w:val="single" w:color="auto" w:sz="4" w:space="0"/>
                  </w:tcBorders>
                  <w:shd w:val="clear"/>
                  <w:vAlign w:val="center"/>
                </w:tcPr>
                <w:p w14:paraId="1D4D89D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排放浓度限值</w:t>
                  </w:r>
                  <w:r>
                    <w:rPr>
                      <w:rFonts w:hint="default" w:ascii="Times New Roman" w:hAnsi="Times New Roman" w:eastAsia="宋体" w:cs="Times New Roman"/>
                      <w:color w:val="000000"/>
                      <w:kern w:val="0"/>
                      <w:sz w:val="21"/>
                      <w:szCs w:val="21"/>
                      <w:bdr w:val="none" w:color="auto" w:sz="0" w:space="0"/>
                      <w:lang w:val="en-US" w:eastAsia="zh-CN" w:bidi="ar"/>
                    </w:rPr>
                    <w:t>mg/m</w:t>
                  </w:r>
                  <w:r>
                    <w:rPr>
                      <w:rFonts w:hint="default" w:ascii="Times New Roman" w:hAnsi="Times New Roman" w:eastAsia="宋体" w:cs="Times New Roman"/>
                      <w:color w:val="000000"/>
                      <w:kern w:val="0"/>
                      <w:sz w:val="21"/>
                      <w:szCs w:val="21"/>
                      <w:bdr w:val="none" w:color="auto" w:sz="0" w:space="0"/>
                      <w:vertAlign w:val="superscript"/>
                      <w:lang w:val="en-US" w:eastAsia="zh-CN" w:bidi="ar"/>
                    </w:rPr>
                    <w:t>3</w:t>
                  </w:r>
                </w:p>
              </w:tc>
              <w:tc>
                <w:tcPr>
                  <w:tcW w:w="659" w:type="dxa"/>
                  <w:tcBorders>
                    <w:top w:val="single" w:color="auto" w:sz="12" w:space="0"/>
                    <w:left w:val="single" w:color="auto" w:sz="4" w:space="0"/>
                    <w:bottom w:val="single" w:color="auto" w:sz="4" w:space="0"/>
                    <w:right w:val="nil"/>
                  </w:tcBorders>
                  <w:shd w:val="clear"/>
                  <w:vAlign w:val="center"/>
                </w:tcPr>
                <w:p w14:paraId="251B613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达标</w:t>
                  </w:r>
                </w:p>
                <w:p w14:paraId="2CF8DA5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情况</w:t>
                  </w:r>
                </w:p>
              </w:tc>
            </w:tr>
            <w:tr w14:paraId="0B2E92C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Merge w:val="restart"/>
                  <w:tcBorders>
                    <w:top w:val="single" w:color="auto" w:sz="4" w:space="0"/>
                    <w:left w:val="nil"/>
                    <w:bottom w:val="single" w:color="auto" w:sz="4" w:space="0"/>
                    <w:right w:val="single" w:color="auto" w:sz="4" w:space="0"/>
                  </w:tcBorders>
                  <w:shd w:val="clear"/>
                  <w:vAlign w:val="center"/>
                </w:tcPr>
                <w:p w14:paraId="6F401F3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bookmarkStart w:id="46" w:name="_Hlk191903790"/>
                  <w:r>
                    <w:rPr>
                      <w:rFonts w:hint="default" w:ascii="Times New Roman" w:hAnsi="Times New Roman" w:eastAsia="宋体" w:cs="Times New Roman"/>
                      <w:color w:val="000000"/>
                      <w:kern w:val="2"/>
                      <w:sz w:val="21"/>
                      <w:szCs w:val="21"/>
                      <w:bdr w:val="none" w:color="auto" w:sz="0" w:space="0"/>
                      <w:lang w:val="en-US" w:eastAsia="zh-CN" w:bidi="ar"/>
                    </w:rPr>
                    <w:t>DA001</w:t>
                  </w:r>
                  <w:r>
                    <w:rPr>
                      <w:rFonts w:hint="eastAsia" w:ascii="Times New Roman" w:hAnsi="Times New Roman" w:eastAsia="宋体" w:cs="宋体"/>
                      <w:color w:val="000000"/>
                      <w:kern w:val="2"/>
                      <w:sz w:val="21"/>
                      <w:szCs w:val="21"/>
                      <w:bdr w:val="none" w:color="auto" w:sz="0" w:space="0"/>
                      <w:lang w:val="en-US" w:eastAsia="zh-CN" w:bidi="ar"/>
                    </w:rPr>
                    <w:t>排气筒</w:t>
                  </w:r>
                </w:p>
              </w:tc>
              <w:tc>
                <w:tcPr>
                  <w:tcW w:w="851" w:type="dxa"/>
                  <w:tcBorders>
                    <w:top w:val="single" w:color="auto" w:sz="4" w:space="0"/>
                    <w:left w:val="single" w:color="auto" w:sz="4" w:space="0"/>
                    <w:bottom w:val="single" w:color="auto" w:sz="4" w:space="0"/>
                    <w:right w:val="single" w:color="auto" w:sz="4" w:space="0"/>
                  </w:tcBorders>
                  <w:shd w:val="clear"/>
                  <w:vAlign w:val="center"/>
                </w:tcPr>
                <w:p w14:paraId="58561F4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非甲烷总烃</w:t>
                  </w:r>
                </w:p>
              </w:tc>
              <w:tc>
                <w:tcPr>
                  <w:tcW w:w="766" w:type="dxa"/>
                  <w:tcBorders>
                    <w:top w:val="single" w:color="auto" w:sz="4" w:space="0"/>
                    <w:left w:val="single" w:color="auto" w:sz="4" w:space="0"/>
                    <w:bottom w:val="single" w:color="auto" w:sz="4" w:space="0"/>
                    <w:right w:val="single" w:color="auto" w:sz="4" w:space="0"/>
                  </w:tcBorders>
                  <w:shd w:val="clear"/>
                  <w:vAlign w:val="center"/>
                </w:tcPr>
                <w:p w14:paraId="6407A678">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0.027</w:t>
                  </w:r>
                </w:p>
              </w:tc>
              <w:tc>
                <w:tcPr>
                  <w:tcW w:w="850" w:type="dxa"/>
                  <w:tcBorders>
                    <w:top w:val="single" w:color="auto" w:sz="4" w:space="0"/>
                    <w:left w:val="single" w:color="auto" w:sz="4" w:space="0"/>
                    <w:bottom w:val="single" w:color="auto" w:sz="4" w:space="0"/>
                    <w:right w:val="single" w:color="auto" w:sz="4" w:space="0"/>
                  </w:tcBorders>
                  <w:shd w:val="clear"/>
                  <w:vAlign w:val="center"/>
                </w:tcPr>
                <w:p w14:paraId="4671B54F">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5.4</w:t>
                  </w:r>
                </w:p>
              </w:tc>
              <w:tc>
                <w:tcPr>
                  <w:tcW w:w="1927" w:type="dxa"/>
                  <w:vMerge w:val="restart"/>
                  <w:tcBorders>
                    <w:top w:val="single" w:color="auto" w:sz="4" w:space="0"/>
                    <w:left w:val="single" w:color="auto" w:sz="4" w:space="0"/>
                    <w:bottom w:val="single" w:color="auto" w:sz="4" w:space="0"/>
                    <w:right w:val="single" w:color="auto" w:sz="4" w:space="0"/>
                  </w:tcBorders>
                  <w:shd w:val="clear"/>
                  <w:vAlign w:val="center"/>
                </w:tcPr>
                <w:p w14:paraId="4CCA13C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《合成树脂工业污染物排放标准》</w:t>
                  </w:r>
                  <w:r>
                    <w:rPr>
                      <w:rFonts w:hint="default" w:ascii="Times New Roman" w:hAnsi="Times New Roman" w:eastAsia="宋体" w:cs="Times New Roman"/>
                      <w:color w:val="000000"/>
                      <w:kern w:val="0"/>
                      <w:sz w:val="21"/>
                      <w:szCs w:val="21"/>
                      <w:bdr w:val="none" w:color="auto" w:sz="0" w:space="0"/>
                      <w:lang w:val="en-US" w:eastAsia="zh-CN" w:bidi="ar"/>
                    </w:rPr>
                    <w:t>(GB31572-2015)</w:t>
                  </w:r>
                </w:p>
              </w:tc>
              <w:tc>
                <w:tcPr>
                  <w:tcW w:w="993" w:type="dxa"/>
                  <w:tcBorders>
                    <w:top w:val="single" w:color="auto" w:sz="4" w:space="0"/>
                    <w:left w:val="single" w:color="auto" w:sz="4" w:space="0"/>
                    <w:bottom w:val="single" w:color="auto" w:sz="4" w:space="0"/>
                    <w:right w:val="single" w:color="auto" w:sz="4" w:space="0"/>
                  </w:tcBorders>
                  <w:shd w:val="clear"/>
                  <w:vAlign w:val="center"/>
                </w:tcPr>
                <w:p w14:paraId="3516867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w:t>
                  </w:r>
                </w:p>
              </w:tc>
              <w:tc>
                <w:tcPr>
                  <w:tcW w:w="1191" w:type="dxa"/>
                  <w:tcBorders>
                    <w:top w:val="single" w:color="auto" w:sz="4" w:space="0"/>
                    <w:left w:val="single" w:color="auto" w:sz="4" w:space="0"/>
                    <w:bottom w:val="single" w:color="auto" w:sz="4" w:space="0"/>
                    <w:right w:val="single" w:color="auto" w:sz="4" w:space="0"/>
                  </w:tcBorders>
                  <w:shd w:val="clear"/>
                  <w:vAlign w:val="center"/>
                </w:tcPr>
                <w:p w14:paraId="5531825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60</w:t>
                  </w:r>
                </w:p>
              </w:tc>
              <w:tc>
                <w:tcPr>
                  <w:tcW w:w="659" w:type="dxa"/>
                  <w:tcBorders>
                    <w:top w:val="single" w:color="auto" w:sz="4" w:space="0"/>
                    <w:left w:val="single" w:color="auto" w:sz="4" w:space="0"/>
                    <w:bottom w:val="single" w:color="auto" w:sz="4" w:space="0"/>
                    <w:right w:val="nil"/>
                  </w:tcBorders>
                  <w:shd w:val="clear"/>
                  <w:vAlign w:val="center"/>
                </w:tcPr>
                <w:p w14:paraId="019BF9F4">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达标</w:t>
                  </w:r>
                </w:p>
              </w:tc>
            </w:tr>
            <w:tr w14:paraId="745BA7D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Merge w:val="continue"/>
                  <w:tcBorders>
                    <w:top w:val="single" w:color="auto" w:sz="4" w:space="0"/>
                    <w:left w:val="nil"/>
                    <w:bottom w:val="single" w:color="auto" w:sz="4" w:space="0"/>
                    <w:right w:val="single" w:color="auto" w:sz="4" w:space="0"/>
                  </w:tcBorders>
                  <w:shd w:val="clear"/>
                  <w:vAlign w:val="center"/>
                </w:tcPr>
                <w:p w14:paraId="5CF8D483">
                  <w:pPr>
                    <w:rPr>
                      <w:rFonts w:hint="default" w:ascii="Calibri" w:hAnsi="Calibri" w:cs="Calibri"/>
                      <w:sz w:val="20"/>
                      <w:szCs w:val="20"/>
                    </w:rPr>
                  </w:pPr>
                </w:p>
              </w:tc>
              <w:tc>
                <w:tcPr>
                  <w:tcW w:w="851" w:type="dxa"/>
                  <w:tcBorders>
                    <w:top w:val="single" w:color="auto" w:sz="4" w:space="0"/>
                    <w:left w:val="single" w:color="auto" w:sz="4" w:space="0"/>
                    <w:bottom w:val="single" w:color="auto" w:sz="4" w:space="0"/>
                    <w:right w:val="single" w:color="auto" w:sz="4" w:space="0"/>
                  </w:tcBorders>
                  <w:shd w:val="clear"/>
                  <w:vAlign w:val="center"/>
                </w:tcPr>
                <w:p w14:paraId="28099D33">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MDI</w:t>
                  </w:r>
                </w:p>
              </w:tc>
              <w:tc>
                <w:tcPr>
                  <w:tcW w:w="766" w:type="dxa"/>
                  <w:tcBorders>
                    <w:top w:val="single" w:color="auto" w:sz="4" w:space="0"/>
                    <w:left w:val="single" w:color="auto" w:sz="4" w:space="0"/>
                    <w:bottom w:val="single" w:color="auto" w:sz="4" w:space="0"/>
                    <w:right w:val="single" w:color="auto" w:sz="4" w:space="0"/>
                  </w:tcBorders>
                  <w:shd w:val="clear"/>
                  <w:vAlign w:val="center"/>
                </w:tcPr>
                <w:p w14:paraId="09496F0F">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0.008</w:t>
                  </w:r>
                </w:p>
              </w:tc>
              <w:tc>
                <w:tcPr>
                  <w:tcW w:w="850" w:type="dxa"/>
                  <w:tcBorders>
                    <w:top w:val="single" w:color="auto" w:sz="4" w:space="0"/>
                    <w:left w:val="single" w:color="auto" w:sz="4" w:space="0"/>
                    <w:bottom w:val="single" w:color="auto" w:sz="4" w:space="0"/>
                    <w:right w:val="single" w:color="auto" w:sz="4" w:space="0"/>
                  </w:tcBorders>
                  <w:shd w:val="clear"/>
                  <w:vAlign w:val="center"/>
                </w:tcPr>
                <w:p w14:paraId="7EB7F512">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1.5</w:t>
                  </w:r>
                </w:p>
              </w:tc>
              <w:tc>
                <w:tcPr>
                  <w:tcW w:w="1927" w:type="dxa"/>
                  <w:vMerge w:val="continue"/>
                  <w:tcBorders>
                    <w:top w:val="single" w:color="auto" w:sz="4" w:space="0"/>
                    <w:left w:val="single" w:color="auto" w:sz="4" w:space="0"/>
                    <w:bottom w:val="single" w:color="auto" w:sz="4" w:space="0"/>
                    <w:right w:val="single" w:color="auto" w:sz="4" w:space="0"/>
                  </w:tcBorders>
                  <w:shd w:val="clear"/>
                  <w:vAlign w:val="center"/>
                </w:tcPr>
                <w:p w14:paraId="26BA49C1">
                  <w:pPr>
                    <w:rPr>
                      <w:rFonts w:hint="default" w:ascii="Calibri" w:hAnsi="Calibri" w:cs="Calibri"/>
                      <w:sz w:val="20"/>
                      <w:szCs w:val="20"/>
                    </w:rPr>
                  </w:pPr>
                </w:p>
              </w:tc>
              <w:tc>
                <w:tcPr>
                  <w:tcW w:w="993" w:type="dxa"/>
                  <w:tcBorders>
                    <w:top w:val="single" w:color="auto" w:sz="4" w:space="0"/>
                    <w:left w:val="single" w:color="auto" w:sz="4" w:space="0"/>
                    <w:bottom w:val="single" w:color="auto" w:sz="4" w:space="0"/>
                    <w:right w:val="single" w:color="auto" w:sz="4" w:space="0"/>
                  </w:tcBorders>
                  <w:shd w:val="clear"/>
                  <w:vAlign w:val="center"/>
                </w:tcPr>
                <w:p w14:paraId="74D373A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w:t>
                  </w:r>
                </w:p>
              </w:tc>
              <w:tc>
                <w:tcPr>
                  <w:tcW w:w="1191" w:type="dxa"/>
                  <w:tcBorders>
                    <w:top w:val="single" w:color="auto" w:sz="4" w:space="0"/>
                    <w:left w:val="single" w:color="auto" w:sz="4" w:space="0"/>
                    <w:bottom w:val="single" w:color="auto" w:sz="4" w:space="0"/>
                    <w:right w:val="single" w:color="auto" w:sz="4" w:space="0"/>
                  </w:tcBorders>
                  <w:shd w:val="clear"/>
                  <w:vAlign w:val="center"/>
                </w:tcPr>
                <w:p w14:paraId="59119C0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w:t>
                  </w:r>
                </w:p>
              </w:tc>
              <w:tc>
                <w:tcPr>
                  <w:tcW w:w="659" w:type="dxa"/>
                  <w:tcBorders>
                    <w:top w:val="single" w:color="auto" w:sz="4" w:space="0"/>
                    <w:left w:val="single" w:color="auto" w:sz="4" w:space="0"/>
                    <w:bottom w:val="single" w:color="auto" w:sz="4" w:space="0"/>
                    <w:right w:val="nil"/>
                  </w:tcBorders>
                  <w:shd w:val="clear"/>
                  <w:vAlign w:val="center"/>
                </w:tcPr>
                <w:p w14:paraId="559EA2A9">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达标</w:t>
                  </w:r>
                </w:p>
              </w:tc>
            </w:tr>
            <w:tr w14:paraId="1E3BAF4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Merge w:val="continue"/>
                  <w:tcBorders>
                    <w:top w:val="single" w:color="auto" w:sz="4" w:space="0"/>
                    <w:left w:val="nil"/>
                    <w:bottom w:val="single" w:color="auto" w:sz="4" w:space="0"/>
                    <w:right w:val="single" w:color="auto" w:sz="4" w:space="0"/>
                  </w:tcBorders>
                  <w:shd w:val="clear"/>
                  <w:vAlign w:val="center"/>
                </w:tcPr>
                <w:p w14:paraId="064A8339">
                  <w:pPr>
                    <w:rPr>
                      <w:rFonts w:hint="default" w:ascii="Calibri" w:hAnsi="Calibri" w:cs="Calibri"/>
                      <w:sz w:val="20"/>
                      <w:szCs w:val="20"/>
                    </w:rPr>
                  </w:pPr>
                </w:p>
              </w:tc>
              <w:tc>
                <w:tcPr>
                  <w:tcW w:w="851" w:type="dxa"/>
                  <w:tcBorders>
                    <w:top w:val="single" w:color="auto" w:sz="4" w:space="0"/>
                    <w:left w:val="single" w:color="auto" w:sz="4" w:space="0"/>
                    <w:bottom w:val="single" w:color="auto" w:sz="4" w:space="0"/>
                    <w:right w:val="single" w:color="auto" w:sz="4" w:space="0"/>
                  </w:tcBorders>
                  <w:shd w:val="clear"/>
                  <w:vAlign w:val="center"/>
                </w:tcPr>
                <w:p w14:paraId="438425B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颗粒物</w:t>
                  </w:r>
                </w:p>
              </w:tc>
              <w:tc>
                <w:tcPr>
                  <w:tcW w:w="766" w:type="dxa"/>
                  <w:tcBorders>
                    <w:top w:val="single" w:color="auto" w:sz="4" w:space="0"/>
                    <w:left w:val="single" w:color="auto" w:sz="4" w:space="0"/>
                    <w:bottom w:val="single" w:color="auto" w:sz="4" w:space="0"/>
                    <w:right w:val="single" w:color="auto" w:sz="4" w:space="0"/>
                  </w:tcBorders>
                  <w:shd w:val="clear"/>
                  <w:vAlign w:val="center"/>
                </w:tcPr>
                <w:p w14:paraId="6ED6A816">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0.001</w:t>
                  </w:r>
                </w:p>
              </w:tc>
              <w:tc>
                <w:tcPr>
                  <w:tcW w:w="850" w:type="dxa"/>
                  <w:tcBorders>
                    <w:top w:val="single" w:color="auto" w:sz="4" w:space="0"/>
                    <w:left w:val="single" w:color="auto" w:sz="4" w:space="0"/>
                    <w:bottom w:val="single" w:color="auto" w:sz="4" w:space="0"/>
                    <w:right w:val="single" w:color="auto" w:sz="4" w:space="0"/>
                  </w:tcBorders>
                  <w:shd w:val="clear"/>
                  <w:vAlign w:val="center"/>
                </w:tcPr>
                <w:p w14:paraId="21A41D8F">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0.1</w:t>
                  </w:r>
                </w:p>
              </w:tc>
              <w:tc>
                <w:tcPr>
                  <w:tcW w:w="1927" w:type="dxa"/>
                  <w:vMerge w:val="continue"/>
                  <w:tcBorders>
                    <w:top w:val="single" w:color="auto" w:sz="4" w:space="0"/>
                    <w:left w:val="single" w:color="auto" w:sz="4" w:space="0"/>
                    <w:bottom w:val="single" w:color="auto" w:sz="4" w:space="0"/>
                    <w:right w:val="single" w:color="auto" w:sz="4" w:space="0"/>
                  </w:tcBorders>
                  <w:shd w:val="clear"/>
                  <w:vAlign w:val="center"/>
                </w:tcPr>
                <w:p w14:paraId="7E413FA8">
                  <w:pPr>
                    <w:rPr>
                      <w:rFonts w:hint="default" w:ascii="Calibri" w:hAnsi="Calibri" w:cs="Calibri"/>
                      <w:sz w:val="20"/>
                      <w:szCs w:val="20"/>
                    </w:rPr>
                  </w:pPr>
                </w:p>
              </w:tc>
              <w:tc>
                <w:tcPr>
                  <w:tcW w:w="993" w:type="dxa"/>
                  <w:tcBorders>
                    <w:top w:val="single" w:color="auto" w:sz="4" w:space="0"/>
                    <w:left w:val="single" w:color="auto" w:sz="4" w:space="0"/>
                    <w:bottom w:val="single" w:color="auto" w:sz="4" w:space="0"/>
                    <w:right w:val="single" w:color="auto" w:sz="4" w:space="0"/>
                  </w:tcBorders>
                  <w:shd w:val="clear"/>
                  <w:vAlign w:val="center"/>
                </w:tcPr>
                <w:p w14:paraId="078211A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w:t>
                  </w:r>
                </w:p>
              </w:tc>
              <w:tc>
                <w:tcPr>
                  <w:tcW w:w="1191" w:type="dxa"/>
                  <w:tcBorders>
                    <w:top w:val="single" w:color="auto" w:sz="4" w:space="0"/>
                    <w:left w:val="single" w:color="auto" w:sz="4" w:space="0"/>
                    <w:bottom w:val="single" w:color="auto" w:sz="4" w:space="0"/>
                    <w:right w:val="single" w:color="auto" w:sz="4" w:space="0"/>
                  </w:tcBorders>
                  <w:shd w:val="clear"/>
                  <w:vAlign w:val="center"/>
                </w:tcPr>
                <w:p w14:paraId="27507E0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20</w:t>
                  </w:r>
                </w:p>
              </w:tc>
              <w:tc>
                <w:tcPr>
                  <w:tcW w:w="659" w:type="dxa"/>
                  <w:tcBorders>
                    <w:top w:val="single" w:color="auto" w:sz="4" w:space="0"/>
                    <w:left w:val="single" w:color="auto" w:sz="4" w:space="0"/>
                    <w:bottom w:val="single" w:color="auto" w:sz="4" w:space="0"/>
                    <w:right w:val="nil"/>
                  </w:tcBorders>
                  <w:shd w:val="clear"/>
                  <w:vAlign w:val="center"/>
                </w:tcPr>
                <w:p w14:paraId="664BCA05">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达标</w:t>
                  </w:r>
                </w:p>
              </w:tc>
            </w:tr>
            <w:bookmarkEnd w:id="46"/>
            <w:tr w14:paraId="4BB0E67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tcBorders>
                    <w:top w:val="single" w:color="auto" w:sz="4" w:space="0"/>
                    <w:left w:val="nil"/>
                    <w:bottom w:val="single" w:color="auto" w:sz="12" w:space="0"/>
                    <w:right w:val="single" w:color="auto" w:sz="4" w:space="0"/>
                  </w:tcBorders>
                  <w:shd w:val="clear"/>
                  <w:vAlign w:val="center"/>
                </w:tcPr>
                <w:p w14:paraId="3B98A8E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DA002</w:t>
                  </w:r>
                  <w:r>
                    <w:rPr>
                      <w:rFonts w:hint="eastAsia" w:ascii="Times New Roman" w:hAnsi="Times New Roman" w:eastAsia="宋体" w:cs="宋体"/>
                      <w:color w:val="000000"/>
                      <w:kern w:val="2"/>
                      <w:sz w:val="21"/>
                      <w:szCs w:val="21"/>
                      <w:bdr w:val="none" w:color="auto" w:sz="0" w:space="0"/>
                      <w:lang w:val="en-US" w:eastAsia="zh-CN" w:bidi="ar"/>
                    </w:rPr>
                    <w:t>排气筒</w:t>
                  </w:r>
                </w:p>
              </w:tc>
              <w:tc>
                <w:tcPr>
                  <w:tcW w:w="851" w:type="dxa"/>
                  <w:tcBorders>
                    <w:top w:val="single" w:color="auto" w:sz="4" w:space="0"/>
                    <w:left w:val="single" w:color="auto" w:sz="4" w:space="0"/>
                    <w:bottom w:val="single" w:color="auto" w:sz="12" w:space="0"/>
                    <w:right w:val="single" w:color="auto" w:sz="4" w:space="0"/>
                  </w:tcBorders>
                  <w:shd w:val="clear"/>
                  <w:vAlign w:val="center"/>
                </w:tcPr>
                <w:p w14:paraId="15B0E943">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颗粒物</w:t>
                  </w:r>
                </w:p>
              </w:tc>
              <w:tc>
                <w:tcPr>
                  <w:tcW w:w="766" w:type="dxa"/>
                  <w:tcBorders>
                    <w:top w:val="single" w:color="auto" w:sz="4" w:space="0"/>
                    <w:left w:val="single" w:color="auto" w:sz="4" w:space="0"/>
                    <w:bottom w:val="single" w:color="auto" w:sz="12" w:space="0"/>
                    <w:right w:val="single" w:color="auto" w:sz="4" w:space="0"/>
                  </w:tcBorders>
                  <w:shd w:val="clear"/>
                  <w:vAlign w:val="center"/>
                </w:tcPr>
                <w:p w14:paraId="70C6D102">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0.011</w:t>
                  </w:r>
                </w:p>
              </w:tc>
              <w:tc>
                <w:tcPr>
                  <w:tcW w:w="850" w:type="dxa"/>
                  <w:tcBorders>
                    <w:top w:val="single" w:color="auto" w:sz="4" w:space="0"/>
                    <w:left w:val="single" w:color="auto" w:sz="4" w:space="0"/>
                    <w:bottom w:val="single" w:color="auto" w:sz="12" w:space="0"/>
                    <w:right w:val="single" w:color="auto" w:sz="4" w:space="0"/>
                  </w:tcBorders>
                  <w:shd w:val="clear"/>
                  <w:vAlign w:val="center"/>
                </w:tcPr>
                <w:p w14:paraId="61A56249">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2.3</w:t>
                  </w:r>
                </w:p>
              </w:tc>
              <w:tc>
                <w:tcPr>
                  <w:tcW w:w="1927" w:type="dxa"/>
                  <w:tcBorders>
                    <w:top w:val="single" w:color="auto" w:sz="4" w:space="0"/>
                    <w:left w:val="single" w:color="auto" w:sz="4" w:space="0"/>
                    <w:bottom w:val="single" w:color="auto" w:sz="12" w:space="0"/>
                    <w:right w:val="single" w:color="auto" w:sz="4" w:space="0"/>
                  </w:tcBorders>
                  <w:shd w:val="clear"/>
                  <w:vAlign w:val="center"/>
                </w:tcPr>
                <w:p w14:paraId="09B5FE3C">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《大气污染物综合排放标准》</w:t>
                  </w:r>
                  <w:r>
                    <w:rPr>
                      <w:rFonts w:hint="default" w:ascii="Times New Roman" w:hAnsi="Times New Roman" w:eastAsia="宋体" w:cs="Times New Roman"/>
                      <w:color w:val="000000"/>
                      <w:kern w:val="0"/>
                      <w:sz w:val="21"/>
                      <w:szCs w:val="21"/>
                      <w:bdr w:val="none" w:color="auto" w:sz="0" w:space="0"/>
                      <w:lang w:val="en-US" w:eastAsia="zh-CN" w:bidi="ar"/>
                    </w:rPr>
                    <w:t>(DB50/418-2016)</w:t>
                  </w:r>
                </w:p>
              </w:tc>
              <w:tc>
                <w:tcPr>
                  <w:tcW w:w="993" w:type="dxa"/>
                  <w:tcBorders>
                    <w:top w:val="single" w:color="auto" w:sz="4" w:space="0"/>
                    <w:left w:val="single" w:color="auto" w:sz="4" w:space="0"/>
                    <w:bottom w:val="single" w:color="auto" w:sz="12" w:space="0"/>
                    <w:right w:val="single" w:color="auto" w:sz="4" w:space="0"/>
                  </w:tcBorders>
                  <w:shd w:val="clear"/>
                  <w:vAlign w:val="center"/>
                </w:tcPr>
                <w:p w14:paraId="2AF9E0F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3.2</w:t>
                  </w:r>
                </w:p>
              </w:tc>
              <w:tc>
                <w:tcPr>
                  <w:tcW w:w="1191" w:type="dxa"/>
                  <w:tcBorders>
                    <w:top w:val="single" w:color="auto" w:sz="4" w:space="0"/>
                    <w:left w:val="single" w:color="auto" w:sz="4" w:space="0"/>
                    <w:bottom w:val="single" w:color="auto" w:sz="12" w:space="0"/>
                    <w:right w:val="single" w:color="auto" w:sz="4" w:space="0"/>
                  </w:tcBorders>
                  <w:shd w:val="clear"/>
                  <w:vAlign w:val="center"/>
                </w:tcPr>
                <w:p w14:paraId="3FCAD25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100</w:t>
                  </w:r>
                </w:p>
              </w:tc>
              <w:tc>
                <w:tcPr>
                  <w:tcW w:w="659" w:type="dxa"/>
                  <w:tcBorders>
                    <w:top w:val="single" w:color="auto" w:sz="4" w:space="0"/>
                    <w:left w:val="single" w:color="auto" w:sz="4" w:space="0"/>
                    <w:bottom w:val="single" w:color="auto" w:sz="12" w:space="0"/>
                    <w:right w:val="nil"/>
                  </w:tcBorders>
                  <w:shd w:val="clear"/>
                  <w:vAlign w:val="center"/>
                </w:tcPr>
                <w:p w14:paraId="6F3A889C">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达标</w:t>
                  </w:r>
                </w:p>
              </w:tc>
            </w:tr>
          </w:tbl>
          <w:p w14:paraId="2D0E1970">
            <w:pPr>
              <w:keepNext w:val="0"/>
              <w:keepLines w:val="0"/>
              <w:widowControl w:val="0"/>
              <w:suppressLineNumbers w:val="0"/>
              <w:adjustRightInd w:val="0"/>
              <w:snapToGrid w:val="0"/>
              <w:spacing w:before="0" w:beforeAutospacing="0" w:after="0" w:afterAutospacing="0" w:line="440" w:lineRule="exact"/>
              <w:ind w:left="0" w:right="0" w:firstLine="482"/>
              <w:jc w:val="left"/>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由上表可知，涂胶、激光切割工序非甲烷总烃、颗粒物、</w:t>
            </w:r>
            <w:r>
              <w:rPr>
                <w:rFonts w:hint="default" w:ascii="Times New Roman" w:hAnsi="Times New Roman" w:eastAsia="宋体" w:cs="Times New Roman"/>
                <w:color w:val="000000"/>
                <w:kern w:val="2"/>
                <w:sz w:val="24"/>
                <w:szCs w:val="24"/>
                <w:bdr w:val="none" w:color="auto" w:sz="0" w:space="0"/>
                <w:lang w:val="en-US" w:eastAsia="zh-CN" w:bidi="ar"/>
              </w:rPr>
              <w:t>MDI</w:t>
            </w:r>
            <w:r>
              <w:rPr>
                <w:rFonts w:hint="eastAsia" w:ascii="Times New Roman" w:hAnsi="Times New Roman" w:eastAsia="宋体" w:cs="宋体"/>
                <w:color w:val="000000"/>
                <w:kern w:val="2"/>
                <w:sz w:val="24"/>
                <w:szCs w:val="24"/>
                <w:bdr w:val="none" w:color="auto" w:sz="0" w:space="0"/>
                <w:lang w:val="en-US" w:eastAsia="zh-CN" w:bidi="ar"/>
              </w:rPr>
              <w:t>排放浓度能够满足</w:t>
            </w:r>
            <w:r>
              <w:rPr>
                <w:rFonts w:hint="eastAsia" w:ascii="Times New Roman" w:hAnsi="Calibri" w:eastAsia="宋体" w:cs="宋体"/>
                <w:color w:val="000000"/>
                <w:kern w:val="2"/>
                <w:sz w:val="24"/>
                <w:szCs w:val="24"/>
                <w:bdr w:val="none" w:color="auto" w:sz="0" w:space="0"/>
                <w:lang w:val="en-US" w:eastAsia="zh-CN" w:bidi="ar"/>
              </w:rPr>
              <w:t>《合成树脂工业污染物排放标准》（</w:t>
            </w:r>
            <w:r>
              <w:rPr>
                <w:rFonts w:hint="default" w:ascii="Times New Roman" w:hAnsi="Times New Roman" w:eastAsia="宋体" w:cs="Times New Roman"/>
                <w:color w:val="000000"/>
                <w:kern w:val="2"/>
                <w:sz w:val="24"/>
                <w:szCs w:val="24"/>
                <w:bdr w:val="none" w:color="auto" w:sz="0" w:space="0"/>
                <w:lang w:val="en-US" w:eastAsia="zh-CN" w:bidi="ar"/>
              </w:rPr>
              <w:t>GB31572-2015</w:t>
            </w:r>
            <w:r>
              <w:rPr>
                <w:rFonts w:hint="eastAsia" w:ascii="Times New Roman" w:hAnsi="Calibri" w:eastAsia="宋体" w:cs="宋体"/>
                <w:color w:val="000000"/>
                <w:kern w:val="2"/>
                <w:sz w:val="24"/>
                <w:szCs w:val="24"/>
                <w:bdr w:val="none" w:color="auto" w:sz="0" w:space="0"/>
                <w:lang w:val="en-US" w:eastAsia="zh-CN" w:bidi="ar"/>
              </w:rPr>
              <w:t>）表</w:t>
            </w:r>
            <w:r>
              <w:rPr>
                <w:rFonts w:hint="default" w:ascii="Times New Roman" w:hAnsi="Times New Roman" w:eastAsia="宋体" w:cs="Times New Roman"/>
                <w:color w:val="000000"/>
                <w:kern w:val="2"/>
                <w:sz w:val="24"/>
                <w:szCs w:val="24"/>
                <w:bdr w:val="none" w:color="auto" w:sz="0" w:space="0"/>
                <w:lang w:val="en-US" w:eastAsia="zh-CN" w:bidi="ar"/>
              </w:rPr>
              <w:t>5</w:t>
            </w:r>
            <w:r>
              <w:rPr>
                <w:rFonts w:hint="eastAsia" w:ascii="Times New Roman" w:hAnsi="Calibri" w:eastAsia="宋体" w:cs="宋体"/>
                <w:color w:val="000000"/>
                <w:kern w:val="2"/>
                <w:sz w:val="24"/>
                <w:szCs w:val="24"/>
                <w:bdr w:val="none" w:color="auto" w:sz="0" w:space="0"/>
                <w:lang w:val="en-US" w:eastAsia="zh-CN" w:bidi="ar"/>
              </w:rPr>
              <w:t>大气污染物特别排放限值；雕刻打磨工序颗粒物排放浓度满足《大气污染物综合排放标准》（</w:t>
            </w:r>
            <w:r>
              <w:rPr>
                <w:rFonts w:hint="default" w:ascii="Times New Roman" w:hAnsi="Calibri" w:eastAsia="宋体" w:cs="Times New Roman"/>
                <w:color w:val="000000"/>
                <w:kern w:val="2"/>
                <w:sz w:val="24"/>
                <w:szCs w:val="24"/>
                <w:bdr w:val="none" w:color="auto" w:sz="0" w:space="0"/>
                <w:lang w:val="en-US" w:eastAsia="zh-CN" w:bidi="ar"/>
              </w:rPr>
              <w:t>DB50/418-2016</w:t>
            </w:r>
            <w:r>
              <w:rPr>
                <w:rFonts w:hint="eastAsia" w:ascii="Times New Roman" w:hAnsi="Calibri" w:eastAsia="宋体" w:cs="宋体"/>
                <w:color w:val="000000"/>
                <w:kern w:val="2"/>
                <w:sz w:val="24"/>
                <w:szCs w:val="24"/>
                <w:bdr w:val="none" w:color="auto" w:sz="0" w:space="0"/>
                <w:lang w:val="en-US" w:eastAsia="zh-CN" w:bidi="ar"/>
              </w:rPr>
              <w:t>）限值要求。</w:t>
            </w:r>
          </w:p>
          <w:p w14:paraId="1FF7942B">
            <w:pPr>
              <w:keepNext w:val="0"/>
              <w:keepLines w:val="0"/>
              <w:widowControl w:val="0"/>
              <w:suppressLineNumbers w:val="0"/>
              <w:adjustRightInd w:val="0"/>
              <w:snapToGrid w:val="0"/>
              <w:spacing w:before="0" w:beforeAutospacing="0" w:after="0" w:afterAutospacing="0" w:line="440" w:lineRule="exact"/>
              <w:ind w:left="0" w:right="0" w:firstLine="482"/>
              <w:jc w:val="left"/>
              <w:rPr>
                <w:rFonts w:hint="default" w:ascii="Times New Roman" w:hAnsi="Times New Roman"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根据《合成树脂工业污染物排放标准》（</w:t>
            </w:r>
            <w:r>
              <w:rPr>
                <w:rFonts w:hint="default" w:ascii="Times New Roman" w:hAnsi="Times New Roman" w:eastAsia="宋体" w:cs="Times New Roman"/>
                <w:color w:val="000000"/>
                <w:kern w:val="2"/>
                <w:sz w:val="24"/>
                <w:szCs w:val="24"/>
                <w:bdr w:val="none" w:color="auto" w:sz="0" w:space="0"/>
                <w:lang w:val="en-US" w:eastAsia="zh-CN" w:bidi="ar"/>
              </w:rPr>
              <w:t>GB31572-2015</w:t>
            </w:r>
            <w:r>
              <w:rPr>
                <w:rFonts w:hint="eastAsia" w:ascii="Times New Roman" w:hAnsi="Calibri" w:eastAsia="宋体" w:cs="宋体"/>
                <w:color w:val="000000"/>
                <w:kern w:val="2"/>
                <w:sz w:val="24"/>
                <w:szCs w:val="24"/>
                <w:bdr w:val="none" w:color="auto" w:sz="0" w:space="0"/>
                <w:lang w:val="en-US" w:eastAsia="zh-CN" w:bidi="ar"/>
              </w:rPr>
              <w:t>）表</w:t>
            </w:r>
            <w:r>
              <w:rPr>
                <w:rFonts w:hint="default" w:ascii="Times New Roman" w:hAnsi="Times New Roman" w:eastAsia="宋体" w:cs="Times New Roman"/>
                <w:color w:val="000000"/>
                <w:kern w:val="2"/>
                <w:sz w:val="24"/>
                <w:szCs w:val="24"/>
                <w:bdr w:val="none" w:color="auto" w:sz="0" w:space="0"/>
                <w:lang w:val="en-US" w:eastAsia="zh-CN" w:bidi="ar"/>
              </w:rPr>
              <w:t>5</w:t>
            </w:r>
            <w:r>
              <w:rPr>
                <w:rFonts w:hint="eastAsia" w:ascii="Times New Roman" w:hAnsi="Calibri" w:eastAsia="宋体" w:cs="宋体"/>
                <w:color w:val="000000"/>
                <w:kern w:val="2"/>
                <w:sz w:val="24"/>
                <w:szCs w:val="24"/>
                <w:bdr w:val="none" w:color="auto" w:sz="0" w:space="0"/>
                <w:lang w:val="en-US" w:eastAsia="zh-CN" w:bidi="ar"/>
              </w:rPr>
              <w:t>大气污染物特别排放限值中规定，车间或生产设施排气筒单位产品非甲烷总烃排放量限值为</w:t>
            </w:r>
            <w:r>
              <w:rPr>
                <w:rFonts w:hint="default" w:ascii="Times New Roman" w:hAnsi="Times New Roman" w:eastAsia="宋体" w:cs="Times New Roman"/>
                <w:color w:val="000000"/>
                <w:kern w:val="2"/>
                <w:sz w:val="24"/>
                <w:szCs w:val="24"/>
                <w:bdr w:val="none" w:color="auto" w:sz="0" w:space="0"/>
                <w:lang w:val="en-US" w:eastAsia="zh-CN" w:bidi="ar"/>
              </w:rPr>
              <w:t>0.3kg/t</w:t>
            </w:r>
            <w:r>
              <w:rPr>
                <w:rFonts w:hint="eastAsia" w:ascii="Times New Roman" w:hAnsi="Calibri" w:eastAsia="宋体" w:cs="宋体"/>
                <w:color w:val="000000"/>
                <w:kern w:val="2"/>
                <w:sz w:val="24"/>
                <w:szCs w:val="24"/>
                <w:bdr w:val="none" w:color="auto" w:sz="0" w:space="0"/>
                <w:lang w:val="en-US" w:eastAsia="zh-CN" w:bidi="ar"/>
              </w:rPr>
              <w:t>产品。扩建项目网格棉产品总量为</w:t>
            </w:r>
            <w:r>
              <w:rPr>
                <w:rFonts w:hint="default" w:ascii="Times New Roman" w:hAnsi="Times New Roman" w:eastAsia="宋体" w:cs="Times New Roman"/>
                <w:color w:val="000000"/>
                <w:kern w:val="2"/>
                <w:sz w:val="24"/>
                <w:szCs w:val="24"/>
                <w:bdr w:val="none" w:color="auto" w:sz="0" w:space="0"/>
                <w:lang w:val="en-US" w:eastAsia="zh-CN" w:bidi="ar"/>
              </w:rPr>
              <w:t>27.4t/a</w:t>
            </w:r>
            <w:r>
              <w:rPr>
                <w:rFonts w:hint="eastAsia" w:ascii="Times New Roman" w:hAnsi="Calibri" w:eastAsia="宋体" w:cs="宋体"/>
                <w:color w:val="000000"/>
                <w:kern w:val="2"/>
                <w:sz w:val="24"/>
                <w:szCs w:val="24"/>
                <w:bdr w:val="none" w:color="auto" w:sz="0" w:space="0"/>
                <w:lang w:val="en-US" w:eastAsia="zh-CN" w:bidi="ar"/>
              </w:rPr>
              <w:t>，激光切割工序非甲烷总烃排放量为</w:t>
            </w:r>
            <w:r>
              <w:rPr>
                <w:rFonts w:hint="default" w:ascii="Times New Roman" w:hAnsi="Calibri" w:eastAsia="宋体" w:cs="Times New Roman"/>
                <w:color w:val="000000"/>
                <w:kern w:val="2"/>
                <w:sz w:val="24"/>
                <w:szCs w:val="24"/>
                <w:bdr w:val="none" w:color="auto" w:sz="0" w:space="0"/>
                <w:lang w:val="en-US" w:eastAsia="zh-CN" w:bidi="ar"/>
              </w:rPr>
              <w:t>0.4kg/a</w:t>
            </w:r>
            <w:r>
              <w:rPr>
                <w:rFonts w:hint="eastAsia" w:ascii="Times New Roman" w:hAnsi="Calibri" w:eastAsia="宋体" w:cs="宋体"/>
                <w:color w:val="000000"/>
                <w:kern w:val="2"/>
                <w:sz w:val="24"/>
                <w:szCs w:val="24"/>
                <w:bdr w:val="none" w:color="auto" w:sz="0" w:space="0"/>
                <w:lang w:val="en-US" w:eastAsia="zh-CN" w:bidi="ar"/>
              </w:rPr>
              <w:t>，通过折算，项目激光切割工序单位产品非甲烷总烃排放量为</w:t>
            </w:r>
            <w:r>
              <w:rPr>
                <w:rFonts w:hint="default" w:ascii="Times New Roman" w:hAnsi="Times New Roman" w:eastAsia="宋体" w:cs="Times New Roman"/>
                <w:color w:val="000000"/>
                <w:kern w:val="2"/>
                <w:sz w:val="24"/>
                <w:szCs w:val="24"/>
                <w:bdr w:val="none" w:color="auto" w:sz="0" w:space="0"/>
                <w:lang w:val="en-US" w:eastAsia="zh-CN" w:bidi="ar"/>
              </w:rPr>
              <w:t>0.015kg/t</w:t>
            </w:r>
            <w:r>
              <w:rPr>
                <w:rFonts w:hint="eastAsia" w:ascii="Times New Roman" w:hAnsi="Calibri" w:eastAsia="宋体" w:cs="宋体"/>
                <w:color w:val="000000"/>
                <w:kern w:val="2"/>
                <w:sz w:val="24"/>
                <w:szCs w:val="24"/>
                <w:bdr w:val="none" w:color="auto" w:sz="0" w:space="0"/>
                <w:lang w:val="en-US" w:eastAsia="zh-CN" w:bidi="ar"/>
              </w:rPr>
              <w:t>产品，符合《合成树脂工业污染物排放标准》（</w:t>
            </w:r>
            <w:r>
              <w:rPr>
                <w:rFonts w:hint="default" w:ascii="Times New Roman" w:hAnsi="Times New Roman" w:eastAsia="宋体" w:cs="Times New Roman"/>
                <w:color w:val="000000"/>
                <w:kern w:val="2"/>
                <w:sz w:val="24"/>
                <w:szCs w:val="24"/>
                <w:bdr w:val="none" w:color="auto" w:sz="0" w:space="0"/>
                <w:lang w:val="en-US" w:eastAsia="zh-CN" w:bidi="ar"/>
              </w:rPr>
              <w:t>GB31572-2015</w:t>
            </w:r>
            <w:r>
              <w:rPr>
                <w:rFonts w:hint="eastAsia" w:ascii="Times New Roman" w:hAnsi="Calibri" w:eastAsia="宋体" w:cs="宋体"/>
                <w:color w:val="000000"/>
                <w:kern w:val="2"/>
                <w:sz w:val="24"/>
                <w:szCs w:val="24"/>
                <w:bdr w:val="none" w:color="auto" w:sz="0" w:space="0"/>
                <w:lang w:val="en-US" w:eastAsia="zh-CN" w:bidi="ar"/>
              </w:rPr>
              <w:t>）排放限值规定要求。</w:t>
            </w:r>
          </w:p>
          <w:p w14:paraId="13434316">
            <w:pPr>
              <w:keepNext w:val="0"/>
              <w:keepLines w:val="0"/>
              <w:widowControl w:val="0"/>
              <w:suppressLineNumbers w:val="0"/>
              <w:adjustRightInd w:val="0"/>
              <w:snapToGrid w:val="0"/>
              <w:spacing w:before="0" w:beforeAutospacing="0" w:after="0" w:afterAutospacing="0" w:line="460" w:lineRule="exact"/>
              <w:ind w:left="0" w:right="0" w:firstLine="480"/>
              <w:jc w:val="left"/>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2</w:t>
            </w:r>
            <w:r>
              <w:rPr>
                <w:rFonts w:hint="eastAsia" w:ascii="Times New Roman" w:hAnsi="Times New Roman" w:eastAsia="宋体" w:cs="宋体"/>
                <w:color w:val="000000"/>
                <w:kern w:val="2"/>
                <w:sz w:val="24"/>
                <w:szCs w:val="24"/>
                <w:bdr w:val="none" w:color="auto" w:sz="0" w:space="0"/>
                <w:lang w:val="en-US" w:eastAsia="zh-CN" w:bidi="ar"/>
              </w:rPr>
              <w:t>）废气污染防治措施可行性分析</w:t>
            </w:r>
          </w:p>
          <w:p w14:paraId="7D7F6F66">
            <w:pPr>
              <w:keepNext w:val="0"/>
              <w:keepLines w:val="0"/>
              <w:widowControl w:val="0"/>
              <w:suppressLineNumbers w:val="0"/>
              <w:adjustRightInd w:val="0"/>
              <w:snapToGrid w:val="0"/>
              <w:spacing w:before="0" w:beforeAutospacing="0" w:after="0" w:afterAutospacing="0" w:line="460" w:lineRule="exact"/>
              <w:ind w:left="0" w:right="0" w:firstLine="480"/>
              <w:jc w:val="left"/>
              <w:rPr>
                <w:rFonts w:hint="default" w:ascii="Times New Roman" w:hAnsi="Calibri" w:cs="Times New Roman"/>
                <w:bCs/>
                <w:color w:val="000000"/>
                <w:kern w:val="0"/>
                <w:sz w:val="24"/>
                <w:szCs w:val="24"/>
                <w:bdr w:val="none" w:color="auto" w:sz="0" w:space="0"/>
                <w:lang w:val="en-US"/>
              </w:rPr>
            </w:pPr>
            <w:r>
              <w:rPr>
                <w:rFonts w:hint="eastAsia" w:ascii="Times New Roman" w:hAnsi="Calibri" w:eastAsia="宋体" w:cs="宋体"/>
                <w:bCs/>
                <w:color w:val="000000"/>
                <w:kern w:val="0"/>
                <w:sz w:val="24"/>
                <w:szCs w:val="24"/>
                <w:bdr w:val="none" w:color="auto" w:sz="0" w:space="0"/>
                <w:lang w:val="en-US" w:eastAsia="zh-CN" w:bidi="ar"/>
              </w:rPr>
              <w:t>①涂胶、激光切割废气</w:t>
            </w:r>
          </w:p>
          <w:p w14:paraId="7CA7A1AA">
            <w:pPr>
              <w:keepNext w:val="0"/>
              <w:keepLines w:val="0"/>
              <w:widowControl w:val="0"/>
              <w:suppressLineNumbers w:val="0"/>
              <w:adjustRightInd w:val="0"/>
              <w:snapToGrid w:val="0"/>
              <w:spacing w:before="0" w:beforeAutospacing="0" w:after="0" w:afterAutospacing="0" w:line="460" w:lineRule="exact"/>
              <w:ind w:left="0" w:right="0" w:firstLine="480"/>
              <w:jc w:val="left"/>
              <w:rPr>
                <w:rFonts w:hint="default" w:ascii="Times New Roman" w:hAnsi="Times New Roman" w:cs="Times New Roman"/>
                <w:color w:val="000000"/>
                <w:sz w:val="24"/>
                <w:szCs w:val="24"/>
                <w:bdr w:val="none" w:color="auto" w:sz="0" w:space="0"/>
                <w:lang w:val="en-US"/>
              </w:rPr>
            </w:pPr>
            <w:r>
              <w:rPr>
                <w:rFonts w:hint="eastAsia" w:ascii="Times New Roman" w:hAnsi="Calibri" w:eastAsia="宋体" w:cs="宋体"/>
                <w:bCs/>
                <w:color w:val="000000"/>
                <w:kern w:val="0"/>
                <w:sz w:val="24"/>
                <w:szCs w:val="24"/>
                <w:bdr w:val="none" w:color="auto" w:sz="0" w:space="0"/>
                <w:lang w:val="en-US" w:eastAsia="zh-CN" w:bidi="ar"/>
              </w:rPr>
              <w:t>根据《</w:t>
            </w:r>
            <w:r>
              <w:rPr>
                <w:rFonts w:hint="eastAsia" w:ascii="Times New Roman" w:hAnsi="Calibri" w:eastAsia="宋体" w:cs="宋体"/>
                <w:bCs/>
                <w:color w:val="000000"/>
                <w:kern w:val="2"/>
                <w:sz w:val="24"/>
                <w:szCs w:val="24"/>
                <w:bdr w:val="none" w:color="auto" w:sz="0" w:space="0"/>
                <w:lang w:val="en-US" w:eastAsia="zh-CN" w:bidi="ar"/>
              </w:rPr>
              <w:t>排污许可证申请与核发技术规范</w:t>
            </w:r>
            <w:r>
              <w:rPr>
                <w:rFonts w:hint="default" w:ascii="Times New Roman" w:hAnsi="Times New Roman" w:eastAsia="宋体" w:cs="Times New Roman"/>
                <w:bCs/>
                <w:color w:val="000000"/>
                <w:kern w:val="2"/>
                <w:sz w:val="24"/>
                <w:szCs w:val="24"/>
                <w:bdr w:val="none" w:color="auto" w:sz="0" w:space="0"/>
                <w:lang w:val="en-US" w:eastAsia="zh-CN" w:bidi="ar"/>
              </w:rPr>
              <w:t xml:space="preserve"> </w:t>
            </w:r>
            <w:r>
              <w:rPr>
                <w:rFonts w:hint="eastAsia" w:ascii="Times New Roman" w:hAnsi="Calibri" w:eastAsia="宋体" w:cs="宋体"/>
                <w:bCs/>
                <w:color w:val="000000"/>
                <w:kern w:val="2"/>
                <w:sz w:val="24"/>
                <w:szCs w:val="24"/>
                <w:bdr w:val="none" w:color="auto" w:sz="0" w:space="0"/>
                <w:lang w:val="en-US" w:eastAsia="zh-CN" w:bidi="ar"/>
              </w:rPr>
              <w:t>汽车制造业</w:t>
            </w:r>
            <w:r>
              <w:rPr>
                <w:rFonts w:hint="eastAsia" w:ascii="Times New Roman" w:hAnsi="Calibri" w:eastAsia="宋体" w:cs="宋体"/>
                <w:bCs/>
                <w:color w:val="000000"/>
                <w:kern w:val="0"/>
                <w:sz w:val="24"/>
                <w:szCs w:val="24"/>
                <w:bdr w:val="none" w:color="auto" w:sz="0" w:space="0"/>
                <w:lang w:val="en-US" w:eastAsia="zh-CN" w:bidi="ar"/>
              </w:rPr>
              <w:t>》（</w:t>
            </w:r>
            <w:r>
              <w:rPr>
                <w:rFonts w:hint="default" w:ascii="Times New Roman" w:hAnsi="Times New Roman" w:eastAsia="宋体" w:cs="Times New Roman"/>
                <w:bCs/>
                <w:color w:val="000000"/>
                <w:kern w:val="0"/>
                <w:sz w:val="24"/>
                <w:szCs w:val="24"/>
                <w:bdr w:val="none" w:color="auto" w:sz="0" w:space="0"/>
                <w:lang w:val="en-US" w:eastAsia="zh-CN" w:bidi="ar"/>
              </w:rPr>
              <w:t>HJ 971-2018</w:t>
            </w:r>
            <w:r>
              <w:rPr>
                <w:rFonts w:hint="eastAsia" w:ascii="Times New Roman" w:hAnsi="Calibri" w:eastAsia="宋体" w:cs="宋体"/>
                <w:bCs/>
                <w:color w:val="000000"/>
                <w:kern w:val="0"/>
                <w:sz w:val="24"/>
                <w:szCs w:val="24"/>
                <w:bdr w:val="none" w:color="auto" w:sz="0" w:space="0"/>
                <w:lang w:val="en-US" w:eastAsia="zh-CN" w:bidi="ar"/>
              </w:rPr>
              <w:t>）表</w:t>
            </w:r>
            <w:r>
              <w:rPr>
                <w:rFonts w:hint="default" w:ascii="Times New Roman" w:hAnsi="Times New Roman" w:eastAsia="宋体" w:cs="Times New Roman"/>
                <w:bCs/>
                <w:color w:val="000000"/>
                <w:kern w:val="0"/>
                <w:sz w:val="24"/>
                <w:szCs w:val="24"/>
                <w:bdr w:val="none" w:color="auto" w:sz="0" w:space="0"/>
                <w:lang w:val="en-US" w:eastAsia="zh-CN" w:bidi="ar"/>
              </w:rPr>
              <w:t>17</w:t>
            </w:r>
            <w:r>
              <w:rPr>
                <w:rFonts w:hint="eastAsia" w:ascii="Times New Roman" w:hAnsi="Calibri" w:eastAsia="宋体" w:cs="宋体"/>
                <w:bCs/>
                <w:color w:val="000000"/>
                <w:kern w:val="0"/>
                <w:sz w:val="24"/>
                <w:szCs w:val="24"/>
                <w:bdr w:val="none" w:color="auto" w:sz="0" w:space="0"/>
                <w:lang w:val="en-US" w:eastAsia="zh-CN" w:bidi="ar"/>
              </w:rPr>
              <w:t>中</w:t>
            </w:r>
            <w:r>
              <w:rPr>
                <w:rFonts w:hint="eastAsia" w:ascii="宋体" w:hAnsi="宋体" w:eastAsia="宋体" w:cs="宋体"/>
                <w:bCs/>
                <w:color w:val="000000"/>
                <w:kern w:val="0"/>
                <w:sz w:val="24"/>
                <w:szCs w:val="24"/>
                <w:bdr w:val="none" w:color="auto" w:sz="0" w:space="0"/>
                <w:lang w:val="en-US" w:eastAsia="zh-CN" w:bidi="ar"/>
              </w:rPr>
              <w:t>“</w:t>
            </w:r>
            <w:r>
              <w:rPr>
                <w:rFonts w:hint="default" w:ascii="Times New Roman" w:hAnsi="Times New Roman" w:eastAsia="宋体" w:cs="Times New Roman"/>
                <w:bCs/>
                <w:color w:val="000000"/>
                <w:kern w:val="0"/>
                <w:sz w:val="24"/>
                <w:szCs w:val="24"/>
                <w:bdr w:val="none" w:color="auto" w:sz="0" w:space="0"/>
                <w:lang w:val="en-US" w:eastAsia="zh-CN" w:bidi="ar"/>
              </w:rPr>
              <w:t>3</w:t>
            </w:r>
            <w:r>
              <w:rPr>
                <w:rFonts w:hint="eastAsia" w:ascii="Times New Roman" w:hAnsi="Calibri" w:eastAsia="宋体" w:cs="宋体"/>
                <w:bCs/>
                <w:color w:val="000000"/>
                <w:kern w:val="0"/>
                <w:sz w:val="24"/>
                <w:szCs w:val="24"/>
                <w:bdr w:val="none" w:color="auto" w:sz="0" w:space="0"/>
                <w:lang w:val="en-US" w:eastAsia="zh-CN" w:bidi="ar"/>
              </w:rPr>
              <w:t>、座椅、内饰等其他零部件</w:t>
            </w:r>
            <w:r>
              <w:rPr>
                <w:rFonts w:hint="eastAsia" w:ascii="宋体" w:hAnsi="宋体" w:eastAsia="宋体" w:cs="宋体"/>
                <w:bCs/>
                <w:color w:val="000000"/>
                <w:kern w:val="0"/>
                <w:sz w:val="24"/>
                <w:szCs w:val="24"/>
                <w:bdr w:val="none" w:color="auto" w:sz="0" w:space="0"/>
                <w:lang w:val="en-US" w:eastAsia="zh-CN" w:bidi="ar"/>
              </w:rPr>
              <w:t>”</w:t>
            </w:r>
            <w:r>
              <w:rPr>
                <w:rFonts w:hint="eastAsia" w:ascii="Times New Roman" w:hAnsi="Calibri" w:eastAsia="宋体" w:cs="宋体"/>
                <w:bCs/>
                <w:color w:val="000000"/>
                <w:kern w:val="0"/>
                <w:sz w:val="24"/>
                <w:szCs w:val="24"/>
                <w:bdr w:val="none" w:color="auto" w:sz="0" w:space="0"/>
                <w:lang w:val="en-US" w:eastAsia="zh-CN" w:bidi="ar"/>
              </w:rPr>
              <w:t>中的可行污染治理工艺：树脂纤维加工过程产生的挥发性有机物治理工艺的可行技术为“活性炭吸附”；颗粒物污染治理工艺的可行技术为“袋式过滤除尘”。同时</w:t>
            </w:r>
            <w:r>
              <w:rPr>
                <w:rFonts w:hint="eastAsia" w:ascii="Times New Roman" w:hAnsi="Times New Roman" w:eastAsia="宋体" w:cs="宋体"/>
                <w:color w:val="000000"/>
                <w:kern w:val="2"/>
                <w:sz w:val="24"/>
                <w:szCs w:val="24"/>
                <w:bdr w:val="none" w:color="auto" w:sz="0" w:space="0"/>
                <w:lang w:val="en-US" w:eastAsia="zh-CN" w:bidi="ar"/>
              </w:rPr>
              <w:t>根据</w:t>
            </w:r>
            <w:r>
              <w:rPr>
                <w:rFonts w:hint="eastAsia" w:ascii="Times New Roman" w:hAnsi="Calibri" w:eastAsia="宋体" w:cs="宋体"/>
                <w:color w:val="000000"/>
                <w:spacing w:val="-2"/>
                <w:kern w:val="2"/>
                <w:sz w:val="24"/>
                <w:szCs w:val="24"/>
                <w:bdr w:val="none" w:color="auto" w:sz="0" w:space="0"/>
                <w:lang w:val="en-US" w:eastAsia="zh-CN" w:bidi="ar"/>
              </w:rPr>
              <w:t>《挥发性有机物（</w:t>
            </w:r>
            <w:r>
              <w:rPr>
                <w:rFonts w:hint="default" w:ascii="Times New Roman" w:hAnsi="Times New Roman" w:eastAsia="宋体" w:cs="Times New Roman"/>
                <w:color w:val="000000"/>
                <w:spacing w:val="-2"/>
                <w:kern w:val="2"/>
                <w:sz w:val="24"/>
                <w:szCs w:val="24"/>
                <w:bdr w:val="none" w:color="auto" w:sz="0" w:space="0"/>
                <w:lang w:val="en-US" w:eastAsia="zh-CN" w:bidi="ar"/>
              </w:rPr>
              <w:t>VOCs</w:t>
            </w:r>
            <w:r>
              <w:rPr>
                <w:rFonts w:hint="eastAsia" w:ascii="Times New Roman" w:hAnsi="Calibri" w:eastAsia="宋体" w:cs="宋体"/>
                <w:color w:val="000000"/>
                <w:spacing w:val="-2"/>
                <w:kern w:val="2"/>
                <w:sz w:val="24"/>
                <w:szCs w:val="24"/>
                <w:bdr w:val="none" w:color="auto" w:sz="0" w:space="0"/>
                <w:lang w:val="en-US" w:eastAsia="zh-CN" w:bidi="ar"/>
              </w:rPr>
              <w:t>）污染防治技术政策》要求：对于含中等浓度</w:t>
            </w:r>
            <w:r>
              <w:rPr>
                <w:rFonts w:hint="default" w:ascii="Times New Roman" w:hAnsi="Calibri" w:eastAsia="宋体" w:cs="Times New Roman"/>
                <w:color w:val="000000"/>
                <w:spacing w:val="-2"/>
                <w:kern w:val="2"/>
                <w:sz w:val="24"/>
                <w:szCs w:val="24"/>
                <w:bdr w:val="none" w:color="auto" w:sz="0" w:space="0"/>
                <w:lang w:val="en-US" w:eastAsia="zh-CN" w:bidi="ar"/>
              </w:rPr>
              <w:t>VOCs</w:t>
            </w:r>
            <w:r>
              <w:rPr>
                <w:rFonts w:hint="eastAsia" w:ascii="Times New Roman" w:hAnsi="Calibri" w:eastAsia="宋体" w:cs="宋体"/>
                <w:color w:val="000000"/>
                <w:spacing w:val="-2"/>
                <w:kern w:val="2"/>
                <w:sz w:val="24"/>
                <w:szCs w:val="24"/>
                <w:bdr w:val="none" w:color="auto" w:sz="0" w:space="0"/>
                <w:lang w:val="en-US" w:eastAsia="zh-CN" w:bidi="ar"/>
              </w:rPr>
              <w:t>的废气，可采用吸附技术达标排放。</w:t>
            </w:r>
          </w:p>
          <w:p w14:paraId="0433F043">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bCs/>
                <w:color w:val="000000"/>
                <w:kern w:val="0"/>
                <w:sz w:val="24"/>
                <w:szCs w:val="24"/>
                <w:bdr w:val="none" w:color="auto" w:sz="0" w:space="0"/>
                <w:lang w:val="en-US"/>
              </w:rPr>
            </w:pPr>
            <w:r>
              <w:rPr>
                <w:rFonts w:hint="eastAsia" w:ascii="Times New Roman" w:hAnsi="Calibri" w:eastAsia="宋体" w:cs="宋体"/>
                <w:bCs/>
                <w:color w:val="000000"/>
                <w:kern w:val="0"/>
                <w:sz w:val="24"/>
                <w:szCs w:val="24"/>
                <w:bdr w:val="none" w:color="auto" w:sz="0" w:space="0"/>
                <w:lang w:val="en-US" w:eastAsia="zh-CN" w:bidi="ar"/>
              </w:rPr>
              <w:t>扩建项目背胶处理剂涂胶废气污染物主要为非甲烷总烃；激光切割工艺废气污染物主要为非甲烷总烃、</w:t>
            </w:r>
            <w:r>
              <w:rPr>
                <w:rFonts w:hint="default" w:ascii="Times New Roman" w:hAnsi="Calibri" w:eastAsia="宋体" w:cs="Times New Roman"/>
                <w:bCs/>
                <w:color w:val="000000"/>
                <w:kern w:val="0"/>
                <w:sz w:val="24"/>
                <w:szCs w:val="24"/>
                <w:bdr w:val="none" w:color="auto" w:sz="0" w:space="0"/>
                <w:lang w:val="en-US" w:eastAsia="zh-CN" w:bidi="ar"/>
              </w:rPr>
              <w:t>MDI</w:t>
            </w:r>
            <w:r>
              <w:rPr>
                <w:rFonts w:hint="eastAsia" w:ascii="Times New Roman" w:hAnsi="Calibri" w:eastAsia="宋体" w:cs="宋体"/>
                <w:bCs/>
                <w:color w:val="000000"/>
                <w:kern w:val="0"/>
                <w:sz w:val="24"/>
                <w:szCs w:val="24"/>
                <w:bdr w:val="none" w:color="auto" w:sz="0" w:space="0"/>
                <w:lang w:val="en-US" w:eastAsia="zh-CN" w:bidi="ar"/>
              </w:rPr>
              <w:t>及烟尘，两股废气收集后采用“布袋</w:t>
            </w:r>
            <w:r>
              <w:rPr>
                <w:rFonts w:hint="default" w:ascii="Times New Roman" w:hAnsi="Calibri" w:eastAsia="宋体" w:cs="Times New Roman"/>
                <w:bCs/>
                <w:color w:val="000000"/>
                <w:kern w:val="0"/>
                <w:sz w:val="24"/>
                <w:szCs w:val="24"/>
                <w:bdr w:val="none" w:color="auto" w:sz="0" w:space="0"/>
                <w:lang w:val="en-US" w:eastAsia="zh-CN" w:bidi="ar"/>
              </w:rPr>
              <w:t>+UV</w:t>
            </w:r>
            <w:r>
              <w:rPr>
                <w:rFonts w:hint="eastAsia" w:ascii="Times New Roman" w:hAnsi="Calibri" w:eastAsia="宋体" w:cs="宋体"/>
                <w:bCs/>
                <w:color w:val="000000"/>
                <w:kern w:val="0"/>
                <w:sz w:val="24"/>
                <w:szCs w:val="24"/>
                <w:bdr w:val="none" w:color="auto" w:sz="0" w:space="0"/>
                <w:lang w:val="en-US" w:eastAsia="zh-CN" w:bidi="ar"/>
              </w:rPr>
              <w:t>光解</w:t>
            </w:r>
            <w:r>
              <w:rPr>
                <w:rFonts w:hint="default" w:ascii="Times New Roman" w:hAnsi="Calibri" w:eastAsia="宋体" w:cs="Times New Roman"/>
                <w:bCs/>
                <w:color w:val="000000"/>
                <w:kern w:val="0"/>
                <w:sz w:val="24"/>
                <w:szCs w:val="24"/>
                <w:bdr w:val="none" w:color="auto" w:sz="0" w:space="0"/>
                <w:lang w:val="en-US" w:eastAsia="zh-CN" w:bidi="ar"/>
              </w:rPr>
              <w:t>+</w:t>
            </w:r>
            <w:r>
              <w:rPr>
                <w:rFonts w:hint="eastAsia" w:ascii="Times New Roman" w:hAnsi="Calibri" w:eastAsia="宋体" w:cs="宋体"/>
                <w:bCs/>
                <w:color w:val="000000"/>
                <w:kern w:val="0"/>
                <w:sz w:val="24"/>
                <w:szCs w:val="24"/>
                <w:bdr w:val="none" w:color="auto" w:sz="0" w:space="0"/>
                <w:lang w:val="en-US" w:eastAsia="zh-CN" w:bidi="ar"/>
              </w:rPr>
              <w:t>二级活性炭”处理，属于推荐的可行性技术，符合相关要求。</w:t>
            </w:r>
          </w:p>
          <w:p w14:paraId="7B04B4C4">
            <w:pPr>
              <w:keepNext w:val="0"/>
              <w:keepLines w:val="0"/>
              <w:widowControl w:val="0"/>
              <w:suppressLineNumbers w:val="0"/>
              <w:adjustRightInd w:val="0"/>
              <w:snapToGrid w:val="0"/>
              <w:spacing w:before="0" w:beforeAutospacing="0" w:after="0" w:afterAutospacing="0" w:line="460" w:lineRule="exact"/>
              <w:ind w:left="0" w:right="0" w:firstLine="480"/>
              <w:jc w:val="left"/>
              <w:rPr>
                <w:rFonts w:hint="default" w:ascii="Times New Roman" w:hAnsi="Times New Roman" w:cs="Times New Roman"/>
                <w:color w:val="000000"/>
                <w:sz w:val="24"/>
                <w:szCs w:val="24"/>
                <w:bdr w:val="none" w:color="auto" w:sz="0" w:space="0"/>
                <w:lang w:val="en-US"/>
              </w:rPr>
            </w:pPr>
            <w:r>
              <w:rPr>
                <w:rFonts w:hint="eastAsia" w:ascii="Times New Roman" w:hAnsi="Calibri" w:eastAsia="宋体" w:cs="宋体"/>
                <w:color w:val="000000"/>
                <w:spacing w:val="-2"/>
                <w:kern w:val="2"/>
                <w:sz w:val="24"/>
                <w:szCs w:val="24"/>
                <w:bdr w:val="none" w:color="auto" w:sz="0" w:space="0"/>
                <w:lang w:val="en-US" w:eastAsia="zh-CN" w:bidi="ar"/>
              </w:rPr>
              <w:t>根据《挥发性有机物无组织排放控制标准》（</w:t>
            </w:r>
            <w:r>
              <w:rPr>
                <w:rFonts w:hint="default" w:ascii="Times New Roman" w:hAnsi="Calibri" w:eastAsia="宋体" w:cs="Times New Roman"/>
                <w:color w:val="000000"/>
                <w:spacing w:val="-2"/>
                <w:kern w:val="2"/>
                <w:sz w:val="24"/>
                <w:szCs w:val="24"/>
                <w:bdr w:val="none" w:color="auto" w:sz="0" w:space="0"/>
                <w:lang w:val="en-US" w:eastAsia="zh-CN" w:bidi="ar"/>
              </w:rPr>
              <w:t>GB37822-2019</w:t>
            </w:r>
            <w:r>
              <w:rPr>
                <w:rFonts w:hint="eastAsia" w:ascii="Times New Roman" w:hAnsi="Calibri" w:eastAsia="宋体" w:cs="宋体"/>
                <w:color w:val="000000"/>
                <w:spacing w:val="-2"/>
                <w:kern w:val="2"/>
                <w:sz w:val="24"/>
                <w:szCs w:val="24"/>
                <w:bdr w:val="none" w:color="auto" w:sz="0" w:space="0"/>
                <w:lang w:val="en-US" w:eastAsia="zh-CN" w:bidi="ar"/>
              </w:rPr>
              <w:t>）中“对于重点地区，收集的废气中</w:t>
            </w:r>
            <w:r>
              <w:rPr>
                <w:rFonts w:hint="default" w:ascii="Times New Roman" w:hAnsi="Calibri" w:eastAsia="宋体" w:cs="Times New Roman"/>
                <w:color w:val="000000"/>
                <w:spacing w:val="-2"/>
                <w:kern w:val="2"/>
                <w:sz w:val="24"/>
                <w:szCs w:val="24"/>
                <w:bdr w:val="none" w:color="auto" w:sz="0" w:space="0"/>
                <w:lang w:val="en-US" w:eastAsia="zh-CN" w:bidi="ar"/>
              </w:rPr>
              <w:t>NMHC</w:t>
            </w:r>
            <w:r>
              <w:rPr>
                <w:rFonts w:hint="eastAsia" w:ascii="Times New Roman" w:hAnsi="Calibri" w:eastAsia="宋体" w:cs="宋体"/>
                <w:color w:val="000000"/>
                <w:spacing w:val="-2"/>
                <w:kern w:val="2"/>
                <w:sz w:val="24"/>
                <w:szCs w:val="24"/>
                <w:bdr w:val="none" w:color="auto" w:sz="0" w:space="0"/>
                <w:lang w:val="en-US" w:eastAsia="zh-CN" w:bidi="ar"/>
              </w:rPr>
              <w:t>初始排放速率≥</w:t>
            </w:r>
            <w:r>
              <w:rPr>
                <w:rFonts w:hint="default" w:ascii="Times New Roman" w:hAnsi="Calibri" w:eastAsia="宋体" w:cs="Times New Roman"/>
                <w:color w:val="000000"/>
                <w:spacing w:val="-2"/>
                <w:kern w:val="2"/>
                <w:sz w:val="24"/>
                <w:szCs w:val="24"/>
                <w:bdr w:val="none" w:color="auto" w:sz="0" w:space="0"/>
                <w:lang w:val="en-US" w:eastAsia="zh-CN" w:bidi="ar"/>
              </w:rPr>
              <w:t>2.0kg/h</w:t>
            </w:r>
            <w:r>
              <w:rPr>
                <w:rFonts w:hint="eastAsia" w:ascii="Times New Roman" w:hAnsi="Calibri" w:eastAsia="宋体" w:cs="宋体"/>
                <w:color w:val="000000"/>
                <w:spacing w:val="-2"/>
                <w:kern w:val="2"/>
                <w:sz w:val="24"/>
                <w:szCs w:val="24"/>
                <w:bdr w:val="none" w:color="auto" w:sz="0" w:space="0"/>
                <w:lang w:val="en-US" w:eastAsia="zh-CN" w:bidi="ar"/>
              </w:rPr>
              <w:t>时，应配置</w:t>
            </w:r>
            <w:r>
              <w:rPr>
                <w:rFonts w:hint="default" w:ascii="Times New Roman" w:hAnsi="Calibri" w:eastAsia="宋体" w:cs="Times New Roman"/>
                <w:color w:val="000000"/>
                <w:spacing w:val="-2"/>
                <w:kern w:val="2"/>
                <w:sz w:val="24"/>
                <w:szCs w:val="24"/>
                <w:bdr w:val="none" w:color="auto" w:sz="0" w:space="0"/>
                <w:lang w:val="en-US" w:eastAsia="zh-CN" w:bidi="ar"/>
              </w:rPr>
              <w:t>VOCs</w:t>
            </w:r>
            <w:r>
              <w:rPr>
                <w:rFonts w:hint="eastAsia" w:ascii="Times New Roman" w:hAnsi="Calibri" w:eastAsia="宋体" w:cs="宋体"/>
                <w:color w:val="000000"/>
                <w:spacing w:val="-2"/>
                <w:kern w:val="2"/>
                <w:sz w:val="24"/>
                <w:szCs w:val="24"/>
                <w:bdr w:val="none" w:color="auto" w:sz="0" w:space="0"/>
                <w:lang w:val="en-US" w:eastAsia="zh-CN" w:bidi="ar"/>
              </w:rPr>
              <w:t>处理设施，处理效率不应低于</w:t>
            </w:r>
            <w:r>
              <w:rPr>
                <w:rFonts w:hint="default" w:ascii="Times New Roman" w:hAnsi="Calibri" w:eastAsia="宋体" w:cs="Times New Roman"/>
                <w:color w:val="000000"/>
                <w:spacing w:val="-2"/>
                <w:kern w:val="2"/>
                <w:sz w:val="24"/>
                <w:szCs w:val="24"/>
                <w:bdr w:val="none" w:color="auto" w:sz="0" w:space="0"/>
                <w:lang w:val="en-US" w:eastAsia="zh-CN" w:bidi="ar"/>
              </w:rPr>
              <w:t>80%</w:t>
            </w:r>
            <w:r>
              <w:rPr>
                <w:rFonts w:hint="eastAsia" w:ascii="Times New Roman" w:hAnsi="Calibri" w:eastAsia="宋体" w:cs="宋体"/>
                <w:color w:val="000000"/>
                <w:spacing w:val="-2"/>
                <w:kern w:val="2"/>
                <w:sz w:val="24"/>
                <w:szCs w:val="24"/>
                <w:bdr w:val="none" w:color="auto" w:sz="0" w:space="0"/>
                <w:lang w:val="en-US" w:eastAsia="zh-CN" w:bidi="ar"/>
              </w:rPr>
              <w:t>。”，扩建项目收集的有机废气初始排放速率小于</w:t>
            </w:r>
            <w:r>
              <w:rPr>
                <w:rFonts w:hint="default" w:ascii="Times New Roman" w:hAnsi="Calibri" w:eastAsia="宋体" w:cs="Times New Roman"/>
                <w:color w:val="000000"/>
                <w:spacing w:val="-2"/>
                <w:kern w:val="2"/>
                <w:sz w:val="24"/>
                <w:szCs w:val="24"/>
                <w:bdr w:val="none" w:color="auto" w:sz="0" w:space="0"/>
                <w:lang w:val="en-US" w:eastAsia="zh-CN" w:bidi="ar"/>
              </w:rPr>
              <w:t>2kg/h</w:t>
            </w:r>
            <w:r>
              <w:rPr>
                <w:rFonts w:hint="eastAsia" w:ascii="Times New Roman" w:hAnsi="Calibri" w:eastAsia="宋体" w:cs="宋体"/>
                <w:color w:val="000000"/>
                <w:spacing w:val="-2"/>
                <w:kern w:val="2"/>
                <w:sz w:val="24"/>
                <w:szCs w:val="24"/>
                <w:bdr w:val="none" w:color="auto" w:sz="0" w:space="0"/>
                <w:lang w:val="en-US" w:eastAsia="zh-CN" w:bidi="ar"/>
              </w:rPr>
              <w:t>，同时</w:t>
            </w:r>
            <w:r>
              <w:rPr>
                <w:rFonts w:hint="eastAsia" w:ascii="Times New Roman" w:hAnsi="Calibri" w:eastAsia="宋体" w:cs="宋体"/>
                <w:color w:val="000000"/>
                <w:kern w:val="2"/>
                <w:sz w:val="24"/>
                <w:szCs w:val="24"/>
                <w:bdr w:val="none" w:color="auto" w:sz="0" w:space="0"/>
                <w:lang w:val="en-US" w:eastAsia="zh-CN" w:bidi="ar"/>
              </w:rPr>
              <w:t>根据企业在</w:t>
            </w:r>
            <w:r>
              <w:rPr>
                <w:rFonts w:hint="default" w:ascii="Times New Roman" w:hAnsi="Calibri" w:eastAsia="宋体" w:cs="Times New Roman"/>
                <w:color w:val="000000"/>
                <w:kern w:val="2"/>
                <w:sz w:val="24"/>
                <w:szCs w:val="24"/>
                <w:bdr w:val="none" w:color="auto" w:sz="0" w:space="0"/>
                <w:lang w:val="en-US" w:eastAsia="zh-CN" w:bidi="ar"/>
              </w:rPr>
              <w:t>2023</w:t>
            </w:r>
            <w:r>
              <w:rPr>
                <w:rFonts w:hint="eastAsia" w:ascii="Times New Roman" w:hAnsi="Calibri" w:eastAsia="宋体" w:cs="宋体"/>
                <w:color w:val="000000"/>
                <w:kern w:val="2"/>
                <w:sz w:val="24"/>
                <w:szCs w:val="24"/>
                <w:bdr w:val="none" w:color="auto" w:sz="0" w:space="0"/>
                <w:lang w:val="en-US" w:eastAsia="zh-CN" w:bidi="ar"/>
              </w:rPr>
              <w:t>年</w:t>
            </w:r>
            <w:r>
              <w:rPr>
                <w:rFonts w:hint="default" w:ascii="Times New Roman" w:hAnsi="Calibri" w:eastAsia="宋体" w:cs="Times New Roman"/>
                <w:color w:val="000000"/>
                <w:kern w:val="2"/>
                <w:sz w:val="24"/>
                <w:szCs w:val="24"/>
                <w:bdr w:val="none" w:color="auto" w:sz="0" w:space="0"/>
                <w:lang w:val="en-US" w:eastAsia="zh-CN" w:bidi="ar"/>
              </w:rPr>
              <w:t>12</w:t>
            </w:r>
            <w:r>
              <w:rPr>
                <w:rFonts w:hint="eastAsia" w:ascii="Times New Roman" w:hAnsi="Calibri" w:eastAsia="宋体" w:cs="宋体"/>
                <w:color w:val="000000"/>
                <w:kern w:val="2"/>
                <w:sz w:val="24"/>
                <w:szCs w:val="24"/>
                <w:bdr w:val="none" w:color="auto" w:sz="0" w:space="0"/>
                <w:lang w:val="en-US" w:eastAsia="zh-CN" w:bidi="ar"/>
              </w:rPr>
              <w:t>月验收阶段的监测结果，现有“布袋</w:t>
            </w:r>
            <w:r>
              <w:rPr>
                <w:rFonts w:hint="default" w:ascii="Times New Roman" w:hAnsi="Calibri" w:eastAsia="宋体" w:cs="Times New Roman"/>
                <w:color w:val="000000"/>
                <w:kern w:val="2"/>
                <w:sz w:val="24"/>
                <w:szCs w:val="24"/>
                <w:bdr w:val="none" w:color="auto" w:sz="0" w:space="0"/>
                <w:lang w:val="en-US" w:eastAsia="zh-CN" w:bidi="ar"/>
              </w:rPr>
              <w:t>+UV</w:t>
            </w:r>
            <w:r>
              <w:rPr>
                <w:rFonts w:hint="eastAsia" w:ascii="Times New Roman" w:hAnsi="Calibri" w:eastAsia="宋体" w:cs="宋体"/>
                <w:color w:val="000000"/>
                <w:kern w:val="2"/>
                <w:sz w:val="24"/>
                <w:szCs w:val="24"/>
                <w:bdr w:val="none" w:color="auto" w:sz="0" w:space="0"/>
                <w:lang w:val="en-US" w:eastAsia="zh-CN" w:bidi="ar"/>
              </w:rPr>
              <w:t>光解</w:t>
            </w:r>
            <w:r>
              <w:rPr>
                <w:rFonts w:hint="default" w:ascii="Times New Roman" w:hAnsi="Calibri" w:eastAsia="宋体" w:cs="Times New Roman"/>
                <w:color w:val="000000"/>
                <w:kern w:val="2"/>
                <w:sz w:val="24"/>
                <w:szCs w:val="24"/>
                <w:bdr w:val="none" w:color="auto" w:sz="0" w:space="0"/>
                <w:lang w:val="en-US" w:eastAsia="zh-CN" w:bidi="ar"/>
              </w:rPr>
              <w:t>+</w:t>
            </w:r>
            <w:r>
              <w:rPr>
                <w:rFonts w:hint="eastAsia" w:ascii="Times New Roman" w:hAnsi="Calibri" w:eastAsia="宋体" w:cs="宋体"/>
                <w:color w:val="000000"/>
                <w:kern w:val="2"/>
                <w:sz w:val="24"/>
                <w:szCs w:val="24"/>
                <w:bdr w:val="none" w:color="auto" w:sz="0" w:space="0"/>
                <w:lang w:val="en-US" w:eastAsia="zh-CN" w:bidi="ar"/>
              </w:rPr>
              <w:t>二级活性炭吸附”处理工艺对有机废气的去除率约为</w:t>
            </w:r>
            <w:r>
              <w:rPr>
                <w:rFonts w:hint="default" w:ascii="Times New Roman" w:hAnsi="Calibri" w:eastAsia="宋体" w:cs="Times New Roman"/>
                <w:color w:val="000000"/>
                <w:kern w:val="2"/>
                <w:sz w:val="24"/>
                <w:szCs w:val="24"/>
                <w:bdr w:val="none" w:color="auto" w:sz="0" w:space="0"/>
                <w:lang w:val="en-US" w:eastAsia="zh-CN" w:bidi="ar"/>
              </w:rPr>
              <w:t>85%</w:t>
            </w:r>
            <w:r>
              <w:rPr>
                <w:rFonts w:hint="eastAsia" w:ascii="Times New Roman" w:hAnsi="Calibri" w:eastAsia="宋体" w:cs="宋体"/>
                <w:color w:val="000000"/>
                <w:kern w:val="2"/>
                <w:sz w:val="24"/>
                <w:szCs w:val="24"/>
                <w:bdr w:val="none" w:color="auto" w:sz="0" w:space="0"/>
                <w:lang w:val="en-US" w:eastAsia="zh-CN" w:bidi="ar"/>
              </w:rPr>
              <w:t>左右</w:t>
            </w:r>
            <w:r>
              <w:rPr>
                <w:rFonts w:hint="eastAsia" w:ascii="Times New Roman" w:hAnsi="Times New Roman" w:eastAsia="宋体" w:cs="宋体"/>
                <w:color w:val="000000"/>
                <w:kern w:val="2"/>
                <w:sz w:val="24"/>
                <w:szCs w:val="24"/>
                <w:bdr w:val="none" w:color="auto" w:sz="0" w:space="0"/>
                <w:lang w:val="en-US" w:eastAsia="zh-CN" w:bidi="ar"/>
              </w:rPr>
              <w:t>，扩建项目按照</w:t>
            </w:r>
            <w:r>
              <w:rPr>
                <w:rFonts w:hint="default" w:ascii="Times New Roman" w:hAnsi="Times New Roman" w:eastAsia="宋体" w:cs="Times New Roman"/>
                <w:color w:val="000000"/>
                <w:kern w:val="2"/>
                <w:sz w:val="24"/>
                <w:szCs w:val="24"/>
                <w:bdr w:val="none" w:color="auto" w:sz="0" w:space="0"/>
                <w:lang w:val="en-US" w:eastAsia="zh-CN" w:bidi="ar"/>
              </w:rPr>
              <w:t>80%</w:t>
            </w:r>
            <w:r>
              <w:rPr>
                <w:rFonts w:hint="eastAsia" w:ascii="Times New Roman" w:hAnsi="Times New Roman" w:eastAsia="宋体" w:cs="宋体"/>
                <w:color w:val="000000"/>
                <w:kern w:val="2"/>
                <w:sz w:val="24"/>
                <w:szCs w:val="24"/>
                <w:bdr w:val="none" w:color="auto" w:sz="0" w:space="0"/>
                <w:lang w:val="en-US" w:eastAsia="zh-CN" w:bidi="ar"/>
              </w:rPr>
              <w:t>处理效率进行预测，根据工程分析可知，</w:t>
            </w:r>
            <w:r>
              <w:rPr>
                <w:rFonts w:hint="eastAsia" w:ascii="Times New Roman" w:hAnsi="Calibri" w:eastAsia="宋体" w:cs="宋体"/>
                <w:color w:val="000000"/>
                <w:kern w:val="2"/>
                <w:sz w:val="24"/>
                <w:szCs w:val="24"/>
                <w:bdr w:val="none" w:color="auto" w:sz="0" w:space="0"/>
                <w:lang w:val="en-US" w:eastAsia="zh-CN" w:bidi="ar"/>
              </w:rPr>
              <w:t>有机废气</w:t>
            </w:r>
            <w:r>
              <w:rPr>
                <w:rFonts w:hint="eastAsia" w:ascii="Times New Roman" w:hAnsi="Times New Roman" w:eastAsia="宋体" w:cs="宋体"/>
                <w:color w:val="000000"/>
                <w:kern w:val="2"/>
                <w:sz w:val="24"/>
                <w:szCs w:val="24"/>
                <w:bdr w:val="none" w:color="auto" w:sz="0" w:space="0"/>
                <w:lang w:val="en-US" w:eastAsia="zh-CN" w:bidi="ar"/>
              </w:rPr>
              <w:t>经处理后，</w:t>
            </w:r>
            <w:r>
              <w:rPr>
                <w:rFonts w:hint="default" w:ascii="Times New Roman" w:hAnsi="Times New Roman" w:eastAsia="宋体" w:cs="Times New Roman"/>
                <w:color w:val="000000"/>
                <w:kern w:val="2"/>
                <w:sz w:val="24"/>
                <w:szCs w:val="24"/>
                <w:bdr w:val="none" w:color="auto" w:sz="0" w:space="0"/>
                <w:lang w:val="en-US" w:eastAsia="zh-CN" w:bidi="ar"/>
              </w:rPr>
              <w:t>DA001</w:t>
            </w:r>
            <w:r>
              <w:rPr>
                <w:rFonts w:hint="eastAsia" w:ascii="Times New Roman" w:hAnsi="Times New Roman" w:eastAsia="宋体" w:cs="宋体"/>
                <w:color w:val="000000"/>
                <w:kern w:val="2"/>
                <w:sz w:val="24"/>
                <w:szCs w:val="24"/>
                <w:bdr w:val="none" w:color="auto" w:sz="0" w:space="0"/>
                <w:lang w:val="en-US" w:eastAsia="zh-CN" w:bidi="ar"/>
              </w:rPr>
              <w:t>排气筒的非甲烷总烃和</w:t>
            </w:r>
            <w:r>
              <w:rPr>
                <w:rFonts w:hint="default" w:ascii="Times New Roman" w:hAnsi="Times New Roman" w:eastAsia="宋体" w:cs="Times New Roman"/>
                <w:color w:val="000000"/>
                <w:kern w:val="2"/>
                <w:sz w:val="24"/>
                <w:szCs w:val="24"/>
                <w:bdr w:val="none" w:color="auto" w:sz="0" w:space="0"/>
                <w:lang w:val="en-US" w:eastAsia="zh-CN" w:bidi="ar"/>
              </w:rPr>
              <w:t>MDI</w:t>
            </w:r>
            <w:r>
              <w:rPr>
                <w:rFonts w:hint="eastAsia" w:ascii="Times New Roman" w:hAnsi="Times New Roman" w:eastAsia="宋体" w:cs="宋体"/>
                <w:color w:val="000000"/>
                <w:kern w:val="2"/>
                <w:sz w:val="24"/>
                <w:szCs w:val="24"/>
                <w:bdr w:val="none" w:color="auto" w:sz="0" w:space="0"/>
                <w:lang w:val="en-US" w:eastAsia="zh-CN" w:bidi="ar"/>
              </w:rPr>
              <w:t>排放浓度满足能够满足</w:t>
            </w:r>
            <w:r>
              <w:rPr>
                <w:rFonts w:hint="eastAsia" w:ascii="Times New Roman" w:hAnsi="Calibri" w:eastAsia="宋体" w:cs="宋体"/>
                <w:color w:val="000000"/>
                <w:kern w:val="2"/>
                <w:sz w:val="24"/>
                <w:szCs w:val="24"/>
                <w:bdr w:val="none" w:color="auto" w:sz="0" w:space="0"/>
                <w:lang w:val="en-US" w:eastAsia="zh-CN" w:bidi="ar"/>
              </w:rPr>
              <w:t>《合成树脂工业污染物排放标准》（</w:t>
            </w:r>
            <w:r>
              <w:rPr>
                <w:rFonts w:hint="default" w:ascii="Times New Roman" w:hAnsi="Times New Roman" w:eastAsia="宋体" w:cs="Times New Roman"/>
                <w:color w:val="000000"/>
                <w:kern w:val="2"/>
                <w:sz w:val="24"/>
                <w:szCs w:val="24"/>
                <w:bdr w:val="none" w:color="auto" w:sz="0" w:space="0"/>
                <w:lang w:val="en-US" w:eastAsia="zh-CN" w:bidi="ar"/>
              </w:rPr>
              <w:t>GB31572-2015</w:t>
            </w:r>
            <w:r>
              <w:rPr>
                <w:rFonts w:hint="eastAsia" w:ascii="Times New Roman" w:hAnsi="Calibri" w:eastAsia="宋体" w:cs="宋体"/>
                <w:color w:val="000000"/>
                <w:kern w:val="2"/>
                <w:sz w:val="24"/>
                <w:szCs w:val="24"/>
                <w:bdr w:val="none" w:color="auto" w:sz="0" w:space="0"/>
                <w:lang w:val="en-US" w:eastAsia="zh-CN" w:bidi="ar"/>
              </w:rPr>
              <w:t>）表</w:t>
            </w:r>
            <w:r>
              <w:rPr>
                <w:rFonts w:hint="default" w:ascii="Times New Roman" w:hAnsi="Times New Roman" w:eastAsia="宋体" w:cs="Times New Roman"/>
                <w:color w:val="000000"/>
                <w:kern w:val="2"/>
                <w:sz w:val="24"/>
                <w:szCs w:val="24"/>
                <w:bdr w:val="none" w:color="auto" w:sz="0" w:space="0"/>
                <w:lang w:val="en-US" w:eastAsia="zh-CN" w:bidi="ar"/>
              </w:rPr>
              <w:t>5</w:t>
            </w:r>
            <w:r>
              <w:rPr>
                <w:rFonts w:hint="eastAsia" w:ascii="Times New Roman" w:hAnsi="Calibri" w:eastAsia="宋体" w:cs="宋体"/>
                <w:color w:val="000000"/>
                <w:kern w:val="2"/>
                <w:sz w:val="24"/>
                <w:szCs w:val="24"/>
                <w:bdr w:val="none" w:color="auto" w:sz="0" w:space="0"/>
                <w:lang w:val="en-US" w:eastAsia="zh-CN" w:bidi="ar"/>
              </w:rPr>
              <w:t>大气污染物特别排放限值</w:t>
            </w:r>
            <w:r>
              <w:rPr>
                <w:rFonts w:hint="eastAsia" w:ascii="Calibri" w:hAnsi="Calibri" w:eastAsia="宋体" w:cs="宋体"/>
                <w:color w:val="000000"/>
                <w:kern w:val="2"/>
                <w:sz w:val="24"/>
                <w:szCs w:val="24"/>
                <w:bdr w:val="none" w:color="auto" w:sz="0" w:space="0"/>
                <w:lang w:val="en-US" w:eastAsia="zh-CN" w:bidi="ar"/>
              </w:rPr>
              <w:t>要求</w:t>
            </w:r>
            <w:r>
              <w:rPr>
                <w:rFonts w:hint="eastAsia" w:ascii="Times New Roman" w:hAnsi="Times New Roman" w:eastAsia="宋体" w:cs="宋体"/>
                <w:color w:val="000000"/>
                <w:kern w:val="2"/>
                <w:sz w:val="24"/>
                <w:szCs w:val="24"/>
                <w:bdr w:val="none" w:color="auto" w:sz="0" w:space="0"/>
                <w:lang w:val="en-US" w:eastAsia="zh-CN" w:bidi="ar"/>
              </w:rPr>
              <w:t>。</w:t>
            </w:r>
          </w:p>
          <w:p w14:paraId="3B1AA27A">
            <w:pPr>
              <w:keepNext w:val="0"/>
              <w:keepLines w:val="0"/>
              <w:widowControl w:val="0"/>
              <w:suppressLineNumbers w:val="0"/>
              <w:adjustRightInd w:val="0"/>
              <w:snapToGrid w:val="0"/>
              <w:spacing w:before="0" w:beforeAutospacing="0" w:after="0" w:afterAutospacing="0" w:line="460" w:lineRule="exact"/>
              <w:ind w:left="0" w:right="0" w:firstLine="480"/>
              <w:jc w:val="left"/>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本评价对</w:t>
            </w:r>
            <w:r>
              <w:rPr>
                <w:rFonts w:hint="default" w:ascii="Times New Roman" w:hAnsi="Times New Roman" w:eastAsia="宋体" w:cs="Times New Roman"/>
                <w:color w:val="000000"/>
                <w:kern w:val="2"/>
                <w:sz w:val="24"/>
                <w:szCs w:val="24"/>
                <w:bdr w:val="none" w:color="auto" w:sz="0" w:space="0"/>
                <w:lang w:val="en-US" w:eastAsia="zh-CN" w:bidi="ar"/>
              </w:rPr>
              <w:t>UV</w:t>
            </w:r>
            <w:r>
              <w:rPr>
                <w:rFonts w:hint="eastAsia" w:ascii="Times New Roman" w:hAnsi="Times New Roman" w:eastAsia="宋体" w:cs="宋体"/>
                <w:color w:val="000000"/>
                <w:kern w:val="2"/>
                <w:sz w:val="24"/>
                <w:szCs w:val="24"/>
                <w:bdr w:val="none" w:color="auto" w:sz="0" w:space="0"/>
                <w:lang w:val="en-US" w:eastAsia="zh-CN" w:bidi="ar"/>
              </w:rPr>
              <w:t>光解装置提出管理措施：每天关机冷却后，应对</w:t>
            </w:r>
            <w:r>
              <w:rPr>
                <w:rFonts w:hint="default" w:ascii="Times New Roman" w:hAnsi="Times New Roman" w:eastAsia="宋体" w:cs="Times New Roman"/>
                <w:color w:val="000000"/>
                <w:kern w:val="2"/>
                <w:sz w:val="24"/>
                <w:szCs w:val="24"/>
                <w:bdr w:val="none" w:color="auto" w:sz="0" w:space="0"/>
                <w:lang w:val="en-US" w:eastAsia="zh-CN" w:bidi="ar"/>
              </w:rPr>
              <w:t>UV</w:t>
            </w:r>
            <w:r>
              <w:rPr>
                <w:rFonts w:hint="eastAsia" w:ascii="Times New Roman" w:hAnsi="Times New Roman" w:eastAsia="宋体" w:cs="宋体"/>
                <w:color w:val="000000"/>
                <w:kern w:val="2"/>
                <w:sz w:val="24"/>
                <w:szCs w:val="24"/>
                <w:bdr w:val="none" w:color="auto" w:sz="0" w:space="0"/>
                <w:lang w:val="en-US" w:eastAsia="zh-CN" w:bidi="ar"/>
              </w:rPr>
              <w:t>灯管表面进行吹扫和擦拭，防止积灰导致受热不均从而发生爆炸、火灾。</w:t>
            </w:r>
          </w:p>
          <w:p w14:paraId="215C9491">
            <w:pPr>
              <w:keepNext w:val="0"/>
              <w:keepLines w:val="0"/>
              <w:widowControl w:val="0"/>
              <w:suppressLineNumbers w:val="0"/>
              <w:adjustRightInd w:val="0"/>
              <w:snapToGrid w:val="0"/>
              <w:spacing w:before="0" w:beforeAutospacing="0" w:after="0" w:afterAutospacing="0" w:line="460" w:lineRule="exact"/>
              <w:ind w:left="0" w:right="0" w:firstLine="480"/>
              <w:jc w:val="left"/>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活性炭选择要求：根据《</w:t>
            </w:r>
            <w:r>
              <w:rPr>
                <w:rFonts w:hint="default" w:ascii="Times New Roman" w:hAnsi="Times New Roman" w:eastAsia="宋体" w:cs="Times New Roman"/>
                <w:color w:val="000000"/>
                <w:kern w:val="2"/>
                <w:sz w:val="24"/>
                <w:szCs w:val="24"/>
                <w:bdr w:val="none" w:color="auto" w:sz="0" w:space="0"/>
                <w:lang w:val="en-US" w:eastAsia="zh-CN" w:bidi="ar"/>
              </w:rPr>
              <w:t>2020</w:t>
            </w:r>
            <w:r>
              <w:rPr>
                <w:rFonts w:hint="eastAsia" w:ascii="Times New Roman" w:hAnsi="Times New Roman" w:eastAsia="宋体" w:cs="宋体"/>
                <w:color w:val="000000"/>
                <w:kern w:val="2"/>
                <w:sz w:val="24"/>
                <w:szCs w:val="24"/>
                <w:bdr w:val="none" w:color="auto" w:sz="0" w:space="0"/>
                <w:lang w:val="en-US" w:eastAsia="zh-CN" w:bidi="ar"/>
              </w:rPr>
              <w:t>年挥发性有机物治理攻坚方案》“采用活性炭吸附技术的，应选择碘值不低于</w:t>
            </w:r>
            <w:r>
              <w:rPr>
                <w:rFonts w:hint="default" w:ascii="Times New Roman" w:hAnsi="Times New Roman" w:eastAsia="宋体" w:cs="Times New Roman"/>
                <w:color w:val="000000"/>
                <w:kern w:val="2"/>
                <w:sz w:val="24"/>
                <w:szCs w:val="24"/>
                <w:bdr w:val="none" w:color="auto" w:sz="0" w:space="0"/>
                <w:lang w:val="en-US" w:eastAsia="zh-CN" w:bidi="ar"/>
              </w:rPr>
              <w:t>800</w:t>
            </w:r>
            <w:r>
              <w:rPr>
                <w:rFonts w:hint="eastAsia" w:ascii="Times New Roman" w:hAnsi="Times New Roman" w:eastAsia="宋体" w:cs="宋体"/>
                <w:color w:val="000000"/>
                <w:kern w:val="2"/>
                <w:sz w:val="24"/>
                <w:szCs w:val="24"/>
                <w:bdr w:val="none" w:color="auto" w:sz="0" w:space="0"/>
                <w:lang w:val="en-US" w:eastAsia="zh-CN" w:bidi="ar"/>
              </w:rPr>
              <w:t>毫克</w:t>
            </w:r>
            <w:r>
              <w:rPr>
                <w:rFonts w:hint="default" w:ascii="Times New Roman" w:hAnsi="Times New Roman" w:eastAsia="宋体" w:cs="Times New Roman"/>
                <w:color w:val="000000"/>
                <w:kern w:val="2"/>
                <w:sz w:val="24"/>
                <w:szCs w:val="24"/>
                <w:bdr w:val="none" w:color="auto" w:sz="0" w:space="0"/>
                <w:lang w:val="en-US" w:eastAsia="zh-CN" w:bidi="ar"/>
              </w:rPr>
              <w:t>/</w:t>
            </w:r>
            <w:r>
              <w:rPr>
                <w:rFonts w:hint="eastAsia" w:ascii="Times New Roman" w:hAnsi="Times New Roman" w:eastAsia="宋体" w:cs="宋体"/>
                <w:color w:val="000000"/>
                <w:kern w:val="2"/>
                <w:sz w:val="24"/>
                <w:szCs w:val="24"/>
                <w:bdr w:val="none" w:color="auto" w:sz="0" w:space="0"/>
                <w:lang w:val="en-US" w:eastAsia="zh-CN" w:bidi="ar"/>
              </w:rPr>
              <w:t>克的活性炭”，评价要求企业选择使用碘值不低于</w:t>
            </w:r>
            <w:r>
              <w:rPr>
                <w:rFonts w:hint="default" w:ascii="Times New Roman" w:hAnsi="Times New Roman" w:eastAsia="宋体" w:cs="Times New Roman"/>
                <w:color w:val="000000"/>
                <w:kern w:val="2"/>
                <w:sz w:val="24"/>
                <w:szCs w:val="24"/>
                <w:bdr w:val="none" w:color="auto" w:sz="0" w:space="0"/>
                <w:lang w:val="en-US" w:eastAsia="zh-CN" w:bidi="ar"/>
              </w:rPr>
              <w:t>800mg/g</w:t>
            </w:r>
            <w:r>
              <w:rPr>
                <w:rFonts w:hint="eastAsia" w:ascii="Times New Roman" w:hAnsi="Times New Roman" w:eastAsia="宋体" w:cs="宋体"/>
                <w:color w:val="000000"/>
                <w:kern w:val="2"/>
                <w:sz w:val="24"/>
                <w:szCs w:val="24"/>
                <w:bdr w:val="none" w:color="auto" w:sz="0" w:space="0"/>
                <w:lang w:val="en-US" w:eastAsia="zh-CN" w:bidi="ar"/>
              </w:rPr>
              <w:t>的活性炭。</w:t>
            </w:r>
          </w:p>
          <w:p w14:paraId="342E5119">
            <w:pPr>
              <w:keepNext w:val="0"/>
              <w:keepLines w:val="0"/>
              <w:widowControl w:val="0"/>
              <w:suppressLineNumbers w:val="0"/>
              <w:adjustRightInd w:val="0"/>
              <w:snapToGrid w:val="0"/>
              <w:spacing w:before="0" w:beforeAutospacing="0" w:after="0" w:afterAutospacing="0" w:line="460" w:lineRule="exact"/>
              <w:ind w:left="0" w:right="0" w:firstLine="480"/>
              <w:jc w:val="left"/>
              <w:rPr>
                <w:rFonts w:hint="default" w:ascii="Times New Roman" w:hAnsi="Calibri" w:cs="Times New Roman"/>
                <w:bCs/>
                <w:color w:val="000000"/>
                <w:kern w:val="0"/>
                <w:sz w:val="24"/>
                <w:szCs w:val="24"/>
                <w:bdr w:val="none" w:color="auto" w:sz="0" w:space="0"/>
                <w:lang w:val="en-US"/>
              </w:rPr>
            </w:pPr>
            <w:r>
              <w:rPr>
                <w:rFonts w:hint="eastAsia" w:ascii="Times New Roman" w:hAnsi="Calibri" w:eastAsia="宋体" w:cs="宋体"/>
                <w:bCs/>
                <w:color w:val="000000"/>
                <w:kern w:val="0"/>
                <w:sz w:val="24"/>
                <w:szCs w:val="24"/>
                <w:bdr w:val="none" w:color="auto" w:sz="0" w:space="0"/>
                <w:lang w:val="en-US" w:eastAsia="zh-CN" w:bidi="ar"/>
              </w:rPr>
              <w:t>②雕刻、打磨粉尘</w:t>
            </w:r>
          </w:p>
          <w:p w14:paraId="15ECEF3C">
            <w:pPr>
              <w:keepNext w:val="0"/>
              <w:keepLines w:val="0"/>
              <w:widowControl w:val="0"/>
              <w:suppressLineNumbers w:val="0"/>
              <w:adjustRightInd w:val="0"/>
              <w:snapToGrid w:val="0"/>
              <w:spacing w:before="0" w:beforeAutospacing="0" w:after="0" w:afterAutospacing="0" w:line="460" w:lineRule="exact"/>
              <w:ind w:left="0" w:right="0" w:firstLine="480" w:firstLineChars="200"/>
              <w:jc w:val="left"/>
              <w:rPr>
                <w:bCs/>
                <w:color w:val="000000"/>
                <w:kern w:val="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云母板雕刻、打磨废气污染物治理工艺参照《排污许可证申请与核发技术规范</w:t>
            </w:r>
            <w:r>
              <w:rPr>
                <w:rFonts w:hint="default" w:ascii="Times New Roman" w:hAnsi="Times New Roman" w:eastAsia="宋体" w:cs="Times New Roman"/>
                <w:color w:val="000000"/>
                <w:kern w:val="2"/>
                <w:sz w:val="24"/>
                <w:szCs w:val="24"/>
                <w:bdr w:val="none" w:color="auto" w:sz="0" w:space="0"/>
                <w:lang w:val="en-US" w:eastAsia="zh-CN" w:bidi="ar"/>
              </w:rPr>
              <w:t xml:space="preserve"> </w:t>
            </w:r>
            <w:r>
              <w:rPr>
                <w:rFonts w:hint="eastAsia" w:ascii="Times New Roman" w:hAnsi="Times New Roman" w:eastAsia="宋体" w:cs="宋体"/>
                <w:color w:val="000000"/>
                <w:kern w:val="2"/>
                <w:sz w:val="24"/>
                <w:szCs w:val="24"/>
                <w:bdr w:val="none" w:color="auto" w:sz="0" w:space="0"/>
                <w:lang w:val="en-US" w:eastAsia="zh-CN" w:bidi="ar"/>
              </w:rPr>
              <w:t>汽车制造业》（</w:t>
            </w:r>
            <w:r>
              <w:rPr>
                <w:rFonts w:hint="default" w:ascii="Times New Roman" w:hAnsi="Times New Roman" w:eastAsia="宋体" w:cs="Times New Roman"/>
                <w:color w:val="000000"/>
                <w:kern w:val="2"/>
                <w:sz w:val="24"/>
                <w:szCs w:val="24"/>
                <w:bdr w:val="none" w:color="auto" w:sz="0" w:space="0"/>
                <w:lang w:val="en-US" w:eastAsia="zh-CN" w:bidi="ar"/>
              </w:rPr>
              <w:t>HJ 971-2018</w:t>
            </w:r>
            <w:r>
              <w:rPr>
                <w:rFonts w:hint="eastAsia" w:ascii="Times New Roman" w:hAnsi="Times New Roman" w:eastAsia="宋体" w:cs="宋体"/>
                <w:color w:val="000000"/>
                <w:kern w:val="2"/>
                <w:sz w:val="24"/>
                <w:szCs w:val="24"/>
                <w:bdr w:val="none" w:color="auto" w:sz="0" w:space="0"/>
                <w:lang w:val="en-US" w:eastAsia="zh-CN" w:bidi="ar"/>
              </w:rPr>
              <w:t>）表</w:t>
            </w:r>
            <w:r>
              <w:rPr>
                <w:rFonts w:hint="default" w:ascii="Times New Roman" w:hAnsi="Times New Roman" w:eastAsia="宋体" w:cs="Times New Roman"/>
                <w:color w:val="000000"/>
                <w:kern w:val="2"/>
                <w:sz w:val="24"/>
                <w:szCs w:val="24"/>
                <w:bdr w:val="none" w:color="auto" w:sz="0" w:space="0"/>
                <w:lang w:val="en-US" w:eastAsia="zh-CN" w:bidi="ar"/>
              </w:rPr>
              <w:t>17</w:t>
            </w:r>
            <w:r>
              <w:rPr>
                <w:rFonts w:hint="eastAsia" w:ascii="Times New Roman" w:hAnsi="Times New Roman" w:eastAsia="宋体" w:cs="宋体"/>
                <w:color w:val="000000"/>
                <w:kern w:val="2"/>
                <w:sz w:val="24"/>
                <w:szCs w:val="24"/>
                <w:bdr w:val="none" w:color="auto" w:sz="0" w:space="0"/>
                <w:lang w:val="en-US" w:eastAsia="zh-CN" w:bidi="ar"/>
              </w:rPr>
              <w:t>中“</w:t>
            </w:r>
            <w:r>
              <w:rPr>
                <w:rFonts w:hint="default" w:ascii="Times New Roman" w:hAnsi="Times New Roman" w:eastAsia="宋体" w:cs="Times New Roman"/>
                <w:color w:val="000000"/>
                <w:kern w:val="2"/>
                <w:sz w:val="24"/>
                <w:szCs w:val="24"/>
                <w:bdr w:val="none" w:color="auto" w:sz="0" w:space="0"/>
                <w:lang w:val="en-US" w:eastAsia="zh-CN" w:bidi="ar"/>
              </w:rPr>
              <w:t>3</w:t>
            </w:r>
            <w:r>
              <w:rPr>
                <w:rFonts w:hint="eastAsia" w:ascii="Times New Roman" w:hAnsi="Times New Roman" w:eastAsia="宋体" w:cs="宋体"/>
                <w:color w:val="000000"/>
                <w:kern w:val="2"/>
                <w:sz w:val="24"/>
                <w:szCs w:val="24"/>
                <w:bdr w:val="none" w:color="auto" w:sz="0" w:space="0"/>
                <w:lang w:val="en-US" w:eastAsia="zh-CN" w:bidi="ar"/>
              </w:rPr>
              <w:t>、座椅、内饰等其他零部件”中的可行污染治理工艺。</w:t>
            </w:r>
            <w:r>
              <w:rPr>
                <w:rFonts w:hint="eastAsia" w:ascii="Calibri" w:hAnsi="Calibri" w:eastAsia="宋体" w:cs="宋体"/>
                <w:bCs/>
                <w:color w:val="000000"/>
                <w:kern w:val="0"/>
                <w:sz w:val="24"/>
                <w:szCs w:val="24"/>
                <w:bdr w:val="none" w:color="auto" w:sz="0" w:space="0"/>
                <w:lang w:val="en-US" w:eastAsia="zh-CN" w:bidi="ar"/>
              </w:rPr>
              <w:t>扩建项目</w:t>
            </w:r>
            <w:r>
              <w:rPr>
                <w:rFonts w:hint="eastAsia" w:ascii="Calibri" w:hAnsi="Calibri" w:eastAsia="宋体" w:cs="宋体"/>
                <w:bCs/>
                <w:color w:val="000000"/>
                <w:kern w:val="2"/>
                <w:sz w:val="24"/>
                <w:szCs w:val="24"/>
                <w:bdr w:val="none" w:color="auto" w:sz="0" w:space="0"/>
                <w:lang w:val="en-US" w:eastAsia="zh-CN" w:bidi="ar"/>
              </w:rPr>
              <w:t>云母板雕刻、打磨废气采用“旋风除尘</w:t>
            </w:r>
            <w:r>
              <w:rPr>
                <w:rFonts w:hint="default" w:ascii="Calibri" w:hAnsi="Calibri" w:eastAsia="宋体" w:cs="Times New Roman"/>
                <w:bCs/>
                <w:color w:val="000000"/>
                <w:kern w:val="2"/>
                <w:sz w:val="24"/>
                <w:szCs w:val="24"/>
                <w:bdr w:val="none" w:color="auto" w:sz="0" w:space="0"/>
                <w:lang w:val="en-US" w:eastAsia="zh-CN" w:bidi="ar"/>
              </w:rPr>
              <w:t>+</w:t>
            </w:r>
            <w:r>
              <w:rPr>
                <w:rFonts w:hint="eastAsia" w:ascii="Calibri" w:hAnsi="Calibri" w:eastAsia="宋体" w:cs="宋体"/>
                <w:bCs/>
                <w:color w:val="000000"/>
                <w:kern w:val="2"/>
                <w:sz w:val="24"/>
                <w:szCs w:val="24"/>
                <w:bdr w:val="none" w:color="auto" w:sz="0" w:space="0"/>
                <w:lang w:val="en-US" w:eastAsia="zh-CN" w:bidi="ar"/>
              </w:rPr>
              <w:t>布袋除尘”工艺，属于</w:t>
            </w:r>
            <w:r>
              <w:rPr>
                <w:rFonts w:hint="eastAsia" w:ascii="Calibri" w:hAnsi="Calibri" w:eastAsia="宋体" w:cs="宋体"/>
                <w:bCs/>
                <w:color w:val="000000"/>
                <w:kern w:val="0"/>
                <w:sz w:val="24"/>
                <w:szCs w:val="24"/>
                <w:bdr w:val="none" w:color="auto" w:sz="0" w:space="0"/>
                <w:lang w:val="en-US" w:eastAsia="zh-CN" w:bidi="ar"/>
              </w:rPr>
              <w:t>推荐的可行性技术。</w:t>
            </w:r>
          </w:p>
          <w:p w14:paraId="7E4D08B9">
            <w:pPr>
              <w:keepNext w:val="0"/>
              <w:keepLines w:val="0"/>
              <w:widowControl w:val="0"/>
              <w:suppressLineNumbers w:val="0"/>
              <w:adjustRightInd w:val="0"/>
              <w:snapToGrid w:val="0"/>
              <w:spacing w:before="0" w:beforeAutospacing="0" w:after="0" w:afterAutospacing="0" w:line="460" w:lineRule="exact"/>
              <w:ind w:left="0" w:right="0" w:firstLine="480"/>
              <w:jc w:val="left"/>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扩建项目不改变现有生产工艺流程，涂胶切割、雕刻打磨相关产污设备数量未增加，且布局未发生变动，仅原辅料用量和生产时间增加。因此，该工序产生的污染物种类不会发生改变，且现有废气收集系统也未发生变动。根据工程分析预测结果可知，扩建后废气污染物排放量有所增加，伴随排放时间的增加，依托现有废气治理设施处理后排放速率及排放浓度能够满足达标排放要求。因扩建后活性炭吸附废气量增加，本次环评要求废气治理设施的活性炭更换频次由半年一次变为三个月一次。</w:t>
            </w:r>
          </w:p>
          <w:p w14:paraId="5D8DA892">
            <w:pPr>
              <w:keepNext w:val="0"/>
              <w:keepLines w:val="0"/>
              <w:widowControl w:val="0"/>
              <w:suppressLineNumbers w:val="0"/>
              <w:adjustRightInd w:val="0"/>
              <w:snapToGrid w:val="0"/>
              <w:spacing w:before="0" w:beforeAutospacing="0" w:after="0" w:afterAutospacing="0" w:line="460" w:lineRule="exact"/>
              <w:ind w:left="0" w:right="0" w:firstLine="480"/>
              <w:jc w:val="left"/>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综上所述，扩建项目依托厂区现有废气污染防治措施可行。</w:t>
            </w:r>
          </w:p>
          <w:p w14:paraId="77DD6A96">
            <w:pPr>
              <w:keepNext w:val="0"/>
              <w:keepLines w:val="0"/>
              <w:widowControl w:val="0"/>
              <w:suppressLineNumbers w:val="0"/>
              <w:adjustRightInd w:val="0"/>
              <w:snapToGrid w:val="0"/>
              <w:spacing w:before="0" w:beforeAutospacing="0" w:after="0" w:afterAutospacing="0" w:line="460" w:lineRule="exact"/>
              <w:ind w:left="0" w:right="0" w:firstLine="480"/>
              <w:jc w:val="left"/>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3</w:t>
            </w:r>
            <w:r>
              <w:rPr>
                <w:rFonts w:hint="eastAsia" w:ascii="Times New Roman" w:hAnsi="Times New Roman" w:eastAsia="宋体" w:cs="宋体"/>
                <w:color w:val="000000"/>
                <w:kern w:val="2"/>
                <w:sz w:val="24"/>
                <w:szCs w:val="24"/>
                <w:bdr w:val="none" w:color="auto" w:sz="0" w:space="0"/>
                <w:lang w:val="en-US" w:eastAsia="zh-CN" w:bidi="ar"/>
              </w:rPr>
              <w:t>）生产设施开停炉（机）等非正常情况分析</w:t>
            </w:r>
          </w:p>
          <w:p w14:paraId="74457D99">
            <w:pPr>
              <w:keepNext w:val="0"/>
              <w:keepLines w:val="0"/>
              <w:widowControl w:val="0"/>
              <w:suppressLineNumbers w:val="0"/>
              <w:adjustRightInd w:val="0"/>
              <w:snapToGrid w:val="0"/>
              <w:spacing w:before="0" w:beforeAutospacing="0" w:after="0" w:afterAutospacing="0" w:line="460" w:lineRule="exact"/>
              <w:ind w:left="0" w:right="0" w:firstLine="480"/>
              <w:jc w:val="left"/>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扩建项目非正常工况下有组织废气排放情况（</w:t>
            </w:r>
            <w:r>
              <w:rPr>
                <w:rFonts w:hint="eastAsia" w:ascii="Times New Roman" w:hAnsi="Times New Roman" w:eastAsia="宋体" w:cs="宋体"/>
                <w:bCs/>
                <w:color w:val="000000"/>
                <w:kern w:val="2"/>
                <w:sz w:val="24"/>
                <w:szCs w:val="21"/>
                <w:bdr w:val="none" w:color="auto" w:sz="0" w:space="0"/>
                <w:lang w:val="en-US" w:eastAsia="zh-CN" w:bidi="ar"/>
              </w:rPr>
              <w:t>主要考虑废气治理设备故障，</w:t>
            </w:r>
            <w:r>
              <w:rPr>
                <w:rFonts w:hint="eastAsia" w:ascii="Times New Roman" w:hAnsi="Times New Roman" w:eastAsia="宋体" w:cs="宋体"/>
                <w:color w:val="000000"/>
                <w:kern w:val="2"/>
                <w:sz w:val="24"/>
                <w:szCs w:val="24"/>
                <w:bdr w:val="none" w:color="auto" w:sz="0" w:space="0"/>
                <w:lang w:val="en-US" w:eastAsia="zh-CN" w:bidi="ar"/>
              </w:rPr>
              <w:t>处理效率为</w:t>
            </w:r>
            <w:r>
              <w:rPr>
                <w:rFonts w:hint="default" w:ascii="Times New Roman" w:hAnsi="Times New Roman" w:eastAsia="宋体" w:cs="Times New Roman"/>
                <w:color w:val="000000"/>
                <w:kern w:val="2"/>
                <w:sz w:val="24"/>
                <w:szCs w:val="24"/>
                <w:bdr w:val="none" w:color="auto" w:sz="0" w:space="0"/>
                <w:lang w:val="en-US" w:eastAsia="zh-CN" w:bidi="ar"/>
              </w:rPr>
              <w:t>0</w:t>
            </w:r>
            <w:r>
              <w:rPr>
                <w:rFonts w:hint="eastAsia" w:ascii="Times New Roman" w:hAnsi="Times New Roman" w:eastAsia="宋体" w:cs="宋体"/>
                <w:color w:val="000000"/>
                <w:kern w:val="2"/>
                <w:sz w:val="24"/>
                <w:szCs w:val="24"/>
                <w:bdr w:val="none" w:color="auto" w:sz="0" w:space="0"/>
                <w:lang w:val="en-US" w:eastAsia="zh-CN" w:bidi="ar"/>
              </w:rPr>
              <w:t>时）见下表：</w:t>
            </w:r>
          </w:p>
          <w:p w14:paraId="228BBC78">
            <w:pPr>
              <w:keepNext w:val="0"/>
              <w:keepLines w:val="0"/>
              <w:widowControl w:val="0"/>
              <w:suppressLineNumbers w:val="0"/>
              <w:adjustRightInd w:val="0"/>
              <w:snapToGrid w:val="0"/>
              <w:spacing w:before="0" w:beforeAutospacing="0" w:after="0" w:afterAutospacing="0" w:line="460" w:lineRule="exact"/>
              <w:ind w:left="0" w:right="0" w:firstLine="480"/>
              <w:jc w:val="center"/>
              <w:rPr>
                <w:rFonts w:hint="eastAsia" w:ascii="宋体" w:hAnsi="宋体" w:eastAsia="宋体" w:cs="宋体"/>
                <w:color w:val="000000"/>
                <w:kern w:val="0"/>
                <w:sz w:val="24"/>
                <w:szCs w:val="24"/>
                <w:bdr w:val="none" w:color="auto" w:sz="0" w:space="0"/>
                <w:lang w:val="en-US"/>
              </w:rPr>
            </w:pPr>
            <w:r>
              <w:rPr>
                <w:rFonts w:hint="eastAsia" w:ascii="Times New Roman" w:hAnsi="宋体" w:eastAsia="宋体" w:cs="宋体"/>
                <w:color w:val="000000"/>
                <w:kern w:val="0"/>
                <w:sz w:val="24"/>
                <w:szCs w:val="24"/>
                <w:bdr w:val="none" w:color="auto" w:sz="0" w:space="0"/>
                <w:lang w:val="en-US" w:eastAsia="zh-CN" w:bidi="ar"/>
              </w:rPr>
              <w:t>表</w:t>
            </w:r>
            <w:r>
              <w:rPr>
                <w:rFonts w:hint="default" w:ascii="Times New Roman" w:hAnsi="Times New Roman" w:eastAsia="宋体" w:cs="Times New Roman"/>
                <w:color w:val="000000"/>
                <w:kern w:val="0"/>
                <w:sz w:val="24"/>
                <w:szCs w:val="24"/>
                <w:bdr w:val="none" w:color="auto" w:sz="0" w:space="0"/>
                <w:lang w:val="en-US" w:eastAsia="zh-CN" w:bidi="ar"/>
              </w:rPr>
              <w:t xml:space="preserve">4.2-5 </w:t>
            </w:r>
            <w:r>
              <w:rPr>
                <w:rFonts w:hint="eastAsia" w:ascii="Times New Roman" w:hAnsi="宋体" w:eastAsia="宋体" w:cs="宋体"/>
                <w:color w:val="000000"/>
                <w:kern w:val="0"/>
                <w:sz w:val="24"/>
                <w:szCs w:val="24"/>
                <w:bdr w:val="none" w:color="auto" w:sz="0" w:space="0"/>
                <w:lang w:val="en-US" w:eastAsia="zh-CN" w:bidi="ar"/>
              </w:rPr>
              <w:t>非正</w:t>
            </w:r>
            <w:r>
              <w:rPr>
                <w:rFonts w:hint="eastAsia" w:ascii="宋体" w:hAnsi="宋体" w:eastAsia="宋体" w:cs="宋体"/>
                <w:color w:val="000000"/>
                <w:kern w:val="0"/>
                <w:sz w:val="24"/>
                <w:szCs w:val="24"/>
                <w:bdr w:val="none" w:color="auto" w:sz="0" w:space="0"/>
                <w:lang w:val="en-US" w:eastAsia="zh-CN" w:bidi="ar"/>
              </w:rPr>
              <w:t>常工况下有组织废气产排情况</w:t>
            </w:r>
          </w:p>
          <w:tbl>
            <w:tblPr>
              <w:tblStyle w:val="18"/>
              <w:tblpPr w:leftFromText="180" w:rightFromText="180" w:vertAnchor="text" w:tblpXSpec="center" w:tblpY="1"/>
              <w:tblOverlap w:val="never"/>
              <w:tblW w:w="5000" w:type="pct"/>
              <w:tblInd w:w="8"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Layout w:type="fixed"/>
              <w:tblCellMar>
                <w:top w:w="0" w:type="dxa"/>
                <w:left w:w="0" w:type="dxa"/>
                <w:bottom w:w="0" w:type="dxa"/>
                <w:right w:w="0" w:type="dxa"/>
              </w:tblCellMar>
            </w:tblPr>
            <w:tblGrid>
              <w:gridCol w:w="370"/>
              <w:gridCol w:w="904"/>
              <w:gridCol w:w="486"/>
              <w:gridCol w:w="622"/>
              <w:gridCol w:w="622"/>
              <w:gridCol w:w="610"/>
              <w:gridCol w:w="647"/>
              <w:gridCol w:w="841"/>
              <w:gridCol w:w="702"/>
              <w:gridCol w:w="717"/>
              <w:gridCol w:w="712"/>
              <w:gridCol w:w="713"/>
            </w:tblGrid>
            <w:tr w14:paraId="62B14DA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CellMar>
                  <w:top w:w="0" w:type="dxa"/>
                  <w:left w:w="0" w:type="dxa"/>
                  <w:bottom w:w="0" w:type="dxa"/>
                  <w:right w:w="0" w:type="dxa"/>
                </w:tblCellMar>
              </w:tblPrEx>
              <w:trPr>
                <w:trHeight w:val="113" w:hRule="atLeast"/>
              </w:trPr>
              <w:tc>
                <w:tcPr>
                  <w:tcW w:w="233" w:type="pct"/>
                  <w:vMerge w:val="restart"/>
                  <w:tcBorders>
                    <w:top w:val="single" w:color="auto" w:sz="12" w:space="0"/>
                    <w:left w:val="nil"/>
                    <w:bottom w:val="single" w:color="auto" w:sz="4" w:space="0"/>
                    <w:right w:val="single" w:color="auto" w:sz="4" w:space="0"/>
                  </w:tcBorders>
                  <w:shd w:val="clear"/>
                  <w:vAlign w:val="center"/>
                </w:tcPr>
                <w:p w14:paraId="568D25B7">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污染源</w:t>
                  </w:r>
                </w:p>
              </w:tc>
              <w:tc>
                <w:tcPr>
                  <w:tcW w:w="569" w:type="pct"/>
                  <w:vMerge w:val="restart"/>
                  <w:tcBorders>
                    <w:top w:val="single" w:color="auto" w:sz="12" w:space="0"/>
                    <w:left w:val="single" w:color="auto" w:sz="4" w:space="0"/>
                    <w:bottom w:val="single" w:color="auto" w:sz="4" w:space="0"/>
                    <w:right w:val="single" w:color="auto" w:sz="4" w:space="0"/>
                  </w:tcBorders>
                  <w:shd w:val="clear"/>
                  <w:vAlign w:val="center"/>
                </w:tcPr>
                <w:p w14:paraId="42B56719">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污染物</w:t>
                  </w:r>
                </w:p>
              </w:tc>
              <w:tc>
                <w:tcPr>
                  <w:tcW w:w="1088" w:type="pct"/>
                  <w:gridSpan w:val="3"/>
                  <w:tcBorders>
                    <w:top w:val="single" w:color="auto" w:sz="12" w:space="0"/>
                    <w:left w:val="single" w:color="auto" w:sz="4" w:space="0"/>
                    <w:bottom w:val="single" w:color="auto" w:sz="4" w:space="0"/>
                    <w:right w:val="single" w:color="auto" w:sz="4" w:space="0"/>
                  </w:tcBorders>
                  <w:shd w:val="clear"/>
                  <w:vAlign w:val="center"/>
                </w:tcPr>
                <w:p w14:paraId="487B7947">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产生情况</w:t>
                  </w:r>
                </w:p>
              </w:tc>
              <w:tc>
                <w:tcPr>
                  <w:tcW w:w="1762" w:type="pct"/>
                  <w:gridSpan w:val="4"/>
                  <w:tcBorders>
                    <w:top w:val="single" w:color="auto" w:sz="12" w:space="0"/>
                    <w:left w:val="single" w:color="auto" w:sz="4" w:space="0"/>
                    <w:bottom w:val="single" w:color="auto" w:sz="4" w:space="0"/>
                    <w:right w:val="single" w:color="auto" w:sz="4" w:space="0"/>
                  </w:tcBorders>
                  <w:shd w:val="clear"/>
                  <w:vAlign w:val="center"/>
                </w:tcPr>
                <w:p w14:paraId="47A2756A">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排放情况</w:t>
                  </w:r>
                </w:p>
              </w:tc>
              <w:tc>
                <w:tcPr>
                  <w:tcW w:w="899" w:type="pct"/>
                  <w:gridSpan w:val="2"/>
                  <w:tcBorders>
                    <w:top w:val="single" w:color="auto" w:sz="12" w:space="0"/>
                    <w:left w:val="single" w:color="auto" w:sz="4" w:space="0"/>
                    <w:bottom w:val="single" w:color="auto" w:sz="4" w:space="0"/>
                    <w:right w:val="single" w:color="auto" w:sz="4" w:space="0"/>
                  </w:tcBorders>
                  <w:shd w:val="clear"/>
                  <w:vAlign w:val="center"/>
                </w:tcPr>
                <w:p w14:paraId="3F8CDED5">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排放标准限值</w:t>
                  </w:r>
                </w:p>
              </w:tc>
              <w:tc>
                <w:tcPr>
                  <w:tcW w:w="448" w:type="pct"/>
                  <w:vMerge w:val="restart"/>
                  <w:tcBorders>
                    <w:top w:val="single" w:color="auto" w:sz="12" w:space="0"/>
                    <w:left w:val="single" w:color="auto" w:sz="4" w:space="0"/>
                    <w:bottom w:val="single" w:color="auto" w:sz="4" w:space="0"/>
                    <w:right w:val="nil"/>
                  </w:tcBorders>
                  <w:shd w:val="clear"/>
                  <w:vAlign w:val="center"/>
                </w:tcPr>
                <w:p w14:paraId="4EE50D1D">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达标</w:t>
                  </w:r>
                </w:p>
                <w:p w14:paraId="7488AA46">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情况</w:t>
                  </w:r>
                </w:p>
              </w:tc>
            </w:tr>
            <w:tr w14:paraId="5A98F70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233" w:type="pct"/>
                  <w:vMerge w:val="continue"/>
                  <w:tcBorders>
                    <w:top w:val="single" w:color="auto" w:sz="12" w:space="0"/>
                    <w:left w:val="nil"/>
                    <w:bottom w:val="single" w:color="auto" w:sz="4" w:space="0"/>
                    <w:right w:val="single" w:color="auto" w:sz="4" w:space="0"/>
                  </w:tcBorders>
                  <w:shd w:val="clear"/>
                  <w:vAlign w:val="center"/>
                </w:tcPr>
                <w:p w14:paraId="032DD941">
                  <w:pPr>
                    <w:rPr>
                      <w:rFonts w:hint="default" w:ascii="Calibri" w:hAnsi="Calibri" w:cs="Calibri"/>
                      <w:sz w:val="20"/>
                      <w:szCs w:val="20"/>
                    </w:rPr>
                  </w:pPr>
                </w:p>
              </w:tc>
              <w:tc>
                <w:tcPr>
                  <w:tcW w:w="569" w:type="pct"/>
                  <w:vMerge w:val="continue"/>
                  <w:tcBorders>
                    <w:top w:val="single" w:color="auto" w:sz="12" w:space="0"/>
                    <w:left w:val="single" w:color="auto" w:sz="4" w:space="0"/>
                    <w:bottom w:val="single" w:color="auto" w:sz="4" w:space="0"/>
                    <w:right w:val="single" w:color="auto" w:sz="4" w:space="0"/>
                  </w:tcBorders>
                  <w:shd w:val="clear"/>
                  <w:vAlign w:val="center"/>
                </w:tcPr>
                <w:p w14:paraId="3D019076">
                  <w:pPr>
                    <w:rPr>
                      <w:rFonts w:hint="default" w:ascii="Calibri" w:hAnsi="Calibri" w:cs="Calibri"/>
                      <w:sz w:val="20"/>
                      <w:szCs w:val="20"/>
                    </w:rPr>
                  </w:pPr>
                </w:p>
              </w:tc>
              <w:tc>
                <w:tcPr>
                  <w:tcW w:w="306" w:type="pct"/>
                  <w:tcBorders>
                    <w:top w:val="single" w:color="auto" w:sz="4" w:space="0"/>
                    <w:left w:val="single" w:color="auto" w:sz="4" w:space="0"/>
                    <w:bottom w:val="single" w:color="auto" w:sz="4" w:space="0"/>
                    <w:right w:val="single" w:color="auto" w:sz="4" w:space="0"/>
                  </w:tcBorders>
                  <w:shd w:val="clear"/>
                  <w:vAlign w:val="center"/>
                </w:tcPr>
                <w:p w14:paraId="01F34A39">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收集</w:t>
                  </w:r>
                </w:p>
                <w:p w14:paraId="5D207269">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效率</w:t>
                  </w:r>
                </w:p>
              </w:tc>
              <w:tc>
                <w:tcPr>
                  <w:tcW w:w="391" w:type="pct"/>
                  <w:tcBorders>
                    <w:top w:val="single" w:color="auto" w:sz="4" w:space="0"/>
                    <w:left w:val="single" w:color="auto" w:sz="4" w:space="0"/>
                    <w:bottom w:val="single" w:color="auto" w:sz="4" w:space="0"/>
                    <w:right w:val="single" w:color="auto" w:sz="4" w:space="0"/>
                  </w:tcBorders>
                  <w:shd w:val="clear"/>
                  <w:vAlign w:val="center"/>
                </w:tcPr>
                <w:p w14:paraId="5D65D49B">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产生量</w:t>
                  </w:r>
                </w:p>
              </w:tc>
              <w:tc>
                <w:tcPr>
                  <w:tcW w:w="391" w:type="pct"/>
                  <w:tcBorders>
                    <w:top w:val="single" w:color="auto" w:sz="4" w:space="0"/>
                    <w:left w:val="single" w:color="auto" w:sz="4" w:space="0"/>
                    <w:bottom w:val="single" w:color="auto" w:sz="4" w:space="0"/>
                    <w:right w:val="single" w:color="auto" w:sz="4" w:space="0"/>
                  </w:tcBorders>
                  <w:shd w:val="clear"/>
                  <w:vAlign w:val="center"/>
                </w:tcPr>
                <w:p w14:paraId="5B0900A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产生</w:t>
                  </w:r>
                </w:p>
                <w:p w14:paraId="7145C8DB">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速率</w:t>
                  </w:r>
                </w:p>
              </w:tc>
              <w:tc>
                <w:tcPr>
                  <w:tcW w:w="383" w:type="pct"/>
                  <w:tcBorders>
                    <w:top w:val="single" w:color="auto" w:sz="4" w:space="0"/>
                    <w:left w:val="single" w:color="auto" w:sz="4" w:space="0"/>
                    <w:bottom w:val="single" w:color="auto" w:sz="4" w:space="0"/>
                    <w:right w:val="single" w:color="auto" w:sz="4" w:space="0"/>
                  </w:tcBorders>
                  <w:shd w:val="clear"/>
                  <w:vAlign w:val="center"/>
                </w:tcPr>
                <w:p w14:paraId="51DED3DB">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去除</w:t>
                  </w:r>
                </w:p>
                <w:p w14:paraId="57917697">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效率</w:t>
                  </w:r>
                </w:p>
              </w:tc>
              <w:tc>
                <w:tcPr>
                  <w:tcW w:w="407" w:type="pct"/>
                  <w:tcBorders>
                    <w:top w:val="single" w:color="auto" w:sz="4" w:space="0"/>
                    <w:left w:val="single" w:color="auto" w:sz="4" w:space="0"/>
                    <w:bottom w:val="single" w:color="auto" w:sz="4" w:space="0"/>
                    <w:right w:val="single" w:color="auto" w:sz="4" w:space="0"/>
                  </w:tcBorders>
                  <w:shd w:val="clear"/>
                  <w:vAlign w:val="center"/>
                </w:tcPr>
                <w:p w14:paraId="6C6E97E9">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排放量</w:t>
                  </w:r>
                </w:p>
              </w:tc>
              <w:tc>
                <w:tcPr>
                  <w:tcW w:w="529" w:type="pct"/>
                  <w:tcBorders>
                    <w:top w:val="single" w:color="auto" w:sz="4" w:space="0"/>
                    <w:left w:val="single" w:color="auto" w:sz="4" w:space="0"/>
                    <w:bottom w:val="single" w:color="auto" w:sz="4" w:space="0"/>
                    <w:right w:val="single" w:color="auto" w:sz="4" w:space="0"/>
                  </w:tcBorders>
                  <w:shd w:val="clear"/>
                  <w:vAlign w:val="center"/>
                </w:tcPr>
                <w:p w14:paraId="08BB8057">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排放</w:t>
                  </w:r>
                </w:p>
                <w:p w14:paraId="16CE9D0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速率</w:t>
                  </w:r>
                </w:p>
              </w:tc>
              <w:tc>
                <w:tcPr>
                  <w:tcW w:w="441" w:type="pct"/>
                  <w:tcBorders>
                    <w:top w:val="single" w:color="auto" w:sz="4" w:space="0"/>
                    <w:left w:val="single" w:color="auto" w:sz="4" w:space="0"/>
                    <w:bottom w:val="single" w:color="auto" w:sz="4" w:space="0"/>
                    <w:right w:val="single" w:color="auto" w:sz="4" w:space="0"/>
                  </w:tcBorders>
                  <w:shd w:val="clear"/>
                  <w:vAlign w:val="center"/>
                </w:tcPr>
                <w:p w14:paraId="76E56F0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排放</w:t>
                  </w:r>
                </w:p>
                <w:p w14:paraId="63834CB5">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浓度</w:t>
                  </w:r>
                </w:p>
              </w:tc>
              <w:tc>
                <w:tcPr>
                  <w:tcW w:w="451" w:type="pct"/>
                  <w:tcBorders>
                    <w:top w:val="single" w:color="auto" w:sz="4" w:space="0"/>
                    <w:left w:val="single" w:color="auto" w:sz="4" w:space="0"/>
                    <w:bottom w:val="single" w:color="auto" w:sz="4" w:space="0"/>
                    <w:right w:val="single" w:color="auto" w:sz="4" w:space="0"/>
                  </w:tcBorders>
                  <w:shd w:val="clear"/>
                  <w:vAlign w:val="center"/>
                </w:tcPr>
                <w:p w14:paraId="72ABA12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速率</w:t>
                  </w:r>
                </w:p>
                <w:p w14:paraId="0F16C4CA">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限值</w:t>
                  </w:r>
                </w:p>
              </w:tc>
              <w:tc>
                <w:tcPr>
                  <w:tcW w:w="448" w:type="pct"/>
                  <w:tcBorders>
                    <w:top w:val="single" w:color="auto" w:sz="4" w:space="0"/>
                    <w:left w:val="single" w:color="auto" w:sz="4" w:space="0"/>
                    <w:bottom w:val="single" w:color="auto" w:sz="4" w:space="0"/>
                    <w:right w:val="single" w:color="auto" w:sz="4" w:space="0"/>
                  </w:tcBorders>
                  <w:shd w:val="clear"/>
                  <w:vAlign w:val="center"/>
                </w:tcPr>
                <w:p w14:paraId="23B47E6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浓度</w:t>
                  </w:r>
                </w:p>
                <w:p w14:paraId="69142AC7">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限值</w:t>
                  </w:r>
                </w:p>
              </w:tc>
              <w:tc>
                <w:tcPr>
                  <w:tcW w:w="448" w:type="pct"/>
                  <w:vMerge w:val="continue"/>
                  <w:tcBorders>
                    <w:top w:val="single" w:color="auto" w:sz="12" w:space="0"/>
                    <w:left w:val="single" w:color="auto" w:sz="4" w:space="0"/>
                    <w:bottom w:val="single" w:color="auto" w:sz="4" w:space="0"/>
                    <w:right w:val="nil"/>
                  </w:tcBorders>
                  <w:shd w:val="clear"/>
                  <w:vAlign w:val="center"/>
                </w:tcPr>
                <w:p w14:paraId="27FB98CF">
                  <w:pPr>
                    <w:rPr>
                      <w:rFonts w:hint="default" w:ascii="Calibri" w:hAnsi="Calibri" w:cs="Calibri"/>
                      <w:sz w:val="20"/>
                      <w:szCs w:val="20"/>
                    </w:rPr>
                  </w:pPr>
                </w:p>
              </w:tc>
            </w:tr>
            <w:tr w14:paraId="6AFE8A2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33" w:type="pct"/>
                  <w:vMerge w:val="continue"/>
                  <w:tcBorders>
                    <w:top w:val="single" w:color="auto" w:sz="12" w:space="0"/>
                    <w:left w:val="nil"/>
                    <w:bottom w:val="single" w:color="auto" w:sz="4" w:space="0"/>
                    <w:right w:val="single" w:color="auto" w:sz="4" w:space="0"/>
                  </w:tcBorders>
                  <w:shd w:val="clear"/>
                  <w:vAlign w:val="center"/>
                </w:tcPr>
                <w:p w14:paraId="42841AED">
                  <w:pPr>
                    <w:rPr>
                      <w:rFonts w:hint="default" w:ascii="Calibri" w:hAnsi="Calibri" w:cs="Calibri"/>
                      <w:sz w:val="20"/>
                      <w:szCs w:val="20"/>
                    </w:rPr>
                  </w:pPr>
                </w:p>
              </w:tc>
              <w:tc>
                <w:tcPr>
                  <w:tcW w:w="569" w:type="pct"/>
                  <w:vMerge w:val="continue"/>
                  <w:tcBorders>
                    <w:top w:val="single" w:color="auto" w:sz="12" w:space="0"/>
                    <w:left w:val="single" w:color="auto" w:sz="4" w:space="0"/>
                    <w:bottom w:val="single" w:color="auto" w:sz="4" w:space="0"/>
                    <w:right w:val="single" w:color="auto" w:sz="4" w:space="0"/>
                  </w:tcBorders>
                  <w:shd w:val="clear"/>
                  <w:vAlign w:val="center"/>
                </w:tcPr>
                <w:p w14:paraId="7D6A6564">
                  <w:pPr>
                    <w:rPr>
                      <w:rFonts w:hint="default" w:ascii="Calibri" w:hAnsi="Calibri" w:cs="Calibri"/>
                      <w:sz w:val="20"/>
                      <w:szCs w:val="20"/>
                    </w:rPr>
                  </w:pPr>
                </w:p>
              </w:tc>
              <w:tc>
                <w:tcPr>
                  <w:tcW w:w="306" w:type="pct"/>
                  <w:tcBorders>
                    <w:top w:val="single" w:color="auto" w:sz="4" w:space="0"/>
                    <w:left w:val="single" w:color="auto" w:sz="4" w:space="0"/>
                    <w:bottom w:val="single" w:color="auto" w:sz="4" w:space="0"/>
                    <w:right w:val="single" w:color="auto" w:sz="4" w:space="0"/>
                  </w:tcBorders>
                  <w:shd w:val="clear"/>
                  <w:vAlign w:val="center"/>
                </w:tcPr>
                <w:p w14:paraId="524A69D4">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w:t>
                  </w:r>
                </w:p>
              </w:tc>
              <w:tc>
                <w:tcPr>
                  <w:tcW w:w="391" w:type="pct"/>
                  <w:tcBorders>
                    <w:top w:val="single" w:color="auto" w:sz="4" w:space="0"/>
                    <w:left w:val="single" w:color="auto" w:sz="4" w:space="0"/>
                    <w:bottom w:val="single" w:color="auto" w:sz="4" w:space="0"/>
                    <w:right w:val="single" w:color="auto" w:sz="4" w:space="0"/>
                  </w:tcBorders>
                  <w:shd w:val="clear"/>
                  <w:vAlign w:val="center"/>
                </w:tcPr>
                <w:p w14:paraId="6CA0A504">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t/a</w:t>
                  </w:r>
                </w:p>
              </w:tc>
              <w:tc>
                <w:tcPr>
                  <w:tcW w:w="391" w:type="pct"/>
                  <w:tcBorders>
                    <w:top w:val="single" w:color="auto" w:sz="4" w:space="0"/>
                    <w:left w:val="single" w:color="auto" w:sz="4" w:space="0"/>
                    <w:bottom w:val="single" w:color="auto" w:sz="4" w:space="0"/>
                    <w:right w:val="single" w:color="auto" w:sz="4" w:space="0"/>
                  </w:tcBorders>
                  <w:shd w:val="clear"/>
                  <w:vAlign w:val="center"/>
                </w:tcPr>
                <w:p w14:paraId="643CEE14">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kg/h</w:t>
                  </w:r>
                </w:p>
              </w:tc>
              <w:tc>
                <w:tcPr>
                  <w:tcW w:w="383" w:type="pct"/>
                  <w:tcBorders>
                    <w:top w:val="single" w:color="auto" w:sz="4" w:space="0"/>
                    <w:left w:val="single" w:color="auto" w:sz="4" w:space="0"/>
                    <w:bottom w:val="single" w:color="auto" w:sz="4" w:space="0"/>
                    <w:right w:val="single" w:color="auto" w:sz="4" w:space="0"/>
                  </w:tcBorders>
                  <w:shd w:val="clear"/>
                  <w:vAlign w:val="center"/>
                </w:tcPr>
                <w:p w14:paraId="0133415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w:t>
                  </w:r>
                </w:p>
              </w:tc>
              <w:tc>
                <w:tcPr>
                  <w:tcW w:w="407" w:type="pct"/>
                  <w:tcBorders>
                    <w:top w:val="single" w:color="auto" w:sz="4" w:space="0"/>
                    <w:left w:val="single" w:color="auto" w:sz="4" w:space="0"/>
                    <w:bottom w:val="single" w:color="auto" w:sz="4" w:space="0"/>
                    <w:right w:val="single" w:color="auto" w:sz="4" w:space="0"/>
                  </w:tcBorders>
                  <w:shd w:val="clear"/>
                  <w:vAlign w:val="center"/>
                </w:tcPr>
                <w:p w14:paraId="274E5536">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t/a</w:t>
                  </w:r>
                </w:p>
              </w:tc>
              <w:tc>
                <w:tcPr>
                  <w:tcW w:w="529" w:type="pct"/>
                  <w:tcBorders>
                    <w:top w:val="single" w:color="auto" w:sz="4" w:space="0"/>
                    <w:left w:val="single" w:color="auto" w:sz="4" w:space="0"/>
                    <w:bottom w:val="single" w:color="auto" w:sz="4" w:space="0"/>
                    <w:right w:val="single" w:color="auto" w:sz="4" w:space="0"/>
                  </w:tcBorders>
                  <w:shd w:val="clear"/>
                  <w:vAlign w:val="center"/>
                </w:tcPr>
                <w:p w14:paraId="3CE5D959">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kg/h</w:t>
                  </w:r>
                </w:p>
              </w:tc>
              <w:tc>
                <w:tcPr>
                  <w:tcW w:w="441" w:type="pct"/>
                  <w:tcBorders>
                    <w:top w:val="single" w:color="auto" w:sz="4" w:space="0"/>
                    <w:left w:val="single" w:color="auto" w:sz="4" w:space="0"/>
                    <w:bottom w:val="single" w:color="auto" w:sz="4" w:space="0"/>
                    <w:right w:val="single" w:color="auto" w:sz="4" w:space="0"/>
                  </w:tcBorders>
                  <w:shd w:val="clear"/>
                  <w:vAlign w:val="center"/>
                </w:tcPr>
                <w:p w14:paraId="6762151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mg/m</w:t>
                  </w:r>
                  <w:r>
                    <w:rPr>
                      <w:rFonts w:hint="default" w:ascii="Times New Roman" w:hAnsi="Times New Roman" w:eastAsia="宋体" w:cs="Times New Roman"/>
                      <w:color w:val="000000"/>
                      <w:kern w:val="0"/>
                      <w:sz w:val="21"/>
                      <w:szCs w:val="21"/>
                      <w:bdr w:val="none" w:color="auto" w:sz="0" w:space="0"/>
                      <w:vertAlign w:val="superscript"/>
                      <w:lang w:val="en-US" w:eastAsia="zh-CN" w:bidi="ar"/>
                    </w:rPr>
                    <w:t>3</w:t>
                  </w:r>
                </w:p>
              </w:tc>
              <w:tc>
                <w:tcPr>
                  <w:tcW w:w="451" w:type="pct"/>
                  <w:tcBorders>
                    <w:top w:val="single" w:color="auto" w:sz="4" w:space="0"/>
                    <w:left w:val="single" w:color="auto" w:sz="4" w:space="0"/>
                    <w:bottom w:val="single" w:color="auto" w:sz="4" w:space="0"/>
                    <w:right w:val="single" w:color="auto" w:sz="4" w:space="0"/>
                  </w:tcBorders>
                  <w:shd w:val="clear"/>
                  <w:vAlign w:val="center"/>
                </w:tcPr>
                <w:p w14:paraId="6F3D4B2A">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kg/h</w:t>
                  </w:r>
                </w:p>
              </w:tc>
              <w:tc>
                <w:tcPr>
                  <w:tcW w:w="448" w:type="pct"/>
                  <w:tcBorders>
                    <w:top w:val="single" w:color="auto" w:sz="4" w:space="0"/>
                    <w:left w:val="single" w:color="auto" w:sz="4" w:space="0"/>
                    <w:bottom w:val="single" w:color="auto" w:sz="4" w:space="0"/>
                    <w:right w:val="single" w:color="auto" w:sz="4" w:space="0"/>
                  </w:tcBorders>
                  <w:shd w:val="clear"/>
                  <w:vAlign w:val="center"/>
                </w:tcPr>
                <w:p w14:paraId="071EF8E5">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mg/m</w:t>
                  </w:r>
                  <w:r>
                    <w:rPr>
                      <w:rFonts w:hint="default" w:ascii="Times New Roman" w:hAnsi="Times New Roman" w:eastAsia="宋体" w:cs="Times New Roman"/>
                      <w:color w:val="000000"/>
                      <w:kern w:val="0"/>
                      <w:sz w:val="21"/>
                      <w:szCs w:val="21"/>
                      <w:bdr w:val="none" w:color="auto" w:sz="0" w:space="0"/>
                      <w:vertAlign w:val="superscript"/>
                      <w:lang w:val="en-US" w:eastAsia="zh-CN" w:bidi="ar"/>
                    </w:rPr>
                    <w:t>3</w:t>
                  </w:r>
                </w:p>
              </w:tc>
              <w:tc>
                <w:tcPr>
                  <w:tcW w:w="448" w:type="pct"/>
                  <w:vMerge w:val="continue"/>
                  <w:tcBorders>
                    <w:top w:val="single" w:color="auto" w:sz="12" w:space="0"/>
                    <w:left w:val="single" w:color="auto" w:sz="4" w:space="0"/>
                    <w:bottom w:val="single" w:color="auto" w:sz="4" w:space="0"/>
                    <w:right w:val="nil"/>
                  </w:tcBorders>
                  <w:shd w:val="clear"/>
                  <w:vAlign w:val="center"/>
                </w:tcPr>
                <w:p w14:paraId="3B75B7C3">
                  <w:pPr>
                    <w:rPr>
                      <w:rFonts w:hint="default" w:ascii="Calibri" w:hAnsi="Calibri" w:cs="Calibri"/>
                      <w:sz w:val="20"/>
                      <w:szCs w:val="20"/>
                    </w:rPr>
                  </w:pPr>
                </w:p>
              </w:tc>
            </w:tr>
            <w:tr w14:paraId="1E7A434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33" w:type="pct"/>
                  <w:vMerge w:val="restart"/>
                  <w:tcBorders>
                    <w:top w:val="single" w:color="auto" w:sz="4" w:space="0"/>
                    <w:left w:val="nil"/>
                    <w:bottom w:val="single" w:color="auto" w:sz="4" w:space="0"/>
                    <w:right w:val="single" w:color="auto" w:sz="4" w:space="0"/>
                  </w:tcBorders>
                  <w:shd w:val="clear"/>
                  <w:vAlign w:val="center"/>
                </w:tcPr>
                <w:p w14:paraId="24737124">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D1</w:t>
                  </w:r>
                </w:p>
              </w:tc>
              <w:tc>
                <w:tcPr>
                  <w:tcW w:w="569" w:type="pct"/>
                  <w:tcBorders>
                    <w:top w:val="single" w:color="auto" w:sz="4" w:space="0"/>
                    <w:left w:val="single" w:color="auto" w:sz="4" w:space="0"/>
                    <w:bottom w:val="single" w:color="auto" w:sz="4" w:space="0"/>
                    <w:right w:val="single" w:color="auto" w:sz="4" w:space="0"/>
                  </w:tcBorders>
                  <w:shd w:val="clear"/>
                  <w:vAlign w:val="center"/>
                </w:tcPr>
                <w:p w14:paraId="763E9779">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非甲烷总烃</w:t>
                  </w:r>
                </w:p>
              </w:tc>
              <w:tc>
                <w:tcPr>
                  <w:tcW w:w="306" w:type="pct"/>
                  <w:vMerge w:val="restart"/>
                  <w:tcBorders>
                    <w:top w:val="single" w:color="auto" w:sz="4" w:space="0"/>
                    <w:left w:val="single" w:color="auto" w:sz="4" w:space="0"/>
                    <w:bottom w:val="single" w:color="auto" w:sz="4" w:space="0"/>
                    <w:right w:val="single" w:color="auto" w:sz="4" w:space="0"/>
                  </w:tcBorders>
                  <w:shd w:val="clear"/>
                  <w:vAlign w:val="center"/>
                </w:tcPr>
                <w:p w14:paraId="0A686BF2">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85</w:t>
                  </w:r>
                </w:p>
              </w:tc>
              <w:tc>
                <w:tcPr>
                  <w:tcW w:w="391" w:type="pct"/>
                  <w:tcBorders>
                    <w:top w:val="single" w:color="auto" w:sz="4" w:space="0"/>
                    <w:left w:val="single" w:color="auto" w:sz="4" w:space="0"/>
                    <w:bottom w:val="single" w:color="auto" w:sz="4" w:space="0"/>
                    <w:right w:val="single" w:color="auto" w:sz="4" w:space="0"/>
                  </w:tcBorders>
                  <w:shd w:val="clear"/>
                  <w:vAlign w:val="center"/>
                </w:tcPr>
                <w:p w14:paraId="1F887DCB">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0.536</w:t>
                  </w:r>
                </w:p>
              </w:tc>
              <w:tc>
                <w:tcPr>
                  <w:tcW w:w="391" w:type="pct"/>
                  <w:tcBorders>
                    <w:top w:val="single" w:color="auto" w:sz="4" w:space="0"/>
                    <w:left w:val="single" w:color="auto" w:sz="4" w:space="0"/>
                    <w:bottom w:val="single" w:color="auto" w:sz="4" w:space="0"/>
                    <w:right w:val="single" w:color="auto" w:sz="4" w:space="0"/>
                  </w:tcBorders>
                  <w:shd w:val="clear"/>
                  <w:vAlign w:val="center"/>
                </w:tcPr>
                <w:p w14:paraId="5777E481">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0.134</w:t>
                  </w:r>
                </w:p>
              </w:tc>
              <w:tc>
                <w:tcPr>
                  <w:tcW w:w="383" w:type="pct"/>
                  <w:vMerge w:val="restart"/>
                  <w:tcBorders>
                    <w:top w:val="single" w:color="auto" w:sz="4" w:space="0"/>
                    <w:left w:val="single" w:color="auto" w:sz="4" w:space="0"/>
                    <w:bottom w:val="single" w:color="auto" w:sz="4" w:space="0"/>
                    <w:right w:val="single" w:color="auto" w:sz="4" w:space="0"/>
                  </w:tcBorders>
                  <w:shd w:val="clear"/>
                  <w:vAlign w:val="center"/>
                </w:tcPr>
                <w:p w14:paraId="3C606E88">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w:t>
                  </w:r>
                </w:p>
              </w:tc>
              <w:tc>
                <w:tcPr>
                  <w:tcW w:w="407" w:type="pct"/>
                  <w:tcBorders>
                    <w:top w:val="single" w:color="auto" w:sz="4" w:space="0"/>
                    <w:left w:val="single" w:color="auto" w:sz="4" w:space="0"/>
                    <w:bottom w:val="single" w:color="auto" w:sz="4" w:space="0"/>
                    <w:right w:val="single" w:color="auto" w:sz="4" w:space="0"/>
                  </w:tcBorders>
                  <w:shd w:val="clear"/>
                  <w:vAlign w:val="center"/>
                </w:tcPr>
                <w:p w14:paraId="36577528">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0.536</w:t>
                  </w:r>
                </w:p>
              </w:tc>
              <w:tc>
                <w:tcPr>
                  <w:tcW w:w="529" w:type="pct"/>
                  <w:tcBorders>
                    <w:top w:val="single" w:color="auto" w:sz="4" w:space="0"/>
                    <w:left w:val="single" w:color="auto" w:sz="4" w:space="0"/>
                    <w:bottom w:val="single" w:color="auto" w:sz="4" w:space="0"/>
                    <w:right w:val="single" w:color="auto" w:sz="4" w:space="0"/>
                  </w:tcBorders>
                  <w:shd w:val="clear"/>
                  <w:vAlign w:val="center"/>
                </w:tcPr>
                <w:p w14:paraId="33F4F231">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0.134</w:t>
                  </w:r>
                </w:p>
              </w:tc>
              <w:tc>
                <w:tcPr>
                  <w:tcW w:w="441" w:type="pct"/>
                  <w:tcBorders>
                    <w:top w:val="single" w:color="auto" w:sz="4" w:space="0"/>
                    <w:left w:val="single" w:color="auto" w:sz="4" w:space="0"/>
                    <w:bottom w:val="single" w:color="auto" w:sz="4" w:space="0"/>
                    <w:right w:val="single" w:color="auto" w:sz="4" w:space="0"/>
                  </w:tcBorders>
                  <w:shd w:val="clear"/>
                  <w:vAlign w:val="center"/>
                </w:tcPr>
                <w:p w14:paraId="65AF08F2">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26.8</w:t>
                  </w:r>
                </w:p>
              </w:tc>
              <w:tc>
                <w:tcPr>
                  <w:tcW w:w="451" w:type="pct"/>
                  <w:tcBorders>
                    <w:top w:val="single" w:color="auto" w:sz="4" w:space="0"/>
                    <w:left w:val="single" w:color="auto" w:sz="4" w:space="0"/>
                    <w:bottom w:val="single" w:color="auto" w:sz="4" w:space="0"/>
                    <w:right w:val="single" w:color="auto" w:sz="4" w:space="0"/>
                  </w:tcBorders>
                  <w:shd w:val="clear"/>
                  <w:vAlign w:val="center"/>
                </w:tcPr>
                <w:p w14:paraId="52861B6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w:t>
                  </w:r>
                </w:p>
              </w:tc>
              <w:tc>
                <w:tcPr>
                  <w:tcW w:w="448" w:type="pct"/>
                  <w:tcBorders>
                    <w:top w:val="single" w:color="auto" w:sz="4" w:space="0"/>
                    <w:left w:val="single" w:color="auto" w:sz="4" w:space="0"/>
                    <w:bottom w:val="single" w:color="auto" w:sz="4" w:space="0"/>
                    <w:right w:val="single" w:color="auto" w:sz="4" w:space="0"/>
                  </w:tcBorders>
                  <w:shd w:val="clear"/>
                  <w:vAlign w:val="center"/>
                </w:tcPr>
                <w:p w14:paraId="0992EBA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60</w:t>
                  </w:r>
                </w:p>
              </w:tc>
              <w:tc>
                <w:tcPr>
                  <w:tcW w:w="448" w:type="pct"/>
                  <w:tcBorders>
                    <w:top w:val="single" w:color="auto" w:sz="4" w:space="0"/>
                    <w:left w:val="single" w:color="auto" w:sz="4" w:space="0"/>
                    <w:bottom w:val="single" w:color="auto" w:sz="4" w:space="0"/>
                    <w:right w:val="nil"/>
                  </w:tcBorders>
                  <w:shd w:val="clear"/>
                  <w:vAlign w:val="center"/>
                </w:tcPr>
                <w:p w14:paraId="7B9C7B6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达标</w:t>
                  </w:r>
                </w:p>
              </w:tc>
            </w:tr>
            <w:tr w14:paraId="0664904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233" w:type="pct"/>
                  <w:vMerge w:val="continue"/>
                  <w:tcBorders>
                    <w:top w:val="single" w:color="auto" w:sz="4" w:space="0"/>
                    <w:left w:val="nil"/>
                    <w:bottom w:val="single" w:color="auto" w:sz="4" w:space="0"/>
                    <w:right w:val="single" w:color="auto" w:sz="4" w:space="0"/>
                  </w:tcBorders>
                  <w:shd w:val="clear"/>
                  <w:vAlign w:val="center"/>
                </w:tcPr>
                <w:p w14:paraId="2004A919">
                  <w:pPr>
                    <w:rPr>
                      <w:rFonts w:hint="default" w:ascii="Calibri" w:hAnsi="Calibri" w:cs="Calibri"/>
                      <w:sz w:val="20"/>
                      <w:szCs w:val="20"/>
                    </w:rPr>
                  </w:pPr>
                </w:p>
              </w:tc>
              <w:tc>
                <w:tcPr>
                  <w:tcW w:w="569" w:type="pct"/>
                  <w:tcBorders>
                    <w:top w:val="single" w:color="auto" w:sz="4" w:space="0"/>
                    <w:left w:val="single" w:color="auto" w:sz="4" w:space="0"/>
                    <w:bottom w:val="single" w:color="auto" w:sz="4" w:space="0"/>
                    <w:right w:val="single" w:color="auto" w:sz="4" w:space="0"/>
                  </w:tcBorders>
                  <w:shd w:val="clear"/>
                  <w:vAlign w:val="center"/>
                </w:tcPr>
                <w:p w14:paraId="4B5364DF">
                  <w:pPr>
                    <w:keepNext w:val="0"/>
                    <w:keepLines w:val="0"/>
                    <w:widowControl w:val="0"/>
                    <w:suppressLineNumbers w:val="0"/>
                    <w:spacing w:before="0" w:beforeAutospacing="0" w:after="0" w:afterAutospacing="0"/>
                    <w:ind w:left="0" w:right="0"/>
                    <w:jc w:val="center"/>
                    <w:rPr>
                      <w:rFonts w:hint="default" w:ascii="Times New Roman" w:hAnsi="Calibri" w:cs="Times New Roman"/>
                      <w:color w:val="000000"/>
                      <w:szCs w:val="21"/>
                      <w:bdr w:val="none" w:color="auto" w:sz="0" w:space="0"/>
                      <w:lang w:val="en-US"/>
                    </w:rPr>
                  </w:pPr>
                  <w:r>
                    <w:rPr>
                      <w:rFonts w:hint="default" w:ascii="Times New Roman" w:hAnsi="Calibri" w:eastAsia="宋体" w:cs="Times New Roman"/>
                      <w:color w:val="000000"/>
                      <w:kern w:val="2"/>
                      <w:sz w:val="21"/>
                      <w:szCs w:val="21"/>
                      <w:bdr w:val="none" w:color="auto" w:sz="0" w:space="0"/>
                      <w:lang w:val="en-US" w:eastAsia="zh-CN" w:bidi="ar"/>
                    </w:rPr>
                    <w:t>MDI</w:t>
                  </w:r>
                </w:p>
              </w:tc>
              <w:tc>
                <w:tcPr>
                  <w:tcW w:w="306" w:type="pct"/>
                  <w:vMerge w:val="continue"/>
                  <w:tcBorders>
                    <w:top w:val="single" w:color="auto" w:sz="4" w:space="0"/>
                    <w:left w:val="single" w:color="auto" w:sz="4" w:space="0"/>
                    <w:bottom w:val="single" w:color="auto" w:sz="4" w:space="0"/>
                    <w:right w:val="single" w:color="auto" w:sz="4" w:space="0"/>
                  </w:tcBorders>
                  <w:shd w:val="clear"/>
                  <w:vAlign w:val="center"/>
                </w:tcPr>
                <w:p w14:paraId="0FD908E2">
                  <w:pPr>
                    <w:rPr>
                      <w:rFonts w:hint="default" w:ascii="Calibri" w:hAnsi="Calibri" w:cs="Calibri"/>
                      <w:sz w:val="20"/>
                      <w:szCs w:val="20"/>
                    </w:rPr>
                  </w:pPr>
                </w:p>
              </w:tc>
              <w:tc>
                <w:tcPr>
                  <w:tcW w:w="391" w:type="pct"/>
                  <w:tcBorders>
                    <w:top w:val="single" w:color="auto" w:sz="4" w:space="0"/>
                    <w:left w:val="single" w:color="auto" w:sz="4" w:space="0"/>
                    <w:bottom w:val="single" w:color="auto" w:sz="4" w:space="0"/>
                    <w:right w:val="single" w:color="auto" w:sz="4" w:space="0"/>
                  </w:tcBorders>
                  <w:shd w:val="clear"/>
                  <w:vAlign w:val="center"/>
                </w:tcPr>
                <w:p w14:paraId="772A249C">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0.150</w:t>
                  </w:r>
                </w:p>
              </w:tc>
              <w:tc>
                <w:tcPr>
                  <w:tcW w:w="391" w:type="pct"/>
                  <w:tcBorders>
                    <w:top w:val="single" w:color="auto" w:sz="4" w:space="0"/>
                    <w:left w:val="single" w:color="auto" w:sz="4" w:space="0"/>
                    <w:bottom w:val="single" w:color="auto" w:sz="4" w:space="0"/>
                    <w:right w:val="single" w:color="auto" w:sz="4" w:space="0"/>
                  </w:tcBorders>
                  <w:shd w:val="clear"/>
                  <w:vAlign w:val="center"/>
                </w:tcPr>
                <w:p w14:paraId="41D8B26F">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0.038</w:t>
                  </w:r>
                </w:p>
              </w:tc>
              <w:tc>
                <w:tcPr>
                  <w:tcW w:w="383" w:type="pct"/>
                  <w:vMerge w:val="continue"/>
                  <w:tcBorders>
                    <w:top w:val="single" w:color="auto" w:sz="4" w:space="0"/>
                    <w:left w:val="single" w:color="auto" w:sz="4" w:space="0"/>
                    <w:bottom w:val="single" w:color="auto" w:sz="4" w:space="0"/>
                    <w:right w:val="single" w:color="auto" w:sz="4" w:space="0"/>
                  </w:tcBorders>
                  <w:shd w:val="clear"/>
                  <w:vAlign w:val="center"/>
                </w:tcPr>
                <w:p w14:paraId="221770CE">
                  <w:pPr>
                    <w:rPr>
                      <w:rFonts w:hint="default" w:ascii="Calibri" w:hAnsi="Calibri" w:cs="Calibri"/>
                      <w:sz w:val="20"/>
                      <w:szCs w:val="20"/>
                    </w:rPr>
                  </w:pPr>
                </w:p>
              </w:tc>
              <w:tc>
                <w:tcPr>
                  <w:tcW w:w="407" w:type="pct"/>
                  <w:tcBorders>
                    <w:top w:val="single" w:color="auto" w:sz="4" w:space="0"/>
                    <w:left w:val="single" w:color="auto" w:sz="4" w:space="0"/>
                    <w:bottom w:val="single" w:color="auto" w:sz="4" w:space="0"/>
                    <w:right w:val="single" w:color="auto" w:sz="4" w:space="0"/>
                  </w:tcBorders>
                  <w:shd w:val="clear"/>
                  <w:vAlign w:val="center"/>
                </w:tcPr>
                <w:p w14:paraId="1DF00F3D">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0.150</w:t>
                  </w:r>
                </w:p>
              </w:tc>
              <w:tc>
                <w:tcPr>
                  <w:tcW w:w="529" w:type="pct"/>
                  <w:tcBorders>
                    <w:top w:val="single" w:color="auto" w:sz="4" w:space="0"/>
                    <w:left w:val="single" w:color="auto" w:sz="4" w:space="0"/>
                    <w:bottom w:val="single" w:color="auto" w:sz="4" w:space="0"/>
                    <w:right w:val="single" w:color="auto" w:sz="4" w:space="0"/>
                  </w:tcBorders>
                  <w:shd w:val="clear"/>
                  <w:vAlign w:val="center"/>
                </w:tcPr>
                <w:p w14:paraId="5C493828">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0.038</w:t>
                  </w:r>
                </w:p>
              </w:tc>
              <w:tc>
                <w:tcPr>
                  <w:tcW w:w="441" w:type="pct"/>
                  <w:tcBorders>
                    <w:top w:val="single" w:color="auto" w:sz="4" w:space="0"/>
                    <w:left w:val="single" w:color="auto" w:sz="4" w:space="0"/>
                    <w:bottom w:val="single" w:color="auto" w:sz="4" w:space="0"/>
                    <w:right w:val="single" w:color="auto" w:sz="4" w:space="0"/>
                  </w:tcBorders>
                  <w:shd w:val="clear"/>
                  <w:vAlign w:val="center"/>
                </w:tcPr>
                <w:p w14:paraId="0070E867">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7.5</w:t>
                  </w:r>
                </w:p>
              </w:tc>
              <w:tc>
                <w:tcPr>
                  <w:tcW w:w="451" w:type="pct"/>
                  <w:tcBorders>
                    <w:top w:val="single" w:color="auto" w:sz="4" w:space="0"/>
                    <w:left w:val="single" w:color="auto" w:sz="4" w:space="0"/>
                    <w:bottom w:val="single" w:color="auto" w:sz="4" w:space="0"/>
                    <w:right w:val="single" w:color="auto" w:sz="4" w:space="0"/>
                  </w:tcBorders>
                  <w:shd w:val="clear"/>
                  <w:vAlign w:val="center"/>
                </w:tcPr>
                <w:p w14:paraId="5E7DCBA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w:t>
                  </w:r>
                </w:p>
              </w:tc>
              <w:tc>
                <w:tcPr>
                  <w:tcW w:w="448" w:type="pct"/>
                  <w:tcBorders>
                    <w:top w:val="single" w:color="auto" w:sz="4" w:space="0"/>
                    <w:left w:val="single" w:color="auto" w:sz="4" w:space="0"/>
                    <w:bottom w:val="single" w:color="auto" w:sz="4" w:space="0"/>
                    <w:right w:val="single" w:color="auto" w:sz="4" w:space="0"/>
                  </w:tcBorders>
                  <w:shd w:val="clear"/>
                  <w:vAlign w:val="center"/>
                </w:tcPr>
                <w:p w14:paraId="330416D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w:t>
                  </w:r>
                </w:p>
              </w:tc>
              <w:tc>
                <w:tcPr>
                  <w:tcW w:w="448" w:type="pct"/>
                  <w:tcBorders>
                    <w:top w:val="single" w:color="auto" w:sz="4" w:space="0"/>
                    <w:left w:val="single" w:color="auto" w:sz="4" w:space="0"/>
                    <w:bottom w:val="single" w:color="auto" w:sz="4" w:space="0"/>
                    <w:right w:val="nil"/>
                  </w:tcBorders>
                  <w:shd w:val="clear"/>
                  <w:vAlign w:val="center"/>
                </w:tcPr>
                <w:p w14:paraId="35535BA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超标</w:t>
                  </w:r>
                </w:p>
              </w:tc>
            </w:tr>
            <w:tr w14:paraId="761752B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233" w:type="pct"/>
                  <w:vMerge w:val="continue"/>
                  <w:tcBorders>
                    <w:top w:val="single" w:color="auto" w:sz="4" w:space="0"/>
                    <w:left w:val="nil"/>
                    <w:bottom w:val="single" w:color="auto" w:sz="4" w:space="0"/>
                    <w:right w:val="single" w:color="auto" w:sz="4" w:space="0"/>
                  </w:tcBorders>
                  <w:shd w:val="clear"/>
                  <w:vAlign w:val="center"/>
                </w:tcPr>
                <w:p w14:paraId="39137465">
                  <w:pPr>
                    <w:rPr>
                      <w:rFonts w:hint="default" w:ascii="Calibri" w:hAnsi="Calibri" w:cs="Calibri"/>
                      <w:sz w:val="20"/>
                      <w:szCs w:val="20"/>
                    </w:rPr>
                  </w:pPr>
                </w:p>
              </w:tc>
              <w:tc>
                <w:tcPr>
                  <w:tcW w:w="569" w:type="pct"/>
                  <w:tcBorders>
                    <w:top w:val="single" w:color="auto" w:sz="4" w:space="0"/>
                    <w:left w:val="single" w:color="auto" w:sz="4" w:space="0"/>
                    <w:bottom w:val="single" w:color="auto" w:sz="4" w:space="0"/>
                    <w:right w:val="single" w:color="auto" w:sz="4" w:space="0"/>
                  </w:tcBorders>
                  <w:shd w:val="clear"/>
                  <w:vAlign w:val="center"/>
                </w:tcPr>
                <w:p w14:paraId="6CDD2EEA">
                  <w:pPr>
                    <w:keepNext w:val="0"/>
                    <w:keepLines w:val="0"/>
                    <w:widowControl w:val="0"/>
                    <w:suppressLineNumbers w:val="0"/>
                    <w:spacing w:before="0" w:beforeAutospacing="0" w:after="0" w:afterAutospacing="0"/>
                    <w:ind w:left="0" w:right="0"/>
                    <w:jc w:val="center"/>
                    <w:rPr>
                      <w:rFonts w:hint="default" w:ascii="Times New Roman" w:hAnsi="Calibri"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颗粒物</w:t>
                  </w:r>
                </w:p>
              </w:tc>
              <w:tc>
                <w:tcPr>
                  <w:tcW w:w="306" w:type="pct"/>
                  <w:vMerge w:val="continue"/>
                  <w:tcBorders>
                    <w:top w:val="single" w:color="auto" w:sz="4" w:space="0"/>
                    <w:left w:val="single" w:color="auto" w:sz="4" w:space="0"/>
                    <w:bottom w:val="single" w:color="auto" w:sz="4" w:space="0"/>
                    <w:right w:val="single" w:color="auto" w:sz="4" w:space="0"/>
                  </w:tcBorders>
                  <w:shd w:val="clear"/>
                  <w:vAlign w:val="center"/>
                </w:tcPr>
                <w:p w14:paraId="56850765">
                  <w:pPr>
                    <w:rPr>
                      <w:rFonts w:hint="default" w:ascii="Calibri" w:hAnsi="Calibri" w:cs="Calibri"/>
                      <w:sz w:val="20"/>
                      <w:szCs w:val="20"/>
                    </w:rPr>
                  </w:pPr>
                </w:p>
              </w:tc>
              <w:tc>
                <w:tcPr>
                  <w:tcW w:w="391" w:type="pct"/>
                  <w:tcBorders>
                    <w:top w:val="single" w:color="auto" w:sz="4" w:space="0"/>
                    <w:left w:val="single" w:color="auto" w:sz="4" w:space="0"/>
                    <w:bottom w:val="single" w:color="auto" w:sz="4" w:space="0"/>
                    <w:right w:val="single" w:color="auto" w:sz="4" w:space="0"/>
                  </w:tcBorders>
                  <w:shd w:val="clear"/>
                  <w:vAlign w:val="center"/>
                </w:tcPr>
                <w:p w14:paraId="3213F205">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0.026</w:t>
                  </w:r>
                </w:p>
              </w:tc>
              <w:tc>
                <w:tcPr>
                  <w:tcW w:w="391" w:type="pct"/>
                  <w:tcBorders>
                    <w:top w:val="single" w:color="auto" w:sz="4" w:space="0"/>
                    <w:left w:val="single" w:color="auto" w:sz="4" w:space="0"/>
                    <w:bottom w:val="single" w:color="auto" w:sz="4" w:space="0"/>
                    <w:right w:val="single" w:color="auto" w:sz="4" w:space="0"/>
                  </w:tcBorders>
                  <w:shd w:val="clear"/>
                  <w:vAlign w:val="center"/>
                </w:tcPr>
                <w:p w14:paraId="1147D968">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0.007</w:t>
                  </w:r>
                </w:p>
              </w:tc>
              <w:tc>
                <w:tcPr>
                  <w:tcW w:w="383" w:type="pct"/>
                  <w:vMerge w:val="continue"/>
                  <w:tcBorders>
                    <w:top w:val="single" w:color="auto" w:sz="4" w:space="0"/>
                    <w:left w:val="single" w:color="auto" w:sz="4" w:space="0"/>
                    <w:bottom w:val="single" w:color="auto" w:sz="4" w:space="0"/>
                    <w:right w:val="single" w:color="auto" w:sz="4" w:space="0"/>
                  </w:tcBorders>
                  <w:shd w:val="clear"/>
                  <w:vAlign w:val="center"/>
                </w:tcPr>
                <w:p w14:paraId="38476A5F">
                  <w:pPr>
                    <w:rPr>
                      <w:rFonts w:hint="default" w:ascii="Calibri" w:hAnsi="Calibri" w:cs="Calibri"/>
                      <w:sz w:val="20"/>
                      <w:szCs w:val="20"/>
                    </w:rPr>
                  </w:pPr>
                </w:p>
              </w:tc>
              <w:tc>
                <w:tcPr>
                  <w:tcW w:w="407" w:type="pct"/>
                  <w:tcBorders>
                    <w:top w:val="single" w:color="auto" w:sz="4" w:space="0"/>
                    <w:left w:val="single" w:color="auto" w:sz="4" w:space="0"/>
                    <w:bottom w:val="single" w:color="auto" w:sz="4" w:space="0"/>
                    <w:right w:val="single" w:color="auto" w:sz="4" w:space="0"/>
                  </w:tcBorders>
                  <w:shd w:val="clear"/>
                  <w:vAlign w:val="center"/>
                </w:tcPr>
                <w:p w14:paraId="2CBBE8DF">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0.026</w:t>
                  </w:r>
                </w:p>
              </w:tc>
              <w:tc>
                <w:tcPr>
                  <w:tcW w:w="529" w:type="pct"/>
                  <w:tcBorders>
                    <w:top w:val="single" w:color="auto" w:sz="4" w:space="0"/>
                    <w:left w:val="single" w:color="auto" w:sz="4" w:space="0"/>
                    <w:bottom w:val="single" w:color="auto" w:sz="4" w:space="0"/>
                    <w:right w:val="single" w:color="auto" w:sz="4" w:space="0"/>
                  </w:tcBorders>
                  <w:shd w:val="clear"/>
                  <w:vAlign w:val="center"/>
                </w:tcPr>
                <w:p w14:paraId="1161FA4A">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0.007</w:t>
                  </w:r>
                </w:p>
              </w:tc>
              <w:tc>
                <w:tcPr>
                  <w:tcW w:w="441" w:type="pct"/>
                  <w:tcBorders>
                    <w:top w:val="single" w:color="auto" w:sz="4" w:space="0"/>
                    <w:left w:val="single" w:color="auto" w:sz="4" w:space="0"/>
                    <w:bottom w:val="single" w:color="auto" w:sz="4" w:space="0"/>
                    <w:right w:val="single" w:color="auto" w:sz="4" w:space="0"/>
                  </w:tcBorders>
                  <w:shd w:val="clear"/>
                  <w:vAlign w:val="center"/>
                </w:tcPr>
                <w:p w14:paraId="128767B0">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1.3</w:t>
                  </w:r>
                </w:p>
              </w:tc>
              <w:tc>
                <w:tcPr>
                  <w:tcW w:w="451" w:type="pct"/>
                  <w:tcBorders>
                    <w:top w:val="single" w:color="auto" w:sz="4" w:space="0"/>
                    <w:left w:val="single" w:color="auto" w:sz="4" w:space="0"/>
                    <w:bottom w:val="single" w:color="auto" w:sz="4" w:space="0"/>
                    <w:right w:val="single" w:color="auto" w:sz="4" w:space="0"/>
                  </w:tcBorders>
                  <w:shd w:val="clear"/>
                  <w:vAlign w:val="center"/>
                </w:tcPr>
                <w:p w14:paraId="004A849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w:t>
                  </w:r>
                </w:p>
              </w:tc>
              <w:tc>
                <w:tcPr>
                  <w:tcW w:w="448" w:type="pct"/>
                  <w:tcBorders>
                    <w:top w:val="single" w:color="auto" w:sz="4" w:space="0"/>
                    <w:left w:val="single" w:color="auto" w:sz="4" w:space="0"/>
                    <w:bottom w:val="single" w:color="auto" w:sz="4" w:space="0"/>
                    <w:right w:val="single" w:color="auto" w:sz="4" w:space="0"/>
                  </w:tcBorders>
                  <w:shd w:val="clear"/>
                  <w:vAlign w:val="center"/>
                </w:tcPr>
                <w:p w14:paraId="0A72182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20</w:t>
                  </w:r>
                </w:p>
              </w:tc>
              <w:tc>
                <w:tcPr>
                  <w:tcW w:w="448" w:type="pct"/>
                  <w:tcBorders>
                    <w:top w:val="single" w:color="auto" w:sz="4" w:space="0"/>
                    <w:left w:val="single" w:color="auto" w:sz="4" w:space="0"/>
                    <w:bottom w:val="single" w:color="auto" w:sz="4" w:space="0"/>
                    <w:right w:val="nil"/>
                  </w:tcBorders>
                  <w:shd w:val="clear"/>
                  <w:vAlign w:val="center"/>
                </w:tcPr>
                <w:p w14:paraId="0EABAD5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达标</w:t>
                  </w:r>
                </w:p>
              </w:tc>
            </w:tr>
            <w:tr w14:paraId="37B5DA7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233" w:type="pct"/>
                  <w:tcBorders>
                    <w:top w:val="single" w:color="auto" w:sz="4" w:space="0"/>
                    <w:left w:val="nil"/>
                    <w:bottom w:val="single" w:color="auto" w:sz="12" w:space="0"/>
                    <w:right w:val="single" w:color="auto" w:sz="4" w:space="0"/>
                  </w:tcBorders>
                  <w:shd w:val="clear"/>
                  <w:vAlign w:val="center"/>
                </w:tcPr>
                <w:p w14:paraId="79C5B6A5">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D2</w:t>
                  </w:r>
                </w:p>
              </w:tc>
              <w:tc>
                <w:tcPr>
                  <w:tcW w:w="569" w:type="pct"/>
                  <w:tcBorders>
                    <w:top w:val="single" w:color="auto" w:sz="4" w:space="0"/>
                    <w:left w:val="single" w:color="auto" w:sz="4" w:space="0"/>
                    <w:bottom w:val="single" w:color="auto" w:sz="12" w:space="0"/>
                    <w:right w:val="single" w:color="auto" w:sz="4" w:space="0"/>
                  </w:tcBorders>
                  <w:shd w:val="clear"/>
                  <w:vAlign w:val="center"/>
                </w:tcPr>
                <w:p w14:paraId="472B118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颗粒物</w:t>
                  </w:r>
                </w:p>
              </w:tc>
              <w:tc>
                <w:tcPr>
                  <w:tcW w:w="306" w:type="pct"/>
                  <w:tcBorders>
                    <w:top w:val="single" w:color="auto" w:sz="4" w:space="0"/>
                    <w:left w:val="single" w:color="auto" w:sz="4" w:space="0"/>
                    <w:bottom w:val="single" w:color="auto" w:sz="12" w:space="0"/>
                    <w:right w:val="single" w:color="auto" w:sz="4" w:space="0"/>
                  </w:tcBorders>
                  <w:shd w:val="clear"/>
                  <w:vAlign w:val="center"/>
                </w:tcPr>
                <w:p w14:paraId="0058AD19">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90</w:t>
                  </w:r>
                </w:p>
              </w:tc>
              <w:tc>
                <w:tcPr>
                  <w:tcW w:w="391" w:type="pct"/>
                  <w:tcBorders>
                    <w:top w:val="single" w:color="auto" w:sz="4" w:space="0"/>
                    <w:left w:val="single" w:color="auto" w:sz="4" w:space="0"/>
                    <w:bottom w:val="single" w:color="auto" w:sz="12" w:space="0"/>
                    <w:right w:val="single" w:color="auto" w:sz="4" w:space="0"/>
                  </w:tcBorders>
                  <w:shd w:val="clear"/>
                  <w:vAlign w:val="center"/>
                </w:tcPr>
                <w:p w14:paraId="5EBBAF33">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0.9</w:t>
                  </w:r>
                </w:p>
              </w:tc>
              <w:tc>
                <w:tcPr>
                  <w:tcW w:w="391" w:type="pct"/>
                  <w:tcBorders>
                    <w:top w:val="single" w:color="auto" w:sz="4" w:space="0"/>
                    <w:left w:val="single" w:color="auto" w:sz="4" w:space="0"/>
                    <w:bottom w:val="single" w:color="auto" w:sz="12" w:space="0"/>
                    <w:right w:val="single" w:color="auto" w:sz="4" w:space="0"/>
                  </w:tcBorders>
                  <w:shd w:val="clear"/>
                  <w:vAlign w:val="center"/>
                </w:tcPr>
                <w:p w14:paraId="1BDA996D">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0.225</w:t>
                  </w:r>
                </w:p>
              </w:tc>
              <w:tc>
                <w:tcPr>
                  <w:tcW w:w="383" w:type="pct"/>
                  <w:tcBorders>
                    <w:top w:val="single" w:color="auto" w:sz="4" w:space="0"/>
                    <w:left w:val="single" w:color="auto" w:sz="4" w:space="0"/>
                    <w:bottom w:val="single" w:color="auto" w:sz="12" w:space="0"/>
                    <w:right w:val="single" w:color="auto" w:sz="4" w:space="0"/>
                  </w:tcBorders>
                  <w:shd w:val="clear"/>
                  <w:vAlign w:val="center"/>
                </w:tcPr>
                <w:p w14:paraId="17B7D24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w:t>
                  </w:r>
                </w:p>
              </w:tc>
              <w:tc>
                <w:tcPr>
                  <w:tcW w:w="407" w:type="pct"/>
                  <w:tcBorders>
                    <w:top w:val="single" w:color="auto" w:sz="4" w:space="0"/>
                    <w:left w:val="single" w:color="auto" w:sz="4" w:space="0"/>
                    <w:bottom w:val="single" w:color="auto" w:sz="12" w:space="0"/>
                    <w:right w:val="single" w:color="auto" w:sz="4" w:space="0"/>
                  </w:tcBorders>
                  <w:shd w:val="clear"/>
                  <w:vAlign w:val="center"/>
                </w:tcPr>
                <w:p w14:paraId="14BE2041">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0.9</w:t>
                  </w:r>
                </w:p>
              </w:tc>
              <w:tc>
                <w:tcPr>
                  <w:tcW w:w="529" w:type="pct"/>
                  <w:tcBorders>
                    <w:top w:val="single" w:color="auto" w:sz="4" w:space="0"/>
                    <w:left w:val="single" w:color="auto" w:sz="4" w:space="0"/>
                    <w:bottom w:val="single" w:color="auto" w:sz="12" w:space="0"/>
                    <w:right w:val="single" w:color="auto" w:sz="4" w:space="0"/>
                  </w:tcBorders>
                  <w:shd w:val="clear"/>
                  <w:vAlign w:val="center"/>
                </w:tcPr>
                <w:p w14:paraId="5C9DD392">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0.225</w:t>
                  </w:r>
                </w:p>
              </w:tc>
              <w:tc>
                <w:tcPr>
                  <w:tcW w:w="441" w:type="pct"/>
                  <w:tcBorders>
                    <w:top w:val="single" w:color="auto" w:sz="4" w:space="0"/>
                    <w:left w:val="single" w:color="auto" w:sz="4" w:space="0"/>
                    <w:bottom w:val="single" w:color="auto" w:sz="12" w:space="0"/>
                    <w:right w:val="single" w:color="auto" w:sz="4" w:space="0"/>
                  </w:tcBorders>
                  <w:shd w:val="clear"/>
                  <w:vAlign w:val="center"/>
                </w:tcPr>
                <w:p w14:paraId="7DD8A4D0">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45</w:t>
                  </w:r>
                </w:p>
              </w:tc>
              <w:tc>
                <w:tcPr>
                  <w:tcW w:w="451" w:type="pct"/>
                  <w:tcBorders>
                    <w:top w:val="single" w:color="auto" w:sz="4" w:space="0"/>
                    <w:left w:val="single" w:color="auto" w:sz="4" w:space="0"/>
                    <w:bottom w:val="single" w:color="auto" w:sz="12" w:space="0"/>
                    <w:right w:val="single" w:color="auto" w:sz="4" w:space="0"/>
                  </w:tcBorders>
                  <w:shd w:val="clear"/>
                  <w:vAlign w:val="center"/>
                </w:tcPr>
                <w:p w14:paraId="3012D9E3">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3.2</w:t>
                  </w:r>
                </w:p>
              </w:tc>
              <w:tc>
                <w:tcPr>
                  <w:tcW w:w="448" w:type="pct"/>
                  <w:tcBorders>
                    <w:top w:val="single" w:color="auto" w:sz="4" w:space="0"/>
                    <w:left w:val="single" w:color="auto" w:sz="4" w:space="0"/>
                    <w:bottom w:val="single" w:color="auto" w:sz="12" w:space="0"/>
                    <w:right w:val="single" w:color="auto" w:sz="4" w:space="0"/>
                  </w:tcBorders>
                  <w:shd w:val="clear"/>
                  <w:vAlign w:val="center"/>
                </w:tcPr>
                <w:p w14:paraId="0A4AA2D5">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100</w:t>
                  </w:r>
                </w:p>
              </w:tc>
              <w:tc>
                <w:tcPr>
                  <w:tcW w:w="448" w:type="pct"/>
                  <w:tcBorders>
                    <w:top w:val="single" w:color="auto" w:sz="4" w:space="0"/>
                    <w:left w:val="single" w:color="auto" w:sz="4" w:space="0"/>
                    <w:bottom w:val="single" w:color="auto" w:sz="12" w:space="0"/>
                    <w:right w:val="nil"/>
                  </w:tcBorders>
                  <w:shd w:val="clear"/>
                  <w:vAlign w:val="center"/>
                </w:tcPr>
                <w:p w14:paraId="30848A5A">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bdr w:val="none" w:color="auto" w:sz="0" w:space="0"/>
                      <w:lang w:val="en-US"/>
                    </w:rPr>
                  </w:pPr>
                  <w:r>
                    <w:rPr>
                      <w:rFonts w:hint="eastAsia" w:ascii="Times New Roman" w:hAnsi="Times New Roman" w:eastAsia="宋体" w:cs="宋体"/>
                      <w:snapToGrid w:val="0"/>
                      <w:color w:val="000000"/>
                      <w:kern w:val="28"/>
                      <w:sz w:val="21"/>
                      <w:szCs w:val="21"/>
                      <w:bdr w:val="none" w:color="auto" w:sz="0" w:space="0"/>
                      <w:lang w:val="en-US" w:eastAsia="zh-CN" w:bidi="ar"/>
                    </w:rPr>
                    <w:t>达标</w:t>
                  </w:r>
                </w:p>
              </w:tc>
            </w:tr>
          </w:tbl>
          <w:p w14:paraId="4FB571A9">
            <w:pPr>
              <w:keepNext w:val="0"/>
              <w:keepLines w:val="0"/>
              <w:widowControl w:val="0"/>
              <w:suppressLineNumbers w:val="0"/>
              <w:spacing w:before="0" w:beforeAutospacing="0" w:after="0" w:afterAutospacing="0" w:line="440" w:lineRule="exact"/>
              <w:ind w:left="0" w:right="0" w:firstLine="480" w:firstLineChars="200"/>
              <w:jc w:val="left"/>
              <w:rPr>
                <w:rFonts w:hAnsi="宋体"/>
                <w:color w:val="000000"/>
                <w:sz w:val="24"/>
                <w:szCs w:val="24"/>
                <w:bdr w:val="none" w:color="auto" w:sz="0" w:space="0"/>
                <w:lang w:val="en-US"/>
              </w:rPr>
            </w:pPr>
            <w:r>
              <w:rPr>
                <w:rFonts w:hint="eastAsia" w:ascii="Times New Roman" w:hAnsi="Times New Roman" w:eastAsia="宋体" w:cs="宋体"/>
                <w:bCs/>
                <w:color w:val="000000"/>
                <w:kern w:val="2"/>
                <w:sz w:val="24"/>
                <w:szCs w:val="21"/>
                <w:bdr w:val="none" w:color="auto" w:sz="0" w:space="0"/>
                <w:lang w:val="en-US" w:eastAsia="zh-CN" w:bidi="ar"/>
              </w:rPr>
              <w:t>扩建项目在非正常工况下，</w:t>
            </w:r>
            <w:r>
              <w:rPr>
                <w:rFonts w:hint="default" w:ascii="Times New Roman" w:hAnsi="Times New Roman" w:eastAsia="宋体" w:cs="Times New Roman"/>
                <w:bCs/>
                <w:color w:val="000000"/>
                <w:kern w:val="2"/>
                <w:sz w:val="24"/>
                <w:szCs w:val="21"/>
                <w:bdr w:val="none" w:color="auto" w:sz="0" w:space="0"/>
                <w:lang w:val="en-US" w:eastAsia="zh-CN" w:bidi="ar"/>
              </w:rPr>
              <w:t>DA001</w:t>
            </w:r>
            <w:r>
              <w:rPr>
                <w:rFonts w:hint="eastAsia" w:ascii="Times New Roman" w:hAnsi="Times New Roman" w:eastAsia="宋体" w:cs="宋体"/>
                <w:bCs/>
                <w:color w:val="000000"/>
                <w:kern w:val="2"/>
                <w:sz w:val="24"/>
                <w:szCs w:val="21"/>
                <w:bdr w:val="none" w:color="auto" w:sz="0" w:space="0"/>
                <w:lang w:val="en-US" w:eastAsia="zh-CN" w:bidi="ar"/>
              </w:rPr>
              <w:t>排气筒</w:t>
            </w:r>
            <w:r>
              <w:rPr>
                <w:rFonts w:hint="default" w:ascii="Times New Roman" w:hAnsi="Times New Roman" w:eastAsia="宋体" w:cs="Times New Roman"/>
                <w:bCs/>
                <w:color w:val="000000"/>
                <w:kern w:val="2"/>
                <w:sz w:val="24"/>
                <w:szCs w:val="21"/>
                <w:bdr w:val="none" w:color="auto" w:sz="0" w:space="0"/>
                <w:lang w:val="en-US" w:eastAsia="zh-CN" w:bidi="ar"/>
              </w:rPr>
              <w:t>MDI</w:t>
            </w:r>
            <w:r>
              <w:rPr>
                <w:rFonts w:hint="eastAsia" w:ascii="Times New Roman" w:hAnsi="Times New Roman" w:eastAsia="宋体" w:cs="宋体"/>
                <w:bCs/>
                <w:color w:val="000000"/>
                <w:kern w:val="2"/>
                <w:sz w:val="24"/>
                <w:szCs w:val="21"/>
                <w:bdr w:val="none" w:color="auto" w:sz="0" w:space="0"/>
                <w:lang w:val="en-US" w:eastAsia="zh-CN" w:bidi="ar"/>
              </w:rPr>
              <w:t>超标，非甲烷总烃和颗粒物</w:t>
            </w:r>
            <w:r>
              <w:rPr>
                <w:rFonts w:hint="eastAsia" w:ascii="Calibri" w:hAnsi="宋体" w:eastAsia="宋体" w:cs="宋体"/>
                <w:color w:val="000000"/>
                <w:kern w:val="2"/>
                <w:sz w:val="24"/>
                <w:szCs w:val="24"/>
                <w:bdr w:val="none" w:color="auto" w:sz="0" w:space="0"/>
                <w:lang w:val="en-US" w:eastAsia="zh-CN" w:bidi="ar"/>
              </w:rPr>
              <w:t>排放浓度明显增大；</w:t>
            </w:r>
            <w:r>
              <w:rPr>
                <w:rFonts w:hint="default" w:ascii="Times New Roman" w:hAnsi="Times New Roman" w:eastAsia="宋体" w:cs="Times New Roman"/>
                <w:bCs/>
                <w:color w:val="000000"/>
                <w:kern w:val="2"/>
                <w:sz w:val="24"/>
                <w:szCs w:val="21"/>
                <w:bdr w:val="none" w:color="auto" w:sz="0" w:space="0"/>
                <w:lang w:val="en-US" w:eastAsia="zh-CN" w:bidi="ar"/>
              </w:rPr>
              <w:t>DA002</w:t>
            </w:r>
            <w:r>
              <w:rPr>
                <w:rFonts w:hint="eastAsia" w:ascii="Times New Roman" w:hAnsi="Times New Roman" w:eastAsia="宋体" w:cs="宋体"/>
                <w:bCs/>
                <w:color w:val="000000"/>
                <w:kern w:val="2"/>
                <w:sz w:val="24"/>
                <w:szCs w:val="21"/>
                <w:bdr w:val="none" w:color="auto" w:sz="0" w:space="0"/>
                <w:lang w:val="en-US" w:eastAsia="zh-CN" w:bidi="ar"/>
              </w:rPr>
              <w:t>排气筒颗粒物</w:t>
            </w:r>
            <w:r>
              <w:rPr>
                <w:rFonts w:hint="eastAsia" w:ascii="Calibri" w:hAnsi="宋体" w:eastAsia="宋体" w:cs="宋体"/>
                <w:color w:val="000000"/>
                <w:kern w:val="2"/>
                <w:sz w:val="24"/>
                <w:szCs w:val="24"/>
                <w:bdr w:val="none" w:color="auto" w:sz="0" w:space="0"/>
                <w:lang w:val="en-US" w:eastAsia="zh-CN" w:bidi="ar"/>
              </w:rPr>
              <w:t>排放浓度明显增大。</w:t>
            </w:r>
            <w:r>
              <w:rPr>
                <w:rFonts w:hint="eastAsia" w:ascii="Times New Roman" w:hAnsi="Times New Roman" w:eastAsia="宋体" w:cs="宋体"/>
                <w:bCs/>
                <w:color w:val="000000"/>
                <w:kern w:val="2"/>
                <w:sz w:val="24"/>
                <w:szCs w:val="21"/>
                <w:bdr w:val="none" w:color="auto" w:sz="0" w:space="0"/>
                <w:lang w:val="en-US" w:eastAsia="zh-CN" w:bidi="ar"/>
              </w:rPr>
              <w:t>为防止废气非正常工况排放，应安排专人负责环保设备的日常维护和管理，定期检修，确保废气处理系统正常运行；</w:t>
            </w:r>
            <w:r>
              <w:rPr>
                <w:rFonts w:hint="eastAsia" w:ascii="Calibri" w:hAnsi="宋体" w:eastAsia="宋体" w:cs="宋体"/>
                <w:color w:val="000000"/>
                <w:kern w:val="2"/>
                <w:sz w:val="24"/>
                <w:szCs w:val="24"/>
                <w:bdr w:val="none" w:color="auto" w:sz="0" w:space="0"/>
                <w:lang w:val="en-US" w:eastAsia="zh-CN" w:bidi="ar"/>
              </w:rPr>
              <w:t>在废气处理设备停止运行或出现故障时，产生废气的各工序也必须相应停止生产。</w:t>
            </w:r>
          </w:p>
          <w:p w14:paraId="7A3ABA3A">
            <w:pPr>
              <w:keepNext w:val="0"/>
              <w:keepLines w:val="0"/>
              <w:widowControl w:val="0"/>
              <w:suppressLineNumbers w:val="0"/>
              <w:spacing w:before="0" w:beforeAutospacing="0" w:after="0" w:afterAutospacing="0" w:line="440" w:lineRule="exact"/>
              <w:ind w:left="0" w:right="0" w:firstLine="480" w:firstLineChars="200"/>
              <w:jc w:val="left"/>
              <w:rPr>
                <w:b/>
                <w:bCs w:val="0"/>
                <w:color w:val="000000"/>
                <w:sz w:val="24"/>
                <w:szCs w:val="24"/>
                <w:bdr w:val="none" w:color="auto" w:sz="0" w:space="0"/>
                <w:lang w:val="en-US"/>
              </w:rPr>
            </w:pPr>
            <w:r>
              <w:rPr>
                <w:rFonts w:hint="eastAsia" w:ascii="Calibri" w:hAnsi="宋体" w:eastAsia="宋体" w:cs="宋体"/>
                <w:color w:val="000000"/>
                <w:kern w:val="2"/>
                <w:sz w:val="24"/>
                <w:szCs w:val="24"/>
                <w:bdr w:val="none" w:color="auto" w:sz="0" w:space="0"/>
                <w:lang w:val="en-US" w:eastAsia="zh-CN" w:bidi="ar"/>
              </w:rPr>
              <w:t>为杜绝废气非正常排放，应</w:t>
            </w:r>
            <w:r>
              <w:rPr>
                <w:rFonts w:hint="eastAsia" w:ascii="Times New Roman" w:hAnsi="Times New Roman" w:eastAsia="宋体" w:cs="宋体"/>
                <w:bCs/>
                <w:color w:val="000000"/>
                <w:kern w:val="2"/>
                <w:sz w:val="24"/>
                <w:szCs w:val="21"/>
                <w:bdr w:val="none" w:color="auto" w:sz="0" w:space="0"/>
                <w:lang w:val="en-US" w:eastAsia="zh-CN" w:bidi="ar"/>
              </w:rPr>
              <w:t>建立健全的环保管理机构，对环保管理人员和技术人员进行岗位培训，委托具有专业资质的环境检测单位对项目排放的污染物进行监测，确保废气达标排放。</w:t>
            </w:r>
            <w:r>
              <w:rPr>
                <w:rFonts w:hint="eastAsia" w:ascii="Calibri" w:hAnsi="宋体" w:eastAsia="宋体" w:cs="宋体"/>
                <w:color w:val="000000"/>
                <w:kern w:val="2"/>
                <w:sz w:val="24"/>
                <w:szCs w:val="24"/>
                <w:bdr w:val="none" w:color="auto" w:sz="0" w:space="0"/>
                <w:lang w:val="en-US" w:eastAsia="zh-CN" w:bidi="ar"/>
              </w:rPr>
              <w:t>定期维护、检修废气净化装置，以保持废气处理装置的净化能力。</w:t>
            </w:r>
          </w:p>
          <w:p w14:paraId="4267538A">
            <w:pPr>
              <w:keepNext w:val="0"/>
              <w:keepLines w:val="0"/>
              <w:widowControl w:val="0"/>
              <w:suppressLineNumbers w:val="0"/>
              <w:adjustRightInd w:val="0"/>
              <w:snapToGrid w:val="0"/>
              <w:spacing w:before="0" w:beforeAutospacing="0" w:after="0" w:afterAutospacing="0" w:line="440" w:lineRule="exact"/>
              <w:ind w:left="0" w:right="0"/>
              <w:jc w:val="left"/>
              <w:outlineLvl w:val="2"/>
              <w:rPr>
                <w:rFonts w:hint="default" w:ascii="Times New Roman" w:hAnsi="宋体" w:cs="Times New Roman"/>
                <w:b/>
                <w:bCs/>
                <w:color w:val="000000"/>
                <w:spacing w:val="-10"/>
                <w:sz w:val="24"/>
                <w:szCs w:val="24"/>
                <w:bdr w:val="none" w:color="auto" w:sz="0" w:space="0"/>
                <w:lang w:val="en-US"/>
              </w:rPr>
            </w:pPr>
            <w:r>
              <w:rPr>
                <w:rFonts w:hint="default" w:ascii="Times New Roman" w:hAnsi="宋体" w:eastAsia="宋体" w:cs="Times New Roman"/>
                <w:b/>
                <w:bCs/>
                <w:color w:val="000000"/>
                <w:spacing w:val="-10"/>
                <w:kern w:val="2"/>
                <w:sz w:val="24"/>
                <w:szCs w:val="24"/>
                <w:bdr w:val="none" w:color="auto" w:sz="0" w:space="0"/>
                <w:lang w:val="en-US" w:eastAsia="zh-CN" w:bidi="ar"/>
              </w:rPr>
              <w:t xml:space="preserve">4.2.4 </w:t>
            </w:r>
            <w:r>
              <w:rPr>
                <w:rFonts w:hint="eastAsia" w:ascii="Times New Roman" w:hAnsi="宋体" w:eastAsia="宋体" w:cs="宋体"/>
                <w:b/>
                <w:bCs/>
                <w:color w:val="000000"/>
                <w:spacing w:val="-10"/>
                <w:kern w:val="2"/>
                <w:sz w:val="24"/>
                <w:szCs w:val="24"/>
                <w:bdr w:val="none" w:color="auto" w:sz="0" w:space="0"/>
                <w:lang w:val="en-US" w:eastAsia="zh-CN" w:bidi="ar"/>
              </w:rPr>
              <w:t>废气排放口情况</w:t>
            </w:r>
          </w:p>
          <w:p w14:paraId="7CC4937B">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bCs/>
                <w:color w:val="000000"/>
                <w:sz w:val="24"/>
                <w:szCs w:val="21"/>
                <w:bdr w:val="none" w:color="auto" w:sz="0" w:space="0"/>
                <w:lang w:val="en-US"/>
              </w:rPr>
            </w:pPr>
            <w:r>
              <w:rPr>
                <w:rFonts w:hint="eastAsia" w:ascii="Times New Roman" w:hAnsi="Times New Roman" w:eastAsia="宋体" w:cs="宋体"/>
                <w:bCs/>
                <w:color w:val="000000"/>
                <w:kern w:val="2"/>
                <w:sz w:val="24"/>
                <w:szCs w:val="21"/>
                <w:bdr w:val="none" w:color="auto" w:sz="0" w:space="0"/>
                <w:lang w:val="en-US" w:eastAsia="zh-CN" w:bidi="ar"/>
              </w:rPr>
              <w:t>根据《排污许可证申请与核发技术规范</w:t>
            </w:r>
            <w:r>
              <w:rPr>
                <w:rFonts w:hint="default" w:ascii="Times New Roman" w:hAnsi="Times New Roman" w:eastAsia="宋体" w:cs="Times New Roman"/>
                <w:bCs/>
                <w:color w:val="000000"/>
                <w:kern w:val="2"/>
                <w:sz w:val="24"/>
                <w:szCs w:val="21"/>
                <w:bdr w:val="none" w:color="auto" w:sz="0" w:space="0"/>
                <w:lang w:val="en-US" w:eastAsia="zh-CN" w:bidi="ar"/>
              </w:rPr>
              <w:t xml:space="preserve"> </w:t>
            </w:r>
            <w:r>
              <w:rPr>
                <w:rFonts w:hint="eastAsia" w:ascii="Times New Roman" w:hAnsi="Times New Roman" w:eastAsia="宋体" w:cs="宋体"/>
                <w:bCs/>
                <w:color w:val="000000"/>
                <w:kern w:val="2"/>
                <w:sz w:val="24"/>
                <w:szCs w:val="21"/>
                <w:bdr w:val="none" w:color="auto" w:sz="0" w:space="0"/>
                <w:lang w:val="en-US" w:eastAsia="zh-CN" w:bidi="ar"/>
              </w:rPr>
              <w:t>汽车制造业》（</w:t>
            </w:r>
            <w:r>
              <w:rPr>
                <w:rFonts w:hint="default" w:ascii="Times New Roman" w:hAnsi="Times New Roman" w:eastAsia="宋体" w:cs="Times New Roman"/>
                <w:bCs/>
                <w:color w:val="000000"/>
                <w:kern w:val="2"/>
                <w:sz w:val="24"/>
                <w:szCs w:val="21"/>
                <w:bdr w:val="none" w:color="auto" w:sz="0" w:space="0"/>
                <w:lang w:val="en-US" w:eastAsia="zh-CN" w:bidi="ar"/>
              </w:rPr>
              <w:t>HJ 971-2018</w:t>
            </w:r>
            <w:r>
              <w:rPr>
                <w:rFonts w:hint="eastAsia" w:ascii="Times New Roman" w:hAnsi="Times New Roman" w:eastAsia="宋体" w:cs="宋体"/>
                <w:bCs/>
                <w:color w:val="000000"/>
                <w:kern w:val="2"/>
                <w:sz w:val="24"/>
                <w:szCs w:val="21"/>
                <w:bdr w:val="none" w:color="auto" w:sz="0" w:space="0"/>
                <w:lang w:val="en-US" w:eastAsia="zh-CN" w:bidi="ar"/>
              </w:rPr>
              <w:t>），扩建项目废气排放口均为一般排放口，废气排放口基本情况见表</w:t>
            </w:r>
            <w:r>
              <w:rPr>
                <w:rFonts w:hint="default" w:ascii="Times New Roman" w:hAnsi="Times New Roman" w:eastAsia="宋体" w:cs="Times New Roman"/>
                <w:bCs/>
                <w:color w:val="000000"/>
                <w:kern w:val="2"/>
                <w:sz w:val="24"/>
                <w:szCs w:val="21"/>
                <w:bdr w:val="none" w:color="auto" w:sz="0" w:space="0"/>
                <w:lang w:val="en-US" w:eastAsia="zh-CN" w:bidi="ar"/>
              </w:rPr>
              <w:t>4.2-6</w:t>
            </w:r>
            <w:r>
              <w:rPr>
                <w:rFonts w:hint="eastAsia" w:ascii="Times New Roman" w:hAnsi="Times New Roman" w:eastAsia="宋体" w:cs="宋体"/>
                <w:bCs/>
                <w:color w:val="000000"/>
                <w:kern w:val="2"/>
                <w:sz w:val="24"/>
                <w:szCs w:val="21"/>
                <w:bdr w:val="none" w:color="auto" w:sz="0" w:space="0"/>
                <w:lang w:val="en-US" w:eastAsia="zh-CN" w:bidi="ar"/>
              </w:rPr>
              <w:t>。</w:t>
            </w:r>
          </w:p>
          <w:p w14:paraId="6CA34B3F">
            <w:pPr>
              <w:keepNext w:val="0"/>
              <w:keepLines w:val="0"/>
              <w:widowControl w:val="0"/>
              <w:suppressLineNumbers w:val="0"/>
              <w:spacing w:before="0" w:beforeAutospacing="0" w:after="0" w:afterAutospacing="0" w:line="460" w:lineRule="exact"/>
              <w:ind w:left="0" w:right="0" w:firstLine="480" w:firstLineChars="200"/>
              <w:jc w:val="center"/>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表</w:t>
            </w:r>
            <w:r>
              <w:rPr>
                <w:rFonts w:hint="default" w:ascii="Times New Roman" w:hAnsi="Calibri" w:eastAsia="宋体" w:cs="Times New Roman"/>
                <w:color w:val="000000"/>
                <w:kern w:val="2"/>
                <w:sz w:val="24"/>
                <w:szCs w:val="24"/>
                <w:bdr w:val="none" w:color="auto" w:sz="0" w:space="0"/>
                <w:lang w:val="en-US" w:eastAsia="zh-CN" w:bidi="ar"/>
              </w:rPr>
              <w:t xml:space="preserve">4.2-6 </w:t>
            </w:r>
            <w:r>
              <w:rPr>
                <w:rFonts w:hint="eastAsia" w:ascii="Times New Roman" w:hAnsi="Calibri" w:eastAsia="宋体" w:cs="宋体"/>
                <w:color w:val="000000"/>
                <w:kern w:val="2"/>
                <w:sz w:val="24"/>
                <w:szCs w:val="24"/>
                <w:bdr w:val="none" w:color="auto" w:sz="0" w:space="0"/>
                <w:lang w:val="en-US" w:eastAsia="zh-CN" w:bidi="ar"/>
              </w:rPr>
              <w:t>废气排放口基本情况表</w:t>
            </w:r>
          </w:p>
          <w:tbl>
            <w:tblPr>
              <w:tblStyle w:val="18"/>
              <w:tblpPr w:leftFromText="180" w:rightFromText="180" w:vertAnchor="text" w:tblpXSpec="center" w:tblpY="1"/>
              <w:tblOverlap w:val="never"/>
              <w:tblW w:w="5000" w:type="pct"/>
              <w:tblInd w:w="8" w:type="dxa"/>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shd w:val="clear"/>
              <w:tblLayout w:type="fixed"/>
              <w:tblCellMar>
                <w:top w:w="0" w:type="dxa"/>
                <w:left w:w="108" w:type="dxa"/>
                <w:bottom w:w="0" w:type="dxa"/>
                <w:right w:w="108" w:type="dxa"/>
              </w:tblCellMar>
            </w:tblPr>
            <w:tblGrid>
              <w:gridCol w:w="656"/>
              <w:gridCol w:w="903"/>
              <w:gridCol w:w="849"/>
              <w:gridCol w:w="1703"/>
              <w:gridCol w:w="992"/>
              <w:gridCol w:w="709"/>
              <w:gridCol w:w="709"/>
              <w:gridCol w:w="709"/>
              <w:gridCol w:w="716"/>
            </w:tblGrid>
            <w:tr w14:paraId="60FE214E">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shd w:val="clear"/>
                <w:tblCellMar>
                  <w:top w:w="0" w:type="dxa"/>
                  <w:left w:w="108" w:type="dxa"/>
                  <w:bottom w:w="0" w:type="dxa"/>
                  <w:right w:w="108" w:type="dxa"/>
                </w:tblCellMar>
              </w:tblPrEx>
              <w:trPr>
                <w:trHeight w:val="684" w:hRule="atLeast"/>
              </w:trPr>
              <w:tc>
                <w:tcPr>
                  <w:tcW w:w="657" w:type="dxa"/>
                  <w:vMerge w:val="restart"/>
                  <w:tcBorders>
                    <w:top w:val="single" w:color="000000" w:sz="12" w:space="0"/>
                    <w:left w:val="nil"/>
                    <w:bottom w:val="single" w:color="000000" w:sz="6" w:space="0"/>
                    <w:right w:val="single" w:color="000000" w:sz="6" w:space="0"/>
                  </w:tcBorders>
                  <w:shd w:val="clear"/>
                  <w:vAlign w:val="center"/>
                </w:tcPr>
                <w:p w14:paraId="22170F87">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编号</w:t>
                  </w:r>
                </w:p>
              </w:tc>
              <w:tc>
                <w:tcPr>
                  <w:tcW w:w="903" w:type="dxa"/>
                  <w:vMerge w:val="restart"/>
                  <w:tcBorders>
                    <w:top w:val="single" w:color="000000" w:sz="12" w:space="0"/>
                    <w:left w:val="single" w:color="000000" w:sz="6" w:space="0"/>
                    <w:bottom w:val="single" w:color="000000" w:sz="6" w:space="0"/>
                    <w:right w:val="single" w:color="000000" w:sz="6" w:space="0"/>
                  </w:tcBorders>
                  <w:shd w:val="clear"/>
                  <w:vAlign w:val="center"/>
                </w:tcPr>
                <w:p w14:paraId="08C4559A">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名称</w:t>
                  </w:r>
                </w:p>
              </w:tc>
              <w:tc>
                <w:tcPr>
                  <w:tcW w:w="850" w:type="dxa"/>
                  <w:vMerge w:val="restart"/>
                  <w:tcBorders>
                    <w:top w:val="single" w:color="000000" w:sz="12" w:space="0"/>
                    <w:left w:val="single" w:color="000000" w:sz="6" w:space="0"/>
                    <w:bottom w:val="single" w:color="000000" w:sz="6" w:space="0"/>
                    <w:right w:val="single" w:color="000000" w:sz="6" w:space="0"/>
                  </w:tcBorders>
                  <w:shd w:val="clear"/>
                  <w:vAlign w:val="center"/>
                </w:tcPr>
                <w:p w14:paraId="023B676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污染物类型</w:t>
                  </w:r>
                </w:p>
              </w:tc>
              <w:tc>
                <w:tcPr>
                  <w:tcW w:w="1702" w:type="dxa"/>
                  <w:vMerge w:val="restart"/>
                  <w:tcBorders>
                    <w:top w:val="single" w:color="000000" w:sz="12" w:space="0"/>
                    <w:left w:val="single" w:color="000000" w:sz="6" w:space="0"/>
                    <w:bottom w:val="single" w:color="000000" w:sz="6" w:space="0"/>
                    <w:right w:val="single" w:color="000000" w:sz="6" w:space="0"/>
                  </w:tcBorders>
                  <w:shd w:val="clear"/>
                  <w:vAlign w:val="center"/>
                </w:tcPr>
                <w:p w14:paraId="47AE069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地理坐标</w:t>
                  </w:r>
                </w:p>
              </w:tc>
              <w:tc>
                <w:tcPr>
                  <w:tcW w:w="992" w:type="dxa"/>
                  <w:tcBorders>
                    <w:top w:val="single" w:color="000000" w:sz="12" w:space="0"/>
                    <w:left w:val="single" w:color="000000" w:sz="6" w:space="0"/>
                    <w:bottom w:val="single" w:color="000000" w:sz="6" w:space="0"/>
                    <w:right w:val="single" w:color="000000" w:sz="6" w:space="0"/>
                  </w:tcBorders>
                  <w:shd w:val="clear"/>
                  <w:vAlign w:val="center"/>
                </w:tcPr>
                <w:p w14:paraId="5322650A">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排气筒出口内径</w:t>
                  </w:r>
                </w:p>
              </w:tc>
              <w:tc>
                <w:tcPr>
                  <w:tcW w:w="709" w:type="dxa"/>
                  <w:tcBorders>
                    <w:top w:val="single" w:color="000000" w:sz="12" w:space="0"/>
                    <w:left w:val="single" w:color="000000" w:sz="6" w:space="0"/>
                    <w:bottom w:val="single" w:color="000000" w:sz="6" w:space="0"/>
                    <w:right w:val="single" w:color="000000" w:sz="6" w:space="0"/>
                  </w:tcBorders>
                  <w:shd w:val="clear"/>
                  <w:vAlign w:val="center"/>
                </w:tcPr>
                <w:p w14:paraId="5BD44350">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排气筒高度</w:t>
                  </w:r>
                </w:p>
              </w:tc>
              <w:tc>
                <w:tcPr>
                  <w:tcW w:w="709" w:type="dxa"/>
                  <w:tcBorders>
                    <w:top w:val="single" w:color="000000" w:sz="12" w:space="0"/>
                    <w:left w:val="single" w:color="000000" w:sz="6" w:space="0"/>
                    <w:bottom w:val="single" w:color="000000" w:sz="6" w:space="0"/>
                    <w:right w:val="single" w:color="000000" w:sz="6" w:space="0"/>
                  </w:tcBorders>
                  <w:shd w:val="clear"/>
                  <w:vAlign w:val="center"/>
                </w:tcPr>
                <w:p w14:paraId="59A2DDED">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烟气流速</w:t>
                  </w:r>
                </w:p>
              </w:tc>
              <w:tc>
                <w:tcPr>
                  <w:tcW w:w="709" w:type="dxa"/>
                  <w:tcBorders>
                    <w:top w:val="single" w:color="000000" w:sz="12" w:space="0"/>
                    <w:left w:val="single" w:color="000000" w:sz="6" w:space="0"/>
                    <w:bottom w:val="single" w:color="000000" w:sz="6" w:space="0"/>
                    <w:right w:val="nil"/>
                  </w:tcBorders>
                  <w:shd w:val="clear"/>
                  <w:vAlign w:val="center"/>
                </w:tcPr>
                <w:p w14:paraId="4257FAAA">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烟气温度</w:t>
                  </w:r>
                </w:p>
              </w:tc>
              <w:tc>
                <w:tcPr>
                  <w:tcW w:w="716" w:type="dxa"/>
                  <w:vMerge w:val="restart"/>
                  <w:tcBorders>
                    <w:top w:val="single" w:color="000000" w:sz="12" w:space="0"/>
                    <w:left w:val="single" w:color="000000" w:sz="6" w:space="0"/>
                    <w:bottom w:val="single" w:color="000000" w:sz="6" w:space="0"/>
                    <w:right w:val="nil"/>
                  </w:tcBorders>
                  <w:shd w:val="clear"/>
                  <w:vAlign w:val="center"/>
                </w:tcPr>
                <w:p w14:paraId="069C21B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排放口类型</w:t>
                  </w:r>
                </w:p>
              </w:tc>
            </w:tr>
            <w:tr w14:paraId="4B900312">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108" w:type="dxa"/>
                  <w:bottom w:w="0" w:type="dxa"/>
                  <w:right w:w="108" w:type="dxa"/>
                </w:tblCellMar>
              </w:tblPrEx>
              <w:trPr>
                <w:trHeight w:val="50" w:hRule="atLeast"/>
              </w:trPr>
              <w:tc>
                <w:tcPr>
                  <w:tcW w:w="657" w:type="dxa"/>
                  <w:vMerge w:val="continue"/>
                  <w:tcBorders>
                    <w:top w:val="single" w:color="000000" w:sz="12" w:space="0"/>
                    <w:left w:val="nil"/>
                    <w:bottom w:val="single" w:color="000000" w:sz="6" w:space="0"/>
                    <w:right w:val="single" w:color="000000" w:sz="6" w:space="0"/>
                  </w:tcBorders>
                  <w:shd w:val="clear"/>
                  <w:vAlign w:val="center"/>
                </w:tcPr>
                <w:p w14:paraId="1F418840">
                  <w:pPr>
                    <w:rPr>
                      <w:rFonts w:hint="default" w:ascii="Calibri" w:hAnsi="Calibri" w:cs="Calibri"/>
                      <w:sz w:val="20"/>
                      <w:szCs w:val="20"/>
                    </w:rPr>
                  </w:pPr>
                </w:p>
              </w:tc>
              <w:tc>
                <w:tcPr>
                  <w:tcW w:w="903" w:type="dxa"/>
                  <w:vMerge w:val="continue"/>
                  <w:tcBorders>
                    <w:top w:val="single" w:color="000000" w:sz="12" w:space="0"/>
                    <w:left w:val="single" w:color="000000" w:sz="6" w:space="0"/>
                    <w:bottom w:val="single" w:color="000000" w:sz="6" w:space="0"/>
                    <w:right w:val="single" w:color="000000" w:sz="6" w:space="0"/>
                  </w:tcBorders>
                  <w:shd w:val="clear"/>
                  <w:vAlign w:val="center"/>
                </w:tcPr>
                <w:p w14:paraId="28506C50">
                  <w:pPr>
                    <w:rPr>
                      <w:rFonts w:hint="default" w:ascii="Calibri" w:hAnsi="Calibri" w:cs="Calibri"/>
                      <w:sz w:val="20"/>
                      <w:szCs w:val="20"/>
                    </w:rPr>
                  </w:pPr>
                </w:p>
              </w:tc>
              <w:tc>
                <w:tcPr>
                  <w:tcW w:w="850" w:type="dxa"/>
                  <w:vMerge w:val="continue"/>
                  <w:tcBorders>
                    <w:top w:val="single" w:color="000000" w:sz="12" w:space="0"/>
                    <w:left w:val="single" w:color="000000" w:sz="6" w:space="0"/>
                    <w:bottom w:val="single" w:color="000000" w:sz="6" w:space="0"/>
                    <w:right w:val="single" w:color="000000" w:sz="6" w:space="0"/>
                  </w:tcBorders>
                  <w:shd w:val="clear"/>
                  <w:vAlign w:val="center"/>
                </w:tcPr>
                <w:p w14:paraId="62FA08E2">
                  <w:pPr>
                    <w:rPr>
                      <w:rFonts w:hint="default" w:ascii="Calibri" w:hAnsi="Calibri" w:cs="Calibri"/>
                      <w:sz w:val="20"/>
                      <w:szCs w:val="20"/>
                    </w:rPr>
                  </w:pPr>
                </w:p>
              </w:tc>
              <w:tc>
                <w:tcPr>
                  <w:tcW w:w="1702" w:type="dxa"/>
                  <w:vMerge w:val="continue"/>
                  <w:tcBorders>
                    <w:top w:val="single" w:color="000000" w:sz="12" w:space="0"/>
                    <w:left w:val="single" w:color="000000" w:sz="6" w:space="0"/>
                    <w:bottom w:val="single" w:color="000000" w:sz="6" w:space="0"/>
                    <w:right w:val="single" w:color="000000" w:sz="6" w:space="0"/>
                  </w:tcBorders>
                  <w:shd w:val="clear"/>
                  <w:vAlign w:val="center"/>
                </w:tcPr>
                <w:p w14:paraId="1E350B8C">
                  <w:pPr>
                    <w:rPr>
                      <w:rFonts w:hint="default" w:ascii="Calibri" w:hAnsi="Calibri" w:cs="Calibri"/>
                      <w:sz w:val="20"/>
                      <w:szCs w:val="20"/>
                    </w:rPr>
                  </w:pPr>
                </w:p>
              </w:tc>
              <w:tc>
                <w:tcPr>
                  <w:tcW w:w="992" w:type="dxa"/>
                  <w:tcBorders>
                    <w:top w:val="single" w:color="000000" w:sz="6" w:space="0"/>
                    <w:left w:val="single" w:color="000000" w:sz="6" w:space="0"/>
                    <w:bottom w:val="single" w:color="000000" w:sz="6" w:space="0"/>
                    <w:right w:val="single" w:color="000000" w:sz="6" w:space="0"/>
                  </w:tcBorders>
                  <w:shd w:val="clear"/>
                  <w:vAlign w:val="center"/>
                </w:tcPr>
                <w:p w14:paraId="0898BD8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m</w:t>
                  </w:r>
                </w:p>
              </w:tc>
              <w:tc>
                <w:tcPr>
                  <w:tcW w:w="709" w:type="dxa"/>
                  <w:tcBorders>
                    <w:top w:val="single" w:color="000000" w:sz="6" w:space="0"/>
                    <w:left w:val="single" w:color="000000" w:sz="6" w:space="0"/>
                    <w:bottom w:val="single" w:color="000000" w:sz="6" w:space="0"/>
                    <w:right w:val="single" w:color="000000" w:sz="6" w:space="0"/>
                  </w:tcBorders>
                  <w:shd w:val="clear"/>
                  <w:vAlign w:val="center"/>
                </w:tcPr>
                <w:p w14:paraId="2D2F5E1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m</w:t>
                  </w:r>
                </w:p>
              </w:tc>
              <w:tc>
                <w:tcPr>
                  <w:tcW w:w="709" w:type="dxa"/>
                  <w:tcBorders>
                    <w:top w:val="single" w:color="000000" w:sz="6" w:space="0"/>
                    <w:left w:val="single" w:color="000000" w:sz="6" w:space="0"/>
                    <w:bottom w:val="single" w:color="000000" w:sz="6" w:space="0"/>
                    <w:right w:val="single" w:color="000000" w:sz="6" w:space="0"/>
                  </w:tcBorders>
                  <w:shd w:val="clear"/>
                  <w:vAlign w:val="center"/>
                </w:tcPr>
                <w:p w14:paraId="41D2D33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m/s</w:t>
                  </w:r>
                </w:p>
              </w:tc>
              <w:tc>
                <w:tcPr>
                  <w:tcW w:w="709" w:type="dxa"/>
                  <w:tcBorders>
                    <w:top w:val="single" w:color="000000" w:sz="6" w:space="0"/>
                    <w:left w:val="single" w:color="000000" w:sz="6" w:space="0"/>
                    <w:bottom w:val="single" w:color="000000" w:sz="6" w:space="0"/>
                    <w:right w:val="nil"/>
                  </w:tcBorders>
                  <w:shd w:val="clear"/>
                  <w:vAlign w:val="center"/>
                </w:tcPr>
                <w:p w14:paraId="3BCA90E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w:t>
                  </w:r>
                </w:p>
              </w:tc>
              <w:tc>
                <w:tcPr>
                  <w:tcW w:w="716" w:type="dxa"/>
                  <w:vMerge w:val="continue"/>
                  <w:tcBorders>
                    <w:top w:val="single" w:color="000000" w:sz="12" w:space="0"/>
                    <w:left w:val="single" w:color="000000" w:sz="6" w:space="0"/>
                    <w:bottom w:val="single" w:color="000000" w:sz="6" w:space="0"/>
                    <w:right w:val="nil"/>
                  </w:tcBorders>
                  <w:shd w:val="clear"/>
                  <w:vAlign w:val="center"/>
                </w:tcPr>
                <w:p w14:paraId="62A7DF0A">
                  <w:pPr>
                    <w:rPr>
                      <w:rFonts w:hint="default" w:ascii="Calibri" w:hAnsi="Calibri" w:cs="Calibri"/>
                      <w:sz w:val="20"/>
                      <w:szCs w:val="20"/>
                    </w:rPr>
                  </w:pPr>
                </w:p>
              </w:tc>
            </w:tr>
            <w:tr w14:paraId="5F35A9C7">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108" w:type="dxa"/>
                  <w:bottom w:w="0" w:type="dxa"/>
                  <w:right w:w="108" w:type="dxa"/>
                </w:tblCellMar>
              </w:tblPrEx>
              <w:trPr>
                <w:trHeight w:val="450" w:hRule="atLeast"/>
              </w:trPr>
              <w:tc>
                <w:tcPr>
                  <w:tcW w:w="657" w:type="dxa"/>
                  <w:tcBorders>
                    <w:top w:val="single" w:color="000000" w:sz="6" w:space="0"/>
                    <w:left w:val="nil"/>
                    <w:bottom w:val="single" w:color="000000" w:sz="6" w:space="0"/>
                    <w:right w:val="single" w:color="000000" w:sz="6" w:space="0"/>
                  </w:tcBorders>
                  <w:shd w:val="clear"/>
                  <w:vAlign w:val="center"/>
                </w:tcPr>
                <w:p w14:paraId="062B2E76">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DA001</w:t>
                  </w:r>
                </w:p>
              </w:tc>
              <w:tc>
                <w:tcPr>
                  <w:tcW w:w="903" w:type="dxa"/>
                  <w:tcBorders>
                    <w:top w:val="single" w:color="000000" w:sz="6" w:space="0"/>
                    <w:left w:val="single" w:color="000000" w:sz="6" w:space="0"/>
                    <w:bottom w:val="single" w:color="000000" w:sz="6" w:space="0"/>
                    <w:right w:val="single" w:color="000000" w:sz="6" w:space="0"/>
                  </w:tcBorders>
                  <w:shd w:val="clear"/>
                  <w:vAlign w:val="center"/>
                </w:tcPr>
                <w:p w14:paraId="34B90E65">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涂胶、激光切割</w:t>
                  </w:r>
                </w:p>
              </w:tc>
              <w:tc>
                <w:tcPr>
                  <w:tcW w:w="850" w:type="dxa"/>
                  <w:tcBorders>
                    <w:top w:val="single" w:color="000000" w:sz="6" w:space="0"/>
                    <w:left w:val="single" w:color="000000" w:sz="6" w:space="0"/>
                    <w:bottom w:val="single" w:color="000000" w:sz="6" w:space="0"/>
                    <w:right w:val="single" w:color="000000" w:sz="6" w:space="0"/>
                  </w:tcBorders>
                  <w:shd w:val="clear"/>
                  <w:vAlign w:val="center"/>
                </w:tcPr>
                <w:p w14:paraId="4289F288">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非甲烷总烃、</w:t>
                  </w:r>
                  <w:r>
                    <w:rPr>
                      <w:rFonts w:hint="default" w:ascii="Times New Roman" w:hAnsi="Times New Roman" w:eastAsia="宋体" w:cs="Times New Roman"/>
                      <w:color w:val="000000"/>
                      <w:kern w:val="0"/>
                      <w:sz w:val="21"/>
                      <w:szCs w:val="21"/>
                      <w:bdr w:val="none" w:color="auto" w:sz="0" w:space="0"/>
                      <w:lang w:val="en-US" w:eastAsia="zh-CN" w:bidi="ar"/>
                    </w:rPr>
                    <w:t>MDI</w:t>
                  </w:r>
                  <w:r>
                    <w:rPr>
                      <w:rFonts w:hint="eastAsia" w:ascii="Times New Roman" w:hAnsi="Times New Roman" w:eastAsia="宋体" w:cs="宋体"/>
                      <w:color w:val="000000"/>
                      <w:kern w:val="0"/>
                      <w:sz w:val="21"/>
                      <w:szCs w:val="21"/>
                      <w:bdr w:val="none" w:color="auto" w:sz="0" w:space="0"/>
                      <w:lang w:val="en-US" w:eastAsia="zh-CN" w:bidi="ar"/>
                    </w:rPr>
                    <w:t>、颗粒物</w:t>
                  </w:r>
                </w:p>
              </w:tc>
              <w:tc>
                <w:tcPr>
                  <w:tcW w:w="1702" w:type="dxa"/>
                  <w:tcBorders>
                    <w:top w:val="single" w:color="000000" w:sz="6" w:space="0"/>
                    <w:left w:val="single" w:color="000000" w:sz="6" w:space="0"/>
                    <w:bottom w:val="single" w:color="000000" w:sz="6" w:space="0"/>
                    <w:right w:val="single" w:color="000000" w:sz="6" w:space="0"/>
                  </w:tcBorders>
                  <w:shd w:val="clear"/>
                  <w:vAlign w:val="center"/>
                </w:tcPr>
                <w:p w14:paraId="0B7B985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经度：</w:t>
                  </w:r>
                  <w:r>
                    <w:rPr>
                      <w:rFonts w:hint="default" w:ascii="Times New Roman" w:hAnsi="Times New Roman" w:eastAsia="宋体" w:cs="Times New Roman"/>
                      <w:color w:val="000000"/>
                      <w:kern w:val="0"/>
                      <w:sz w:val="21"/>
                      <w:szCs w:val="21"/>
                      <w:bdr w:val="none" w:color="auto" w:sz="0" w:space="0"/>
                      <w:lang w:val="en-US" w:eastAsia="zh-CN" w:bidi="ar"/>
                    </w:rPr>
                    <w:t>106.38989</w:t>
                  </w:r>
                </w:p>
                <w:p w14:paraId="185F8084">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纬度：</w:t>
                  </w:r>
                  <w:r>
                    <w:rPr>
                      <w:rFonts w:hint="default" w:ascii="Times New Roman" w:hAnsi="Times New Roman" w:eastAsia="宋体" w:cs="Times New Roman"/>
                      <w:color w:val="000000"/>
                      <w:kern w:val="0"/>
                      <w:sz w:val="21"/>
                      <w:szCs w:val="21"/>
                      <w:bdr w:val="none" w:color="auto" w:sz="0" w:space="0"/>
                      <w:lang w:val="en-US" w:eastAsia="zh-CN" w:bidi="ar"/>
                    </w:rPr>
                    <w:t>29.99707</w:t>
                  </w:r>
                </w:p>
              </w:tc>
              <w:tc>
                <w:tcPr>
                  <w:tcW w:w="992" w:type="dxa"/>
                  <w:tcBorders>
                    <w:top w:val="single" w:color="000000" w:sz="6" w:space="0"/>
                    <w:left w:val="single" w:color="000000" w:sz="6" w:space="0"/>
                    <w:bottom w:val="single" w:color="000000" w:sz="6" w:space="0"/>
                    <w:right w:val="single" w:color="000000" w:sz="6" w:space="0"/>
                  </w:tcBorders>
                  <w:shd w:val="clear"/>
                  <w:vAlign w:val="center"/>
                </w:tcPr>
                <w:p w14:paraId="1796DFE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0.36</w:t>
                  </w:r>
                </w:p>
              </w:tc>
              <w:tc>
                <w:tcPr>
                  <w:tcW w:w="709" w:type="dxa"/>
                  <w:tcBorders>
                    <w:top w:val="single" w:color="000000" w:sz="6" w:space="0"/>
                    <w:left w:val="single" w:color="000000" w:sz="6" w:space="0"/>
                    <w:bottom w:val="single" w:color="000000" w:sz="6" w:space="0"/>
                    <w:right w:val="single" w:color="000000" w:sz="6" w:space="0"/>
                  </w:tcBorders>
                  <w:shd w:val="clear"/>
                  <w:vAlign w:val="center"/>
                </w:tcPr>
                <w:p w14:paraId="62CCC318">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20</w:t>
                  </w:r>
                </w:p>
              </w:tc>
              <w:tc>
                <w:tcPr>
                  <w:tcW w:w="709" w:type="dxa"/>
                  <w:tcBorders>
                    <w:top w:val="single" w:color="000000" w:sz="6" w:space="0"/>
                    <w:left w:val="single" w:color="000000" w:sz="6" w:space="0"/>
                    <w:bottom w:val="single" w:color="000000" w:sz="6" w:space="0"/>
                    <w:right w:val="single" w:color="000000" w:sz="6" w:space="0"/>
                  </w:tcBorders>
                  <w:shd w:val="clear"/>
                  <w:vAlign w:val="center"/>
                </w:tcPr>
                <w:p w14:paraId="357C866A">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13.6</w:t>
                  </w:r>
                </w:p>
              </w:tc>
              <w:tc>
                <w:tcPr>
                  <w:tcW w:w="709" w:type="dxa"/>
                  <w:tcBorders>
                    <w:top w:val="single" w:color="000000" w:sz="6" w:space="0"/>
                    <w:left w:val="single" w:color="000000" w:sz="6" w:space="0"/>
                    <w:bottom w:val="single" w:color="000000" w:sz="6" w:space="0"/>
                    <w:right w:val="nil"/>
                  </w:tcBorders>
                  <w:shd w:val="clear"/>
                  <w:vAlign w:val="center"/>
                </w:tcPr>
                <w:p w14:paraId="069422FC">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30</w:t>
                  </w:r>
                </w:p>
              </w:tc>
              <w:tc>
                <w:tcPr>
                  <w:tcW w:w="716" w:type="dxa"/>
                  <w:vMerge w:val="restart"/>
                  <w:tcBorders>
                    <w:top w:val="single" w:color="000000" w:sz="6" w:space="0"/>
                    <w:left w:val="single" w:color="000000" w:sz="6" w:space="0"/>
                    <w:bottom w:val="single" w:color="000000" w:sz="12" w:space="0"/>
                    <w:right w:val="nil"/>
                  </w:tcBorders>
                  <w:shd w:val="clear"/>
                  <w:vAlign w:val="center"/>
                </w:tcPr>
                <w:p w14:paraId="6134C63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一般排放口</w:t>
                  </w:r>
                </w:p>
              </w:tc>
            </w:tr>
            <w:tr w14:paraId="5D9E3C93">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108" w:type="dxa"/>
                  <w:bottom w:w="0" w:type="dxa"/>
                  <w:right w:w="108" w:type="dxa"/>
                </w:tblCellMar>
              </w:tblPrEx>
              <w:trPr>
                <w:trHeight w:val="450" w:hRule="atLeast"/>
              </w:trPr>
              <w:tc>
                <w:tcPr>
                  <w:tcW w:w="657" w:type="dxa"/>
                  <w:tcBorders>
                    <w:top w:val="single" w:color="000000" w:sz="6" w:space="0"/>
                    <w:left w:val="nil"/>
                    <w:bottom w:val="single" w:color="000000" w:sz="12" w:space="0"/>
                    <w:right w:val="single" w:color="000000" w:sz="6" w:space="0"/>
                  </w:tcBorders>
                  <w:shd w:val="clear"/>
                  <w:vAlign w:val="center"/>
                </w:tcPr>
                <w:p w14:paraId="787F382B">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DA002</w:t>
                  </w:r>
                </w:p>
              </w:tc>
              <w:tc>
                <w:tcPr>
                  <w:tcW w:w="903" w:type="dxa"/>
                  <w:tcBorders>
                    <w:top w:val="single" w:color="000000" w:sz="6" w:space="0"/>
                    <w:left w:val="single" w:color="000000" w:sz="6" w:space="0"/>
                    <w:bottom w:val="single" w:color="000000" w:sz="12" w:space="0"/>
                    <w:right w:val="single" w:color="000000" w:sz="6" w:space="0"/>
                  </w:tcBorders>
                  <w:shd w:val="clear"/>
                  <w:vAlign w:val="center"/>
                </w:tcPr>
                <w:p w14:paraId="0C5449F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云母板雕刻、打磨</w:t>
                  </w:r>
                </w:p>
              </w:tc>
              <w:tc>
                <w:tcPr>
                  <w:tcW w:w="850" w:type="dxa"/>
                  <w:tcBorders>
                    <w:top w:val="single" w:color="000000" w:sz="6" w:space="0"/>
                    <w:left w:val="single" w:color="000000" w:sz="6" w:space="0"/>
                    <w:bottom w:val="single" w:color="000000" w:sz="12" w:space="0"/>
                    <w:right w:val="single" w:color="000000" w:sz="6" w:space="0"/>
                  </w:tcBorders>
                  <w:shd w:val="clear"/>
                  <w:vAlign w:val="center"/>
                </w:tcPr>
                <w:p w14:paraId="7F2AC309">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颗粒物</w:t>
                  </w:r>
                </w:p>
              </w:tc>
              <w:tc>
                <w:tcPr>
                  <w:tcW w:w="1702" w:type="dxa"/>
                  <w:tcBorders>
                    <w:top w:val="single" w:color="000000" w:sz="6" w:space="0"/>
                    <w:left w:val="single" w:color="000000" w:sz="6" w:space="0"/>
                    <w:bottom w:val="single" w:color="000000" w:sz="12" w:space="0"/>
                    <w:right w:val="single" w:color="000000" w:sz="6" w:space="0"/>
                  </w:tcBorders>
                  <w:shd w:val="clear"/>
                  <w:vAlign w:val="center"/>
                </w:tcPr>
                <w:p w14:paraId="2C13A09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经度：</w:t>
                  </w:r>
                  <w:r>
                    <w:rPr>
                      <w:rFonts w:hint="default" w:ascii="Times New Roman" w:hAnsi="Times New Roman" w:eastAsia="宋体" w:cs="Times New Roman"/>
                      <w:color w:val="000000"/>
                      <w:kern w:val="0"/>
                      <w:sz w:val="21"/>
                      <w:szCs w:val="21"/>
                      <w:bdr w:val="none" w:color="auto" w:sz="0" w:space="0"/>
                      <w:lang w:val="en-US" w:eastAsia="zh-CN" w:bidi="ar"/>
                    </w:rPr>
                    <w:t>106.38989</w:t>
                  </w:r>
                </w:p>
                <w:p w14:paraId="0798571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纬度：</w:t>
                  </w:r>
                  <w:r>
                    <w:rPr>
                      <w:rFonts w:hint="default" w:ascii="Times New Roman" w:hAnsi="Times New Roman" w:eastAsia="宋体" w:cs="Times New Roman"/>
                      <w:color w:val="000000"/>
                      <w:kern w:val="0"/>
                      <w:sz w:val="21"/>
                      <w:szCs w:val="21"/>
                      <w:bdr w:val="none" w:color="auto" w:sz="0" w:space="0"/>
                      <w:lang w:val="en-US" w:eastAsia="zh-CN" w:bidi="ar"/>
                    </w:rPr>
                    <w:t>29.99711</w:t>
                  </w:r>
                </w:p>
              </w:tc>
              <w:tc>
                <w:tcPr>
                  <w:tcW w:w="992" w:type="dxa"/>
                  <w:tcBorders>
                    <w:top w:val="single" w:color="000000" w:sz="6" w:space="0"/>
                    <w:left w:val="single" w:color="000000" w:sz="6" w:space="0"/>
                    <w:bottom w:val="single" w:color="000000" w:sz="12" w:space="0"/>
                    <w:right w:val="single" w:color="000000" w:sz="6" w:space="0"/>
                  </w:tcBorders>
                  <w:shd w:val="clear"/>
                  <w:vAlign w:val="center"/>
                </w:tcPr>
                <w:p w14:paraId="626200A7">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0.36</w:t>
                  </w:r>
                </w:p>
              </w:tc>
              <w:tc>
                <w:tcPr>
                  <w:tcW w:w="709" w:type="dxa"/>
                  <w:tcBorders>
                    <w:top w:val="single" w:color="000000" w:sz="6" w:space="0"/>
                    <w:left w:val="single" w:color="000000" w:sz="6" w:space="0"/>
                    <w:bottom w:val="single" w:color="000000" w:sz="12" w:space="0"/>
                    <w:right w:val="single" w:color="000000" w:sz="6" w:space="0"/>
                  </w:tcBorders>
                  <w:shd w:val="clear"/>
                  <w:vAlign w:val="center"/>
                </w:tcPr>
                <w:p w14:paraId="7A35713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20</w:t>
                  </w:r>
                </w:p>
              </w:tc>
              <w:tc>
                <w:tcPr>
                  <w:tcW w:w="709" w:type="dxa"/>
                  <w:tcBorders>
                    <w:top w:val="single" w:color="000000" w:sz="6" w:space="0"/>
                    <w:left w:val="single" w:color="000000" w:sz="6" w:space="0"/>
                    <w:bottom w:val="single" w:color="000000" w:sz="12" w:space="0"/>
                    <w:right w:val="single" w:color="000000" w:sz="6" w:space="0"/>
                  </w:tcBorders>
                  <w:shd w:val="clear"/>
                  <w:vAlign w:val="center"/>
                </w:tcPr>
                <w:p w14:paraId="242333AC">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13.6</w:t>
                  </w:r>
                </w:p>
              </w:tc>
              <w:tc>
                <w:tcPr>
                  <w:tcW w:w="709" w:type="dxa"/>
                  <w:tcBorders>
                    <w:top w:val="single" w:color="000000" w:sz="6" w:space="0"/>
                    <w:left w:val="single" w:color="000000" w:sz="6" w:space="0"/>
                    <w:bottom w:val="single" w:color="000000" w:sz="12" w:space="0"/>
                    <w:right w:val="nil"/>
                  </w:tcBorders>
                  <w:shd w:val="clear"/>
                  <w:vAlign w:val="center"/>
                </w:tcPr>
                <w:p w14:paraId="768DB8D9">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30</w:t>
                  </w:r>
                </w:p>
              </w:tc>
              <w:tc>
                <w:tcPr>
                  <w:tcW w:w="716" w:type="dxa"/>
                  <w:vMerge w:val="continue"/>
                  <w:tcBorders>
                    <w:top w:val="single" w:color="000000" w:sz="6" w:space="0"/>
                    <w:left w:val="single" w:color="000000" w:sz="6" w:space="0"/>
                    <w:bottom w:val="single" w:color="000000" w:sz="12" w:space="0"/>
                    <w:right w:val="nil"/>
                  </w:tcBorders>
                  <w:shd w:val="clear"/>
                  <w:vAlign w:val="center"/>
                </w:tcPr>
                <w:p w14:paraId="1F0905D6">
                  <w:pPr>
                    <w:rPr>
                      <w:rFonts w:hint="default" w:ascii="Calibri" w:hAnsi="Calibri" w:cs="Calibri"/>
                      <w:sz w:val="20"/>
                      <w:szCs w:val="20"/>
                    </w:rPr>
                  </w:pPr>
                </w:p>
              </w:tc>
            </w:tr>
          </w:tbl>
          <w:p w14:paraId="1BAFD359">
            <w:pPr>
              <w:keepNext w:val="0"/>
              <w:keepLines w:val="0"/>
              <w:widowControl w:val="0"/>
              <w:suppressLineNumbers w:val="0"/>
              <w:adjustRightInd w:val="0"/>
              <w:snapToGrid w:val="0"/>
              <w:spacing w:before="0" w:beforeAutospacing="0" w:after="0" w:afterAutospacing="0" w:line="440" w:lineRule="exact"/>
              <w:ind w:left="0" w:right="0"/>
              <w:jc w:val="left"/>
              <w:outlineLvl w:val="2"/>
              <w:rPr>
                <w:rFonts w:hint="default" w:ascii="Times New Roman" w:hAnsi="宋体" w:cs="Times New Roman"/>
                <w:b/>
                <w:bCs/>
                <w:color w:val="000000"/>
                <w:spacing w:val="-10"/>
                <w:sz w:val="24"/>
                <w:szCs w:val="24"/>
                <w:bdr w:val="none" w:color="auto" w:sz="0" w:space="0"/>
                <w:lang w:val="en-US"/>
              </w:rPr>
            </w:pPr>
            <w:r>
              <w:rPr>
                <w:rFonts w:hint="default" w:ascii="Times New Roman" w:hAnsi="宋体" w:eastAsia="宋体" w:cs="Times New Roman"/>
                <w:b/>
                <w:bCs/>
                <w:color w:val="000000"/>
                <w:spacing w:val="-10"/>
                <w:kern w:val="2"/>
                <w:sz w:val="24"/>
                <w:szCs w:val="24"/>
                <w:bdr w:val="none" w:color="auto" w:sz="0" w:space="0"/>
                <w:lang w:val="en-US" w:eastAsia="zh-CN" w:bidi="ar"/>
              </w:rPr>
              <w:t>4.2.5</w:t>
            </w:r>
            <w:r>
              <w:rPr>
                <w:rFonts w:hint="eastAsia" w:ascii="Times New Roman" w:hAnsi="宋体" w:eastAsia="宋体" w:cs="宋体"/>
                <w:b/>
                <w:bCs/>
                <w:color w:val="000000"/>
                <w:spacing w:val="-10"/>
                <w:kern w:val="2"/>
                <w:sz w:val="24"/>
                <w:szCs w:val="24"/>
                <w:bdr w:val="none" w:color="auto" w:sz="0" w:space="0"/>
                <w:lang w:val="en-US" w:eastAsia="zh-CN" w:bidi="ar"/>
              </w:rPr>
              <w:t>废气监测计划</w:t>
            </w:r>
          </w:p>
          <w:p w14:paraId="38162DA6">
            <w:pPr>
              <w:keepNext w:val="0"/>
              <w:keepLines w:val="0"/>
              <w:widowControl w:val="0"/>
              <w:suppressLineNumbers w:val="0"/>
              <w:adjustRightInd w:val="0"/>
              <w:snapToGrid w:val="0"/>
              <w:spacing w:before="0" w:beforeAutospacing="0" w:after="0" w:afterAutospacing="0" w:line="460" w:lineRule="exact"/>
              <w:ind w:left="0" w:right="0" w:firstLine="480"/>
              <w:jc w:val="left"/>
              <w:rPr>
                <w:rFonts w:hint="default" w:ascii="Times New Roman" w:hAnsi="Times New Roman" w:cs="Times New Roman"/>
                <w:color w:val="000000"/>
                <w:kern w:val="0"/>
                <w:sz w:val="24"/>
                <w:szCs w:val="24"/>
                <w:bdr w:val="none" w:color="auto" w:sz="0" w:space="0"/>
                <w:lang w:val="en-US"/>
              </w:rPr>
            </w:pPr>
            <w:r>
              <w:rPr>
                <w:rFonts w:hint="eastAsia" w:ascii="Times New Roman" w:hAnsi="Times New Roman" w:eastAsia="宋体" w:cs="宋体"/>
                <w:color w:val="000000"/>
                <w:kern w:val="0"/>
                <w:sz w:val="24"/>
                <w:szCs w:val="24"/>
                <w:bdr w:val="none" w:color="auto" w:sz="0" w:space="0"/>
                <w:lang w:val="en-US" w:eastAsia="zh-CN" w:bidi="ar"/>
              </w:rPr>
              <w:t>根据</w:t>
            </w:r>
            <w:r>
              <w:rPr>
                <w:rFonts w:hint="eastAsia" w:ascii="Times New Roman" w:hAnsi="Times New Roman" w:eastAsia="宋体" w:cs="宋体"/>
                <w:color w:val="000000"/>
                <w:kern w:val="2"/>
                <w:sz w:val="24"/>
                <w:szCs w:val="24"/>
                <w:bdr w:val="none" w:color="auto" w:sz="0" w:space="0"/>
                <w:lang w:val="en-US" w:eastAsia="zh-CN" w:bidi="ar"/>
              </w:rPr>
              <w:t>《</w:t>
            </w:r>
            <w:r>
              <w:rPr>
                <w:rFonts w:hint="eastAsia" w:ascii="Times New Roman" w:hAnsi="Calibri" w:eastAsia="宋体" w:cs="宋体"/>
                <w:color w:val="000000"/>
                <w:kern w:val="2"/>
                <w:sz w:val="24"/>
                <w:szCs w:val="24"/>
                <w:bdr w:val="none" w:color="auto" w:sz="0" w:space="0"/>
                <w:lang w:val="en-US" w:eastAsia="zh-CN" w:bidi="ar"/>
              </w:rPr>
              <w:t>排污单位自行监测技术指南</w:t>
            </w:r>
            <w:r>
              <w:rPr>
                <w:rFonts w:hint="default" w:ascii="Times New Roman" w:hAnsi="Times New Roman" w:eastAsia="宋体" w:cs="Times New Roman"/>
                <w:color w:val="000000"/>
                <w:kern w:val="2"/>
                <w:sz w:val="24"/>
                <w:szCs w:val="24"/>
                <w:bdr w:val="none" w:color="auto" w:sz="0" w:space="0"/>
                <w:lang w:val="en-US" w:eastAsia="zh-CN" w:bidi="ar"/>
              </w:rPr>
              <w:t xml:space="preserve"> </w:t>
            </w:r>
            <w:r>
              <w:rPr>
                <w:rFonts w:hint="eastAsia" w:ascii="Times New Roman" w:hAnsi="Calibri" w:eastAsia="宋体" w:cs="宋体"/>
                <w:color w:val="000000"/>
                <w:kern w:val="2"/>
                <w:sz w:val="24"/>
                <w:szCs w:val="24"/>
                <w:bdr w:val="none" w:color="auto" w:sz="0" w:space="0"/>
                <w:lang w:val="en-US" w:eastAsia="zh-CN" w:bidi="ar"/>
              </w:rPr>
              <w:t>总则</w:t>
            </w:r>
            <w:r>
              <w:rPr>
                <w:rFonts w:hint="eastAsia" w:ascii="Times New Roman" w:hAnsi="Times New Roman" w:eastAsia="宋体" w:cs="宋体"/>
                <w:color w:val="000000"/>
                <w:kern w:val="2"/>
                <w:sz w:val="24"/>
                <w:szCs w:val="24"/>
                <w:bdr w:val="none" w:color="auto" w:sz="0" w:space="0"/>
                <w:lang w:val="en-US" w:eastAsia="zh-CN" w:bidi="ar"/>
              </w:rPr>
              <w:t>》</w:t>
            </w:r>
            <w:r>
              <w:rPr>
                <w:rFonts w:hint="eastAsia" w:ascii="Times New Roman" w:hAnsi="Calibri"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HJ819-2017</w:t>
            </w:r>
            <w:r>
              <w:rPr>
                <w:rFonts w:hint="eastAsia" w:ascii="Times New Roman" w:hAnsi="Calibri" w:eastAsia="宋体" w:cs="宋体"/>
                <w:color w:val="000000"/>
                <w:kern w:val="2"/>
                <w:sz w:val="24"/>
                <w:szCs w:val="24"/>
                <w:bdr w:val="none" w:color="auto" w:sz="0" w:space="0"/>
                <w:lang w:val="en-US" w:eastAsia="zh-CN" w:bidi="ar"/>
              </w:rPr>
              <w:t>）并参照</w:t>
            </w:r>
            <w:r>
              <w:rPr>
                <w:rFonts w:hint="eastAsia" w:ascii="Times New Roman" w:hAnsi="Times New Roman" w:eastAsia="宋体" w:cs="宋体"/>
                <w:color w:val="000000"/>
                <w:kern w:val="2"/>
                <w:sz w:val="24"/>
                <w:szCs w:val="24"/>
                <w:bdr w:val="none" w:color="auto" w:sz="0" w:space="0"/>
                <w:lang w:val="en-US" w:eastAsia="zh-CN" w:bidi="ar"/>
              </w:rPr>
              <w:t>《排污许可证申请与核发技术规范</w:t>
            </w:r>
            <w:r>
              <w:rPr>
                <w:rFonts w:hint="default" w:ascii="Times New Roman" w:hAnsi="Times New Roman" w:eastAsia="宋体" w:cs="Times New Roman"/>
                <w:color w:val="000000"/>
                <w:kern w:val="2"/>
                <w:sz w:val="24"/>
                <w:szCs w:val="24"/>
                <w:bdr w:val="none" w:color="auto" w:sz="0" w:space="0"/>
                <w:lang w:val="en-US" w:eastAsia="zh-CN" w:bidi="ar"/>
              </w:rPr>
              <w:t xml:space="preserve"> </w:t>
            </w:r>
            <w:r>
              <w:rPr>
                <w:rFonts w:hint="eastAsia" w:ascii="Times New Roman" w:hAnsi="Times New Roman" w:eastAsia="宋体" w:cs="宋体"/>
                <w:color w:val="000000"/>
                <w:kern w:val="2"/>
                <w:sz w:val="24"/>
                <w:szCs w:val="24"/>
                <w:bdr w:val="none" w:color="auto" w:sz="0" w:space="0"/>
                <w:lang w:val="en-US" w:eastAsia="zh-CN" w:bidi="ar"/>
              </w:rPr>
              <w:t>汽车制造业》（</w:t>
            </w:r>
            <w:r>
              <w:rPr>
                <w:rFonts w:hint="default" w:ascii="Times New Roman" w:hAnsi="Times New Roman" w:eastAsia="宋体" w:cs="Times New Roman"/>
                <w:color w:val="000000"/>
                <w:kern w:val="2"/>
                <w:sz w:val="24"/>
                <w:szCs w:val="24"/>
                <w:bdr w:val="none" w:color="auto" w:sz="0" w:space="0"/>
                <w:lang w:val="en-US" w:eastAsia="zh-CN" w:bidi="ar"/>
              </w:rPr>
              <w:t>HJ 971-2018</w:t>
            </w:r>
            <w:r>
              <w:rPr>
                <w:rFonts w:hint="eastAsia" w:ascii="Times New Roman" w:hAnsi="Times New Roman" w:eastAsia="宋体" w:cs="宋体"/>
                <w:color w:val="000000"/>
                <w:kern w:val="2"/>
                <w:sz w:val="24"/>
                <w:szCs w:val="24"/>
                <w:bdr w:val="none" w:color="auto" w:sz="0" w:space="0"/>
                <w:lang w:val="en-US" w:eastAsia="zh-CN" w:bidi="ar"/>
              </w:rPr>
              <w:t>）</w:t>
            </w:r>
            <w:r>
              <w:rPr>
                <w:rFonts w:hint="eastAsia" w:ascii="Times New Roman" w:hAnsi="Times New Roman" w:eastAsia="宋体" w:cs="宋体"/>
                <w:color w:val="000000"/>
                <w:kern w:val="0"/>
                <w:sz w:val="24"/>
                <w:szCs w:val="24"/>
                <w:bdr w:val="none" w:color="auto" w:sz="0" w:space="0"/>
                <w:lang w:val="en-US" w:eastAsia="zh-CN" w:bidi="ar"/>
              </w:rPr>
              <w:t>，扩建项目废气监测计划如下：</w:t>
            </w:r>
          </w:p>
          <w:p w14:paraId="3A07B9F6">
            <w:pPr>
              <w:keepNext w:val="0"/>
              <w:keepLines w:val="0"/>
              <w:widowControl w:val="0"/>
              <w:suppressLineNumbers w:val="0"/>
              <w:adjustRightInd w:val="0"/>
              <w:snapToGrid w:val="0"/>
              <w:spacing w:before="0" w:beforeAutospacing="0" w:after="0" w:afterAutospacing="0" w:line="460" w:lineRule="exact"/>
              <w:ind w:left="0" w:right="0" w:firstLine="480"/>
              <w:jc w:val="center"/>
              <w:rPr>
                <w:rFonts w:hint="default" w:ascii="Times New Roman" w:hAnsi="宋体" w:cs="Times New Roman"/>
                <w:color w:val="000000"/>
                <w:kern w:val="0"/>
                <w:sz w:val="24"/>
                <w:szCs w:val="24"/>
                <w:bdr w:val="none" w:color="auto" w:sz="0" w:space="0"/>
                <w:lang w:val="en-US"/>
              </w:rPr>
            </w:pPr>
            <w:r>
              <w:rPr>
                <w:rFonts w:hint="eastAsia" w:ascii="Times New Roman" w:hAnsi="宋体" w:eastAsia="宋体" w:cs="宋体"/>
                <w:color w:val="000000"/>
                <w:kern w:val="0"/>
                <w:sz w:val="24"/>
                <w:szCs w:val="24"/>
                <w:bdr w:val="none" w:color="auto" w:sz="0" w:space="0"/>
                <w:lang w:val="en-US" w:eastAsia="zh-CN" w:bidi="ar"/>
              </w:rPr>
              <w:t>表</w:t>
            </w:r>
            <w:r>
              <w:rPr>
                <w:rFonts w:hint="default" w:ascii="Times New Roman" w:hAnsi="Times New Roman" w:eastAsia="宋体" w:cs="Times New Roman"/>
                <w:color w:val="000000"/>
                <w:kern w:val="0"/>
                <w:sz w:val="24"/>
                <w:szCs w:val="24"/>
                <w:bdr w:val="none" w:color="auto" w:sz="0" w:space="0"/>
                <w:lang w:val="en-US" w:eastAsia="zh-CN" w:bidi="ar"/>
              </w:rPr>
              <w:t xml:space="preserve">4.2-7 </w:t>
            </w:r>
            <w:r>
              <w:rPr>
                <w:rFonts w:hint="eastAsia" w:ascii="Times New Roman" w:hAnsi="宋体" w:eastAsia="宋体" w:cs="宋体"/>
                <w:color w:val="000000"/>
                <w:kern w:val="0"/>
                <w:sz w:val="24"/>
                <w:szCs w:val="24"/>
                <w:bdr w:val="none" w:color="auto" w:sz="0" w:space="0"/>
                <w:lang w:val="en-US" w:eastAsia="zh-CN" w:bidi="ar"/>
              </w:rPr>
              <w:t>废气环境监测计划表</w:t>
            </w:r>
          </w:p>
          <w:tbl>
            <w:tblPr>
              <w:tblStyle w:val="18"/>
              <w:tblpPr w:leftFromText="180" w:rightFromText="180" w:vertAnchor="text" w:tblpXSpec="center" w:tblpY="1"/>
              <w:tblOverlap w:val="never"/>
              <w:tblW w:w="5000" w:type="pct"/>
              <w:tblInd w:w="8" w:type="dxa"/>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shd w:val="clear"/>
              <w:tblLayout w:type="fixed"/>
              <w:tblCellMar>
                <w:top w:w="0" w:type="dxa"/>
                <w:left w:w="108" w:type="dxa"/>
                <w:bottom w:w="0" w:type="dxa"/>
                <w:right w:w="108" w:type="dxa"/>
              </w:tblCellMar>
            </w:tblPr>
            <w:tblGrid>
              <w:gridCol w:w="684"/>
              <w:gridCol w:w="450"/>
              <w:gridCol w:w="709"/>
              <w:gridCol w:w="1276"/>
              <w:gridCol w:w="1417"/>
              <w:gridCol w:w="2407"/>
              <w:gridCol w:w="1003"/>
            </w:tblGrid>
            <w:tr w14:paraId="3D7A228E">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shd w:val="clear"/>
                <w:tblCellMar>
                  <w:top w:w="0" w:type="dxa"/>
                  <w:left w:w="108" w:type="dxa"/>
                  <w:bottom w:w="0" w:type="dxa"/>
                  <w:right w:w="108" w:type="dxa"/>
                </w:tblCellMar>
              </w:tblPrEx>
              <w:trPr>
                <w:trHeight w:val="195" w:hRule="atLeast"/>
              </w:trPr>
              <w:tc>
                <w:tcPr>
                  <w:tcW w:w="684" w:type="dxa"/>
                  <w:tcBorders>
                    <w:top w:val="single" w:color="000000" w:sz="12" w:space="0"/>
                    <w:left w:val="nil"/>
                    <w:bottom w:val="single" w:color="000000" w:sz="6" w:space="0"/>
                    <w:right w:val="single" w:color="000000" w:sz="6" w:space="0"/>
                  </w:tcBorders>
                  <w:shd w:val="clear"/>
                  <w:vAlign w:val="center"/>
                </w:tcPr>
                <w:p w14:paraId="671FFD2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类别</w:t>
                  </w:r>
                </w:p>
              </w:tc>
              <w:tc>
                <w:tcPr>
                  <w:tcW w:w="1159" w:type="dxa"/>
                  <w:gridSpan w:val="2"/>
                  <w:tcBorders>
                    <w:top w:val="single" w:color="000000" w:sz="12" w:space="0"/>
                    <w:left w:val="single" w:color="000000" w:sz="6" w:space="0"/>
                    <w:bottom w:val="single" w:color="000000" w:sz="6" w:space="0"/>
                    <w:right w:val="single" w:color="000000" w:sz="6" w:space="0"/>
                  </w:tcBorders>
                  <w:shd w:val="clear"/>
                  <w:vAlign w:val="center"/>
                </w:tcPr>
                <w:p w14:paraId="1EB4FAAD">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污染源</w:t>
                  </w:r>
                </w:p>
              </w:tc>
              <w:tc>
                <w:tcPr>
                  <w:tcW w:w="1276" w:type="dxa"/>
                  <w:tcBorders>
                    <w:top w:val="single" w:color="000000" w:sz="12" w:space="0"/>
                    <w:left w:val="single" w:color="000000" w:sz="6" w:space="0"/>
                    <w:bottom w:val="single" w:color="000000" w:sz="6" w:space="0"/>
                    <w:right w:val="single" w:color="000000" w:sz="6" w:space="0"/>
                  </w:tcBorders>
                  <w:shd w:val="clear"/>
                  <w:vAlign w:val="center"/>
                </w:tcPr>
                <w:p w14:paraId="2E4C87F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排放口类型</w:t>
                  </w:r>
                </w:p>
              </w:tc>
              <w:tc>
                <w:tcPr>
                  <w:tcW w:w="1417" w:type="dxa"/>
                  <w:tcBorders>
                    <w:top w:val="single" w:color="000000" w:sz="12" w:space="0"/>
                    <w:left w:val="single" w:color="000000" w:sz="6" w:space="0"/>
                    <w:bottom w:val="single" w:color="000000" w:sz="6" w:space="0"/>
                    <w:right w:val="single" w:color="000000" w:sz="6" w:space="0"/>
                  </w:tcBorders>
                  <w:shd w:val="clear"/>
                  <w:vAlign w:val="center"/>
                </w:tcPr>
                <w:p w14:paraId="3CB0138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监测因子</w:t>
                  </w:r>
                </w:p>
              </w:tc>
              <w:tc>
                <w:tcPr>
                  <w:tcW w:w="2407" w:type="dxa"/>
                  <w:tcBorders>
                    <w:top w:val="single" w:color="000000" w:sz="12" w:space="0"/>
                    <w:left w:val="single" w:color="000000" w:sz="6" w:space="0"/>
                    <w:bottom w:val="single" w:color="000000" w:sz="6" w:space="0"/>
                    <w:right w:val="single" w:color="000000" w:sz="6" w:space="0"/>
                  </w:tcBorders>
                  <w:shd w:val="clear"/>
                  <w:vAlign w:val="center"/>
                </w:tcPr>
                <w:p w14:paraId="6B03127A">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执行标准</w:t>
                  </w:r>
                </w:p>
              </w:tc>
              <w:tc>
                <w:tcPr>
                  <w:tcW w:w="1003" w:type="dxa"/>
                  <w:tcBorders>
                    <w:top w:val="single" w:color="000000" w:sz="12" w:space="0"/>
                    <w:left w:val="single" w:color="000000" w:sz="6" w:space="0"/>
                    <w:bottom w:val="single" w:color="000000" w:sz="6" w:space="0"/>
                    <w:right w:val="nil"/>
                  </w:tcBorders>
                  <w:shd w:val="clear"/>
                  <w:vAlign w:val="center"/>
                </w:tcPr>
                <w:p w14:paraId="5FA23D8B">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监测</w:t>
                  </w:r>
                </w:p>
                <w:p w14:paraId="492531E5">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频率</w:t>
                  </w:r>
                </w:p>
              </w:tc>
            </w:tr>
            <w:tr w14:paraId="4F9A5513">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108" w:type="dxa"/>
                  <w:bottom w:w="0" w:type="dxa"/>
                  <w:right w:w="108" w:type="dxa"/>
                </w:tblCellMar>
              </w:tblPrEx>
              <w:trPr>
                <w:trHeight w:val="311" w:hRule="atLeast"/>
              </w:trPr>
              <w:tc>
                <w:tcPr>
                  <w:tcW w:w="684" w:type="dxa"/>
                  <w:vMerge w:val="restart"/>
                  <w:tcBorders>
                    <w:top w:val="single" w:color="000000" w:sz="6" w:space="0"/>
                    <w:left w:val="nil"/>
                    <w:bottom w:val="single" w:color="000000" w:sz="6" w:space="0"/>
                    <w:right w:val="single" w:color="000000" w:sz="6" w:space="0"/>
                  </w:tcBorders>
                  <w:shd w:val="clear"/>
                  <w:vAlign w:val="center"/>
                </w:tcPr>
                <w:p w14:paraId="42AACFF5">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szCs w:val="21"/>
                      <w:bdr w:val="none" w:color="auto" w:sz="0" w:space="0"/>
                      <w:lang w:val="en-US"/>
                    </w:rPr>
                  </w:pPr>
                  <w:r>
                    <w:rPr>
                      <w:rFonts w:hint="eastAsia" w:ascii="Times New Roman" w:hAnsi="Times New Roman" w:eastAsia="宋体" w:cs="宋体"/>
                      <w:snapToGrid w:val="0"/>
                      <w:color w:val="000000"/>
                      <w:kern w:val="2"/>
                      <w:sz w:val="21"/>
                      <w:szCs w:val="21"/>
                      <w:bdr w:val="none" w:color="auto" w:sz="0" w:space="0"/>
                      <w:lang w:val="en-US" w:eastAsia="zh-CN" w:bidi="ar"/>
                    </w:rPr>
                    <w:t>废气</w:t>
                  </w:r>
                </w:p>
              </w:tc>
              <w:tc>
                <w:tcPr>
                  <w:tcW w:w="450" w:type="dxa"/>
                  <w:vMerge w:val="restart"/>
                  <w:tcBorders>
                    <w:top w:val="single" w:color="000000" w:sz="6" w:space="0"/>
                    <w:left w:val="single" w:color="000000" w:sz="6" w:space="0"/>
                    <w:bottom w:val="single" w:color="000000" w:sz="6" w:space="0"/>
                    <w:right w:val="single" w:color="000000" w:sz="6" w:space="0"/>
                  </w:tcBorders>
                  <w:shd w:val="clear"/>
                  <w:vAlign w:val="center"/>
                </w:tcPr>
                <w:p w14:paraId="3C010C42">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有组织</w:t>
                  </w:r>
                </w:p>
              </w:tc>
              <w:tc>
                <w:tcPr>
                  <w:tcW w:w="709" w:type="dxa"/>
                  <w:tcBorders>
                    <w:top w:val="single" w:color="000000" w:sz="6" w:space="0"/>
                    <w:left w:val="single" w:color="000000" w:sz="6" w:space="0"/>
                    <w:bottom w:val="single" w:color="000000" w:sz="6" w:space="0"/>
                    <w:right w:val="single" w:color="000000" w:sz="6" w:space="0"/>
                  </w:tcBorders>
                  <w:shd w:val="clear"/>
                  <w:vAlign w:val="center"/>
                </w:tcPr>
                <w:p w14:paraId="310CC006">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D1</w:t>
                  </w:r>
                  <w:r>
                    <w:rPr>
                      <w:rFonts w:hint="eastAsia" w:ascii="Times New Roman" w:hAnsi="Calibri" w:eastAsia="宋体" w:cs="宋体"/>
                      <w:snapToGrid w:val="0"/>
                      <w:color w:val="000000"/>
                      <w:kern w:val="2"/>
                      <w:sz w:val="21"/>
                      <w:szCs w:val="21"/>
                      <w:bdr w:val="none" w:color="auto" w:sz="0" w:space="0"/>
                      <w:lang w:val="en-US" w:eastAsia="zh-CN" w:bidi="ar"/>
                    </w:rPr>
                    <w:t>排气筒</w:t>
                  </w:r>
                </w:p>
              </w:tc>
              <w:tc>
                <w:tcPr>
                  <w:tcW w:w="1276" w:type="dxa"/>
                  <w:tcBorders>
                    <w:top w:val="single" w:color="000000" w:sz="6" w:space="0"/>
                    <w:left w:val="single" w:color="000000" w:sz="6" w:space="0"/>
                    <w:bottom w:val="single" w:color="000000" w:sz="6" w:space="0"/>
                    <w:right w:val="single" w:color="000000" w:sz="6" w:space="0"/>
                  </w:tcBorders>
                  <w:shd w:val="clear"/>
                  <w:vAlign w:val="center"/>
                </w:tcPr>
                <w:p w14:paraId="2C7AA9E8">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排气筒出口</w:t>
                  </w:r>
                </w:p>
              </w:tc>
              <w:tc>
                <w:tcPr>
                  <w:tcW w:w="1417" w:type="dxa"/>
                  <w:tcBorders>
                    <w:top w:val="single" w:color="000000" w:sz="6" w:space="0"/>
                    <w:left w:val="single" w:color="000000" w:sz="6" w:space="0"/>
                    <w:bottom w:val="single" w:color="000000" w:sz="6" w:space="0"/>
                    <w:right w:val="single" w:color="000000" w:sz="6" w:space="0"/>
                  </w:tcBorders>
                  <w:shd w:val="clear"/>
                  <w:vAlign w:val="center"/>
                </w:tcPr>
                <w:p w14:paraId="7C4FD897">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颗粒物、非甲烷总烃、</w:t>
                  </w:r>
                  <w:r>
                    <w:rPr>
                      <w:rFonts w:hint="default" w:ascii="Times New Roman" w:hAnsi="Calibri" w:eastAsia="宋体" w:cs="Times New Roman"/>
                      <w:snapToGrid w:val="0"/>
                      <w:color w:val="000000"/>
                      <w:kern w:val="2"/>
                      <w:sz w:val="21"/>
                      <w:szCs w:val="21"/>
                      <w:bdr w:val="none" w:color="auto" w:sz="0" w:space="0"/>
                      <w:lang w:val="en-US" w:eastAsia="zh-CN" w:bidi="ar"/>
                    </w:rPr>
                    <w:t>MDI</w:t>
                  </w:r>
                </w:p>
              </w:tc>
              <w:tc>
                <w:tcPr>
                  <w:tcW w:w="2407" w:type="dxa"/>
                  <w:tcBorders>
                    <w:top w:val="single" w:color="000000" w:sz="6" w:space="0"/>
                    <w:left w:val="single" w:color="000000" w:sz="6" w:space="0"/>
                    <w:bottom w:val="single" w:color="000000" w:sz="6" w:space="0"/>
                    <w:right w:val="single" w:color="000000" w:sz="6" w:space="0"/>
                  </w:tcBorders>
                  <w:shd w:val="clear"/>
                  <w:vAlign w:val="center"/>
                </w:tcPr>
                <w:p w14:paraId="5E3E7A6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《合成树脂工业污染物排放标准》（</w:t>
                  </w:r>
                  <w:r>
                    <w:rPr>
                      <w:rFonts w:hint="default" w:ascii="Times New Roman" w:hAnsi="Calibri" w:eastAsia="宋体" w:cs="Times New Roman"/>
                      <w:color w:val="000000"/>
                      <w:kern w:val="2"/>
                      <w:sz w:val="21"/>
                      <w:szCs w:val="21"/>
                      <w:bdr w:val="none" w:color="auto" w:sz="0" w:space="0"/>
                      <w:lang w:val="en-US" w:eastAsia="zh-CN" w:bidi="ar"/>
                    </w:rPr>
                    <w:t>GB31572-2015</w:t>
                  </w:r>
                  <w:r>
                    <w:rPr>
                      <w:rFonts w:hint="eastAsia" w:ascii="Calibri" w:hAnsi="Calibri" w:eastAsia="宋体" w:cs="宋体"/>
                      <w:color w:val="000000"/>
                      <w:kern w:val="2"/>
                      <w:sz w:val="21"/>
                      <w:szCs w:val="21"/>
                      <w:bdr w:val="none" w:color="auto" w:sz="0" w:space="0"/>
                      <w:lang w:val="en-US" w:eastAsia="zh-CN" w:bidi="ar"/>
                    </w:rPr>
                    <w:t>）</w:t>
                  </w:r>
                </w:p>
              </w:tc>
              <w:tc>
                <w:tcPr>
                  <w:tcW w:w="1003" w:type="dxa"/>
                  <w:tcBorders>
                    <w:top w:val="single" w:color="000000" w:sz="6" w:space="0"/>
                    <w:left w:val="single" w:color="000000" w:sz="6" w:space="0"/>
                    <w:bottom w:val="single" w:color="000000" w:sz="6" w:space="0"/>
                    <w:right w:val="nil"/>
                  </w:tcBorders>
                  <w:shd w:val="clear"/>
                  <w:vAlign w:val="center"/>
                </w:tcPr>
                <w:p w14:paraId="6439255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1</w:t>
                  </w:r>
                  <w:r>
                    <w:rPr>
                      <w:rFonts w:hint="eastAsia" w:ascii="Times New Roman" w:hAnsi="Times New Roman" w:eastAsia="宋体" w:cs="宋体"/>
                      <w:color w:val="000000"/>
                      <w:kern w:val="2"/>
                      <w:sz w:val="21"/>
                      <w:szCs w:val="24"/>
                      <w:bdr w:val="none" w:color="auto" w:sz="0" w:space="0"/>
                      <w:lang w:val="en-US" w:eastAsia="zh-CN" w:bidi="ar"/>
                    </w:rPr>
                    <w:t>次</w:t>
                  </w:r>
                  <w:r>
                    <w:rPr>
                      <w:rFonts w:hint="default" w:ascii="Times New Roman" w:hAnsi="Times New Roman" w:eastAsia="宋体" w:cs="Times New Roman"/>
                      <w:color w:val="000000"/>
                      <w:kern w:val="2"/>
                      <w:sz w:val="21"/>
                      <w:szCs w:val="24"/>
                      <w:bdr w:val="none" w:color="auto" w:sz="0" w:space="0"/>
                      <w:lang w:val="en-US" w:eastAsia="zh-CN" w:bidi="ar"/>
                    </w:rPr>
                    <w:t>/</w:t>
                  </w:r>
                  <w:r>
                    <w:rPr>
                      <w:rFonts w:hint="eastAsia" w:ascii="Times New Roman" w:hAnsi="Times New Roman" w:eastAsia="宋体" w:cs="宋体"/>
                      <w:color w:val="000000"/>
                      <w:kern w:val="2"/>
                      <w:sz w:val="21"/>
                      <w:szCs w:val="24"/>
                      <w:bdr w:val="none" w:color="auto" w:sz="0" w:space="0"/>
                      <w:lang w:val="en-US" w:eastAsia="zh-CN" w:bidi="ar"/>
                    </w:rPr>
                    <w:t>年</w:t>
                  </w:r>
                </w:p>
              </w:tc>
            </w:tr>
            <w:tr w14:paraId="7D75F15D">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108" w:type="dxa"/>
                  <w:bottom w:w="0" w:type="dxa"/>
                  <w:right w:w="108" w:type="dxa"/>
                </w:tblCellMar>
              </w:tblPrEx>
              <w:trPr>
                <w:trHeight w:val="311" w:hRule="atLeast"/>
              </w:trPr>
              <w:tc>
                <w:tcPr>
                  <w:tcW w:w="684" w:type="dxa"/>
                  <w:vMerge w:val="continue"/>
                  <w:tcBorders>
                    <w:top w:val="single" w:color="000000" w:sz="6" w:space="0"/>
                    <w:left w:val="nil"/>
                    <w:bottom w:val="single" w:color="000000" w:sz="6" w:space="0"/>
                    <w:right w:val="single" w:color="000000" w:sz="6" w:space="0"/>
                  </w:tcBorders>
                  <w:shd w:val="clear"/>
                  <w:vAlign w:val="center"/>
                </w:tcPr>
                <w:p w14:paraId="134235A0">
                  <w:pPr>
                    <w:rPr>
                      <w:rFonts w:hint="default" w:ascii="Calibri" w:hAnsi="Calibri" w:cs="Calibri"/>
                      <w:sz w:val="20"/>
                      <w:szCs w:val="20"/>
                    </w:rPr>
                  </w:pPr>
                </w:p>
              </w:tc>
              <w:tc>
                <w:tcPr>
                  <w:tcW w:w="450" w:type="dxa"/>
                  <w:vMerge w:val="continue"/>
                  <w:tcBorders>
                    <w:top w:val="single" w:color="000000" w:sz="6" w:space="0"/>
                    <w:left w:val="single" w:color="000000" w:sz="6" w:space="0"/>
                    <w:bottom w:val="single" w:color="000000" w:sz="6" w:space="0"/>
                    <w:right w:val="single" w:color="000000" w:sz="6" w:space="0"/>
                  </w:tcBorders>
                  <w:shd w:val="clear"/>
                  <w:vAlign w:val="center"/>
                </w:tcPr>
                <w:p w14:paraId="700BB511">
                  <w:pPr>
                    <w:rPr>
                      <w:rFonts w:hint="default" w:ascii="Calibri" w:hAnsi="Calibri" w:cs="Calibri"/>
                      <w:sz w:val="20"/>
                      <w:szCs w:val="20"/>
                    </w:rPr>
                  </w:pPr>
                </w:p>
              </w:tc>
              <w:tc>
                <w:tcPr>
                  <w:tcW w:w="709" w:type="dxa"/>
                  <w:tcBorders>
                    <w:top w:val="single" w:color="000000" w:sz="6" w:space="0"/>
                    <w:left w:val="single" w:color="000000" w:sz="6" w:space="0"/>
                    <w:bottom w:val="single" w:color="000000" w:sz="6" w:space="0"/>
                    <w:right w:val="single" w:color="000000" w:sz="6" w:space="0"/>
                  </w:tcBorders>
                  <w:shd w:val="clear"/>
                  <w:vAlign w:val="center"/>
                </w:tcPr>
                <w:p w14:paraId="16D80796">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D2</w:t>
                  </w:r>
                  <w:r>
                    <w:rPr>
                      <w:rFonts w:hint="eastAsia" w:ascii="Times New Roman" w:hAnsi="Calibri" w:eastAsia="宋体" w:cs="宋体"/>
                      <w:snapToGrid w:val="0"/>
                      <w:color w:val="000000"/>
                      <w:kern w:val="2"/>
                      <w:sz w:val="21"/>
                      <w:szCs w:val="21"/>
                      <w:bdr w:val="none" w:color="auto" w:sz="0" w:space="0"/>
                      <w:lang w:val="en-US" w:eastAsia="zh-CN" w:bidi="ar"/>
                    </w:rPr>
                    <w:t>排气筒</w:t>
                  </w:r>
                </w:p>
              </w:tc>
              <w:tc>
                <w:tcPr>
                  <w:tcW w:w="1276" w:type="dxa"/>
                  <w:tcBorders>
                    <w:top w:val="single" w:color="000000" w:sz="6" w:space="0"/>
                    <w:left w:val="single" w:color="000000" w:sz="6" w:space="0"/>
                    <w:bottom w:val="single" w:color="000000" w:sz="6" w:space="0"/>
                    <w:right w:val="single" w:color="000000" w:sz="6" w:space="0"/>
                  </w:tcBorders>
                  <w:shd w:val="clear"/>
                  <w:vAlign w:val="center"/>
                </w:tcPr>
                <w:p w14:paraId="7A03166C">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排气筒出口</w:t>
                  </w:r>
                </w:p>
              </w:tc>
              <w:tc>
                <w:tcPr>
                  <w:tcW w:w="1417" w:type="dxa"/>
                  <w:tcBorders>
                    <w:top w:val="single" w:color="000000" w:sz="6" w:space="0"/>
                    <w:left w:val="single" w:color="000000" w:sz="6" w:space="0"/>
                    <w:bottom w:val="single" w:color="000000" w:sz="6" w:space="0"/>
                    <w:right w:val="single" w:color="000000" w:sz="6" w:space="0"/>
                  </w:tcBorders>
                  <w:shd w:val="clear"/>
                  <w:vAlign w:val="center"/>
                </w:tcPr>
                <w:p w14:paraId="4D00D514">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颗粒物</w:t>
                  </w:r>
                </w:p>
              </w:tc>
              <w:tc>
                <w:tcPr>
                  <w:tcW w:w="2407" w:type="dxa"/>
                  <w:tcBorders>
                    <w:top w:val="single" w:color="000000" w:sz="6" w:space="0"/>
                    <w:left w:val="single" w:color="000000" w:sz="6" w:space="0"/>
                    <w:bottom w:val="single" w:color="000000" w:sz="6" w:space="0"/>
                    <w:right w:val="single" w:color="000000" w:sz="6" w:space="0"/>
                  </w:tcBorders>
                  <w:shd w:val="clear"/>
                  <w:vAlign w:val="center"/>
                </w:tcPr>
                <w:p w14:paraId="32EB650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eastAsia" w:ascii="Times New Roman" w:hAnsi="Times New Roman" w:eastAsia="宋体" w:cs="宋体"/>
                      <w:color w:val="000000"/>
                      <w:kern w:val="2"/>
                      <w:sz w:val="21"/>
                      <w:szCs w:val="24"/>
                      <w:bdr w:val="none" w:color="auto" w:sz="0" w:space="0"/>
                      <w:lang w:val="en-US" w:eastAsia="zh-CN" w:bidi="ar"/>
                    </w:rPr>
                    <w:t>《大气污染物综合排放标准》</w:t>
                  </w:r>
                  <w:r>
                    <w:rPr>
                      <w:rFonts w:hint="default" w:ascii="Times New Roman" w:hAnsi="Times New Roman" w:eastAsia="宋体" w:cs="Times New Roman"/>
                      <w:color w:val="000000"/>
                      <w:kern w:val="2"/>
                      <w:sz w:val="21"/>
                      <w:szCs w:val="24"/>
                      <w:bdr w:val="none" w:color="auto" w:sz="0" w:space="0"/>
                      <w:lang w:val="en-US" w:eastAsia="zh-CN" w:bidi="ar"/>
                    </w:rPr>
                    <w:t>(DB50/418-2016)</w:t>
                  </w:r>
                  <w:r>
                    <w:rPr>
                      <w:rFonts w:hint="eastAsia" w:ascii="Times New Roman" w:hAnsi="Times New Roman" w:eastAsia="宋体" w:cs="宋体"/>
                      <w:color w:val="000000"/>
                      <w:kern w:val="2"/>
                      <w:sz w:val="21"/>
                      <w:szCs w:val="24"/>
                      <w:bdr w:val="none" w:color="auto" w:sz="0" w:space="0"/>
                      <w:lang w:val="en-US" w:eastAsia="zh-CN" w:bidi="ar"/>
                    </w:rPr>
                    <w:t>表</w:t>
                  </w:r>
                  <w:r>
                    <w:rPr>
                      <w:rFonts w:hint="default" w:ascii="Times New Roman" w:hAnsi="Times New Roman" w:eastAsia="宋体" w:cs="Times New Roman"/>
                      <w:color w:val="000000"/>
                      <w:kern w:val="2"/>
                      <w:sz w:val="21"/>
                      <w:szCs w:val="24"/>
                      <w:bdr w:val="none" w:color="auto" w:sz="0" w:space="0"/>
                      <w:lang w:val="en-US" w:eastAsia="zh-CN" w:bidi="ar"/>
                    </w:rPr>
                    <w:t>1</w:t>
                  </w:r>
                  <w:r>
                    <w:rPr>
                      <w:rFonts w:hint="eastAsia" w:ascii="Times New Roman" w:hAnsi="Times New Roman" w:eastAsia="宋体" w:cs="宋体"/>
                      <w:color w:val="000000"/>
                      <w:kern w:val="2"/>
                      <w:sz w:val="21"/>
                      <w:szCs w:val="24"/>
                      <w:bdr w:val="none" w:color="auto" w:sz="0" w:space="0"/>
                      <w:lang w:val="en-US" w:eastAsia="zh-CN" w:bidi="ar"/>
                    </w:rPr>
                    <w:t>影响区</w:t>
                  </w:r>
                </w:p>
              </w:tc>
              <w:tc>
                <w:tcPr>
                  <w:tcW w:w="1003" w:type="dxa"/>
                  <w:tcBorders>
                    <w:top w:val="single" w:color="000000" w:sz="6" w:space="0"/>
                    <w:left w:val="single" w:color="000000" w:sz="6" w:space="0"/>
                    <w:bottom w:val="single" w:color="000000" w:sz="6" w:space="0"/>
                    <w:right w:val="nil"/>
                  </w:tcBorders>
                  <w:shd w:val="clear"/>
                  <w:vAlign w:val="center"/>
                </w:tcPr>
                <w:p w14:paraId="0BAB042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1</w:t>
                  </w:r>
                  <w:r>
                    <w:rPr>
                      <w:rFonts w:hint="eastAsia" w:ascii="Times New Roman" w:hAnsi="Times New Roman" w:eastAsia="宋体" w:cs="宋体"/>
                      <w:color w:val="000000"/>
                      <w:kern w:val="2"/>
                      <w:sz w:val="21"/>
                      <w:szCs w:val="24"/>
                      <w:bdr w:val="none" w:color="auto" w:sz="0" w:space="0"/>
                      <w:lang w:val="en-US" w:eastAsia="zh-CN" w:bidi="ar"/>
                    </w:rPr>
                    <w:t>次</w:t>
                  </w:r>
                  <w:r>
                    <w:rPr>
                      <w:rFonts w:hint="default" w:ascii="Times New Roman" w:hAnsi="Times New Roman" w:eastAsia="宋体" w:cs="Times New Roman"/>
                      <w:color w:val="000000"/>
                      <w:kern w:val="2"/>
                      <w:sz w:val="21"/>
                      <w:szCs w:val="24"/>
                      <w:bdr w:val="none" w:color="auto" w:sz="0" w:space="0"/>
                      <w:lang w:val="en-US" w:eastAsia="zh-CN" w:bidi="ar"/>
                    </w:rPr>
                    <w:t>/</w:t>
                  </w:r>
                  <w:r>
                    <w:rPr>
                      <w:rFonts w:hint="eastAsia" w:ascii="Times New Roman" w:hAnsi="Times New Roman" w:eastAsia="宋体" w:cs="宋体"/>
                      <w:color w:val="000000"/>
                      <w:kern w:val="2"/>
                      <w:sz w:val="21"/>
                      <w:szCs w:val="24"/>
                      <w:bdr w:val="none" w:color="auto" w:sz="0" w:space="0"/>
                      <w:lang w:val="en-US" w:eastAsia="zh-CN" w:bidi="ar"/>
                    </w:rPr>
                    <w:t>年</w:t>
                  </w:r>
                </w:p>
              </w:tc>
            </w:tr>
            <w:tr w14:paraId="35DEF39C">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108" w:type="dxa"/>
                  <w:bottom w:w="0" w:type="dxa"/>
                  <w:right w:w="108" w:type="dxa"/>
                </w:tblCellMar>
              </w:tblPrEx>
              <w:trPr>
                <w:trHeight w:val="358" w:hRule="atLeast"/>
              </w:trPr>
              <w:tc>
                <w:tcPr>
                  <w:tcW w:w="684" w:type="dxa"/>
                  <w:vMerge w:val="continue"/>
                  <w:tcBorders>
                    <w:top w:val="single" w:color="000000" w:sz="6" w:space="0"/>
                    <w:left w:val="nil"/>
                    <w:bottom w:val="single" w:color="000000" w:sz="6" w:space="0"/>
                    <w:right w:val="single" w:color="000000" w:sz="6" w:space="0"/>
                  </w:tcBorders>
                  <w:shd w:val="clear"/>
                  <w:vAlign w:val="center"/>
                </w:tcPr>
                <w:p w14:paraId="5AE4E831">
                  <w:pPr>
                    <w:rPr>
                      <w:rFonts w:hint="default" w:ascii="Calibri" w:hAnsi="Calibri" w:cs="Calibri"/>
                      <w:sz w:val="20"/>
                      <w:szCs w:val="20"/>
                    </w:rPr>
                  </w:pPr>
                </w:p>
              </w:tc>
              <w:tc>
                <w:tcPr>
                  <w:tcW w:w="1159" w:type="dxa"/>
                  <w:gridSpan w:val="2"/>
                  <w:tcBorders>
                    <w:top w:val="single" w:color="000000" w:sz="6" w:space="0"/>
                    <w:left w:val="single" w:color="000000" w:sz="6" w:space="0"/>
                    <w:bottom w:val="single" w:color="000000" w:sz="6" w:space="0"/>
                    <w:right w:val="single" w:color="000000" w:sz="6" w:space="0"/>
                  </w:tcBorders>
                  <w:shd w:val="clear"/>
                  <w:vAlign w:val="center"/>
                </w:tcPr>
                <w:p w14:paraId="068AAE21">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无组织</w:t>
                  </w:r>
                </w:p>
              </w:tc>
              <w:tc>
                <w:tcPr>
                  <w:tcW w:w="1276" w:type="dxa"/>
                  <w:tcBorders>
                    <w:top w:val="single" w:color="000000" w:sz="6" w:space="0"/>
                    <w:left w:val="single" w:color="000000" w:sz="6" w:space="0"/>
                    <w:bottom w:val="single" w:color="000000" w:sz="6" w:space="0"/>
                    <w:right w:val="single" w:color="000000" w:sz="6" w:space="0"/>
                  </w:tcBorders>
                  <w:shd w:val="clear"/>
                  <w:vAlign w:val="center"/>
                </w:tcPr>
                <w:p w14:paraId="6617E93A">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厂界上、下风向</w:t>
                  </w:r>
                </w:p>
              </w:tc>
              <w:tc>
                <w:tcPr>
                  <w:tcW w:w="1417" w:type="dxa"/>
                  <w:tcBorders>
                    <w:top w:val="single" w:color="000000" w:sz="6" w:space="0"/>
                    <w:left w:val="single" w:color="000000" w:sz="6" w:space="0"/>
                    <w:bottom w:val="single" w:color="000000" w:sz="6" w:space="0"/>
                    <w:right w:val="single" w:color="000000" w:sz="6" w:space="0"/>
                  </w:tcBorders>
                  <w:shd w:val="clear"/>
                  <w:vAlign w:val="center"/>
                </w:tcPr>
                <w:p w14:paraId="6E4E31A3">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非甲烷总烃、颗粒物</w:t>
                  </w:r>
                </w:p>
              </w:tc>
              <w:tc>
                <w:tcPr>
                  <w:tcW w:w="2407" w:type="dxa"/>
                  <w:tcBorders>
                    <w:top w:val="single" w:color="000000" w:sz="6" w:space="0"/>
                    <w:left w:val="single" w:color="000000" w:sz="6" w:space="0"/>
                    <w:bottom w:val="single" w:color="000000" w:sz="6" w:space="0"/>
                    <w:right w:val="single" w:color="000000" w:sz="6" w:space="0"/>
                  </w:tcBorders>
                  <w:shd w:val="clear"/>
                  <w:vAlign w:val="center"/>
                </w:tcPr>
                <w:p w14:paraId="3C53F81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《合成树脂工业污染物排放标准》（</w:t>
                  </w:r>
                  <w:r>
                    <w:rPr>
                      <w:rFonts w:hint="default" w:ascii="Times New Roman" w:hAnsi="Calibri" w:eastAsia="宋体" w:cs="Times New Roman"/>
                      <w:color w:val="000000"/>
                      <w:kern w:val="2"/>
                      <w:sz w:val="21"/>
                      <w:szCs w:val="21"/>
                      <w:bdr w:val="none" w:color="auto" w:sz="0" w:space="0"/>
                      <w:lang w:val="en-US" w:eastAsia="zh-CN" w:bidi="ar"/>
                    </w:rPr>
                    <w:t>GB31572-2015</w:t>
                  </w:r>
                  <w:r>
                    <w:rPr>
                      <w:rFonts w:hint="eastAsia" w:ascii="Calibri" w:hAnsi="Calibri" w:eastAsia="宋体" w:cs="宋体"/>
                      <w:color w:val="000000"/>
                      <w:kern w:val="2"/>
                      <w:sz w:val="21"/>
                      <w:szCs w:val="21"/>
                      <w:bdr w:val="none" w:color="auto" w:sz="0" w:space="0"/>
                      <w:lang w:val="en-US" w:eastAsia="zh-CN" w:bidi="ar"/>
                    </w:rPr>
                    <w:t>）表</w:t>
                  </w:r>
                  <w:r>
                    <w:rPr>
                      <w:rFonts w:hint="default" w:ascii="Times New Roman" w:hAnsi="Calibri" w:eastAsia="宋体" w:cs="Times New Roman"/>
                      <w:color w:val="000000"/>
                      <w:kern w:val="2"/>
                      <w:sz w:val="21"/>
                      <w:szCs w:val="21"/>
                      <w:bdr w:val="none" w:color="auto" w:sz="0" w:space="0"/>
                      <w:lang w:val="en-US" w:eastAsia="zh-CN" w:bidi="ar"/>
                    </w:rPr>
                    <w:t>9</w:t>
                  </w:r>
                </w:p>
              </w:tc>
              <w:tc>
                <w:tcPr>
                  <w:tcW w:w="1003" w:type="dxa"/>
                  <w:tcBorders>
                    <w:top w:val="single" w:color="000000" w:sz="6" w:space="0"/>
                    <w:left w:val="single" w:color="000000" w:sz="6" w:space="0"/>
                    <w:bottom w:val="single" w:color="000000" w:sz="6" w:space="0"/>
                    <w:right w:val="nil"/>
                  </w:tcBorders>
                  <w:shd w:val="clear"/>
                  <w:vAlign w:val="center"/>
                </w:tcPr>
                <w:p w14:paraId="3FE6548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1</w:t>
                  </w:r>
                  <w:r>
                    <w:rPr>
                      <w:rFonts w:hint="eastAsia" w:ascii="Times New Roman" w:hAnsi="Times New Roman" w:eastAsia="宋体" w:cs="宋体"/>
                      <w:color w:val="000000"/>
                      <w:kern w:val="2"/>
                      <w:sz w:val="21"/>
                      <w:szCs w:val="24"/>
                      <w:bdr w:val="none" w:color="auto" w:sz="0" w:space="0"/>
                      <w:lang w:val="en-US" w:eastAsia="zh-CN" w:bidi="ar"/>
                    </w:rPr>
                    <w:t>次</w:t>
                  </w:r>
                  <w:r>
                    <w:rPr>
                      <w:rFonts w:hint="default" w:ascii="Times New Roman" w:hAnsi="Times New Roman" w:eastAsia="宋体" w:cs="Times New Roman"/>
                      <w:color w:val="000000"/>
                      <w:kern w:val="2"/>
                      <w:sz w:val="21"/>
                      <w:szCs w:val="24"/>
                      <w:bdr w:val="none" w:color="auto" w:sz="0" w:space="0"/>
                      <w:lang w:val="en-US" w:eastAsia="zh-CN" w:bidi="ar"/>
                    </w:rPr>
                    <w:t>/</w:t>
                  </w:r>
                  <w:r>
                    <w:rPr>
                      <w:rFonts w:hint="eastAsia" w:ascii="Times New Roman" w:hAnsi="Times New Roman" w:eastAsia="宋体" w:cs="宋体"/>
                      <w:color w:val="000000"/>
                      <w:kern w:val="2"/>
                      <w:sz w:val="21"/>
                      <w:szCs w:val="24"/>
                      <w:bdr w:val="none" w:color="auto" w:sz="0" w:space="0"/>
                      <w:lang w:val="en-US" w:eastAsia="zh-CN" w:bidi="ar"/>
                    </w:rPr>
                    <w:t>年</w:t>
                  </w:r>
                </w:p>
              </w:tc>
            </w:tr>
            <w:tr w14:paraId="1543C0FA">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108" w:type="dxa"/>
                  <w:bottom w:w="0" w:type="dxa"/>
                  <w:right w:w="108" w:type="dxa"/>
                </w:tblCellMar>
              </w:tblPrEx>
              <w:trPr>
                <w:trHeight w:val="358" w:hRule="atLeast"/>
              </w:trPr>
              <w:tc>
                <w:tcPr>
                  <w:tcW w:w="7946" w:type="dxa"/>
                  <w:gridSpan w:val="7"/>
                  <w:tcBorders>
                    <w:top w:val="single" w:color="000000" w:sz="6" w:space="0"/>
                    <w:left w:val="nil"/>
                    <w:bottom w:val="single" w:color="000000" w:sz="12" w:space="0"/>
                    <w:right w:val="nil"/>
                  </w:tcBorders>
                  <w:shd w:val="clear"/>
                  <w:vAlign w:val="center"/>
                </w:tcPr>
                <w:p w14:paraId="555829D2">
                  <w:pPr>
                    <w:keepNext w:val="0"/>
                    <w:keepLines w:val="0"/>
                    <w:widowControl w:val="0"/>
                    <w:suppressLineNumbers w:val="0"/>
                    <w:spacing w:before="0" w:beforeAutospacing="0" w:after="0" w:afterAutospacing="0" w:line="300" w:lineRule="exact"/>
                    <w:ind w:left="0" w:right="0"/>
                    <w:jc w:val="left"/>
                    <w:rPr>
                      <w:rFonts w:hint="default" w:ascii="Times New Roman" w:hAnsi="Times New Roman" w:cs="Times New Roman"/>
                      <w:color w:val="000000"/>
                      <w:bdr w:val="none" w:color="auto" w:sz="0" w:space="0"/>
                      <w:lang w:val="en-US"/>
                    </w:rPr>
                  </w:pPr>
                  <w:r>
                    <w:rPr>
                      <w:rFonts w:hint="eastAsia" w:ascii="Times New Roman" w:hAnsi="Times New Roman" w:eastAsia="宋体" w:cs="宋体"/>
                      <w:color w:val="000000"/>
                      <w:kern w:val="2"/>
                      <w:sz w:val="21"/>
                      <w:szCs w:val="24"/>
                      <w:bdr w:val="none" w:color="auto" w:sz="0" w:space="0"/>
                      <w:lang w:val="en-US" w:eastAsia="zh-CN" w:bidi="ar"/>
                    </w:rPr>
                    <w:t>注：</w:t>
                  </w:r>
                  <w:r>
                    <w:rPr>
                      <w:rFonts w:hint="default" w:ascii="Times New Roman" w:hAnsi="Times New Roman" w:eastAsia="宋体" w:cs="Times New Roman"/>
                      <w:color w:val="000000"/>
                      <w:kern w:val="2"/>
                      <w:sz w:val="21"/>
                      <w:szCs w:val="24"/>
                      <w:bdr w:val="none" w:color="auto" w:sz="0" w:space="0"/>
                      <w:lang w:val="en-US" w:eastAsia="zh-CN" w:bidi="ar"/>
                    </w:rPr>
                    <w:t>MDI</w:t>
                  </w:r>
                  <w:r>
                    <w:rPr>
                      <w:rFonts w:hint="eastAsia" w:ascii="Times New Roman" w:hAnsi="Times New Roman" w:eastAsia="宋体" w:cs="宋体"/>
                      <w:color w:val="000000"/>
                      <w:kern w:val="2"/>
                      <w:sz w:val="21"/>
                      <w:szCs w:val="24"/>
                      <w:bdr w:val="none" w:color="auto" w:sz="0" w:space="0"/>
                      <w:lang w:val="en-US" w:eastAsia="zh-CN" w:bidi="ar"/>
                    </w:rPr>
                    <w:t>指标待国家污染物监测方法标准发布后实施。</w:t>
                  </w:r>
                </w:p>
              </w:tc>
            </w:tr>
          </w:tbl>
          <w:p w14:paraId="6FDF88A9">
            <w:pPr>
              <w:keepNext w:val="0"/>
              <w:keepLines w:val="0"/>
              <w:widowControl w:val="0"/>
              <w:suppressLineNumbers w:val="0"/>
              <w:adjustRightInd w:val="0"/>
              <w:snapToGrid w:val="0"/>
              <w:spacing w:before="0" w:beforeAutospacing="0" w:after="0" w:afterAutospacing="0" w:line="440" w:lineRule="exact"/>
              <w:ind w:left="0" w:right="0"/>
              <w:jc w:val="left"/>
              <w:outlineLvl w:val="2"/>
              <w:rPr>
                <w:rFonts w:hint="default" w:ascii="Times New Roman" w:hAnsi="宋体" w:cs="Times New Roman"/>
                <w:b/>
                <w:bCs/>
                <w:color w:val="000000"/>
                <w:spacing w:val="-10"/>
                <w:sz w:val="24"/>
                <w:szCs w:val="24"/>
                <w:bdr w:val="none" w:color="auto" w:sz="0" w:space="0"/>
                <w:lang w:val="en-US"/>
              </w:rPr>
            </w:pPr>
            <w:r>
              <w:rPr>
                <w:rFonts w:hint="default" w:ascii="Times New Roman" w:hAnsi="宋体" w:eastAsia="宋体" w:cs="Times New Roman"/>
                <w:b/>
                <w:bCs/>
                <w:color w:val="000000"/>
                <w:spacing w:val="-10"/>
                <w:kern w:val="2"/>
                <w:sz w:val="24"/>
                <w:szCs w:val="24"/>
                <w:bdr w:val="none" w:color="auto" w:sz="0" w:space="0"/>
                <w:lang w:val="en-US" w:eastAsia="zh-CN" w:bidi="ar"/>
              </w:rPr>
              <w:t xml:space="preserve">4.2.6 </w:t>
            </w:r>
            <w:r>
              <w:rPr>
                <w:rFonts w:hint="eastAsia" w:ascii="Times New Roman" w:hAnsi="宋体" w:eastAsia="宋体" w:cs="宋体"/>
                <w:b/>
                <w:bCs/>
                <w:color w:val="000000"/>
                <w:spacing w:val="-10"/>
                <w:kern w:val="2"/>
                <w:sz w:val="24"/>
                <w:szCs w:val="24"/>
                <w:bdr w:val="none" w:color="auto" w:sz="0" w:space="0"/>
                <w:lang w:val="en-US" w:eastAsia="zh-CN" w:bidi="ar"/>
              </w:rPr>
              <w:t>大气环境影响分析</w:t>
            </w:r>
          </w:p>
          <w:p w14:paraId="7E572F72">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bCs/>
                <w:color w:val="000000"/>
                <w:sz w:val="24"/>
                <w:szCs w:val="21"/>
                <w:bdr w:val="none" w:color="auto" w:sz="0" w:space="0"/>
                <w:lang w:val="en-US"/>
              </w:rPr>
            </w:pPr>
            <w:r>
              <w:rPr>
                <w:rFonts w:hint="eastAsia" w:ascii="Times New Roman" w:hAnsi="Times New Roman" w:eastAsia="宋体" w:cs="宋体"/>
                <w:bCs/>
                <w:color w:val="000000"/>
                <w:kern w:val="2"/>
                <w:sz w:val="24"/>
                <w:szCs w:val="21"/>
                <w:bdr w:val="none" w:color="auto" w:sz="0" w:space="0"/>
                <w:lang w:val="en-US" w:eastAsia="zh-CN" w:bidi="ar"/>
              </w:rPr>
              <w:t>根据区域环境质量现状可知，扩建项目所在区域合川区</w:t>
            </w:r>
            <w:r>
              <w:rPr>
                <w:rFonts w:hint="default" w:ascii="Times New Roman" w:hAnsi="Times New Roman" w:eastAsia="宋体" w:cs="Times New Roman"/>
                <w:bCs/>
                <w:color w:val="000000"/>
                <w:kern w:val="2"/>
                <w:sz w:val="24"/>
                <w:szCs w:val="21"/>
                <w:bdr w:val="none" w:color="auto" w:sz="0" w:space="0"/>
                <w:lang w:val="en-US" w:eastAsia="zh-CN" w:bidi="ar"/>
              </w:rPr>
              <w:t>2023</w:t>
            </w:r>
            <w:r>
              <w:rPr>
                <w:rFonts w:hint="eastAsia" w:ascii="Times New Roman" w:hAnsi="Times New Roman" w:eastAsia="宋体" w:cs="宋体"/>
                <w:bCs/>
                <w:color w:val="000000"/>
                <w:kern w:val="2"/>
                <w:sz w:val="24"/>
                <w:szCs w:val="21"/>
                <w:bdr w:val="none" w:color="auto" w:sz="0" w:space="0"/>
                <w:lang w:val="en-US" w:eastAsia="zh-CN" w:bidi="ar"/>
              </w:rPr>
              <w:t>年为环境空气不达标区，采取《合川区大气环境质量限期达标规划》中“主要任务与措施”方案中明确减缓的方案后，可改善区域环境质量达标情况。</w:t>
            </w:r>
          </w:p>
          <w:p w14:paraId="0CD9F8C5">
            <w:pPr>
              <w:keepNext w:val="0"/>
              <w:keepLines w:val="0"/>
              <w:widowControl w:val="0"/>
              <w:suppressLineNumbers w:val="0"/>
              <w:spacing w:before="0" w:beforeAutospacing="0" w:after="0" w:afterAutospacing="0" w:line="420" w:lineRule="exact"/>
              <w:ind w:left="0" w:right="0" w:firstLine="480" w:firstLineChars="200"/>
              <w:jc w:val="both"/>
              <w:rPr>
                <w:rFonts w:hint="default" w:ascii="Times New Roman" w:hAnsi="Times New Roman" w:cs="Times New Roman"/>
                <w:bCs/>
                <w:color w:val="000000"/>
                <w:sz w:val="24"/>
                <w:szCs w:val="21"/>
                <w:bdr w:val="none" w:color="auto" w:sz="0" w:space="0"/>
                <w:lang w:val="en-US"/>
              </w:rPr>
            </w:pPr>
            <w:r>
              <w:rPr>
                <w:rFonts w:hint="eastAsia" w:ascii="Times New Roman" w:hAnsi="Times New Roman" w:eastAsia="宋体" w:cs="宋体"/>
                <w:bCs/>
                <w:color w:val="000000"/>
                <w:kern w:val="2"/>
                <w:sz w:val="24"/>
                <w:szCs w:val="21"/>
                <w:bdr w:val="none" w:color="auto" w:sz="0" w:space="0"/>
                <w:lang w:val="en-US" w:eastAsia="zh-CN" w:bidi="ar"/>
              </w:rPr>
              <w:t>扩建项目厂界外</w:t>
            </w:r>
            <w:r>
              <w:rPr>
                <w:rFonts w:hint="default" w:ascii="Times New Roman" w:hAnsi="Times New Roman" w:eastAsia="宋体" w:cs="Times New Roman"/>
                <w:bCs/>
                <w:color w:val="000000"/>
                <w:kern w:val="2"/>
                <w:sz w:val="24"/>
                <w:szCs w:val="21"/>
                <w:bdr w:val="none" w:color="auto" w:sz="0" w:space="0"/>
                <w:lang w:val="en-US" w:eastAsia="zh-CN" w:bidi="ar"/>
              </w:rPr>
              <w:t>500m</w:t>
            </w:r>
            <w:r>
              <w:rPr>
                <w:rFonts w:hint="eastAsia" w:ascii="Times New Roman" w:hAnsi="Times New Roman" w:eastAsia="宋体" w:cs="宋体"/>
                <w:bCs/>
                <w:color w:val="000000"/>
                <w:kern w:val="2"/>
                <w:sz w:val="24"/>
                <w:szCs w:val="21"/>
                <w:bdr w:val="none" w:color="auto" w:sz="0" w:space="0"/>
                <w:lang w:val="en-US" w:eastAsia="zh-CN" w:bidi="ar"/>
              </w:rPr>
              <w:t>范围内存在居民区等环境空气保护目标，无其他自然保护区、风景名胜区、文化区等特别需要保护的环境敏感目标。</w:t>
            </w:r>
          </w:p>
          <w:p w14:paraId="1C3A2D6E">
            <w:pPr>
              <w:keepNext w:val="0"/>
              <w:keepLines w:val="0"/>
              <w:widowControl w:val="0"/>
              <w:suppressLineNumbers w:val="0"/>
              <w:spacing w:before="0" w:beforeAutospacing="0" w:after="0" w:afterAutospacing="0" w:line="420" w:lineRule="exact"/>
              <w:ind w:left="0" w:right="0" w:firstLine="480" w:firstLineChars="200"/>
              <w:jc w:val="both"/>
              <w:rPr>
                <w:rFonts w:hint="default" w:ascii="Times New Roman" w:hAnsi="Times New Roman" w:cs="Times New Roman"/>
                <w:bCs/>
                <w:color w:val="000000"/>
                <w:sz w:val="24"/>
                <w:szCs w:val="21"/>
                <w:bdr w:val="none" w:color="auto" w:sz="0" w:space="0"/>
                <w:lang w:val="en-US"/>
              </w:rPr>
            </w:pPr>
            <w:r>
              <w:rPr>
                <w:rFonts w:hint="eastAsia" w:ascii="Times New Roman" w:hAnsi="Times New Roman" w:eastAsia="宋体" w:cs="宋体"/>
                <w:bCs/>
                <w:color w:val="000000"/>
                <w:kern w:val="2"/>
                <w:sz w:val="24"/>
                <w:szCs w:val="21"/>
                <w:bdr w:val="none" w:color="auto" w:sz="0" w:space="0"/>
                <w:lang w:val="en-US" w:eastAsia="zh-CN" w:bidi="ar"/>
              </w:rPr>
              <w:t>扩建项目废气污染物主要为非甲烷总烃、</w:t>
            </w:r>
            <w:r>
              <w:rPr>
                <w:rFonts w:hint="default" w:ascii="Times New Roman" w:hAnsi="Times New Roman" w:eastAsia="宋体" w:cs="Times New Roman"/>
                <w:bCs/>
                <w:color w:val="000000"/>
                <w:kern w:val="2"/>
                <w:sz w:val="24"/>
                <w:szCs w:val="21"/>
                <w:bdr w:val="none" w:color="auto" w:sz="0" w:space="0"/>
                <w:lang w:val="en-US" w:eastAsia="zh-CN" w:bidi="ar"/>
              </w:rPr>
              <w:t>MDI</w:t>
            </w:r>
            <w:r>
              <w:rPr>
                <w:rFonts w:hint="eastAsia" w:ascii="Times New Roman" w:hAnsi="Times New Roman" w:eastAsia="宋体" w:cs="宋体"/>
                <w:bCs/>
                <w:color w:val="000000"/>
                <w:kern w:val="2"/>
                <w:sz w:val="24"/>
                <w:szCs w:val="21"/>
                <w:bdr w:val="none" w:color="auto" w:sz="0" w:space="0"/>
                <w:lang w:val="en-US" w:eastAsia="zh-CN" w:bidi="ar"/>
              </w:rPr>
              <w:t>、颗粒物，主要采取的废气处理措施为“布袋</w:t>
            </w:r>
            <w:r>
              <w:rPr>
                <w:rFonts w:hint="default" w:ascii="Times New Roman" w:hAnsi="Times New Roman" w:eastAsia="宋体" w:cs="Times New Roman"/>
                <w:bCs/>
                <w:color w:val="000000"/>
                <w:kern w:val="2"/>
                <w:sz w:val="24"/>
                <w:szCs w:val="21"/>
                <w:bdr w:val="none" w:color="auto" w:sz="0" w:space="0"/>
                <w:lang w:val="en-US" w:eastAsia="zh-CN" w:bidi="ar"/>
              </w:rPr>
              <w:t>+UV</w:t>
            </w:r>
            <w:r>
              <w:rPr>
                <w:rFonts w:hint="eastAsia" w:ascii="Times New Roman" w:hAnsi="Times New Roman" w:eastAsia="宋体" w:cs="宋体"/>
                <w:bCs/>
                <w:color w:val="000000"/>
                <w:kern w:val="2"/>
                <w:sz w:val="24"/>
                <w:szCs w:val="21"/>
                <w:bdr w:val="none" w:color="auto" w:sz="0" w:space="0"/>
                <w:lang w:val="en-US" w:eastAsia="zh-CN" w:bidi="ar"/>
              </w:rPr>
              <w:t>光解</w:t>
            </w:r>
            <w:r>
              <w:rPr>
                <w:rFonts w:hint="default" w:ascii="Times New Roman" w:hAnsi="Times New Roman" w:eastAsia="宋体" w:cs="Times New Roman"/>
                <w:bCs/>
                <w:color w:val="000000"/>
                <w:kern w:val="2"/>
                <w:sz w:val="24"/>
                <w:szCs w:val="21"/>
                <w:bdr w:val="none" w:color="auto" w:sz="0" w:space="0"/>
                <w:lang w:val="en-US" w:eastAsia="zh-CN" w:bidi="ar"/>
              </w:rPr>
              <w:t>+</w:t>
            </w:r>
            <w:r>
              <w:rPr>
                <w:rFonts w:hint="eastAsia" w:ascii="Times New Roman" w:hAnsi="Times New Roman" w:eastAsia="宋体" w:cs="宋体"/>
                <w:bCs/>
                <w:color w:val="000000"/>
                <w:kern w:val="2"/>
                <w:sz w:val="24"/>
                <w:szCs w:val="21"/>
                <w:bdr w:val="none" w:color="auto" w:sz="0" w:space="0"/>
                <w:lang w:val="en-US" w:eastAsia="zh-CN" w:bidi="ar"/>
              </w:rPr>
              <w:t>活性炭吸附”工艺。根据工程分析预测结果可知，扩建项目废气污染物排放浓度能够满足相应的排放标准要求。</w:t>
            </w:r>
          </w:p>
          <w:p w14:paraId="41929C33">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bCs/>
                <w:color w:val="000000"/>
                <w:sz w:val="24"/>
                <w:szCs w:val="21"/>
                <w:bdr w:val="none" w:color="auto" w:sz="0" w:space="0"/>
                <w:lang w:val="en-US"/>
              </w:rPr>
            </w:pPr>
            <w:r>
              <w:rPr>
                <w:rFonts w:hint="eastAsia" w:ascii="Times New Roman" w:hAnsi="Times New Roman" w:eastAsia="宋体" w:cs="宋体"/>
                <w:bCs/>
                <w:color w:val="000000"/>
                <w:kern w:val="2"/>
                <w:sz w:val="24"/>
                <w:szCs w:val="21"/>
                <w:bdr w:val="none" w:color="auto" w:sz="0" w:space="0"/>
                <w:lang w:val="en-US" w:eastAsia="zh-CN" w:bidi="ar"/>
              </w:rPr>
              <w:t>因此，项目在严格实施环评提出的环保措施后，废气可实现达标排放，不会对区域环境空气质量产生明显影响。</w:t>
            </w:r>
          </w:p>
          <w:p w14:paraId="0EC91E49">
            <w:pPr>
              <w:keepNext w:val="0"/>
              <w:keepLines w:val="0"/>
              <w:widowControl w:val="0"/>
              <w:suppressLineNumbers w:val="0"/>
              <w:adjustRightInd w:val="0"/>
              <w:snapToGrid w:val="0"/>
              <w:spacing w:before="0" w:beforeAutospacing="0" w:after="0" w:afterAutospacing="0" w:line="440" w:lineRule="exact"/>
              <w:ind w:left="0" w:right="0"/>
              <w:jc w:val="left"/>
              <w:outlineLvl w:val="1"/>
              <w:rPr>
                <w:rFonts w:hint="default" w:ascii="Times New Roman" w:hAnsi="宋体" w:cs="Times New Roman"/>
                <w:b/>
                <w:bCs/>
                <w:color w:val="000000"/>
                <w:spacing w:val="-10"/>
                <w:sz w:val="24"/>
                <w:szCs w:val="24"/>
                <w:bdr w:val="none" w:color="auto" w:sz="0" w:space="0"/>
                <w:lang w:val="en-US"/>
              </w:rPr>
            </w:pPr>
            <w:r>
              <w:rPr>
                <w:rFonts w:hint="default" w:ascii="Times New Roman" w:hAnsi="宋体" w:eastAsia="宋体" w:cs="Times New Roman"/>
                <w:b/>
                <w:bCs/>
                <w:color w:val="000000"/>
                <w:spacing w:val="-10"/>
                <w:kern w:val="2"/>
                <w:sz w:val="24"/>
                <w:szCs w:val="24"/>
                <w:bdr w:val="none" w:color="auto" w:sz="0" w:space="0"/>
                <w:lang w:val="en-US" w:eastAsia="zh-CN" w:bidi="ar"/>
              </w:rPr>
              <w:t xml:space="preserve">4.3 </w:t>
            </w:r>
            <w:r>
              <w:rPr>
                <w:rFonts w:hint="eastAsia" w:ascii="Times New Roman" w:hAnsi="宋体" w:eastAsia="宋体" w:cs="宋体"/>
                <w:b/>
                <w:bCs/>
                <w:color w:val="000000"/>
                <w:spacing w:val="-10"/>
                <w:kern w:val="2"/>
                <w:sz w:val="24"/>
                <w:szCs w:val="24"/>
                <w:bdr w:val="none" w:color="auto" w:sz="0" w:space="0"/>
                <w:lang w:val="en-US" w:eastAsia="zh-CN" w:bidi="ar"/>
              </w:rPr>
              <w:t>废水</w:t>
            </w:r>
          </w:p>
          <w:p w14:paraId="21C70903">
            <w:pPr>
              <w:keepNext w:val="0"/>
              <w:keepLines w:val="0"/>
              <w:widowControl w:val="0"/>
              <w:suppressLineNumbers w:val="0"/>
              <w:adjustRightInd w:val="0"/>
              <w:snapToGrid w:val="0"/>
              <w:spacing w:before="0" w:beforeAutospacing="0" w:after="0" w:afterAutospacing="0" w:line="440" w:lineRule="exact"/>
              <w:ind w:left="0" w:right="0"/>
              <w:jc w:val="left"/>
              <w:outlineLvl w:val="2"/>
              <w:rPr>
                <w:rFonts w:hint="default" w:ascii="Times New Roman" w:hAnsi="Times New Roman" w:cs="Times New Roman"/>
                <w:b/>
                <w:bCs/>
                <w:color w:val="000000"/>
                <w:spacing w:val="-10"/>
                <w:sz w:val="24"/>
                <w:szCs w:val="24"/>
                <w:bdr w:val="none" w:color="auto" w:sz="0" w:space="0"/>
                <w:lang w:val="en-US"/>
              </w:rPr>
            </w:pPr>
            <w:r>
              <w:rPr>
                <w:rFonts w:hint="default" w:ascii="Times New Roman" w:hAnsi="宋体" w:eastAsia="宋体" w:cs="Times New Roman"/>
                <w:b/>
                <w:bCs/>
                <w:color w:val="000000"/>
                <w:spacing w:val="-10"/>
                <w:kern w:val="2"/>
                <w:sz w:val="24"/>
                <w:szCs w:val="24"/>
                <w:bdr w:val="none" w:color="auto" w:sz="0" w:space="0"/>
                <w:lang w:val="en-US" w:eastAsia="zh-CN" w:bidi="ar"/>
              </w:rPr>
              <w:t xml:space="preserve">4.3.1 </w:t>
            </w:r>
            <w:r>
              <w:rPr>
                <w:rFonts w:hint="eastAsia" w:ascii="Times New Roman" w:hAnsi="宋体" w:eastAsia="宋体" w:cs="宋体"/>
                <w:b/>
                <w:bCs/>
                <w:color w:val="000000"/>
                <w:spacing w:val="-10"/>
                <w:kern w:val="2"/>
                <w:sz w:val="24"/>
                <w:szCs w:val="24"/>
                <w:bdr w:val="none" w:color="auto" w:sz="0" w:space="0"/>
                <w:lang w:val="en-US" w:eastAsia="zh-CN" w:bidi="ar"/>
              </w:rPr>
              <w:t>废水产生情况</w:t>
            </w:r>
          </w:p>
          <w:p w14:paraId="4068E916">
            <w:pPr>
              <w:keepNext w:val="0"/>
              <w:keepLines w:val="0"/>
              <w:widowControl w:val="0"/>
              <w:suppressLineNumbers w:val="0"/>
              <w:adjustRightInd w:val="0"/>
              <w:snapToGrid w:val="0"/>
              <w:spacing w:before="0" w:beforeAutospacing="0" w:after="0" w:afterAutospacing="0" w:line="440" w:lineRule="exact"/>
              <w:ind w:left="0" w:right="0" w:firstLine="482"/>
              <w:jc w:val="left"/>
              <w:rPr>
                <w:rFonts w:hint="default" w:ascii="Times New Roman" w:hAnsi="Calibri" w:cs="Times New Roman"/>
                <w:snapToGrid w:val="0"/>
                <w:color w:val="000000"/>
                <w:kern w:val="0"/>
                <w:sz w:val="24"/>
                <w:szCs w:val="22"/>
                <w:bdr w:val="none" w:color="auto" w:sz="0" w:space="0"/>
                <w:lang w:val="en-US"/>
              </w:rPr>
            </w:pPr>
            <w:r>
              <w:rPr>
                <w:rFonts w:hint="eastAsia" w:ascii="Times New Roman" w:hAnsi="Calibri" w:eastAsia="宋体" w:cs="宋体"/>
                <w:snapToGrid w:val="0"/>
                <w:color w:val="000000"/>
                <w:kern w:val="0"/>
                <w:sz w:val="24"/>
                <w:szCs w:val="22"/>
                <w:bdr w:val="none" w:color="auto" w:sz="0" w:space="0"/>
                <w:lang w:val="en-US" w:eastAsia="zh-CN" w:bidi="ar"/>
              </w:rPr>
              <w:t>扩建项目运营期无生产废水，仅产生员工生活污水。</w:t>
            </w:r>
            <w:r>
              <w:rPr>
                <w:rFonts w:hint="eastAsia" w:ascii="Times New Roman" w:hAnsi="Times New Roman" w:eastAsia="宋体" w:cs="宋体"/>
                <w:color w:val="000000"/>
                <w:kern w:val="0"/>
                <w:sz w:val="24"/>
                <w:szCs w:val="24"/>
                <w:bdr w:val="none" w:color="auto" w:sz="0" w:space="0"/>
                <w:lang w:val="en-US" w:eastAsia="zh-CN" w:bidi="ar"/>
              </w:rPr>
              <w:t>扩建项目新增劳动定员</w:t>
            </w:r>
            <w:r>
              <w:rPr>
                <w:rFonts w:hint="default" w:ascii="Times New Roman" w:hAnsi="Times New Roman" w:eastAsia="宋体" w:cs="Times New Roman"/>
                <w:color w:val="000000"/>
                <w:kern w:val="0"/>
                <w:sz w:val="24"/>
                <w:szCs w:val="24"/>
                <w:bdr w:val="none" w:color="auto" w:sz="0" w:space="0"/>
                <w:lang w:val="en-US" w:eastAsia="zh-CN" w:bidi="ar"/>
              </w:rPr>
              <w:t>15</w:t>
            </w:r>
            <w:r>
              <w:rPr>
                <w:rFonts w:hint="eastAsia" w:ascii="Times New Roman" w:hAnsi="Times New Roman" w:eastAsia="宋体" w:cs="宋体"/>
                <w:color w:val="000000"/>
                <w:kern w:val="0"/>
                <w:sz w:val="24"/>
                <w:szCs w:val="24"/>
                <w:bdr w:val="none" w:color="auto" w:sz="0" w:space="0"/>
                <w:lang w:val="en-US" w:eastAsia="zh-CN" w:bidi="ar"/>
              </w:rPr>
              <w:t>人，扩建后全厂工作人员</w:t>
            </w:r>
            <w:r>
              <w:rPr>
                <w:rFonts w:hint="default" w:ascii="Times New Roman" w:hAnsi="Times New Roman" w:eastAsia="宋体" w:cs="Times New Roman"/>
                <w:color w:val="000000"/>
                <w:kern w:val="0"/>
                <w:sz w:val="24"/>
                <w:szCs w:val="24"/>
                <w:bdr w:val="none" w:color="auto" w:sz="0" w:space="0"/>
                <w:lang w:val="en-US" w:eastAsia="zh-CN" w:bidi="ar"/>
              </w:rPr>
              <w:t>65</w:t>
            </w:r>
            <w:r>
              <w:rPr>
                <w:rFonts w:hint="eastAsia" w:ascii="Times New Roman" w:hAnsi="Times New Roman" w:eastAsia="宋体" w:cs="宋体"/>
                <w:color w:val="000000"/>
                <w:kern w:val="0"/>
                <w:sz w:val="24"/>
                <w:szCs w:val="24"/>
                <w:bdr w:val="none" w:color="auto" w:sz="0" w:space="0"/>
                <w:lang w:val="en-US" w:eastAsia="zh-CN" w:bidi="ar"/>
              </w:rPr>
              <w:t>人，年工作</w:t>
            </w:r>
            <w:r>
              <w:rPr>
                <w:rFonts w:hint="default" w:ascii="Times New Roman" w:hAnsi="Times New Roman" w:eastAsia="宋体" w:cs="Times New Roman"/>
                <w:color w:val="000000"/>
                <w:kern w:val="0"/>
                <w:sz w:val="24"/>
                <w:szCs w:val="24"/>
                <w:bdr w:val="none" w:color="auto" w:sz="0" w:space="0"/>
                <w:lang w:val="en-US" w:eastAsia="zh-CN" w:bidi="ar"/>
              </w:rPr>
              <w:t>300</w:t>
            </w:r>
            <w:r>
              <w:rPr>
                <w:rFonts w:hint="eastAsia" w:ascii="Times New Roman" w:hAnsi="Times New Roman" w:eastAsia="宋体" w:cs="宋体"/>
                <w:color w:val="000000"/>
                <w:kern w:val="0"/>
                <w:sz w:val="24"/>
                <w:szCs w:val="24"/>
                <w:bdr w:val="none" w:color="auto" w:sz="0" w:space="0"/>
                <w:lang w:val="en-US" w:eastAsia="zh-CN" w:bidi="ar"/>
              </w:rPr>
              <w:t>天，不设食宿。根据《重庆市城市生活用水定额（</w:t>
            </w:r>
            <w:r>
              <w:rPr>
                <w:rFonts w:hint="default" w:ascii="Times New Roman" w:hAnsi="Times New Roman" w:eastAsia="宋体" w:cs="Times New Roman"/>
                <w:color w:val="000000"/>
                <w:kern w:val="0"/>
                <w:sz w:val="24"/>
                <w:szCs w:val="24"/>
                <w:bdr w:val="none" w:color="auto" w:sz="0" w:space="0"/>
                <w:lang w:val="en-US" w:eastAsia="zh-CN" w:bidi="ar"/>
              </w:rPr>
              <w:t>2017</w:t>
            </w:r>
            <w:r>
              <w:rPr>
                <w:rFonts w:hint="eastAsia" w:ascii="Times New Roman" w:hAnsi="Times New Roman" w:eastAsia="宋体" w:cs="宋体"/>
                <w:color w:val="000000"/>
                <w:kern w:val="0"/>
                <w:sz w:val="24"/>
                <w:szCs w:val="24"/>
                <w:bdr w:val="none" w:color="auto" w:sz="0" w:space="0"/>
                <w:lang w:val="en-US" w:eastAsia="zh-CN" w:bidi="ar"/>
              </w:rPr>
              <w:t>年修订版）》（渝水</w:t>
            </w:r>
            <w:r>
              <w:rPr>
                <w:rFonts w:hint="default" w:ascii="Times New Roman" w:hAnsi="Times New Roman" w:eastAsia="宋体" w:cs="Times New Roman"/>
                <w:color w:val="000000"/>
                <w:kern w:val="0"/>
                <w:sz w:val="24"/>
                <w:szCs w:val="24"/>
                <w:bdr w:val="none" w:color="auto" w:sz="0" w:space="0"/>
                <w:lang w:val="en-US" w:eastAsia="zh-CN" w:bidi="ar"/>
              </w:rPr>
              <w:t>[2018]66</w:t>
            </w:r>
            <w:r>
              <w:rPr>
                <w:rFonts w:hint="eastAsia" w:ascii="Times New Roman" w:hAnsi="Times New Roman" w:eastAsia="宋体" w:cs="宋体"/>
                <w:color w:val="000000"/>
                <w:kern w:val="0"/>
                <w:sz w:val="24"/>
                <w:szCs w:val="24"/>
                <w:bdr w:val="none" w:color="auto" w:sz="0" w:space="0"/>
                <w:lang w:val="en-US" w:eastAsia="zh-CN" w:bidi="ar"/>
              </w:rPr>
              <w:t>号）以及《建筑给排水设计规范》（</w:t>
            </w:r>
            <w:r>
              <w:rPr>
                <w:rFonts w:hint="default" w:ascii="Times New Roman" w:hAnsi="Times New Roman" w:eastAsia="宋体" w:cs="Times New Roman"/>
                <w:color w:val="000000"/>
                <w:kern w:val="0"/>
                <w:sz w:val="24"/>
                <w:szCs w:val="24"/>
                <w:bdr w:val="none" w:color="auto" w:sz="0" w:space="0"/>
                <w:lang w:val="en-US" w:eastAsia="zh-CN" w:bidi="ar"/>
              </w:rPr>
              <w:t>GB50015-2010</w:t>
            </w:r>
            <w:r>
              <w:rPr>
                <w:rFonts w:hint="eastAsia" w:ascii="Times New Roman" w:hAnsi="Times New Roman" w:eastAsia="宋体" w:cs="宋体"/>
                <w:color w:val="000000"/>
                <w:kern w:val="0"/>
                <w:sz w:val="24"/>
                <w:szCs w:val="24"/>
                <w:bdr w:val="none" w:color="auto" w:sz="0" w:space="0"/>
                <w:lang w:val="en-US" w:eastAsia="zh-CN" w:bidi="ar"/>
              </w:rPr>
              <w:t>），非住宿员工用水量按</w:t>
            </w:r>
            <w:r>
              <w:rPr>
                <w:rFonts w:hint="default" w:ascii="Times New Roman" w:hAnsi="Times New Roman" w:eastAsia="宋体" w:cs="Times New Roman"/>
                <w:color w:val="000000"/>
                <w:kern w:val="0"/>
                <w:sz w:val="24"/>
                <w:szCs w:val="24"/>
                <w:bdr w:val="none" w:color="auto" w:sz="0" w:space="0"/>
                <w:lang w:val="en-US" w:eastAsia="zh-CN" w:bidi="ar"/>
              </w:rPr>
              <w:t>50L/</w:t>
            </w:r>
            <w:r>
              <w:rPr>
                <w:rFonts w:hint="eastAsia" w:ascii="Times New Roman" w:hAnsi="Times New Roman" w:eastAsia="宋体" w:cs="宋体"/>
                <w:color w:val="000000"/>
                <w:kern w:val="0"/>
                <w:sz w:val="24"/>
                <w:szCs w:val="24"/>
                <w:bdr w:val="none" w:color="auto" w:sz="0" w:space="0"/>
                <w:lang w:val="en-US" w:eastAsia="zh-CN" w:bidi="ar"/>
              </w:rPr>
              <w:t>人•</w:t>
            </w:r>
            <w:r>
              <w:rPr>
                <w:rFonts w:hint="default" w:ascii="Times New Roman" w:hAnsi="Times New Roman" w:eastAsia="宋体" w:cs="Times New Roman"/>
                <w:color w:val="000000"/>
                <w:kern w:val="0"/>
                <w:sz w:val="24"/>
                <w:szCs w:val="24"/>
                <w:bdr w:val="none" w:color="auto" w:sz="0" w:space="0"/>
                <w:lang w:val="en-US" w:eastAsia="zh-CN" w:bidi="ar"/>
              </w:rPr>
              <w:t>d</w:t>
            </w:r>
            <w:r>
              <w:rPr>
                <w:rFonts w:hint="eastAsia" w:ascii="Times New Roman" w:hAnsi="Times New Roman" w:eastAsia="宋体" w:cs="宋体"/>
                <w:color w:val="000000"/>
                <w:kern w:val="0"/>
                <w:sz w:val="24"/>
                <w:szCs w:val="24"/>
                <w:bdr w:val="none" w:color="auto" w:sz="0" w:space="0"/>
                <w:lang w:val="en-US" w:eastAsia="zh-CN" w:bidi="ar"/>
              </w:rPr>
              <w:t>计，生活用水量为</w:t>
            </w:r>
            <w:r>
              <w:rPr>
                <w:rFonts w:hint="default" w:ascii="Times New Roman" w:hAnsi="Times New Roman" w:eastAsia="宋体" w:cs="Times New Roman"/>
                <w:color w:val="000000"/>
                <w:kern w:val="0"/>
                <w:sz w:val="24"/>
                <w:szCs w:val="24"/>
                <w:bdr w:val="none" w:color="auto" w:sz="0" w:space="0"/>
                <w:lang w:val="en-US" w:eastAsia="zh-CN" w:bidi="ar"/>
              </w:rPr>
              <w:t>3.25m</w:t>
            </w:r>
            <w:r>
              <w:rPr>
                <w:rFonts w:hint="default" w:ascii="Times New Roman" w:hAnsi="Times New Roman" w:eastAsia="宋体" w:cs="Times New Roman"/>
                <w:color w:val="000000"/>
                <w:kern w:val="0"/>
                <w:sz w:val="24"/>
                <w:szCs w:val="24"/>
                <w:bdr w:val="none" w:color="auto" w:sz="0" w:space="0"/>
                <w:vertAlign w:val="superscript"/>
                <w:lang w:val="en-US" w:eastAsia="zh-CN" w:bidi="ar"/>
              </w:rPr>
              <w:t>3</w:t>
            </w:r>
            <w:r>
              <w:rPr>
                <w:rFonts w:hint="default" w:ascii="Times New Roman" w:hAnsi="Times New Roman" w:eastAsia="宋体" w:cs="Times New Roman"/>
                <w:color w:val="000000"/>
                <w:kern w:val="0"/>
                <w:sz w:val="24"/>
                <w:szCs w:val="24"/>
                <w:bdr w:val="none" w:color="auto" w:sz="0" w:space="0"/>
                <w:lang w:val="en-US" w:eastAsia="zh-CN" w:bidi="ar"/>
              </w:rPr>
              <w:t>/d(975m</w:t>
            </w:r>
            <w:r>
              <w:rPr>
                <w:rFonts w:hint="default" w:ascii="Times New Roman" w:hAnsi="Times New Roman" w:eastAsia="宋体" w:cs="Times New Roman"/>
                <w:color w:val="000000"/>
                <w:kern w:val="0"/>
                <w:sz w:val="24"/>
                <w:szCs w:val="24"/>
                <w:bdr w:val="none" w:color="auto" w:sz="0" w:space="0"/>
                <w:vertAlign w:val="superscript"/>
                <w:lang w:val="en-US" w:eastAsia="zh-CN" w:bidi="ar"/>
              </w:rPr>
              <w:t>3</w:t>
            </w:r>
            <w:r>
              <w:rPr>
                <w:rFonts w:hint="default" w:ascii="Times New Roman" w:hAnsi="Times New Roman" w:eastAsia="宋体" w:cs="Times New Roman"/>
                <w:color w:val="000000"/>
                <w:kern w:val="0"/>
                <w:sz w:val="24"/>
                <w:szCs w:val="24"/>
                <w:bdr w:val="none" w:color="auto" w:sz="0" w:space="0"/>
                <w:lang w:val="en-US" w:eastAsia="zh-CN" w:bidi="ar"/>
              </w:rPr>
              <w:t>/a)</w:t>
            </w:r>
            <w:r>
              <w:rPr>
                <w:rFonts w:hint="eastAsia" w:ascii="Times New Roman" w:hAnsi="Times New Roman" w:eastAsia="宋体" w:cs="宋体"/>
                <w:color w:val="000000"/>
                <w:kern w:val="0"/>
                <w:sz w:val="24"/>
                <w:szCs w:val="24"/>
                <w:bdr w:val="none" w:color="auto" w:sz="0" w:space="0"/>
                <w:lang w:val="en-US" w:eastAsia="zh-CN" w:bidi="ar"/>
              </w:rPr>
              <w:t>，产污系数取</w:t>
            </w:r>
            <w:r>
              <w:rPr>
                <w:rFonts w:hint="default" w:ascii="Times New Roman" w:hAnsi="Times New Roman" w:eastAsia="宋体" w:cs="Times New Roman"/>
                <w:color w:val="000000"/>
                <w:kern w:val="0"/>
                <w:sz w:val="24"/>
                <w:szCs w:val="24"/>
                <w:bdr w:val="none" w:color="auto" w:sz="0" w:space="0"/>
                <w:lang w:val="en-US" w:eastAsia="zh-CN" w:bidi="ar"/>
              </w:rPr>
              <w:t>0.9</w:t>
            </w:r>
            <w:r>
              <w:rPr>
                <w:rFonts w:hint="eastAsia" w:ascii="Times New Roman" w:hAnsi="Times New Roman" w:eastAsia="宋体" w:cs="宋体"/>
                <w:color w:val="000000"/>
                <w:kern w:val="0"/>
                <w:sz w:val="24"/>
                <w:szCs w:val="24"/>
                <w:bdr w:val="none" w:color="auto" w:sz="0" w:space="0"/>
                <w:lang w:val="en-US" w:eastAsia="zh-CN" w:bidi="ar"/>
              </w:rPr>
              <w:t>，则生活污水产生量为</w:t>
            </w:r>
            <w:r>
              <w:rPr>
                <w:rFonts w:hint="default" w:ascii="Times New Roman" w:hAnsi="Times New Roman" w:eastAsia="宋体" w:cs="Times New Roman"/>
                <w:color w:val="000000"/>
                <w:kern w:val="0"/>
                <w:sz w:val="24"/>
                <w:szCs w:val="24"/>
                <w:bdr w:val="none" w:color="auto" w:sz="0" w:space="0"/>
                <w:lang w:val="en-US" w:eastAsia="zh-CN" w:bidi="ar"/>
              </w:rPr>
              <w:t>2.925m</w:t>
            </w:r>
            <w:r>
              <w:rPr>
                <w:rFonts w:hint="default" w:ascii="Times New Roman" w:hAnsi="Times New Roman" w:eastAsia="宋体" w:cs="Times New Roman"/>
                <w:color w:val="000000"/>
                <w:kern w:val="0"/>
                <w:sz w:val="24"/>
                <w:szCs w:val="24"/>
                <w:bdr w:val="none" w:color="auto" w:sz="0" w:space="0"/>
                <w:vertAlign w:val="superscript"/>
                <w:lang w:val="en-US" w:eastAsia="zh-CN" w:bidi="ar"/>
              </w:rPr>
              <w:t>3</w:t>
            </w:r>
            <w:r>
              <w:rPr>
                <w:rFonts w:hint="default" w:ascii="Times New Roman" w:hAnsi="Times New Roman" w:eastAsia="宋体" w:cs="Times New Roman"/>
                <w:color w:val="000000"/>
                <w:kern w:val="0"/>
                <w:sz w:val="24"/>
                <w:szCs w:val="24"/>
                <w:bdr w:val="none" w:color="auto" w:sz="0" w:space="0"/>
                <w:lang w:val="en-US" w:eastAsia="zh-CN" w:bidi="ar"/>
              </w:rPr>
              <w:t>/d(877.5m</w:t>
            </w:r>
            <w:r>
              <w:rPr>
                <w:rFonts w:hint="default" w:ascii="Times New Roman" w:hAnsi="Times New Roman" w:eastAsia="宋体" w:cs="Times New Roman"/>
                <w:color w:val="000000"/>
                <w:kern w:val="0"/>
                <w:sz w:val="24"/>
                <w:szCs w:val="24"/>
                <w:bdr w:val="none" w:color="auto" w:sz="0" w:space="0"/>
                <w:vertAlign w:val="superscript"/>
                <w:lang w:val="en-US" w:eastAsia="zh-CN" w:bidi="ar"/>
              </w:rPr>
              <w:t>3</w:t>
            </w:r>
            <w:r>
              <w:rPr>
                <w:rFonts w:hint="default" w:ascii="Times New Roman" w:hAnsi="Times New Roman" w:eastAsia="宋体" w:cs="Times New Roman"/>
                <w:color w:val="000000"/>
                <w:kern w:val="0"/>
                <w:sz w:val="24"/>
                <w:szCs w:val="24"/>
                <w:bdr w:val="none" w:color="auto" w:sz="0" w:space="0"/>
                <w:lang w:val="en-US" w:eastAsia="zh-CN" w:bidi="ar"/>
              </w:rPr>
              <w:t>/a)</w:t>
            </w:r>
            <w:r>
              <w:rPr>
                <w:rFonts w:hint="eastAsia" w:ascii="Times New Roman" w:hAnsi="Times New Roman" w:eastAsia="宋体" w:cs="宋体"/>
                <w:color w:val="000000"/>
                <w:kern w:val="0"/>
                <w:sz w:val="24"/>
                <w:szCs w:val="24"/>
                <w:bdr w:val="none" w:color="auto" w:sz="0" w:space="0"/>
                <w:lang w:val="en-US" w:eastAsia="zh-CN" w:bidi="ar"/>
              </w:rPr>
              <w:t>。</w:t>
            </w:r>
          </w:p>
          <w:p w14:paraId="1BBE513D">
            <w:pPr>
              <w:keepNext w:val="0"/>
              <w:keepLines w:val="0"/>
              <w:widowControl w:val="0"/>
              <w:suppressLineNumbers w:val="0"/>
              <w:adjustRightInd w:val="0"/>
              <w:snapToGrid w:val="0"/>
              <w:spacing w:before="0" w:beforeAutospacing="0" w:after="0" w:afterAutospacing="0" w:line="440" w:lineRule="exact"/>
              <w:ind w:left="0" w:right="0" w:firstLine="482"/>
              <w:jc w:val="left"/>
              <w:rPr>
                <w:rFonts w:hint="default" w:ascii="Times New Roman" w:hAnsi="Times New Roman" w:cs="Times New Roman"/>
                <w:color w:val="000000"/>
                <w:kern w:val="0"/>
                <w:sz w:val="24"/>
                <w:szCs w:val="24"/>
                <w:bdr w:val="none" w:color="auto" w:sz="0" w:space="0"/>
                <w:lang w:val="en-US"/>
              </w:rPr>
            </w:pPr>
            <w:r>
              <w:rPr>
                <w:rFonts w:hint="eastAsia" w:ascii="Times New Roman" w:hAnsi="Times New Roman" w:eastAsia="宋体" w:cs="宋体"/>
                <w:color w:val="000000"/>
                <w:kern w:val="0"/>
                <w:sz w:val="24"/>
                <w:szCs w:val="24"/>
                <w:bdr w:val="none" w:color="auto" w:sz="0" w:space="0"/>
                <w:lang w:val="en-US" w:eastAsia="zh-CN" w:bidi="ar"/>
              </w:rPr>
              <w:t>参考城市生活污水厂平均进水水质情况，扩建项目生活污水</w:t>
            </w:r>
            <w:r>
              <w:rPr>
                <w:rFonts w:hint="default" w:ascii="Times New Roman" w:hAnsi="Times New Roman" w:eastAsia="宋体" w:cs="Times New Roman"/>
                <w:color w:val="000000"/>
                <w:kern w:val="0"/>
                <w:sz w:val="24"/>
                <w:szCs w:val="24"/>
                <w:bdr w:val="none" w:color="auto" w:sz="0" w:space="0"/>
                <w:lang w:val="en-US" w:eastAsia="zh-CN" w:bidi="ar"/>
              </w:rPr>
              <w:t>COD</w:t>
            </w:r>
            <w:r>
              <w:rPr>
                <w:rFonts w:hint="eastAsia" w:ascii="Times New Roman" w:hAnsi="Times New Roman" w:eastAsia="宋体" w:cs="宋体"/>
                <w:color w:val="000000"/>
                <w:kern w:val="0"/>
                <w:sz w:val="24"/>
                <w:szCs w:val="24"/>
                <w:bdr w:val="none" w:color="auto" w:sz="0" w:space="0"/>
                <w:lang w:val="en-US" w:eastAsia="zh-CN" w:bidi="ar"/>
              </w:rPr>
              <w:t>浓度约</w:t>
            </w:r>
            <w:r>
              <w:rPr>
                <w:rFonts w:hint="default" w:ascii="Times New Roman" w:hAnsi="Times New Roman" w:eastAsia="宋体" w:cs="Times New Roman"/>
                <w:color w:val="000000"/>
                <w:kern w:val="0"/>
                <w:sz w:val="24"/>
                <w:szCs w:val="24"/>
                <w:bdr w:val="none" w:color="auto" w:sz="0" w:space="0"/>
                <w:lang w:val="en-US" w:eastAsia="zh-CN" w:bidi="ar"/>
              </w:rPr>
              <w:t>500mg/L</w:t>
            </w:r>
            <w:r>
              <w:rPr>
                <w:rFonts w:hint="eastAsia" w:ascii="Times New Roman" w:hAnsi="Times New Roman" w:eastAsia="宋体" w:cs="宋体"/>
                <w:color w:val="000000"/>
                <w:kern w:val="0"/>
                <w:sz w:val="24"/>
                <w:szCs w:val="24"/>
                <w:bdr w:val="none" w:color="auto" w:sz="0" w:space="0"/>
                <w:lang w:val="en-US" w:eastAsia="zh-CN" w:bidi="ar"/>
              </w:rPr>
              <w:t>、</w:t>
            </w:r>
            <w:r>
              <w:rPr>
                <w:rFonts w:hint="default" w:ascii="Times New Roman" w:hAnsi="Times New Roman" w:eastAsia="宋体" w:cs="Times New Roman"/>
                <w:color w:val="000000"/>
                <w:kern w:val="0"/>
                <w:sz w:val="24"/>
                <w:szCs w:val="24"/>
                <w:bdr w:val="none" w:color="auto" w:sz="0" w:space="0"/>
                <w:lang w:val="en-US" w:eastAsia="zh-CN" w:bidi="ar"/>
              </w:rPr>
              <w:t>BOD</w:t>
            </w:r>
            <w:r>
              <w:rPr>
                <w:rFonts w:hint="default" w:ascii="Times New Roman" w:hAnsi="Times New Roman" w:eastAsia="宋体" w:cs="Times New Roman"/>
                <w:color w:val="000000"/>
                <w:kern w:val="0"/>
                <w:sz w:val="24"/>
                <w:szCs w:val="24"/>
                <w:bdr w:val="none" w:color="auto" w:sz="0" w:space="0"/>
                <w:vertAlign w:val="subscript"/>
                <w:lang w:val="en-US" w:eastAsia="zh-CN" w:bidi="ar"/>
              </w:rPr>
              <w:t>5</w:t>
            </w:r>
            <w:r>
              <w:rPr>
                <w:rFonts w:hint="eastAsia" w:ascii="Times New Roman" w:hAnsi="Times New Roman" w:eastAsia="宋体" w:cs="宋体"/>
                <w:color w:val="000000"/>
                <w:kern w:val="0"/>
                <w:sz w:val="24"/>
                <w:szCs w:val="24"/>
                <w:bdr w:val="none" w:color="auto" w:sz="0" w:space="0"/>
                <w:lang w:val="en-US" w:eastAsia="zh-CN" w:bidi="ar"/>
              </w:rPr>
              <w:t>浓度约</w:t>
            </w:r>
            <w:r>
              <w:rPr>
                <w:rFonts w:hint="default" w:ascii="Times New Roman" w:hAnsi="Times New Roman" w:eastAsia="宋体" w:cs="Times New Roman"/>
                <w:color w:val="000000"/>
                <w:kern w:val="0"/>
                <w:sz w:val="24"/>
                <w:szCs w:val="24"/>
                <w:bdr w:val="none" w:color="auto" w:sz="0" w:space="0"/>
                <w:lang w:val="en-US" w:eastAsia="zh-CN" w:bidi="ar"/>
              </w:rPr>
              <w:t>350mg/L</w:t>
            </w:r>
            <w:r>
              <w:rPr>
                <w:rFonts w:hint="eastAsia" w:ascii="Times New Roman" w:hAnsi="Times New Roman" w:eastAsia="宋体" w:cs="宋体"/>
                <w:color w:val="000000"/>
                <w:kern w:val="0"/>
                <w:sz w:val="24"/>
                <w:szCs w:val="24"/>
                <w:bdr w:val="none" w:color="auto" w:sz="0" w:space="0"/>
                <w:lang w:val="en-US" w:eastAsia="zh-CN" w:bidi="ar"/>
              </w:rPr>
              <w:t>、</w:t>
            </w:r>
            <w:r>
              <w:rPr>
                <w:rFonts w:hint="default" w:ascii="Times New Roman" w:hAnsi="Times New Roman" w:eastAsia="宋体" w:cs="Times New Roman"/>
                <w:color w:val="000000"/>
                <w:kern w:val="0"/>
                <w:sz w:val="24"/>
                <w:szCs w:val="24"/>
                <w:bdr w:val="none" w:color="auto" w:sz="0" w:space="0"/>
                <w:lang w:val="en-US" w:eastAsia="zh-CN" w:bidi="ar"/>
              </w:rPr>
              <w:t>SS</w:t>
            </w:r>
            <w:r>
              <w:rPr>
                <w:rFonts w:hint="eastAsia" w:ascii="Times New Roman" w:hAnsi="Times New Roman" w:eastAsia="宋体" w:cs="宋体"/>
                <w:color w:val="000000"/>
                <w:kern w:val="0"/>
                <w:sz w:val="24"/>
                <w:szCs w:val="24"/>
                <w:bdr w:val="none" w:color="auto" w:sz="0" w:space="0"/>
                <w:lang w:val="en-US" w:eastAsia="zh-CN" w:bidi="ar"/>
              </w:rPr>
              <w:t>浓度约</w:t>
            </w:r>
            <w:r>
              <w:rPr>
                <w:rFonts w:hint="default" w:ascii="Times New Roman" w:hAnsi="Times New Roman" w:eastAsia="宋体" w:cs="Times New Roman"/>
                <w:color w:val="000000"/>
                <w:kern w:val="0"/>
                <w:sz w:val="24"/>
                <w:szCs w:val="24"/>
                <w:bdr w:val="none" w:color="auto" w:sz="0" w:space="0"/>
                <w:lang w:val="en-US" w:eastAsia="zh-CN" w:bidi="ar"/>
              </w:rPr>
              <w:t>45mg/L</w:t>
            </w:r>
            <w:r>
              <w:rPr>
                <w:rFonts w:hint="eastAsia" w:ascii="Times New Roman" w:hAnsi="Times New Roman" w:eastAsia="宋体" w:cs="宋体"/>
                <w:color w:val="000000"/>
                <w:kern w:val="0"/>
                <w:sz w:val="24"/>
                <w:szCs w:val="24"/>
                <w:bdr w:val="none" w:color="auto" w:sz="0" w:space="0"/>
                <w:lang w:val="en-US" w:eastAsia="zh-CN" w:bidi="ar"/>
              </w:rPr>
              <w:t>、氨氮浓度约</w:t>
            </w:r>
            <w:r>
              <w:rPr>
                <w:rFonts w:hint="default" w:ascii="Times New Roman" w:hAnsi="Times New Roman" w:eastAsia="宋体" w:cs="Times New Roman"/>
                <w:color w:val="000000"/>
                <w:kern w:val="0"/>
                <w:sz w:val="24"/>
                <w:szCs w:val="24"/>
                <w:bdr w:val="none" w:color="auto" w:sz="0" w:space="0"/>
                <w:lang w:val="en-US" w:eastAsia="zh-CN" w:bidi="ar"/>
              </w:rPr>
              <w:t>50mg/L</w:t>
            </w:r>
            <w:r>
              <w:rPr>
                <w:rFonts w:hint="eastAsia" w:ascii="Times New Roman" w:hAnsi="Times New Roman" w:eastAsia="宋体" w:cs="宋体"/>
                <w:color w:val="000000"/>
                <w:kern w:val="0"/>
                <w:sz w:val="24"/>
                <w:szCs w:val="24"/>
                <w:bdr w:val="none" w:color="auto" w:sz="0" w:space="0"/>
                <w:lang w:val="en-US" w:eastAsia="zh-CN" w:bidi="ar"/>
              </w:rPr>
              <w:t>。</w:t>
            </w:r>
          </w:p>
          <w:p w14:paraId="45EB79A6">
            <w:pPr>
              <w:keepNext w:val="0"/>
              <w:keepLines w:val="0"/>
              <w:widowControl w:val="0"/>
              <w:suppressLineNumbers w:val="0"/>
              <w:adjustRightInd w:val="0"/>
              <w:snapToGrid w:val="0"/>
              <w:spacing w:before="0" w:beforeAutospacing="0" w:after="0" w:afterAutospacing="0" w:line="440" w:lineRule="exact"/>
              <w:ind w:left="0" w:right="0"/>
              <w:jc w:val="left"/>
              <w:outlineLvl w:val="2"/>
              <w:rPr>
                <w:rFonts w:hint="default" w:ascii="Times New Roman" w:hAnsi="宋体" w:cs="Times New Roman"/>
                <w:b/>
                <w:bCs/>
                <w:color w:val="000000"/>
                <w:spacing w:val="-10"/>
                <w:sz w:val="24"/>
                <w:szCs w:val="24"/>
                <w:bdr w:val="none" w:color="auto" w:sz="0" w:space="0"/>
                <w:lang w:val="en-US"/>
              </w:rPr>
            </w:pPr>
            <w:r>
              <w:rPr>
                <w:rFonts w:hint="default" w:ascii="Times New Roman" w:hAnsi="宋体" w:eastAsia="宋体" w:cs="Times New Roman"/>
                <w:b/>
                <w:bCs/>
                <w:color w:val="000000"/>
                <w:spacing w:val="-10"/>
                <w:kern w:val="2"/>
                <w:sz w:val="24"/>
                <w:szCs w:val="24"/>
                <w:bdr w:val="none" w:color="auto" w:sz="0" w:space="0"/>
                <w:lang w:val="en-US" w:eastAsia="zh-CN" w:bidi="ar"/>
              </w:rPr>
              <w:t xml:space="preserve">4.3.2 </w:t>
            </w:r>
            <w:r>
              <w:rPr>
                <w:rFonts w:hint="eastAsia" w:ascii="Times New Roman" w:hAnsi="宋体" w:eastAsia="宋体" w:cs="宋体"/>
                <w:b/>
                <w:bCs/>
                <w:color w:val="000000"/>
                <w:spacing w:val="-10"/>
                <w:kern w:val="2"/>
                <w:sz w:val="24"/>
                <w:szCs w:val="24"/>
                <w:bdr w:val="none" w:color="auto" w:sz="0" w:space="0"/>
                <w:lang w:val="en-US" w:eastAsia="zh-CN" w:bidi="ar"/>
              </w:rPr>
              <w:t>废水排放情况</w:t>
            </w:r>
          </w:p>
          <w:p w14:paraId="166353FF">
            <w:pPr>
              <w:keepNext w:val="0"/>
              <w:keepLines w:val="0"/>
              <w:widowControl w:val="0"/>
              <w:suppressLineNumbers w:val="0"/>
              <w:adjustRightInd w:val="0"/>
              <w:snapToGrid w:val="0"/>
              <w:spacing w:before="0" w:beforeAutospacing="0" w:after="0" w:afterAutospacing="0" w:line="460" w:lineRule="exact"/>
              <w:ind w:left="0" w:right="0" w:firstLine="480"/>
              <w:jc w:val="left"/>
              <w:rPr>
                <w:rFonts w:hint="default" w:ascii="Times New Roman" w:hAnsi="Times New Roman" w:cs="Times New Roman"/>
                <w:color w:val="000000"/>
                <w:kern w:val="0"/>
                <w:sz w:val="24"/>
                <w:szCs w:val="24"/>
                <w:bdr w:val="none" w:color="auto" w:sz="0" w:space="0"/>
                <w:lang w:val="en-US"/>
              </w:rPr>
            </w:pPr>
            <w:r>
              <w:rPr>
                <w:rFonts w:hint="eastAsia" w:ascii="Times New Roman" w:hAnsi="Times New Roman" w:eastAsia="宋体" w:cs="宋体"/>
                <w:color w:val="000000"/>
                <w:kern w:val="0"/>
                <w:sz w:val="24"/>
                <w:szCs w:val="24"/>
                <w:bdr w:val="none" w:color="auto" w:sz="0" w:space="0"/>
                <w:lang w:val="en-US" w:eastAsia="zh-CN" w:bidi="ar"/>
              </w:rPr>
              <w:t>扩建项目新增生活污水依托</w:t>
            </w:r>
            <w:r>
              <w:rPr>
                <w:rFonts w:hint="eastAsia" w:ascii="Calibri" w:hAnsi="宋体" w:eastAsia="宋体" w:cs="宋体"/>
                <w:color w:val="000000"/>
                <w:kern w:val="0"/>
                <w:sz w:val="24"/>
                <w:szCs w:val="24"/>
                <w:bdr w:val="none" w:color="auto" w:sz="0" w:space="0"/>
                <w:lang w:val="en-US" w:eastAsia="zh-CN" w:bidi="ar"/>
              </w:rPr>
              <w:t>盈田·合川工谷</w:t>
            </w:r>
            <w:r>
              <w:rPr>
                <w:rFonts w:hint="eastAsia" w:ascii="Times New Roman" w:hAnsi="Times New Roman" w:eastAsia="宋体" w:cs="宋体"/>
                <w:color w:val="000000"/>
                <w:kern w:val="0"/>
                <w:sz w:val="24"/>
                <w:szCs w:val="24"/>
                <w:bdr w:val="none" w:color="auto" w:sz="0" w:space="0"/>
                <w:lang w:val="en-US" w:eastAsia="zh-CN" w:bidi="ar"/>
              </w:rPr>
              <w:t>已建污水处理设施处理达《污水综合排放标准》（</w:t>
            </w:r>
            <w:r>
              <w:rPr>
                <w:rFonts w:hint="default" w:ascii="Times New Roman" w:hAnsi="Times New Roman" w:eastAsia="宋体" w:cs="Times New Roman"/>
                <w:color w:val="000000"/>
                <w:kern w:val="0"/>
                <w:sz w:val="24"/>
                <w:szCs w:val="24"/>
                <w:bdr w:val="none" w:color="auto" w:sz="0" w:space="0"/>
                <w:lang w:val="en-US" w:eastAsia="zh-CN" w:bidi="ar"/>
              </w:rPr>
              <w:t>GB8978-1996</w:t>
            </w:r>
            <w:r>
              <w:rPr>
                <w:rFonts w:hint="eastAsia" w:ascii="Times New Roman" w:hAnsi="Times New Roman" w:eastAsia="宋体" w:cs="宋体"/>
                <w:color w:val="000000"/>
                <w:kern w:val="0"/>
                <w:sz w:val="24"/>
                <w:szCs w:val="24"/>
                <w:bdr w:val="none" w:color="auto" w:sz="0" w:space="0"/>
                <w:lang w:val="en-US" w:eastAsia="zh-CN" w:bidi="ar"/>
              </w:rPr>
              <w:t>）三级标准后排入园区污水处理厂，最终处理达《城镇污水处理厂污染物排放标准》（</w:t>
            </w:r>
            <w:r>
              <w:rPr>
                <w:rFonts w:hint="default" w:ascii="Times New Roman" w:hAnsi="Times New Roman" w:eastAsia="宋体" w:cs="Times New Roman"/>
                <w:color w:val="000000"/>
                <w:kern w:val="0"/>
                <w:sz w:val="24"/>
                <w:szCs w:val="24"/>
                <w:bdr w:val="none" w:color="auto" w:sz="0" w:space="0"/>
                <w:lang w:val="en-US" w:eastAsia="zh-CN" w:bidi="ar"/>
              </w:rPr>
              <w:t>GB18918-2002</w:t>
            </w:r>
            <w:r>
              <w:rPr>
                <w:rFonts w:hint="eastAsia" w:ascii="Times New Roman" w:hAnsi="Times New Roman" w:eastAsia="宋体" w:cs="宋体"/>
                <w:color w:val="000000"/>
                <w:kern w:val="0"/>
                <w:sz w:val="24"/>
                <w:szCs w:val="24"/>
                <w:bdr w:val="none" w:color="auto" w:sz="0" w:space="0"/>
                <w:lang w:val="en-US" w:eastAsia="zh-CN" w:bidi="ar"/>
              </w:rPr>
              <w:t>）一级</w:t>
            </w:r>
            <w:r>
              <w:rPr>
                <w:rFonts w:hint="default" w:ascii="Times New Roman" w:hAnsi="Times New Roman" w:eastAsia="宋体" w:cs="Times New Roman"/>
                <w:color w:val="000000"/>
                <w:kern w:val="0"/>
                <w:sz w:val="24"/>
                <w:szCs w:val="24"/>
                <w:bdr w:val="none" w:color="auto" w:sz="0" w:space="0"/>
                <w:lang w:val="en-US" w:eastAsia="zh-CN" w:bidi="ar"/>
              </w:rPr>
              <w:t>B</w:t>
            </w:r>
            <w:r>
              <w:rPr>
                <w:rFonts w:hint="eastAsia" w:ascii="Times New Roman" w:hAnsi="Times New Roman" w:eastAsia="宋体" w:cs="宋体"/>
                <w:color w:val="000000"/>
                <w:kern w:val="0"/>
                <w:sz w:val="24"/>
                <w:szCs w:val="24"/>
                <w:bdr w:val="none" w:color="auto" w:sz="0" w:space="0"/>
                <w:lang w:val="en-US" w:eastAsia="zh-CN" w:bidi="ar"/>
              </w:rPr>
              <w:t>标准后排入嘉陵江。</w:t>
            </w:r>
          </w:p>
          <w:p w14:paraId="0BC97EEB">
            <w:pPr>
              <w:keepNext w:val="0"/>
              <w:keepLines w:val="0"/>
              <w:widowControl w:val="0"/>
              <w:suppressLineNumbers w:val="0"/>
              <w:adjustRightInd w:val="0"/>
              <w:snapToGrid w:val="0"/>
              <w:spacing w:before="0" w:beforeAutospacing="0" w:after="0" w:afterAutospacing="0" w:line="460" w:lineRule="exact"/>
              <w:ind w:left="0" w:right="0" w:firstLine="480"/>
              <w:jc w:val="left"/>
              <w:rPr>
                <w:rFonts w:hint="default" w:ascii="Times New Roman" w:hAnsi="Times New Roman" w:cs="Times New Roman"/>
                <w:color w:val="000000"/>
                <w:kern w:val="0"/>
                <w:sz w:val="24"/>
                <w:szCs w:val="24"/>
                <w:bdr w:val="none" w:color="auto" w:sz="0" w:space="0"/>
                <w:lang w:val="en-US"/>
              </w:rPr>
            </w:pPr>
            <w:r>
              <w:rPr>
                <w:rFonts w:hint="eastAsia" w:ascii="Times New Roman" w:hAnsi="Times New Roman" w:eastAsia="宋体" w:cs="宋体"/>
                <w:color w:val="000000"/>
                <w:kern w:val="0"/>
                <w:sz w:val="24"/>
                <w:szCs w:val="24"/>
                <w:bdr w:val="none" w:color="auto" w:sz="0" w:space="0"/>
                <w:lang w:val="en-US" w:eastAsia="zh-CN" w:bidi="ar"/>
              </w:rPr>
              <w:t>扩建项目废水产排污情况见表</w:t>
            </w:r>
            <w:r>
              <w:rPr>
                <w:rFonts w:hint="default" w:ascii="Times New Roman" w:hAnsi="Times New Roman" w:eastAsia="宋体" w:cs="Times New Roman"/>
                <w:color w:val="000000"/>
                <w:kern w:val="0"/>
                <w:sz w:val="24"/>
                <w:szCs w:val="24"/>
                <w:bdr w:val="none" w:color="auto" w:sz="0" w:space="0"/>
                <w:lang w:val="en-US" w:eastAsia="zh-CN" w:bidi="ar"/>
              </w:rPr>
              <w:t>4.3-1</w:t>
            </w:r>
            <w:r>
              <w:rPr>
                <w:rFonts w:hint="eastAsia" w:ascii="Times New Roman" w:hAnsi="Times New Roman" w:eastAsia="宋体" w:cs="宋体"/>
                <w:color w:val="000000"/>
                <w:kern w:val="0"/>
                <w:sz w:val="24"/>
                <w:szCs w:val="24"/>
                <w:bdr w:val="none" w:color="auto" w:sz="0" w:space="0"/>
                <w:lang w:val="en-US" w:eastAsia="zh-CN" w:bidi="ar"/>
              </w:rPr>
              <w:t>。</w:t>
            </w:r>
          </w:p>
          <w:p w14:paraId="1198265B">
            <w:pPr>
              <w:keepNext w:val="0"/>
              <w:keepLines w:val="0"/>
              <w:widowControl w:val="0"/>
              <w:suppressLineNumbers w:val="0"/>
              <w:adjustRightInd w:val="0"/>
              <w:snapToGrid w:val="0"/>
              <w:spacing w:before="0" w:beforeAutospacing="0" w:after="0" w:afterAutospacing="0" w:line="460" w:lineRule="exact"/>
              <w:ind w:left="0" w:right="0" w:firstLine="480"/>
              <w:jc w:val="center"/>
              <w:rPr>
                <w:rFonts w:hint="default" w:ascii="Times New Roman" w:hAnsi="Times New Roman" w:cs="Times New Roman"/>
                <w:color w:val="000000"/>
                <w:sz w:val="24"/>
                <w:szCs w:val="24"/>
                <w:bdr w:val="none" w:color="auto" w:sz="0" w:space="0"/>
                <w:lang w:val="en-US"/>
              </w:rPr>
            </w:pPr>
          </w:p>
          <w:p w14:paraId="1E4D712B">
            <w:pPr>
              <w:keepNext w:val="0"/>
              <w:keepLines w:val="0"/>
              <w:widowControl w:val="0"/>
              <w:suppressLineNumbers w:val="0"/>
              <w:adjustRightInd w:val="0"/>
              <w:snapToGrid w:val="0"/>
              <w:spacing w:before="0" w:beforeAutospacing="0" w:after="0" w:afterAutospacing="0" w:line="460" w:lineRule="exact"/>
              <w:ind w:left="0" w:right="0" w:firstLine="480"/>
              <w:jc w:val="center"/>
              <w:rPr>
                <w:rFonts w:hint="default" w:ascii="Times New Roman" w:hAnsi="Times New Roman" w:cs="Times New Roman"/>
                <w:color w:val="000000"/>
                <w:sz w:val="24"/>
                <w:szCs w:val="24"/>
                <w:bdr w:val="none" w:color="auto" w:sz="0" w:space="0"/>
                <w:lang w:val="en-US"/>
              </w:rPr>
            </w:pPr>
          </w:p>
          <w:p w14:paraId="12ED1C02">
            <w:pPr>
              <w:keepNext w:val="0"/>
              <w:keepLines w:val="0"/>
              <w:widowControl w:val="0"/>
              <w:suppressLineNumbers w:val="0"/>
              <w:adjustRightInd w:val="0"/>
              <w:snapToGrid w:val="0"/>
              <w:spacing w:before="0" w:beforeAutospacing="0" w:after="0" w:afterAutospacing="0" w:line="460" w:lineRule="exact"/>
              <w:ind w:left="0" w:right="0" w:firstLine="480"/>
              <w:jc w:val="center"/>
              <w:rPr>
                <w:rFonts w:hint="default" w:ascii="Times New Roman" w:hAnsi="Times New Roman" w:cs="Times New Roman"/>
                <w:color w:val="000000"/>
                <w:sz w:val="24"/>
                <w:szCs w:val="24"/>
                <w:bdr w:val="none" w:color="auto" w:sz="0" w:space="0"/>
                <w:lang w:val="en-US"/>
              </w:rPr>
            </w:pPr>
          </w:p>
          <w:p w14:paraId="4E550DB7">
            <w:pPr>
              <w:keepNext w:val="0"/>
              <w:keepLines w:val="0"/>
              <w:widowControl w:val="0"/>
              <w:suppressLineNumbers w:val="0"/>
              <w:adjustRightInd w:val="0"/>
              <w:snapToGrid w:val="0"/>
              <w:spacing w:before="0" w:beforeAutospacing="0" w:after="0" w:afterAutospacing="0" w:line="460" w:lineRule="exact"/>
              <w:ind w:left="0" w:right="0" w:firstLine="480"/>
              <w:jc w:val="center"/>
              <w:rPr>
                <w:rFonts w:hint="default" w:ascii="Times New Roman" w:hAnsi="Times New Roman" w:cs="Times New Roman"/>
                <w:color w:val="000000"/>
                <w:sz w:val="24"/>
                <w:szCs w:val="24"/>
                <w:bdr w:val="none" w:color="auto" w:sz="0" w:space="0"/>
                <w:lang w:val="en-US"/>
              </w:rPr>
            </w:pPr>
          </w:p>
          <w:p w14:paraId="3865A677">
            <w:pPr>
              <w:keepNext w:val="0"/>
              <w:keepLines w:val="0"/>
              <w:widowControl w:val="0"/>
              <w:suppressLineNumbers w:val="0"/>
              <w:adjustRightInd w:val="0"/>
              <w:snapToGrid w:val="0"/>
              <w:spacing w:before="0" w:beforeAutospacing="0" w:after="0" w:afterAutospacing="0" w:line="460" w:lineRule="exact"/>
              <w:ind w:left="0" w:right="0" w:firstLine="480"/>
              <w:jc w:val="center"/>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表</w:t>
            </w:r>
            <w:r>
              <w:rPr>
                <w:rFonts w:hint="default" w:ascii="Times New Roman" w:hAnsi="Times New Roman" w:eastAsia="宋体" w:cs="Times New Roman"/>
                <w:color w:val="000000"/>
                <w:kern w:val="2"/>
                <w:sz w:val="24"/>
                <w:szCs w:val="24"/>
                <w:bdr w:val="none" w:color="auto" w:sz="0" w:space="0"/>
                <w:lang w:val="en-US" w:eastAsia="zh-CN" w:bidi="ar"/>
              </w:rPr>
              <w:t xml:space="preserve">4.3-1 </w:t>
            </w:r>
            <w:r>
              <w:rPr>
                <w:rFonts w:hint="eastAsia" w:ascii="Times New Roman" w:hAnsi="Times New Roman" w:eastAsia="宋体" w:cs="宋体"/>
                <w:color w:val="000000"/>
                <w:kern w:val="2"/>
                <w:sz w:val="24"/>
                <w:szCs w:val="24"/>
                <w:bdr w:val="none" w:color="auto" w:sz="0" w:space="0"/>
                <w:lang w:val="en-US" w:eastAsia="zh-CN" w:bidi="ar"/>
              </w:rPr>
              <w:t>扩建项目废水产生情况表</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Layout w:type="fixed"/>
              <w:tblCellMar>
                <w:top w:w="0" w:type="dxa"/>
                <w:left w:w="108" w:type="dxa"/>
                <w:bottom w:w="0" w:type="dxa"/>
                <w:right w:w="108" w:type="dxa"/>
              </w:tblCellMar>
            </w:tblPr>
            <w:tblGrid>
              <w:gridCol w:w="1334"/>
              <w:gridCol w:w="993"/>
              <w:gridCol w:w="992"/>
              <w:gridCol w:w="850"/>
              <w:gridCol w:w="820"/>
              <w:gridCol w:w="1023"/>
              <w:gridCol w:w="949"/>
              <w:gridCol w:w="986"/>
            </w:tblGrid>
            <w:tr w14:paraId="293F426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CellMar>
                  <w:top w:w="0" w:type="dxa"/>
                  <w:left w:w="108" w:type="dxa"/>
                  <w:bottom w:w="0" w:type="dxa"/>
                  <w:right w:w="108" w:type="dxa"/>
                </w:tblCellMar>
              </w:tblPrEx>
              <w:trPr>
                <w:trHeight w:val="71" w:hRule="atLeast"/>
                <w:jc w:val="center"/>
              </w:trPr>
              <w:tc>
                <w:tcPr>
                  <w:tcW w:w="1333" w:type="dxa"/>
                  <w:vMerge w:val="restart"/>
                  <w:tcBorders>
                    <w:top w:val="single" w:color="auto" w:sz="12" w:space="0"/>
                    <w:left w:val="nil"/>
                    <w:bottom w:val="single" w:color="auto" w:sz="4" w:space="0"/>
                    <w:right w:val="single" w:color="auto" w:sz="4" w:space="0"/>
                  </w:tcBorders>
                  <w:shd w:val="clear"/>
                  <w:vAlign w:val="center"/>
                </w:tcPr>
                <w:p w14:paraId="1A9D0BE6">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类别</w:t>
                  </w:r>
                </w:p>
              </w:tc>
              <w:tc>
                <w:tcPr>
                  <w:tcW w:w="993" w:type="dxa"/>
                  <w:vMerge w:val="restart"/>
                  <w:tcBorders>
                    <w:top w:val="single" w:color="auto" w:sz="12" w:space="0"/>
                    <w:left w:val="single" w:color="auto" w:sz="4" w:space="0"/>
                    <w:bottom w:val="single" w:color="auto" w:sz="4" w:space="0"/>
                    <w:right w:val="single" w:color="auto" w:sz="4" w:space="0"/>
                  </w:tcBorders>
                  <w:shd w:val="clear"/>
                  <w:vAlign w:val="center"/>
                </w:tcPr>
                <w:p w14:paraId="761925F6">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污染物</w:t>
                  </w:r>
                </w:p>
              </w:tc>
              <w:tc>
                <w:tcPr>
                  <w:tcW w:w="1842" w:type="dxa"/>
                  <w:gridSpan w:val="2"/>
                  <w:tcBorders>
                    <w:top w:val="single" w:color="auto" w:sz="12" w:space="0"/>
                    <w:left w:val="single" w:color="auto" w:sz="4" w:space="0"/>
                    <w:bottom w:val="single" w:color="auto" w:sz="4" w:space="0"/>
                    <w:right w:val="single" w:color="auto" w:sz="4" w:space="0"/>
                  </w:tcBorders>
                  <w:shd w:val="clear"/>
                  <w:vAlign w:val="center"/>
                </w:tcPr>
                <w:p w14:paraId="25DE6946">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产生情况</w:t>
                  </w:r>
                </w:p>
              </w:tc>
              <w:tc>
                <w:tcPr>
                  <w:tcW w:w="1843" w:type="dxa"/>
                  <w:gridSpan w:val="2"/>
                  <w:tcBorders>
                    <w:top w:val="single" w:color="auto" w:sz="12" w:space="0"/>
                    <w:left w:val="single" w:color="auto" w:sz="4" w:space="0"/>
                    <w:bottom w:val="single" w:color="auto" w:sz="4" w:space="0"/>
                    <w:right w:val="single" w:color="auto" w:sz="4" w:space="0"/>
                  </w:tcBorders>
                  <w:shd w:val="clear"/>
                  <w:vAlign w:val="top"/>
                </w:tcPr>
                <w:p w14:paraId="12BCB4AC">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排入园区污水厂（</w:t>
                  </w:r>
                  <w:r>
                    <w:rPr>
                      <w:rFonts w:hint="default" w:ascii="Times New Roman" w:hAnsi="Calibri" w:eastAsia="宋体" w:cs="Times New Roman"/>
                      <w:snapToGrid w:val="0"/>
                      <w:color w:val="000000"/>
                      <w:kern w:val="2"/>
                      <w:sz w:val="21"/>
                      <w:szCs w:val="21"/>
                      <w:bdr w:val="none" w:color="auto" w:sz="0" w:space="0"/>
                      <w:lang w:val="en-US" w:eastAsia="zh-CN" w:bidi="ar"/>
                    </w:rPr>
                    <w:t>GB8978-1996</w:t>
                  </w:r>
                  <w:r>
                    <w:rPr>
                      <w:rFonts w:hint="eastAsia" w:ascii="Times New Roman" w:hAnsi="Calibri" w:eastAsia="宋体" w:cs="宋体"/>
                      <w:snapToGrid w:val="0"/>
                      <w:color w:val="000000"/>
                      <w:kern w:val="2"/>
                      <w:sz w:val="21"/>
                      <w:szCs w:val="21"/>
                      <w:bdr w:val="none" w:color="auto" w:sz="0" w:space="0"/>
                      <w:lang w:val="en-US" w:eastAsia="zh-CN" w:bidi="ar"/>
                    </w:rPr>
                    <w:t>）</w:t>
                  </w:r>
                </w:p>
                <w:p w14:paraId="59837000">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三级标准</w:t>
                  </w:r>
                </w:p>
              </w:tc>
              <w:tc>
                <w:tcPr>
                  <w:tcW w:w="1935" w:type="dxa"/>
                  <w:gridSpan w:val="2"/>
                  <w:tcBorders>
                    <w:top w:val="single" w:color="auto" w:sz="12" w:space="0"/>
                    <w:left w:val="single" w:color="auto" w:sz="4" w:space="0"/>
                    <w:bottom w:val="single" w:color="auto" w:sz="4" w:space="0"/>
                    <w:right w:val="nil"/>
                  </w:tcBorders>
                  <w:shd w:val="clear"/>
                  <w:vAlign w:val="center"/>
                </w:tcPr>
                <w:p w14:paraId="625D30DA">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排入外环境（</w:t>
                  </w:r>
                  <w:r>
                    <w:rPr>
                      <w:rFonts w:hint="default" w:ascii="Times New Roman" w:hAnsi="Calibri" w:eastAsia="宋体" w:cs="Times New Roman"/>
                      <w:snapToGrid w:val="0"/>
                      <w:color w:val="000000"/>
                      <w:kern w:val="2"/>
                      <w:sz w:val="21"/>
                      <w:szCs w:val="21"/>
                      <w:bdr w:val="none" w:color="auto" w:sz="0" w:space="0"/>
                      <w:lang w:val="en-US" w:eastAsia="zh-CN" w:bidi="ar"/>
                    </w:rPr>
                    <w:t>GB18918-2002</w:t>
                  </w:r>
                  <w:r>
                    <w:rPr>
                      <w:rFonts w:hint="eastAsia" w:ascii="Times New Roman" w:hAnsi="Calibri" w:eastAsia="宋体" w:cs="宋体"/>
                      <w:snapToGrid w:val="0"/>
                      <w:color w:val="000000"/>
                      <w:kern w:val="2"/>
                      <w:sz w:val="21"/>
                      <w:szCs w:val="21"/>
                      <w:bdr w:val="none" w:color="auto" w:sz="0" w:space="0"/>
                      <w:lang w:val="en-US" w:eastAsia="zh-CN" w:bidi="ar"/>
                    </w:rPr>
                    <w:t>）一级</w:t>
                  </w:r>
                  <w:r>
                    <w:rPr>
                      <w:rFonts w:hint="default" w:ascii="Times New Roman" w:hAnsi="Calibri" w:eastAsia="宋体" w:cs="Times New Roman"/>
                      <w:snapToGrid w:val="0"/>
                      <w:color w:val="000000"/>
                      <w:kern w:val="2"/>
                      <w:sz w:val="21"/>
                      <w:szCs w:val="21"/>
                      <w:bdr w:val="none" w:color="auto" w:sz="0" w:space="0"/>
                      <w:lang w:val="en-US" w:eastAsia="zh-CN" w:bidi="ar"/>
                    </w:rPr>
                    <w:t>B</w:t>
                  </w:r>
                  <w:r>
                    <w:rPr>
                      <w:rFonts w:hint="eastAsia" w:ascii="Times New Roman" w:hAnsi="Calibri" w:eastAsia="宋体" w:cs="宋体"/>
                      <w:snapToGrid w:val="0"/>
                      <w:color w:val="000000"/>
                      <w:kern w:val="2"/>
                      <w:sz w:val="21"/>
                      <w:szCs w:val="21"/>
                      <w:bdr w:val="none" w:color="auto" w:sz="0" w:space="0"/>
                      <w:lang w:val="en-US" w:eastAsia="zh-CN" w:bidi="ar"/>
                    </w:rPr>
                    <w:t>标准</w:t>
                  </w:r>
                </w:p>
              </w:tc>
            </w:tr>
            <w:tr w14:paraId="13DFBB3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333" w:type="dxa"/>
                  <w:vMerge w:val="continue"/>
                  <w:tcBorders>
                    <w:top w:val="single" w:color="auto" w:sz="12" w:space="0"/>
                    <w:left w:val="nil"/>
                    <w:bottom w:val="single" w:color="auto" w:sz="4" w:space="0"/>
                    <w:right w:val="single" w:color="auto" w:sz="4" w:space="0"/>
                  </w:tcBorders>
                  <w:shd w:val="clear"/>
                  <w:vAlign w:val="center"/>
                </w:tcPr>
                <w:p w14:paraId="335377BA">
                  <w:pPr>
                    <w:rPr>
                      <w:rFonts w:hint="default" w:ascii="Calibri" w:hAnsi="Calibri" w:cs="Calibri"/>
                      <w:sz w:val="20"/>
                      <w:szCs w:val="20"/>
                    </w:rPr>
                  </w:pPr>
                </w:p>
              </w:tc>
              <w:tc>
                <w:tcPr>
                  <w:tcW w:w="993" w:type="dxa"/>
                  <w:vMerge w:val="continue"/>
                  <w:tcBorders>
                    <w:top w:val="single" w:color="auto" w:sz="12" w:space="0"/>
                    <w:left w:val="single" w:color="auto" w:sz="4" w:space="0"/>
                    <w:bottom w:val="single" w:color="auto" w:sz="4" w:space="0"/>
                    <w:right w:val="single" w:color="auto" w:sz="4" w:space="0"/>
                  </w:tcBorders>
                  <w:shd w:val="clear"/>
                  <w:vAlign w:val="center"/>
                </w:tcPr>
                <w:p w14:paraId="1FFF04A0">
                  <w:pPr>
                    <w:rPr>
                      <w:rFonts w:hint="default" w:ascii="Calibri" w:hAnsi="Calibri" w:cs="Calibri"/>
                      <w:sz w:val="20"/>
                      <w:szCs w:val="20"/>
                    </w:rPr>
                  </w:pPr>
                </w:p>
              </w:tc>
              <w:tc>
                <w:tcPr>
                  <w:tcW w:w="992" w:type="dxa"/>
                  <w:tcBorders>
                    <w:top w:val="single" w:color="auto" w:sz="4" w:space="0"/>
                    <w:left w:val="single" w:color="auto" w:sz="4" w:space="0"/>
                    <w:bottom w:val="single" w:color="auto" w:sz="4" w:space="0"/>
                    <w:right w:val="single" w:color="auto" w:sz="4" w:space="0"/>
                  </w:tcBorders>
                  <w:shd w:val="clear"/>
                  <w:vAlign w:val="center"/>
                </w:tcPr>
                <w:p w14:paraId="36CA9DF7">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浓度</w:t>
                  </w:r>
                  <w:r>
                    <w:rPr>
                      <w:rFonts w:hint="default" w:ascii="Times New Roman" w:hAnsi="Calibri" w:eastAsia="宋体" w:cs="Times New Roman"/>
                      <w:snapToGrid w:val="0"/>
                      <w:color w:val="000000"/>
                      <w:kern w:val="2"/>
                      <w:sz w:val="21"/>
                      <w:szCs w:val="21"/>
                      <w:bdr w:val="none" w:color="auto" w:sz="0" w:space="0"/>
                      <w:lang w:val="en-US" w:eastAsia="zh-CN" w:bidi="ar"/>
                    </w:rPr>
                    <w:t>mg/L</w:t>
                  </w:r>
                </w:p>
              </w:tc>
              <w:tc>
                <w:tcPr>
                  <w:tcW w:w="850" w:type="dxa"/>
                  <w:tcBorders>
                    <w:top w:val="single" w:color="auto" w:sz="4" w:space="0"/>
                    <w:left w:val="single" w:color="auto" w:sz="4" w:space="0"/>
                    <w:bottom w:val="single" w:color="auto" w:sz="4" w:space="0"/>
                    <w:right w:val="single" w:color="auto" w:sz="4" w:space="0"/>
                  </w:tcBorders>
                  <w:shd w:val="clear"/>
                  <w:vAlign w:val="center"/>
                </w:tcPr>
                <w:p w14:paraId="2868C351">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产生量</w:t>
                  </w:r>
                  <w:r>
                    <w:rPr>
                      <w:rFonts w:hint="default" w:ascii="Times New Roman" w:hAnsi="Calibri" w:eastAsia="宋体" w:cs="Times New Roman"/>
                      <w:snapToGrid w:val="0"/>
                      <w:color w:val="000000"/>
                      <w:kern w:val="2"/>
                      <w:sz w:val="21"/>
                      <w:szCs w:val="21"/>
                      <w:bdr w:val="none" w:color="auto" w:sz="0" w:space="0"/>
                      <w:lang w:val="en-US" w:eastAsia="zh-CN" w:bidi="ar"/>
                    </w:rPr>
                    <w:t>t/a</w:t>
                  </w:r>
                </w:p>
              </w:tc>
              <w:tc>
                <w:tcPr>
                  <w:tcW w:w="820" w:type="dxa"/>
                  <w:tcBorders>
                    <w:top w:val="single" w:color="auto" w:sz="4" w:space="0"/>
                    <w:left w:val="single" w:color="auto" w:sz="4" w:space="0"/>
                    <w:bottom w:val="single" w:color="auto" w:sz="4" w:space="0"/>
                    <w:right w:val="single" w:color="auto" w:sz="4" w:space="0"/>
                  </w:tcBorders>
                  <w:shd w:val="clear"/>
                  <w:vAlign w:val="center"/>
                </w:tcPr>
                <w:p w14:paraId="0D68F184">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浓度</w:t>
                  </w:r>
                  <w:r>
                    <w:rPr>
                      <w:rFonts w:hint="default" w:ascii="Times New Roman" w:hAnsi="Calibri" w:eastAsia="宋体" w:cs="Times New Roman"/>
                      <w:snapToGrid w:val="0"/>
                      <w:color w:val="000000"/>
                      <w:kern w:val="2"/>
                      <w:sz w:val="21"/>
                      <w:szCs w:val="21"/>
                      <w:bdr w:val="none" w:color="auto" w:sz="0" w:space="0"/>
                      <w:lang w:val="en-US" w:eastAsia="zh-CN" w:bidi="ar"/>
                    </w:rPr>
                    <w:t>mg/L</w:t>
                  </w:r>
                </w:p>
              </w:tc>
              <w:tc>
                <w:tcPr>
                  <w:tcW w:w="1023" w:type="dxa"/>
                  <w:tcBorders>
                    <w:top w:val="single" w:color="auto" w:sz="4" w:space="0"/>
                    <w:left w:val="single" w:color="auto" w:sz="4" w:space="0"/>
                    <w:bottom w:val="single" w:color="auto" w:sz="4" w:space="0"/>
                    <w:right w:val="single" w:color="auto" w:sz="4" w:space="0"/>
                  </w:tcBorders>
                  <w:shd w:val="clear"/>
                  <w:vAlign w:val="center"/>
                </w:tcPr>
                <w:p w14:paraId="746C4FA4">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排放量</w:t>
                  </w:r>
                  <w:r>
                    <w:rPr>
                      <w:rFonts w:hint="default" w:ascii="Times New Roman" w:hAnsi="Calibri" w:eastAsia="宋体" w:cs="Times New Roman"/>
                      <w:snapToGrid w:val="0"/>
                      <w:color w:val="000000"/>
                      <w:kern w:val="2"/>
                      <w:sz w:val="21"/>
                      <w:szCs w:val="21"/>
                      <w:bdr w:val="none" w:color="auto" w:sz="0" w:space="0"/>
                      <w:lang w:val="en-US" w:eastAsia="zh-CN" w:bidi="ar"/>
                    </w:rPr>
                    <w:t>t/a</w:t>
                  </w:r>
                </w:p>
              </w:tc>
              <w:tc>
                <w:tcPr>
                  <w:tcW w:w="949" w:type="dxa"/>
                  <w:tcBorders>
                    <w:top w:val="single" w:color="auto" w:sz="4" w:space="0"/>
                    <w:left w:val="single" w:color="auto" w:sz="4" w:space="0"/>
                    <w:bottom w:val="single" w:color="auto" w:sz="4" w:space="0"/>
                    <w:right w:val="single" w:color="auto" w:sz="4" w:space="0"/>
                  </w:tcBorders>
                  <w:shd w:val="clear"/>
                  <w:vAlign w:val="center"/>
                </w:tcPr>
                <w:p w14:paraId="09537A77">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浓度</w:t>
                  </w:r>
                  <w:r>
                    <w:rPr>
                      <w:rFonts w:hint="default" w:ascii="Times New Roman" w:hAnsi="Calibri" w:eastAsia="宋体" w:cs="Times New Roman"/>
                      <w:snapToGrid w:val="0"/>
                      <w:color w:val="000000"/>
                      <w:kern w:val="2"/>
                      <w:sz w:val="21"/>
                      <w:szCs w:val="21"/>
                      <w:bdr w:val="none" w:color="auto" w:sz="0" w:space="0"/>
                      <w:lang w:val="en-US" w:eastAsia="zh-CN" w:bidi="ar"/>
                    </w:rPr>
                    <w:t>mg/L</w:t>
                  </w:r>
                </w:p>
              </w:tc>
              <w:tc>
                <w:tcPr>
                  <w:tcW w:w="986" w:type="dxa"/>
                  <w:tcBorders>
                    <w:top w:val="single" w:color="auto" w:sz="4" w:space="0"/>
                    <w:left w:val="single" w:color="auto" w:sz="4" w:space="0"/>
                    <w:bottom w:val="single" w:color="auto" w:sz="4" w:space="0"/>
                    <w:right w:val="nil"/>
                  </w:tcBorders>
                  <w:shd w:val="clear"/>
                  <w:vAlign w:val="center"/>
                </w:tcPr>
                <w:p w14:paraId="3E3B9579">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排放量</w:t>
                  </w:r>
                  <w:r>
                    <w:rPr>
                      <w:rFonts w:hint="default" w:ascii="Times New Roman" w:hAnsi="Calibri" w:eastAsia="宋体" w:cs="Times New Roman"/>
                      <w:snapToGrid w:val="0"/>
                      <w:color w:val="000000"/>
                      <w:kern w:val="2"/>
                      <w:sz w:val="21"/>
                      <w:szCs w:val="21"/>
                      <w:bdr w:val="none" w:color="auto" w:sz="0" w:space="0"/>
                      <w:lang w:val="en-US" w:eastAsia="zh-CN" w:bidi="ar"/>
                    </w:rPr>
                    <w:t>t/a</w:t>
                  </w:r>
                </w:p>
              </w:tc>
            </w:tr>
            <w:tr w14:paraId="1D367CC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333" w:type="dxa"/>
                  <w:vMerge w:val="restart"/>
                  <w:tcBorders>
                    <w:top w:val="single" w:color="auto" w:sz="4" w:space="0"/>
                    <w:left w:val="nil"/>
                    <w:bottom w:val="single" w:color="auto" w:sz="12" w:space="0"/>
                    <w:right w:val="single" w:color="auto" w:sz="4" w:space="0"/>
                  </w:tcBorders>
                  <w:shd w:val="clear"/>
                  <w:vAlign w:val="center"/>
                </w:tcPr>
                <w:p w14:paraId="732FDC62">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生活污水</w:t>
                  </w:r>
                  <w:r>
                    <w:rPr>
                      <w:rFonts w:hint="default" w:ascii="Times New Roman" w:hAnsi="Calibri" w:eastAsia="宋体" w:cs="Times New Roman"/>
                      <w:snapToGrid w:val="0"/>
                      <w:color w:val="000000"/>
                      <w:kern w:val="2"/>
                      <w:sz w:val="21"/>
                      <w:szCs w:val="21"/>
                      <w:bdr w:val="none" w:color="auto" w:sz="0" w:space="0"/>
                      <w:lang w:val="en-US" w:eastAsia="zh-CN" w:bidi="ar"/>
                    </w:rPr>
                    <w:t>(877.5</w:t>
                  </w:r>
                  <w:r>
                    <w:rPr>
                      <w:rFonts w:hint="default" w:ascii="Times New Roman" w:hAnsi="Times New Roman" w:eastAsia="宋体" w:cs="Times New Roman"/>
                      <w:color w:val="000000"/>
                      <w:kern w:val="0"/>
                      <w:sz w:val="24"/>
                      <w:szCs w:val="24"/>
                      <w:bdr w:val="none" w:color="auto" w:sz="0" w:space="0"/>
                      <w:lang w:val="en-US" w:eastAsia="zh-CN" w:bidi="ar"/>
                    </w:rPr>
                    <w:t>m</w:t>
                  </w:r>
                  <w:r>
                    <w:rPr>
                      <w:rFonts w:hint="default" w:ascii="Times New Roman" w:hAnsi="Times New Roman" w:eastAsia="宋体" w:cs="Times New Roman"/>
                      <w:color w:val="000000"/>
                      <w:kern w:val="0"/>
                      <w:sz w:val="24"/>
                      <w:szCs w:val="24"/>
                      <w:bdr w:val="none" w:color="auto" w:sz="0" w:space="0"/>
                      <w:vertAlign w:val="superscript"/>
                      <w:lang w:val="en-US" w:eastAsia="zh-CN" w:bidi="ar"/>
                    </w:rPr>
                    <w:t>3</w:t>
                  </w:r>
                  <w:r>
                    <w:rPr>
                      <w:rFonts w:hint="default" w:ascii="Times New Roman" w:hAnsi="Times New Roman" w:eastAsia="宋体" w:cs="Times New Roman"/>
                      <w:color w:val="000000"/>
                      <w:kern w:val="0"/>
                      <w:sz w:val="24"/>
                      <w:szCs w:val="24"/>
                      <w:bdr w:val="none" w:color="auto" w:sz="0" w:space="0"/>
                      <w:lang w:val="en-US" w:eastAsia="zh-CN" w:bidi="ar"/>
                    </w:rPr>
                    <w:t>/a)</w:t>
                  </w:r>
                </w:p>
              </w:tc>
              <w:tc>
                <w:tcPr>
                  <w:tcW w:w="993" w:type="dxa"/>
                  <w:tcBorders>
                    <w:top w:val="single" w:color="auto" w:sz="4" w:space="0"/>
                    <w:left w:val="single" w:color="auto" w:sz="4" w:space="0"/>
                    <w:bottom w:val="single" w:color="auto" w:sz="4" w:space="0"/>
                    <w:right w:val="single" w:color="auto" w:sz="4" w:space="0"/>
                  </w:tcBorders>
                  <w:shd w:val="clear"/>
                  <w:vAlign w:val="center"/>
                </w:tcPr>
                <w:p w14:paraId="00FD2AAF">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COD</w:t>
                  </w:r>
                </w:p>
              </w:tc>
              <w:tc>
                <w:tcPr>
                  <w:tcW w:w="992" w:type="dxa"/>
                  <w:tcBorders>
                    <w:top w:val="single" w:color="auto" w:sz="4" w:space="0"/>
                    <w:left w:val="single" w:color="auto" w:sz="4" w:space="0"/>
                    <w:bottom w:val="single" w:color="auto" w:sz="4" w:space="0"/>
                    <w:right w:val="single" w:color="auto" w:sz="4" w:space="0"/>
                  </w:tcBorders>
                  <w:shd w:val="clear"/>
                  <w:vAlign w:val="center"/>
                </w:tcPr>
                <w:p w14:paraId="3496074E">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500</w:t>
                  </w:r>
                </w:p>
              </w:tc>
              <w:tc>
                <w:tcPr>
                  <w:tcW w:w="850" w:type="dxa"/>
                  <w:tcBorders>
                    <w:top w:val="single" w:color="auto" w:sz="4" w:space="0"/>
                    <w:left w:val="single" w:color="auto" w:sz="4" w:space="0"/>
                    <w:bottom w:val="single" w:color="auto" w:sz="4" w:space="0"/>
                    <w:right w:val="single" w:color="auto" w:sz="4" w:space="0"/>
                  </w:tcBorders>
                  <w:shd w:val="clear"/>
                  <w:vAlign w:val="center"/>
                </w:tcPr>
                <w:p w14:paraId="0DFD1622">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 xml:space="preserve">0.439 </w:t>
                  </w:r>
                </w:p>
              </w:tc>
              <w:tc>
                <w:tcPr>
                  <w:tcW w:w="820" w:type="dxa"/>
                  <w:tcBorders>
                    <w:top w:val="single" w:color="auto" w:sz="4" w:space="0"/>
                    <w:left w:val="single" w:color="auto" w:sz="4" w:space="0"/>
                    <w:bottom w:val="single" w:color="auto" w:sz="4" w:space="0"/>
                    <w:right w:val="single" w:color="auto" w:sz="4" w:space="0"/>
                  </w:tcBorders>
                  <w:shd w:val="clear"/>
                  <w:vAlign w:val="center"/>
                </w:tcPr>
                <w:p w14:paraId="3B279A34">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500</w:t>
                  </w:r>
                </w:p>
              </w:tc>
              <w:tc>
                <w:tcPr>
                  <w:tcW w:w="1023" w:type="dxa"/>
                  <w:tcBorders>
                    <w:top w:val="single" w:color="auto" w:sz="4" w:space="0"/>
                    <w:left w:val="single" w:color="auto" w:sz="4" w:space="0"/>
                    <w:bottom w:val="single" w:color="auto" w:sz="4" w:space="0"/>
                    <w:right w:val="single" w:color="auto" w:sz="4" w:space="0"/>
                  </w:tcBorders>
                  <w:shd w:val="clear"/>
                  <w:vAlign w:val="center"/>
                </w:tcPr>
                <w:p w14:paraId="48A71B46">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 xml:space="preserve">0.439 </w:t>
                  </w:r>
                </w:p>
              </w:tc>
              <w:tc>
                <w:tcPr>
                  <w:tcW w:w="949" w:type="dxa"/>
                  <w:tcBorders>
                    <w:top w:val="single" w:color="auto" w:sz="4" w:space="0"/>
                    <w:left w:val="single" w:color="auto" w:sz="4" w:space="0"/>
                    <w:bottom w:val="single" w:color="auto" w:sz="4" w:space="0"/>
                    <w:right w:val="single" w:color="auto" w:sz="4" w:space="0"/>
                  </w:tcBorders>
                  <w:shd w:val="clear"/>
                  <w:vAlign w:val="center"/>
                </w:tcPr>
                <w:p w14:paraId="7370E108">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60</w:t>
                  </w:r>
                </w:p>
              </w:tc>
              <w:tc>
                <w:tcPr>
                  <w:tcW w:w="986" w:type="dxa"/>
                  <w:tcBorders>
                    <w:top w:val="single" w:color="auto" w:sz="4" w:space="0"/>
                    <w:left w:val="single" w:color="auto" w:sz="4" w:space="0"/>
                    <w:bottom w:val="single" w:color="auto" w:sz="4" w:space="0"/>
                    <w:right w:val="nil"/>
                  </w:tcBorders>
                  <w:shd w:val="clear"/>
                  <w:vAlign w:val="center"/>
                </w:tcPr>
                <w:p w14:paraId="1BD4A3F5">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 xml:space="preserve">0.053 </w:t>
                  </w:r>
                </w:p>
              </w:tc>
            </w:tr>
            <w:tr w14:paraId="3287DCD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333" w:type="dxa"/>
                  <w:vMerge w:val="continue"/>
                  <w:tcBorders>
                    <w:top w:val="single" w:color="auto" w:sz="4" w:space="0"/>
                    <w:left w:val="nil"/>
                    <w:bottom w:val="single" w:color="auto" w:sz="12" w:space="0"/>
                    <w:right w:val="single" w:color="auto" w:sz="4" w:space="0"/>
                  </w:tcBorders>
                  <w:shd w:val="clear"/>
                  <w:vAlign w:val="center"/>
                </w:tcPr>
                <w:p w14:paraId="72370ECE">
                  <w:pPr>
                    <w:rPr>
                      <w:rFonts w:hint="default" w:ascii="Calibri" w:hAnsi="Calibri" w:cs="Calibri"/>
                      <w:sz w:val="20"/>
                      <w:szCs w:val="20"/>
                    </w:rPr>
                  </w:pPr>
                </w:p>
              </w:tc>
              <w:tc>
                <w:tcPr>
                  <w:tcW w:w="993" w:type="dxa"/>
                  <w:tcBorders>
                    <w:top w:val="single" w:color="auto" w:sz="4" w:space="0"/>
                    <w:left w:val="single" w:color="auto" w:sz="4" w:space="0"/>
                    <w:bottom w:val="single" w:color="auto" w:sz="4" w:space="0"/>
                    <w:right w:val="single" w:color="auto" w:sz="4" w:space="0"/>
                  </w:tcBorders>
                  <w:shd w:val="clear"/>
                  <w:vAlign w:val="center"/>
                </w:tcPr>
                <w:p w14:paraId="52696A7F">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BOD</w:t>
                  </w:r>
                  <w:r>
                    <w:rPr>
                      <w:rFonts w:hint="default" w:ascii="Times New Roman" w:hAnsi="Calibri" w:eastAsia="宋体" w:cs="Times New Roman"/>
                      <w:snapToGrid w:val="0"/>
                      <w:color w:val="000000"/>
                      <w:kern w:val="2"/>
                      <w:sz w:val="21"/>
                      <w:szCs w:val="21"/>
                      <w:bdr w:val="none" w:color="auto" w:sz="0" w:space="0"/>
                      <w:vertAlign w:val="subscript"/>
                      <w:lang w:val="en-US" w:eastAsia="zh-CN" w:bidi="ar"/>
                    </w:rPr>
                    <w:t>5</w:t>
                  </w:r>
                </w:p>
              </w:tc>
              <w:tc>
                <w:tcPr>
                  <w:tcW w:w="992" w:type="dxa"/>
                  <w:tcBorders>
                    <w:top w:val="single" w:color="auto" w:sz="4" w:space="0"/>
                    <w:left w:val="single" w:color="auto" w:sz="4" w:space="0"/>
                    <w:bottom w:val="single" w:color="auto" w:sz="4" w:space="0"/>
                    <w:right w:val="single" w:color="auto" w:sz="4" w:space="0"/>
                  </w:tcBorders>
                  <w:shd w:val="clear"/>
                  <w:vAlign w:val="center"/>
                </w:tcPr>
                <w:p w14:paraId="050DA052">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350</w:t>
                  </w:r>
                </w:p>
              </w:tc>
              <w:tc>
                <w:tcPr>
                  <w:tcW w:w="850" w:type="dxa"/>
                  <w:tcBorders>
                    <w:top w:val="single" w:color="auto" w:sz="4" w:space="0"/>
                    <w:left w:val="single" w:color="auto" w:sz="4" w:space="0"/>
                    <w:bottom w:val="single" w:color="auto" w:sz="4" w:space="0"/>
                    <w:right w:val="single" w:color="auto" w:sz="4" w:space="0"/>
                  </w:tcBorders>
                  <w:shd w:val="clear"/>
                  <w:vAlign w:val="center"/>
                </w:tcPr>
                <w:p w14:paraId="7B2B88A8">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 xml:space="preserve">0.307 </w:t>
                  </w:r>
                </w:p>
              </w:tc>
              <w:tc>
                <w:tcPr>
                  <w:tcW w:w="820" w:type="dxa"/>
                  <w:tcBorders>
                    <w:top w:val="single" w:color="auto" w:sz="4" w:space="0"/>
                    <w:left w:val="single" w:color="auto" w:sz="4" w:space="0"/>
                    <w:bottom w:val="single" w:color="auto" w:sz="4" w:space="0"/>
                    <w:right w:val="single" w:color="auto" w:sz="4" w:space="0"/>
                  </w:tcBorders>
                  <w:shd w:val="clear"/>
                  <w:vAlign w:val="center"/>
                </w:tcPr>
                <w:p w14:paraId="36556C99">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300</w:t>
                  </w:r>
                </w:p>
              </w:tc>
              <w:tc>
                <w:tcPr>
                  <w:tcW w:w="1023" w:type="dxa"/>
                  <w:tcBorders>
                    <w:top w:val="single" w:color="auto" w:sz="4" w:space="0"/>
                    <w:left w:val="single" w:color="auto" w:sz="4" w:space="0"/>
                    <w:bottom w:val="single" w:color="auto" w:sz="4" w:space="0"/>
                    <w:right w:val="single" w:color="auto" w:sz="4" w:space="0"/>
                  </w:tcBorders>
                  <w:shd w:val="clear"/>
                  <w:vAlign w:val="center"/>
                </w:tcPr>
                <w:p w14:paraId="5406917E">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 xml:space="preserve">0.263 </w:t>
                  </w:r>
                </w:p>
              </w:tc>
              <w:tc>
                <w:tcPr>
                  <w:tcW w:w="949" w:type="dxa"/>
                  <w:tcBorders>
                    <w:top w:val="single" w:color="auto" w:sz="4" w:space="0"/>
                    <w:left w:val="single" w:color="auto" w:sz="4" w:space="0"/>
                    <w:bottom w:val="single" w:color="auto" w:sz="4" w:space="0"/>
                    <w:right w:val="single" w:color="auto" w:sz="4" w:space="0"/>
                  </w:tcBorders>
                  <w:shd w:val="clear"/>
                  <w:vAlign w:val="center"/>
                </w:tcPr>
                <w:p w14:paraId="7D02EA82">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20</w:t>
                  </w:r>
                </w:p>
              </w:tc>
              <w:tc>
                <w:tcPr>
                  <w:tcW w:w="986" w:type="dxa"/>
                  <w:tcBorders>
                    <w:top w:val="single" w:color="auto" w:sz="4" w:space="0"/>
                    <w:left w:val="single" w:color="auto" w:sz="4" w:space="0"/>
                    <w:bottom w:val="single" w:color="auto" w:sz="4" w:space="0"/>
                    <w:right w:val="nil"/>
                  </w:tcBorders>
                  <w:shd w:val="clear"/>
                  <w:vAlign w:val="center"/>
                </w:tcPr>
                <w:p w14:paraId="6145A3E8">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 xml:space="preserve">0.018 </w:t>
                  </w:r>
                </w:p>
              </w:tc>
            </w:tr>
            <w:tr w14:paraId="6A24334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333" w:type="dxa"/>
                  <w:vMerge w:val="continue"/>
                  <w:tcBorders>
                    <w:top w:val="single" w:color="auto" w:sz="4" w:space="0"/>
                    <w:left w:val="nil"/>
                    <w:bottom w:val="single" w:color="auto" w:sz="12" w:space="0"/>
                    <w:right w:val="single" w:color="auto" w:sz="4" w:space="0"/>
                  </w:tcBorders>
                  <w:shd w:val="clear"/>
                  <w:vAlign w:val="center"/>
                </w:tcPr>
                <w:p w14:paraId="45859347">
                  <w:pPr>
                    <w:rPr>
                      <w:rFonts w:hint="default" w:ascii="Calibri" w:hAnsi="Calibri" w:cs="Calibri"/>
                      <w:sz w:val="20"/>
                      <w:szCs w:val="20"/>
                    </w:rPr>
                  </w:pPr>
                </w:p>
              </w:tc>
              <w:tc>
                <w:tcPr>
                  <w:tcW w:w="993" w:type="dxa"/>
                  <w:tcBorders>
                    <w:top w:val="single" w:color="auto" w:sz="4" w:space="0"/>
                    <w:left w:val="single" w:color="auto" w:sz="4" w:space="0"/>
                    <w:bottom w:val="single" w:color="auto" w:sz="4" w:space="0"/>
                    <w:right w:val="single" w:color="auto" w:sz="4" w:space="0"/>
                  </w:tcBorders>
                  <w:shd w:val="clear"/>
                  <w:vAlign w:val="center"/>
                </w:tcPr>
                <w:p w14:paraId="101F58D3">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SS</w:t>
                  </w:r>
                </w:p>
              </w:tc>
              <w:tc>
                <w:tcPr>
                  <w:tcW w:w="992" w:type="dxa"/>
                  <w:tcBorders>
                    <w:top w:val="single" w:color="auto" w:sz="4" w:space="0"/>
                    <w:left w:val="single" w:color="auto" w:sz="4" w:space="0"/>
                    <w:bottom w:val="single" w:color="auto" w:sz="4" w:space="0"/>
                    <w:right w:val="single" w:color="auto" w:sz="4" w:space="0"/>
                  </w:tcBorders>
                  <w:shd w:val="clear"/>
                  <w:vAlign w:val="center"/>
                </w:tcPr>
                <w:p w14:paraId="419EBCBF">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450</w:t>
                  </w:r>
                </w:p>
              </w:tc>
              <w:tc>
                <w:tcPr>
                  <w:tcW w:w="850" w:type="dxa"/>
                  <w:tcBorders>
                    <w:top w:val="single" w:color="auto" w:sz="4" w:space="0"/>
                    <w:left w:val="single" w:color="auto" w:sz="4" w:space="0"/>
                    <w:bottom w:val="single" w:color="auto" w:sz="4" w:space="0"/>
                    <w:right w:val="single" w:color="auto" w:sz="4" w:space="0"/>
                  </w:tcBorders>
                  <w:shd w:val="clear"/>
                  <w:vAlign w:val="center"/>
                </w:tcPr>
                <w:p w14:paraId="66477900">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 xml:space="preserve">0.395 </w:t>
                  </w:r>
                </w:p>
              </w:tc>
              <w:tc>
                <w:tcPr>
                  <w:tcW w:w="820" w:type="dxa"/>
                  <w:tcBorders>
                    <w:top w:val="single" w:color="auto" w:sz="4" w:space="0"/>
                    <w:left w:val="single" w:color="auto" w:sz="4" w:space="0"/>
                    <w:bottom w:val="single" w:color="auto" w:sz="4" w:space="0"/>
                    <w:right w:val="single" w:color="auto" w:sz="4" w:space="0"/>
                  </w:tcBorders>
                  <w:shd w:val="clear"/>
                  <w:vAlign w:val="center"/>
                </w:tcPr>
                <w:p w14:paraId="1E301583">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400</w:t>
                  </w:r>
                </w:p>
              </w:tc>
              <w:tc>
                <w:tcPr>
                  <w:tcW w:w="1023" w:type="dxa"/>
                  <w:tcBorders>
                    <w:top w:val="single" w:color="auto" w:sz="4" w:space="0"/>
                    <w:left w:val="single" w:color="auto" w:sz="4" w:space="0"/>
                    <w:bottom w:val="single" w:color="auto" w:sz="4" w:space="0"/>
                    <w:right w:val="single" w:color="auto" w:sz="4" w:space="0"/>
                  </w:tcBorders>
                  <w:shd w:val="clear"/>
                  <w:vAlign w:val="center"/>
                </w:tcPr>
                <w:p w14:paraId="1BF9A5F4">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 xml:space="preserve">0.351 </w:t>
                  </w:r>
                </w:p>
              </w:tc>
              <w:tc>
                <w:tcPr>
                  <w:tcW w:w="949" w:type="dxa"/>
                  <w:tcBorders>
                    <w:top w:val="single" w:color="auto" w:sz="4" w:space="0"/>
                    <w:left w:val="single" w:color="auto" w:sz="4" w:space="0"/>
                    <w:bottom w:val="single" w:color="auto" w:sz="4" w:space="0"/>
                    <w:right w:val="single" w:color="auto" w:sz="4" w:space="0"/>
                  </w:tcBorders>
                  <w:shd w:val="clear"/>
                  <w:vAlign w:val="center"/>
                </w:tcPr>
                <w:p w14:paraId="25D9A42A">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20</w:t>
                  </w:r>
                </w:p>
              </w:tc>
              <w:tc>
                <w:tcPr>
                  <w:tcW w:w="986" w:type="dxa"/>
                  <w:tcBorders>
                    <w:top w:val="single" w:color="auto" w:sz="4" w:space="0"/>
                    <w:left w:val="single" w:color="auto" w:sz="4" w:space="0"/>
                    <w:bottom w:val="single" w:color="auto" w:sz="4" w:space="0"/>
                    <w:right w:val="nil"/>
                  </w:tcBorders>
                  <w:shd w:val="clear"/>
                  <w:vAlign w:val="center"/>
                </w:tcPr>
                <w:p w14:paraId="25216047">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 xml:space="preserve">0.018 </w:t>
                  </w:r>
                </w:p>
              </w:tc>
            </w:tr>
            <w:tr w14:paraId="4E8D4E0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333" w:type="dxa"/>
                  <w:vMerge w:val="continue"/>
                  <w:tcBorders>
                    <w:top w:val="single" w:color="auto" w:sz="4" w:space="0"/>
                    <w:left w:val="nil"/>
                    <w:bottom w:val="single" w:color="auto" w:sz="12" w:space="0"/>
                    <w:right w:val="single" w:color="auto" w:sz="4" w:space="0"/>
                  </w:tcBorders>
                  <w:shd w:val="clear"/>
                  <w:vAlign w:val="center"/>
                </w:tcPr>
                <w:p w14:paraId="5A88166C">
                  <w:pPr>
                    <w:rPr>
                      <w:rFonts w:hint="default" w:ascii="Calibri" w:hAnsi="Calibri" w:cs="Calibri"/>
                      <w:sz w:val="20"/>
                      <w:szCs w:val="20"/>
                    </w:rPr>
                  </w:pPr>
                </w:p>
              </w:tc>
              <w:tc>
                <w:tcPr>
                  <w:tcW w:w="993" w:type="dxa"/>
                  <w:tcBorders>
                    <w:top w:val="single" w:color="auto" w:sz="4" w:space="0"/>
                    <w:left w:val="single" w:color="auto" w:sz="4" w:space="0"/>
                    <w:bottom w:val="single" w:color="auto" w:sz="12" w:space="0"/>
                    <w:right w:val="single" w:color="auto" w:sz="4" w:space="0"/>
                  </w:tcBorders>
                  <w:shd w:val="clear"/>
                  <w:vAlign w:val="center"/>
                </w:tcPr>
                <w:p w14:paraId="0E92B420">
                  <w:pPr>
                    <w:keepNext w:val="0"/>
                    <w:keepLines w:val="0"/>
                    <w:widowControl/>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氨氮</w:t>
                  </w:r>
                </w:p>
              </w:tc>
              <w:tc>
                <w:tcPr>
                  <w:tcW w:w="992" w:type="dxa"/>
                  <w:tcBorders>
                    <w:top w:val="single" w:color="auto" w:sz="4" w:space="0"/>
                    <w:left w:val="single" w:color="auto" w:sz="4" w:space="0"/>
                    <w:bottom w:val="single" w:color="auto" w:sz="12" w:space="0"/>
                    <w:right w:val="single" w:color="auto" w:sz="4" w:space="0"/>
                  </w:tcBorders>
                  <w:shd w:val="clear"/>
                  <w:vAlign w:val="center"/>
                </w:tcPr>
                <w:p w14:paraId="000B7701">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50</w:t>
                  </w:r>
                </w:p>
              </w:tc>
              <w:tc>
                <w:tcPr>
                  <w:tcW w:w="850" w:type="dxa"/>
                  <w:tcBorders>
                    <w:top w:val="single" w:color="auto" w:sz="4" w:space="0"/>
                    <w:left w:val="single" w:color="auto" w:sz="4" w:space="0"/>
                    <w:bottom w:val="single" w:color="auto" w:sz="12" w:space="0"/>
                    <w:right w:val="single" w:color="auto" w:sz="4" w:space="0"/>
                  </w:tcBorders>
                  <w:shd w:val="clear"/>
                  <w:vAlign w:val="center"/>
                </w:tcPr>
                <w:p w14:paraId="464A53E2">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 xml:space="preserve">0.044 </w:t>
                  </w:r>
                </w:p>
              </w:tc>
              <w:tc>
                <w:tcPr>
                  <w:tcW w:w="820" w:type="dxa"/>
                  <w:tcBorders>
                    <w:top w:val="single" w:color="auto" w:sz="4" w:space="0"/>
                    <w:left w:val="single" w:color="auto" w:sz="4" w:space="0"/>
                    <w:bottom w:val="single" w:color="auto" w:sz="12" w:space="0"/>
                    <w:right w:val="single" w:color="auto" w:sz="4" w:space="0"/>
                  </w:tcBorders>
                  <w:shd w:val="clear"/>
                  <w:vAlign w:val="center"/>
                </w:tcPr>
                <w:p w14:paraId="274A71BE">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45</w:t>
                  </w:r>
                  <w:r>
                    <w:rPr>
                      <w:rFonts w:hint="default" w:ascii="Times New Roman" w:hAnsi="Calibri" w:eastAsia="宋体" w:cs="Times New Roman"/>
                      <w:snapToGrid w:val="0"/>
                      <w:color w:val="000000"/>
                      <w:kern w:val="2"/>
                      <w:sz w:val="21"/>
                      <w:szCs w:val="21"/>
                      <w:bdr w:val="none" w:color="auto" w:sz="0" w:space="0"/>
                      <w:vertAlign w:val="superscript"/>
                      <w:lang w:val="en-US" w:eastAsia="zh-CN" w:bidi="ar"/>
                    </w:rPr>
                    <w:t>*</w:t>
                  </w:r>
                </w:p>
              </w:tc>
              <w:tc>
                <w:tcPr>
                  <w:tcW w:w="1023" w:type="dxa"/>
                  <w:tcBorders>
                    <w:top w:val="single" w:color="auto" w:sz="4" w:space="0"/>
                    <w:left w:val="single" w:color="auto" w:sz="4" w:space="0"/>
                    <w:bottom w:val="single" w:color="auto" w:sz="12" w:space="0"/>
                    <w:right w:val="single" w:color="auto" w:sz="4" w:space="0"/>
                  </w:tcBorders>
                  <w:shd w:val="clear"/>
                  <w:vAlign w:val="center"/>
                </w:tcPr>
                <w:p w14:paraId="5696A8A2">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 xml:space="preserve">0.039 </w:t>
                  </w:r>
                </w:p>
              </w:tc>
              <w:tc>
                <w:tcPr>
                  <w:tcW w:w="949" w:type="dxa"/>
                  <w:tcBorders>
                    <w:top w:val="single" w:color="auto" w:sz="4" w:space="0"/>
                    <w:left w:val="single" w:color="auto" w:sz="4" w:space="0"/>
                    <w:bottom w:val="single" w:color="auto" w:sz="12" w:space="0"/>
                    <w:right w:val="single" w:color="auto" w:sz="4" w:space="0"/>
                  </w:tcBorders>
                  <w:shd w:val="clear"/>
                  <w:vAlign w:val="center"/>
                </w:tcPr>
                <w:p w14:paraId="40131315">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8</w:t>
                  </w:r>
                </w:p>
              </w:tc>
              <w:tc>
                <w:tcPr>
                  <w:tcW w:w="986" w:type="dxa"/>
                  <w:tcBorders>
                    <w:top w:val="single" w:color="auto" w:sz="4" w:space="0"/>
                    <w:left w:val="single" w:color="auto" w:sz="4" w:space="0"/>
                    <w:bottom w:val="single" w:color="auto" w:sz="12" w:space="0"/>
                    <w:right w:val="nil"/>
                  </w:tcBorders>
                  <w:shd w:val="clear"/>
                  <w:vAlign w:val="center"/>
                </w:tcPr>
                <w:p w14:paraId="6BFC42E1">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 xml:space="preserve">0.007 </w:t>
                  </w:r>
                </w:p>
              </w:tc>
            </w:tr>
          </w:tbl>
          <w:p w14:paraId="2EFCC231">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Calibri" w:cs="Times New Roman"/>
                <w:b/>
                <w:bCs w:val="0"/>
                <w:color w:val="000000"/>
                <w:sz w:val="24"/>
                <w:szCs w:val="24"/>
                <w:bdr w:val="none" w:color="auto" w:sz="0" w:space="0"/>
                <w:lang w:val="en-US"/>
              </w:rPr>
            </w:pPr>
            <w:r>
              <w:rPr>
                <w:rFonts w:hint="default" w:ascii="Times New Roman" w:hAnsi="Times New Roman" w:eastAsia="宋体" w:cs="Times New Roman"/>
                <w:b/>
                <w:bCs w:val="0"/>
                <w:color w:val="000000"/>
                <w:kern w:val="2"/>
                <w:sz w:val="24"/>
                <w:szCs w:val="24"/>
                <w:bdr w:val="none" w:color="auto" w:sz="0" w:space="0"/>
                <w:lang w:val="en-US" w:eastAsia="zh-CN" w:bidi="ar"/>
              </w:rPr>
              <w:t xml:space="preserve">4.3.3 </w:t>
            </w:r>
            <w:r>
              <w:rPr>
                <w:rFonts w:hint="eastAsia" w:ascii="Times New Roman" w:hAnsi="Times New Roman" w:eastAsia="宋体" w:cs="宋体"/>
                <w:b/>
                <w:bCs w:val="0"/>
                <w:color w:val="000000"/>
                <w:kern w:val="2"/>
                <w:sz w:val="24"/>
                <w:szCs w:val="24"/>
                <w:bdr w:val="none" w:color="auto" w:sz="0" w:space="0"/>
                <w:lang w:val="en-US" w:eastAsia="zh-CN" w:bidi="ar"/>
              </w:rPr>
              <w:t>废水</w:t>
            </w:r>
            <w:r>
              <w:rPr>
                <w:rFonts w:hint="eastAsia" w:ascii="Calibri" w:hAnsi="Calibri" w:eastAsia="宋体" w:cs="宋体"/>
                <w:b/>
                <w:bCs w:val="0"/>
                <w:color w:val="000000"/>
                <w:kern w:val="2"/>
                <w:sz w:val="24"/>
                <w:szCs w:val="24"/>
                <w:bdr w:val="none" w:color="auto" w:sz="0" w:space="0"/>
                <w:lang w:val="en-US" w:eastAsia="zh-CN" w:bidi="ar"/>
              </w:rPr>
              <w:t>污染防治措施</w:t>
            </w:r>
            <w:r>
              <w:rPr>
                <w:rFonts w:hint="eastAsia" w:ascii="Times New Roman" w:hAnsi="Calibri" w:eastAsia="宋体" w:cs="宋体"/>
                <w:b/>
                <w:bCs w:val="0"/>
                <w:color w:val="000000"/>
                <w:kern w:val="2"/>
                <w:sz w:val="24"/>
                <w:szCs w:val="24"/>
                <w:bdr w:val="none" w:color="auto" w:sz="0" w:space="0"/>
                <w:lang w:val="en-US" w:eastAsia="zh-CN" w:bidi="ar"/>
              </w:rPr>
              <w:t>可行性分析</w:t>
            </w:r>
          </w:p>
          <w:p w14:paraId="2CE14CFC">
            <w:pPr>
              <w:pStyle w:val="100"/>
              <w:widowControl/>
              <w:spacing w:line="440" w:lineRule="exact"/>
              <w:ind w:left="0" w:firstLine="456"/>
              <w:jc w:val="both"/>
              <w:rPr>
                <w:bCs w:val="0"/>
                <w:color w:val="000000"/>
                <w:spacing w:val="-6"/>
                <w:bdr w:val="none" w:color="auto" w:sz="0" w:space="0"/>
                <w:lang w:val="en-US" w:eastAsia="zh-CN"/>
              </w:rPr>
            </w:pPr>
            <w:r>
              <w:rPr>
                <w:rFonts w:hint="eastAsia" w:ascii="Times New Roman" w:hAnsi="宋体" w:eastAsia="宋体" w:cs="宋体"/>
                <w:bCs w:val="0"/>
                <w:color w:val="000000"/>
                <w:spacing w:val="-6"/>
                <w:bdr w:val="none" w:color="auto" w:sz="0" w:space="0"/>
                <w:lang w:val="en-US" w:eastAsia="zh-CN"/>
              </w:rPr>
              <w:t>（</w:t>
            </w:r>
            <w:r>
              <w:rPr>
                <w:bCs w:val="0"/>
                <w:color w:val="000000"/>
                <w:spacing w:val="-6"/>
                <w:bdr w:val="none" w:color="auto" w:sz="0" w:space="0"/>
                <w:lang w:val="en-US" w:eastAsia="zh-CN"/>
              </w:rPr>
              <w:t>1</w:t>
            </w:r>
            <w:r>
              <w:rPr>
                <w:rFonts w:hint="eastAsia" w:ascii="Times New Roman" w:hAnsi="宋体" w:eastAsia="宋体" w:cs="宋体"/>
                <w:bCs w:val="0"/>
                <w:color w:val="000000"/>
                <w:spacing w:val="-6"/>
                <w:bdr w:val="none" w:color="auto" w:sz="0" w:space="0"/>
                <w:lang w:val="en-US" w:eastAsia="zh-CN"/>
              </w:rPr>
              <w:t>）依托厂区污水处理设施可行性分析</w:t>
            </w:r>
          </w:p>
          <w:p w14:paraId="4D0D9096">
            <w:pPr>
              <w:pStyle w:val="100"/>
              <w:widowControl/>
              <w:jc w:val="both"/>
              <w:rPr>
                <w:bCs w:val="0"/>
                <w:color w:val="000000"/>
                <w:bdr w:val="none" w:color="auto" w:sz="0" w:space="0"/>
                <w:lang w:val="en-US" w:eastAsia="zh-CN"/>
              </w:rPr>
            </w:pPr>
            <w:r>
              <w:rPr>
                <w:rFonts w:hint="eastAsia" w:ascii="Times New Roman" w:hAnsi="宋体" w:eastAsia="宋体" w:cs="宋体"/>
                <w:bCs w:val="0"/>
                <w:color w:val="000000"/>
                <w:bdr w:val="none" w:color="auto" w:sz="0" w:space="0"/>
                <w:lang w:val="en-US" w:eastAsia="zh-CN"/>
              </w:rPr>
              <w:t>扩建项目所在的盈田•合川工谷已建成</w:t>
            </w:r>
            <w:r>
              <w:rPr>
                <w:bCs w:val="0"/>
                <w:color w:val="000000"/>
                <w:bdr w:val="none" w:color="auto" w:sz="0" w:space="0"/>
                <w:lang w:val="en-US" w:eastAsia="zh-CN"/>
              </w:rPr>
              <w:t>1</w:t>
            </w:r>
            <w:r>
              <w:rPr>
                <w:rFonts w:hint="eastAsia" w:ascii="Times New Roman" w:hAnsi="宋体" w:eastAsia="宋体" w:cs="宋体"/>
                <w:bCs w:val="0"/>
                <w:color w:val="000000"/>
                <w:bdr w:val="none" w:color="auto" w:sz="0" w:space="0"/>
                <w:lang w:val="en-US" w:eastAsia="zh-CN"/>
              </w:rPr>
              <w:t>套</w:t>
            </w:r>
            <w:r>
              <w:rPr>
                <w:rFonts w:hint="eastAsia" w:ascii="Times New Roman" w:hAnsi="宋体" w:eastAsia="宋体" w:cs="宋体"/>
                <w:color w:val="000000"/>
                <w:kern w:val="0"/>
                <w:bdr w:val="none" w:color="auto" w:sz="0" w:space="0"/>
                <w:lang w:val="en-US" w:eastAsia="zh-CN"/>
              </w:rPr>
              <w:t>污水处理设施处理，处理能力为</w:t>
            </w:r>
            <w:r>
              <w:rPr>
                <w:color w:val="000000"/>
                <w:kern w:val="0"/>
                <w:bdr w:val="none" w:color="auto" w:sz="0" w:space="0"/>
                <w:lang w:val="en-US" w:eastAsia="zh-CN"/>
              </w:rPr>
              <w:t>400m</w:t>
            </w:r>
            <w:r>
              <w:rPr>
                <w:color w:val="000000"/>
                <w:kern w:val="0"/>
                <w:bdr w:val="none" w:color="auto" w:sz="0" w:space="0"/>
                <w:vertAlign w:val="superscript"/>
                <w:lang w:val="en-US" w:eastAsia="zh-CN"/>
              </w:rPr>
              <w:t>3</w:t>
            </w:r>
            <w:r>
              <w:rPr>
                <w:color w:val="000000"/>
                <w:kern w:val="0"/>
                <w:bdr w:val="none" w:color="auto" w:sz="0" w:space="0"/>
                <w:lang w:val="en-US" w:eastAsia="zh-CN"/>
              </w:rPr>
              <w:t>/d</w:t>
            </w:r>
            <w:r>
              <w:rPr>
                <w:rFonts w:hint="eastAsia" w:ascii="Times New Roman" w:hAnsi="宋体" w:eastAsia="宋体" w:cs="宋体"/>
                <w:color w:val="000000"/>
                <w:kern w:val="0"/>
                <w:bdr w:val="none" w:color="auto" w:sz="0" w:space="0"/>
                <w:lang w:val="en-US" w:eastAsia="zh-CN"/>
              </w:rPr>
              <w:t>，</w:t>
            </w:r>
            <w:r>
              <w:rPr>
                <w:rFonts w:hint="eastAsia" w:ascii="Times New Roman" w:hAnsi="宋体" w:eastAsia="宋体" w:cs="宋体"/>
                <w:bCs w:val="0"/>
                <w:color w:val="000000"/>
                <w:bdr w:val="none" w:color="auto" w:sz="0" w:space="0"/>
                <w:lang w:val="en-US" w:eastAsia="zh-CN"/>
              </w:rPr>
              <w:t>用于处理厂区内各企业产生的生活和生产污水；</w:t>
            </w:r>
            <w:r>
              <w:rPr>
                <w:rFonts w:hint="eastAsia" w:ascii="Times New Roman" w:hAnsi="宋体" w:eastAsia="宋体" w:cs="宋体"/>
                <w:color w:val="000000"/>
                <w:kern w:val="0"/>
                <w:bdr w:val="none" w:color="auto" w:sz="0" w:space="0"/>
                <w:lang w:val="en-US" w:eastAsia="zh-CN"/>
              </w:rPr>
              <w:t>该污水处理设施采用厌氧</w:t>
            </w:r>
            <w:r>
              <w:rPr>
                <w:color w:val="000000"/>
                <w:kern w:val="0"/>
                <w:bdr w:val="none" w:color="auto" w:sz="0" w:space="0"/>
                <w:lang w:val="en-US" w:eastAsia="zh-CN"/>
              </w:rPr>
              <w:t>+</w:t>
            </w:r>
            <w:r>
              <w:rPr>
                <w:rFonts w:hint="eastAsia" w:ascii="Times New Roman" w:hAnsi="宋体" w:eastAsia="宋体" w:cs="宋体"/>
                <w:color w:val="000000"/>
                <w:kern w:val="0"/>
                <w:bdr w:val="none" w:color="auto" w:sz="0" w:space="0"/>
                <w:lang w:val="en-US" w:eastAsia="zh-CN"/>
              </w:rPr>
              <w:t>好氧处理工艺，</w:t>
            </w:r>
            <w:r>
              <w:rPr>
                <w:rFonts w:hint="eastAsia" w:ascii="Times New Roman" w:hAnsi="宋体" w:eastAsia="宋体" w:cs="宋体"/>
                <w:bCs w:val="0"/>
                <w:color w:val="000000"/>
                <w:bdr w:val="none" w:color="auto" w:sz="0" w:space="0"/>
                <w:lang w:val="en-US" w:eastAsia="zh-CN"/>
              </w:rPr>
              <w:t>已通过竣工验收并处于运行状态。目前尚有</w:t>
            </w:r>
            <w:r>
              <w:rPr>
                <w:bCs w:val="0"/>
                <w:color w:val="000000"/>
                <w:bdr w:val="none" w:color="auto" w:sz="0" w:space="0"/>
                <w:lang w:val="en-US" w:eastAsia="zh-CN"/>
              </w:rPr>
              <w:t>180m</w:t>
            </w:r>
            <w:r>
              <w:rPr>
                <w:bCs w:val="0"/>
                <w:color w:val="000000"/>
                <w:bdr w:val="none" w:color="auto" w:sz="0" w:space="0"/>
                <w:vertAlign w:val="superscript"/>
                <w:lang w:val="en-US" w:eastAsia="zh-CN"/>
              </w:rPr>
              <w:t>3</w:t>
            </w:r>
            <w:r>
              <w:rPr>
                <w:bCs w:val="0"/>
                <w:color w:val="000000"/>
                <w:bdr w:val="none" w:color="auto" w:sz="0" w:space="0"/>
                <w:lang w:val="en-US" w:eastAsia="zh-CN"/>
              </w:rPr>
              <w:t>/d</w:t>
            </w:r>
            <w:r>
              <w:rPr>
                <w:rFonts w:hint="eastAsia" w:ascii="Times New Roman" w:hAnsi="宋体" w:eastAsia="宋体" w:cs="宋体"/>
                <w:bCs w:val="0"/>
                <w:color w:val="000000"/>
                <w:bdr w:val="none" w:color="auto" w:sz="0" w:space="0"/>
                <w:lang w:val="en-US" w:eastAsia="zh-CN"/>
              </w:rPr>
              <w:t>富余处理能力，且运行情况良好，扩建项后全厂生活污水量约</w:t>
            </w:r>
            <w:r>
              <w:rPr>
                <w:bCs w:val="0"/>
                <w:color w:val="000000"/>
                <w:bdr w:val="none" w:color="auto" w:sz="0" w:space="0"/>
                <w:lang w:val="en-US" w:eastAsia="zh-CN"/>
              </w:rPr>
              <w:t>2.925m</w:t>
            </w:r>
            <w:r>
              <w:rPr>
                <w:bCs w:val="0"/>
                <w:color w:val="000000"/>
                <w:bdr w:val="none" w:color="auto" w:sz="0" w:space="0"/>
                <w:vertAlign w:val="superscript"/>
                <w:lang w:val="en-US" w:eastAsia="zh-CN"/>
              </w:rPr>
              <w:t>3</w:t>
            </w:r>
            <w:r>
              <w:rPr>
                <w:bCs w:val="0"/>
                <w:color w:val="000000"/>
                <w:bdr w:val="none" w:color="auto" w:sz="0" w:space="0"/>
                <w:lang w:val="en-US" w:eastAsia="zh-CN"/>
              </w:rPr>
              <w:t>/d</w:t>
            </w:r>
            <w:r>
              <w:rPr>
                <w:rFonts w:hint="eastAsia" w:ascii="Times New Roman" w:hAnsi="宋体" w:eastAsia="宋体" w:cs="宋体"/>
                <w:bCs w:val="0"/>
                <w:color w:val="000000"/>
                <w:bdr w:val="none" w:color="auto" w:sz="0" w:space="0"/>
                <w:lang w:val="en-US" w:eastAsia="zh-CN"/>
              </w:rPr>
              <w:t>，</w:t>
            </w:r>
            <w:r>
              <w:rPr>
                <w:rFonts w:hint="eastAsia" w:ascii="Times New Roman" w:hAnsi="宋体" w:eastAsia="宋体" w:cs="宋体"/>
                <w:color w:val="000000"/>
                <w:bdr w:val="none" w:color="auto" w:sz="0" w:space="0"/>
                <w:lang w:val="en-US" w:eastAsia="zh-CN"/>
              </w:rPr>
              <w:t>水质较为简单，主要污染因子为</w:t>
            </w:r>
            <w:r>
              <w:rPr>
                <w:color w:val="000000"/>
                <w:bdr w:val="none" w:color="auto" w:sz="0" w:space="0"/>
                <w:lang w:val="en-US" w:eastAsia="zh-CN"/>
              </w:rPr>
              <w:t>COD</w:t>
            </w:r>
            <w:r>
              <w:rPr>
                <w:rFonts w:hint="eastAsia" w:ascii="Times New Roman" w:hAnsi="宋体" w:eastAsia="宋体" w:cs="宋体"/>
                <w:color w:val="000000"/>
                <w:bdr w:val="none" w:color="auto" w:sz="0" w:space="0"/>
                <w:lang w:val="en-US" w:eastAsia="zh-CN"/>
              </w:rPr>
              <w:t>、</w:t>
            </w:r>
            <w:r>
              <w:rPr>
                <w:snapToGrid w:val="0"/>
                <w:color w:val="000000"/>
                <w:szCs w:val="21"/>
                <w:bdr w:val="none" w:color="auto" w:sz="0" w:space="0"/>
                <w:lang w:val="en-US" w:eastAsia="zh-CN"/>
              </w:rPr>
              <w:t>BOD</w:t>
            </w:r>
            <w:r>
              <w:rPr>
                <w:snapToGrid w:val="0"/>
                <w:color w:val="000000"/>
                <w:szCs w:val="21"/>
                <w:bdr w:val="none" w:color="auto" w:sz="0" w:space="0"/>
                <w:vertAlign w:val="subscript"/>
                <w:lang w:val="en-US" w:eastAsia="zh-CN"/>
              </w:rPr>
              <w:t>5</w:t>
            </w:r>
            <w:r>
              <w:rPr>
                <w:rFonts w:hint="eastAsia" w:ascii="Times New Roman" w:hAnsi="宋体" w:eastAsia="宋体" w:cs="宋体"/>
                <w:snapToGrid w:val="0"/>
                <w:color w:val="000000"/>
                <w:szCs w:val="21"/>
                <w:bdr w:val="none" w:color="auto" w:sz="0" w:space="0"/>
                <w:lang w:val="en-US" w:eastAsia="zh-CN"/>
              </w:rPr>
              <w:t>、</w:t>
            </w:r>
            <w:r>
              <w:rPr>
                <w:color w:val="000000"/>
                <w:bdr w:val="none" w:color="auto" w:sz="0" w:space="0"/>
                <w:lang w:val="en-US" w:eastAsia="zh-CN"/>
              </w:rPr>
              <w:t>SS</w:t>
            </w:r>
            <w:r>
              <w:rPr>
                <w:rFonts w:hint="eastAsia" w:ascii="Times New Roman" w:hAnsi="宋体" w:eastAsia="宋体" w:cs="宋体"/>
                <w:color w:val="000000"/>
                <w:bdr w:val="none" w:color="auto" w:sz="0" w:space="0"/>
                <w:lang w:val="en-US" w:eastAsia="zh-CN"/>
              </w:rPr>
              <w:t>、</w:t>
            </w:r>
            <w:r>
              <w:rPr>
                <w:color w:val="000000"/>
                <w:bdr w:val="none" w:color="auto" w:sz="0" w:space="0"/>
                <w:lang w:val="en-US" w:eastAsia="zh-CN"/>
              </w:rPr>
              <w:t>NH</w:t>
            </w:r>
            <w:r>
              <w:rPr>
                <w:color w:val="000000"/>
                <w:bdr w:val="none" w:color="auto" w:sz="0" w:space="0"/>
                <w:vertAlign w:val="subscript"/>
                <w:lang w:val="en-US" w:eastAsia="zh-CN"/>
              </w:rPr>
              <w:t>3</w:t>
            </w:r>
            <w:r>
              <w:rPr>
                <w:color w:val="000000"/>
                <w:bdr w:val="none" w:color="auto" w:sz="0" w:space="0"/>
                <w:lang w:val="en-US" w:eastAsia="zh-CN"/>
              </w:rPr>
              <w:t>-N</w:t>
            </w:r>
            <w:r>
              <w:rPr>
                <w:rFonts w:hint="eastAsia" w:ascii="Times New Roman" w:hAnsi="宋体" w:eastAsia="宋体" w:cs="宋体"/>
                <w:color w:val="000000"/>
                <w:bdr w:val="none" w:color="auto" w:sz="0" w:space="0"/>
                <w:lang w:val="en-US" w:eastAsia="zh-CN"/>
              </w:rPr>
              <w:t>。</w:t>
            </w:r>
            <w:r>
              <w:rPr>
                <w:rFonts w:hint="eastAsia" w:ascii="Times New Roman" w:hAnsi="宋体" w:eastAsia="宋体" w:cs="宋体"/>
                <w:bCs w:val="0"/>
                <w:color w:val="000000"/>
                <w:bdr w:val="none" w:color="auto" w:sz="0" w:space="0"/>
                <w:lang w:val="en-US" w:eastAsia="zh-CN"/>
              </w:rPr>
              <w:t>盈田•合川工谷现有</w:t>
            </w:r>
            <w:r>
              <w:rPr>
                <w:rFonts w:hint="eastAsia" w:ascii="Times New Roman" w:hAnsi="宋体" w:eastAsia="宋体" w:cs="宋体"/>
                <w:color w:val="000000"/>
                <w:kern w:val="0"/>
                <w:bdr w:val="none" w:color="auto" w:sz="0" w:space="0"/>
                <w:lang w:val="en-US" w:eastAsia="zh-CN"/>
              </w:rPr>
              <w:t>污水处理设施处理</w:t>
            </w:r>
            <w:r>
              <w:rPr>
                <w:rFonts w:hint="eastAsia" w:ascii="Times New Roman" w:hAnsi="宋体" w:eastAsia="宋体" w:cs="宋体"/>
                <w:bCs w:val="0"/>
                <w:color w:val="000000"/>
                <w:bdr w:val="none" w:color="auto" w:sz="0" w:space="0"/>
                <w:lang w:val="en-US" w:eastAsia="zh-CN"/>
              </w:rPr>
              <w:t>能够满足扩建项目生活污水的承纳要求，最终实现达标排放。同时，企业与污水处理设施运营的责任主体单位（</w:t>
            </w:r>
            <w:r>
              <w:rPr>
                <w:rFonts w:hint="eastAsia" w:ascii="Times New Roman" w:hAnsi="宋体" w:eastAsia="宋体" w:cs="宋体"/>
                <w:color w:val="000000"/>
                <w:bdr w:val="none" w:color="auto" w:sz="0" w:space="0"/>
                <w:lang w:val="en-US" w:eastAsia="zh-CN"/>
              </w:rPr>
              <w:t>重庆市合川信息安全产业发展有限公司</w:t>
            </w:r>
            <w:r>
              <w:rPr>
                <w:rFonts w:hint="eastAsia" w:ascii="Times New Roman" w:hAnsi="宋体" w:eastAsia="宋体" w:cs="宋体"/>
                <w:bCs w:val="0"/>
                <w:color w:val="000000"/>
                <w:bdr w:val="none" w:color="auto" w:sz="0" w:space="0"/>
                <w:lang w:val="en-US" w:eastAsia="zh-CN"/>
              </w:rPr>
              <w:t>）签订有污水接纳协议。</w:t>
            </w:r>
          </w:p>
          <w:p w14:paraId="14C26FB7">
            <w:pPr>
              <w:pStyle w:val="100"/>
              <w:widowControl/>
              <w:jc w:val="both"/>
              <w:rPr>
                <w:bCs w:val="0"/>
                <w:color w:val="000000"/>
                <w:bdr w:val="none" w:color="auto" w:sz="0" w:space="0"/>
                <w:lang w:val="en-US" w:eastAsia="zh-CN"/>
              </w:rPr>
            </w:pPr>
            <w:r>
              <w:rPr>
                <w:rFonts w:hint="eastAsia" w:ascii="Times New Roman" w:hAnsi="宋体" w:eastAsia="宋体" w:cs="宋体"/>
                <w:bCs w:val="0"/>
                <w:color w:val="000000"/>
                <w:bdr w:val="none" w:color="auto" w:sz="0" w:space="0"/>
                <w:lang w:val="en-US" w:eastAsia="zh-CN"/>
              </w:rPr>
              <w:t>综上，</w:t>
            </w:r>
            <w:r>
              <w:rPr>
                <w:rFonts w:hint="eastAsia" w:ascii="Times New Roman" w:hAnsi="宋体" w:eastAsia="宋体" w:cs="宋体"/>
                <w:color w:val="000000"/>
                <w:bdr w:val="none" w:color="auto" w:sz="0" w:space="0"/>
                <w:lang w:val="en-US" w:eastAsia="zh-CN"/>
              </w:rPr>
              <w:t>扩建项目废水依托厂区现有生化池处理，水质及水量上是可行的。</w:t>
            </w:r>
          </w:p>
          <w:p w14:paraId="6FABDCAD">
            <w:pPr>
              <w:pStyle w:val="70"/>
              <w:widowControl/>
              <w:spacing w:line="440" w:lineRule="exact"/>
              <w:rPr>
                <w:b w:val="0"/>
                <w:bCs w:val="0"/>
                <w:color w:val="000000"/>
                <w:bdr w:val="none" w:color="auto" w:sz="0" w:space="0"/>
                <w:lang w:val="en-US"/>
              </w:rPr>
            </w:pPr>
            <w:r>
              <w:rPr>
                <w:rFonts w:hint="eastAsia" w:ascii="Times New Roman" w:hAnsi="Times New Roman" w:eastAsia="宋体" w:cs="宋体"/>
                <w:b w:val="0"/>
                <w:bCs w:val="0"/>
                <w:color w:val="000000"/>
                <w:bdr w:val="none" w:color="auto" w:sz="0" w:space="0"/>
              </w:rPr>
              <w:t>表</w:t>
            </w:r>
            <w:r>
              <w:rPr>
                <w:b w:val="0"/>
                <w:bCs w:val="0"/>
                <w:color w:val="000000"/>
                <w:bdr w:val="none" w:color="auto" w:sz="0" w:space="0"/>
                <w:lang w:val="en-US"/>
              </w:rPr>
              <w:t xml:space="preserve">4.3-2 </w:t>
            </w:r>
            <w:r>
              <w:rPr>
                <w:rFonts w:hint="eastAsia" w:ascii="Times New Roman" w:hAnsi="Times New Roman" w:eastAsia="宋体" w:cs="宋体"/>
                <w:b w:val="0"/>
                <w:bCs w:val="0"/>
                <w:color w:val="000000"/>
                <w:bdr w:val="none" w:color="auto" w:sz="0" w:space="0"/>
              </w:rPr>
              <w:t>废水类别、污染物及污染治理设施信息表</w:t>
            </w:r>
          </w:p>
          <w:tbl>
            <w:tblPr>
              <w:tblStyle w:val="18"/>
              <w:tblpPr w:leftFromText="180" w:rightFromText="180" w:vertAnchor="text" w:tblpXSpec="center" w:tblpY="1"/>
              <w:tblOverlap w:val="never"/>
              <w:tblW w:w="5000" w:type="pct"/>
              <w:tblInd w:w="8"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Layout w:type="fixed"/>
              <w:tblCellMar>
                <w:top w:w="0" w:type="dxa"/>
                <w:left w:w="108" w:type="dxa"/>
                <w:bottom w:w="0" w:type="dxa"/>
                <w:right w:w="108" w:type="dxa"/>
              </w:tblCellMar>
            </w:tblPr>
            <w:tblGrid>
              <w:gridCol w:w="488"/>
              <w:gridCol w:w="930"/>
              <w:gridCol w:w="709"/>
              <w:gridCol w:w="1121"/>
              <w:gridCol w:w="863"/>
              <w:gridCol w:w="679"/>
              <w:gridCol w:w="880"/>
              <w:gridCol w:w="709"/>
              <w:gridCol w:w="851"/>
              <w:gridCol w:w="716"/>
            </w:tblGrid>
            <w:tr w14:paraId="13F1D3C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CellMar>
                  <w:top w:w="0" w:type="dxa"/>
                  <w:left w:w="108" w:type="dxa"/>
                  <w:bottom w:w="0" w:type="dxa"/>
                  <w:right w:w="108" w:type="dxa"/>
                </w:tblCellMar>
              </w:tblPrEx>
              <w:trPr>
                <w:trHeight w:val="8" w:hRule="atLeast"/>
              </w:trPr>
              <w:tc>
                <w:tcPr>
                  <w:tcW w:w="488" w:type="dxa"/>
                  <w:vMerge w:val="restart"/>
                  <w:tcBorders>
                    <w:top w:val="single" w:color="auto" w:sz="12" w:space="0"/>
                    <w:left w:val="nil"/>
                    <w:bottom w:val="single" w:color="auto" w:sz="4" w:space="0"/>
                    <w:right w:val="single" w:color="auto" w:sz="4" w:space="0"/>
                  </w:tcBorders>
                  <w:shd w:val="clear"/>
                  <w:vAlign w:val="center"/>
                </w:tcPr>
                <w:p w14:paraId="5278231C">
                  <w:pPr>
                    <w:pStyle w:val="108"/>
                    <w:widowControl/>
                    <w:spacing w:line="300" w:lineRule="exact"/>
                  </w:pPr>
                  <w:r>
                    <w:rPr>
                      <w:rFonts w:hint="eastAsia" w:ascii="Times New Roman" w:hAnsi="Times New Roman" w:eastAsia="宋体" w:cs="宋体"/>
                      <w:bdr w:val="none" w:color="auto" w:sz="0" w:space="0"/>
                    </w:rPr>
                    <w:t>废水类别</w:t>
                  </w:r>
                </w:p>
              </w:tc>
              <w:tc>
                <w:tcPr>
                  <w:tcW w:w="930" w:type="dxa"/>
                  <w:vMerge w:val="restart"/>
                  <w:tcBorders>
                    <w:top w:val="single" w:color="auto" w:sz="12" w:space="0"/>
                    <w:left w:val="single" w:color="auto" w:sz="4" w:space="0"/>
                    <w:bottom w:val="single" w:color="auto" w:sz="4" w:space="0"/>
                    <w:right w:val="single" w:color="auto" w:sz="4" w:space="0"/>
                  </w:tcBorders>
                  <w:shd w:val="clear"/>
                  <w:vAlign w:val="center"/>
                </w:tcPr>
                <w:p w14:paraId="6F653660">
                  <w:pPr>
                    <w:pStyle w:val="108"/>
                    <w:widowControl/>
                    <w:spacing w:line="300" w:lineRule="exact"/>
                  </w:pPr>
                  <w:r>
                    <w:rPr>
                      <w:rFonts w:hint="eastAsia" w:ascii="Times New Roman" w:hAnsi="Times New Roman" w:eastAsia="宋体" w:cs="宋体"/>
                      <w:bdr w:val="none" w:color="auto" w:sz="0" w:space="0"/>
                    </w:rPr>
                    <w:t>污染物种类</w:t>
                  </w:r>
                </w:p>
              </w:tc>
              <w:tc>
                <w:tcPr>
                  <w:tcW w:w="709" w:type="dxa"/>
                  <w:vMerge w:val="restart"/>
                  <w:tcBorders>
                    <w:top w:val="single" w:color="auto" w:sz="12" w:space="0"/>
                    <w:left w:val="single" w:color="auto" w:sz="4" w:space="0"/>
                    <w:bottom w:val="single" w:color="auto" w:sz="4" w:space="0"/>
                    <w:right w:val="single" w:color="auto" w:sz="4" w:space="0"/>
                  </w:tcBorders>
                  <w:shd w:val="clear"/>
                  <w:vAlign w:val="center"/>
                </w:tcPr>
                <w:p w14:paraId="7722D501">
                  <w:pPr>
                    <w:pStyle w:val="108"/>
                    <w:widowControl/>
                    <w:spacing w:line="300" w:lineRule="exact"/>
                  </w:pPr>
                  <w:r>
                    <w:rPr>
                      <w:rFonts w:hint="eastAsia" w:ascii="Times New Roman" w:hAnsi="Times New Roman" w:eastAsia="宋体" w:cs="宋体"/>
                      <w:bdr w:val="none" w:color="auto" w:sz="0" w:space="0"/>
                    </w:rPr>
                    <w:t>排放去向</w:t>
                  </w:r>
                </w:p>
              </w:tc>
              <w:tc>
                <w:tcPr>
                  <w:tcW w:w="1121" w:type="dxa"/>
                  <w:vMerge w:val="restart"/>
                  <w:tcBorders>
                    <w:top w:val="single" w:color="auto" w:sz="12" w:space="0"/>
                    <w:left w:val="single" w:color="auto" w:sz="4" w:space="0"/>
                    <w:bottom w:val="single" w:color="auto" w:sz="4" w:space="0"/>
                    <w:right w:val="single" w:color="auto" w:sz="4" w:space="0"/>
                  </w:tcBorders>
                  <w:shd w:val="clear"/>
                  <w:vAlign w:val="center"/>
                </w:tcPr>
                <w:p w14:paraId="34B04401">
                  <w:pPr>
                    <w:pStyle w:val="108"/>
                    <w:widowControl/>
                    <w:spacing w:line="300" w:lineRule="exact"/>
                  </w:pPr>
                  <w:r>
                    <w:rPr>
                      <w:rFonts w:hint="eastAsia" w:ascii="Times New Roman" w:hAnsi="Times New Roman" w:eastAsia="宋体" w:cs="宋体"/>
                      <w:bdr w:val="none" w:color="auto" w:sz="0" w:space="0"/>
                    </w:rPr>
                    <w:t>排放规律</w:t>
                  </w:r>
                </w:p>
              </w:tc>
              <w:tc>
                <w:tcPr>
                  <w:tcW w:w="2422" w:type="dxa"/>
                  <w:gridSpan w:val="3"/>
                  <w:tcBorders>
                    <w:top w:val="single" w:color="auto" w:sz="12" w:space="0"/>
                    <w:left w:val="single" w:color="auto" w:sz="4" w:space="0"/>
                    <w:bottom w:val="single" w:color="auto" w:sz="4" w:space="0"/>
                    <w:right w:val="single" w:color="auto" w:sz="4" w:space="0"/>
                  </w:tcBorders>
                  <w:shd w:val="clear"/>
                  <w:vAlign w:val="center"/>
                </w:tcPr>
                <w:p w14:paraId="20AFCFAB">
                  <w:pPr>
                    <w:pStyle w:val="108"/>
                    <w:widowControl/>
                    <w:spacing w:line="300" w:lineRule="exact"/>
                  </w:pPr>
                  <w:r>
                    <w:rPr>
                      <w:rFonts w:hint="eastAsia" w:ascii="Times New Roman" w:hAnsi="Times New Roman" w:eastAsia="宋体" w:cs="宋体"/>
                      <w:bdr w:val="none" w:color="auto" w:sz="0" w:space="0"/>
                    </w:rPr>
                    <w:t>污染治理设施</w:t>
                  </w:r>
                </w:p>
              </w:tc>
              <w:tc>
                <w:tcPr>
                  <w:tcW w:w="709" w:type="dxa"/>
                  <w:vMerge w:val="restart"/>
                  <w:tcBorders>
                    <w:top w:val="single" w:color="auto" w:sz="12" w:space="0"/>
                    <w:left w:val="single" w:color="auto" w:sz="4" w:space="0"/>
                    <w:bottom w:val="single" w:color="auto" w:sz="4" w:space="0"/>
                    <w:right w:val="single" w:color="auto" w:sz="4" w:space="0"/>
                  </w:tcBorders>
                  <w:shd w:val="clear"/>
                  <w:vAlign w:val="center"/>
                </w:tcPr>
                <w:p w14:paraId="2764DAB3">
                  <w:pPr>
                    <w:pStyle w:val="108"/>
                    <w:widowControl/>
                    <w:spacing w:line="300" w:lineRule="exact"/>
                  </w:pPr>
                  <w:r>
                    <w:rPr>
                      <w:rFonts w:hint="eastAsia" w:ascii="Times New Roman" w:hAnsi="Times New Roman" w:eastAsia="宋体" w:cs="宋体"/>
                      <w:bdr w:val="none" w:color="auto" w:sz="0" w:space="0"/>
                    </w:rPr>
                    <w:t>排放口编号</w:t>
                  </w:r>
                </w:p>
              </w:tc>
              <w:tc>
                <w:tcPr>
                  <w:tcW w:w="851" w:type="dxa"/>
                  <w:vMerge w:val="restart"/>
                  <w:tcBorders>
                    <w:top w:val="single" w:color="auto" w:sz="12" w:space="0"/>
                    <w:left w:val="single" w:color="auto" w:sz="4" w:space="0"/>
                    <w:bottom w:val="single" w:color="auto" w:sz="4" w:space="0"/>
                    <w:right w:val="single" w:color="auto" w:sz="4" w:space="0"/>
                  </w:tcBorders>
                  <w:shd w:val="clear"/>
                  <w:vAlign w:val="center"/>
                </w:tcPr>
                <w:p w14:paraId="20BB713A">
                  <w:pPr>
                    <w:pStyle w:val="108"/>
                    <w:widowControl/>
                    <w:spacing w:line="300" w:lineRule="exact"/>
                  </w:pPr>
                  <w:r>
                    <w:rPr>
                      <w:rFonts w:hint="eastAsia" w:ascii="Times New Roman" w:hAnsi="Times New Roman" w:eastAsia="宋体" w:cs="宋体"/>
                      <w:bdr w:val="none" w:color="auto" w:sz="0" w:space="0"/>
                    </w:rPr>
                    <w:t>排放口设置是否符合要求</w:t>
                  </w:r>
                </w:p>
              </w:tc>
              <w:tc>
                <w:tcPr>
                  <w:tcW w:w="716" w:type="dxa"/>
                  <w:vMerge w:val="restart"/>
                  <w:tcBorders>
                    <w:top w:val="single" w:color="auto" w:sz="12" w:space="0"/>
                    <w:left w:val="single" w:color="auto" w:sz="4" w:space="0"/>
                    <w:bottom w:val="single" w:color="auto" w:sz="4" w:space="0"/>
                    <w:right w:val="nil"/>
                  </w:tcBorders>
                  <w:shd w:val="clear"/>
                  <w:vAlign w:val="center"/>
                </w:tcPr>
                <w:p w14:paraId="6CB6B56A">
                  <w:pPr>
                    <w:pStyle w:val="108"/>
                    <w:widowControl/>
                    <w:spacing w:line="300" w:lineRule="exact"/>
                  </w:pPr>
                  <w:r>
                    <w:rPr>
                      <w:rFonts w:hint="eastAsia" w:ascii="Times New Roman" w:hAnsi="Times New Roman" w:eastAsia="宋体" w:cs="宋体"/>
                      <w:bdr w:val="none" w:color="auto" w:sz="0" w:space="0"/>
                    </w:rPr>
                    <w:t>排放口类型</w:t>
                  </w:r>
                </w:p>
              </w:tc>
            </w:tr>
            <w:tr w14:paraId="5B8F5BD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8" w:hRule="atLeast"/>
              </w:trPr>
              <w:tc>
                <w:tcPr>
                  <w:tcW w:w="488" w:type="dxa"/>
                  <w:vMerge w:val="continue"/>
                  <w:tcBorders>
                    <w:top w:val="single" w:color="auto" w:sz="12" w:space="0"/>
                    <w:left w:val="nil"/>
                    <w:bottom w:val="single" w:color="auto" w:sz="4" w:space="0"/>
                    <w:right w:val="single" w:color="auto" w:sz="4" w:space="0"/>
                  </w:tcBorders>
                  <w:shd w:val="clear"/>
                  <w:vAlign w:val="center"/>
                </w:tcPr>
                <w:p w14:paraId="0C594930">
                  <w:pPr>
                    <w:rPr>
                      <w:rFonts w:hint="default" w:ascii="Calibri" w:hAnsi="Calibri" w:cs="Calibri"/>
                      <w:sz w:val="20"/>
                      <w:szCs w:val="20"/>
                    </w:rPr>
                  </w:pPr>
                </w:p>
              </w:tc>
              <w:tc>
                <w:tcPr>
                  <w:tcW w:w="930" w:type="dxa"/>
                  <w:vMerge w:val="continue"/>
                  <w:tcBorders>
                    <w:top w:val="single" w:color="auto" w:sz="12" w:space="0"/>
                    <w:left w:val="single" w:color="auto" w:sz="4" w:space="0"/>
                    <w:bottom w:val="single" w:color="auto" w:sz="4" w:space="0"/>
                    <w:right w:val="single" w:color="auto" w:sz="4" w:space="0"/>
                  </w:tcBorders>
                  <w:shd w:val="clear"/>
                  <w:vAlign w:val="center"/>
                </w:tcPr>
                <w:p w14:paraId="36F26953">
                  <w:pPr>
                    <w:rPr>
                      <w:rFonts w:hint="default" w:ascii="Calibri" w:hAnsi="Calibri" w:cs="Calibri"/>
                      <w:sz w:val="20"/>
                      <w:szCs w:val="20"/>
                    </w:rPr>
                  </w:pPr>
                </w:p>
              </w:tc>
              <w:tc>
                <w:tcPr>
                  <w:tcW w:w="709" w:type="dxa"/>
                  <w:vMerge w:val="continue"/>
                  <w:tcBorders>
                    <w:top w:val="single" w:color="auto" w:sz="12" w:space="0"/>
                    <w:left w:val="single" w:color="auto" w:sz="4" w:space="0"/>
                    <w:bottom w:val="single" w:color="auto" w:sz="4" w:space="0"/>
                    <w:right w:val="single" w:color="auto" w:sz="4" w:space="0"/>
                  </w:tcBorders>
                  <w:shd w:val="clear"/>
                  <w:vAlign w:val="center"/>
                </w:tcPr>
                <w:p w14:paraId="61BE4A3C">
                  <w:pPr>
                    <w:rPr>
                      <w:rFonts w:hint="default" w:ascii="Calibri" w:hAnsi="Calibri" w:cs="Calibri"/>
                      <w:sz w:val="20"/>
                      <w:szCs w:val="20"/>
                    </w:rPr>
                  </w:pPr>
                </w:p>
              </w:tc>
              <w:tc>
                <w:tcPr>
                  <w:tcW w:w="1121" w:type="dxa"/>
                  <w:vMerge w:val="continue"/>
                  <w:tcBorders>
                    <w:top w:val="single" w:color="auto" w:sz="12" w:space="0"/>
                    <w:left w:val="single" w:color="auto" w:sz="4" w:space="0"/>
                    <w:bottom w:val="single" w:color="auto" w:sz="4" w:space="0"/>
                    <w:right w:val="single" w:color="auto" w:sz="4" w:space="0"/>
                  </w:tcBorders>
                  <w:shd w:val="clear"/>
                  <w:vAlign w:val="center"/>
                </w:tcPr>
                <w:p w14:paraId="175D97AC">
                  <w:pPr>
                    <w:rPr>
                      <w:rFonts w:hint="default" w:ascii="Calibri" w:hAnsi="Calibri" w:cs="Calibri"/>
                      <w:sz w:val="20"/>
                      <w:szCs w:val="20"/>
                    </w:rPr>
                  </w:pPr>
                </w:p>
              </w:tc>
              <w:tc>
                <w:tcPr>
                  <w:tcW w:w="863" w:type="dxa"/>
                  <w:tcBorders>
                    <w:top w:val="single" w:color="auto" w:sz="4" w:space="0"/>
                    <w:left w:val="single" w:color="auto" w:sz="4" w:space="0"/>
                    <w:bottom w:val="single" w:color="auto" w:sz="4" w:space="0"/>
                    <w:right w:val="single" w:color="auto" w:sz="4" w:space="0"/>
                  </w:tcBorders>
                  <w:shd w:val="clear"/>
                  <w:vAlign w:val="center"/>
                </w:tcPr>
                <w:p w14:paraId="6805BC58">
                  <w:pPr>
                    <w:pStyle w:val="108"/>
                    <w:widowControl/>
                    <w:spacing w:line="300" w:lineRule="exact"/>
                  </w:pPr>
                  <w:r>
                    <w:rPr>
                      <w:rFonts w:hint="eastAsia" w:ascii="Times New Roman" w:hAnsi="Times New Roman" w:eastAsia="宋体" w:cs="宋体"/>
                      <w:bdr w:val="none" w:color="auto" w:sz="0" w:space="0"/>
                    </w:rPr>
                    <w:t>污染治理设施名称</w:t>
                  </w:r>
                </w:p>
              </w:tc>
              <w:tc>
                <w:tcPr>
                  <w:tcW w:w="679" w:type="dxa"/>
                  <w:tcBorders>
                    <w:top w:val="single" w:color="auto" w:sz="4" w:space="0"/>
                    <w:left w:val="single" w:color="auto" w:sz="4" w:space="0"/>
                    <w:bottom w:val="single" w:color="auto" w:sz="4" w:space="0"/>
                    <w:right w:val="single" w:color="auto" w:sz="4" w:space="0"/>
                  </w:tcBorders>
                  <w:shd w:val="clear"/>
                  <w:vAlign w:val="center"/>
                </w:tcPr>
                <w:p w14:paraId="696B00FC">
                  <w:pPr>
                    <w:pStyle w:val="108"/>
                    <w:widowControl/>
                    <w:spacing w:line="300" w:lineRule="exact"/>
                  </w:pPr>
                  <w:r>
                    <w:rPr>
                      <w:rFonts w:hint="eastAsia" w:ascii="Times New Roman" w:hAnsi="Times New Roman" w:eastAsia="宋体" w:cs="宋体"/>
                      <w:bdr w:val="none" w:color="auto" w:sz="0" w:space="0"/>
                    </w:rPr>
                    <w:t>治理设施工艺</w:t>
                  </w:r>
                </w:p>
              </w:tc>
              <w:tc>
                <w:tcPr>
                  <w:tcW w:w="880" w:type="dxa"/>
                  <w:tcBorders>
                    <w:top w:val="single" w:color="auto" w:sz="4" w:space="0"/>
                    <w:left w:val="single" w:color="auto" w:sz="4" w:space="0"/>
                    <w:bottom w:val="single" w:color="auto" w:sz="4" w:space="0"/>
                    <w:right w:val="single" w:color="auto" w:sz="4" w:space="0"/>
                  </w:tcBorders>
                  <w:shd w:val="clear"/>
                  <w:vAlign w:val="center"/>
                </w:tcPr>
                <w:p w14:paraId="27CA1BEA">
                  <w:pPr>
                    <w:pStyle w:val="108"/>
                    <w:widowControl/>
                    <w:spacing w:line="300" w:lineRule="exact"/>
                  </w:pPr>
                  <w:r>
                    <w:rPr>
                      <w:rFonts w:hint="eastAsia" w:ascii="Times New Roman" w:hAnsi="Times New Roman" w:eastAsia="宋体" w:cs="宋体"/>
                      <w:bdr w:val="none" w:color="auto" w:sz="0" w:space="0"/>
                    </w:rPr>
                    <w:t>处理</w:t>
                  </w:r>
                </w:p>
                <w:p w14:paraId="50FCF90C">
                  <w:pPr>
                    <w:pStyle w:val="108"/>
                    <w:widowControl/>
                    <w:spacing w:line="300" w:lineRule="exact"/>
                  </w:pPr>
                  <w:r>
                    <w:rPr>
                      <w:rFonts w:hint="eastAsia" w:ascii="Times New Roman" w:hAnsi="Times New Roman" w:eastAsia="宋体" w:cs="宋体"/>
                      <w:bdr w:val="none" w:color="auto" w:sz="0" w:space="0"/>
                    </w:rPr>
                    <w:t>能力</w:t>
                  </w:r>
                </w:p>
              </w:tc>
              <w:tc>
                <w:tcPr>
                  <w:tcW w:w="709" w:type="dxa"/>
                  <w:vMerge w:val="continue"/>
                  <w:tcBorders>
                    <w:top w:val="single" w:color="auto" w:sz="12" w:space="0"/>
                    <w:left w:val="single" w:color="auto" w:sz="4" w:space="0"/>
                    <w:bottom w:val="single" w:color="auto" w:sz="4" w:space="0"/>
                    <w:right w:val="single" w:color="auto" w:sz="4" w:space="0"/>
                  </w:tcBorders>
                  <w:shd w:val="clear"/>
                  <w:vAlign w:val="center"/>
                </w:tcPr>
                <w:p w14:paraId="279D4C28">
                  <w:pPr>
                    <w:rPr>
                      <w:rFonts w:hint="default" w:ascii="Calibri" w:hAnsi="Calibri" w:cs="Calibri"/>
                      <w:sz w:val="20"/>
                      <w:szCs w:val="20"/>
                    </w:rPr>
                  </w:pPr>
                </w:p>
              </w:tc>
              <w:tc>
                <w:tcPr>
                  <w:tcW w:w="851" w:type="dxa"/>
                  <w:vMerge w:val="continue"/>
                  <w:tcBorders>
                    <w:top w:val="single" w:color="auto" w:sz="12" w:space="0"/>
                    <w:left w:val="single" w:color="auto" w:sz="4" w:space="0"/>
                    <w:bottom w:val="single" w:color="auto" w:sz="4" w:space="0"/>
                    <w:right w:val="single" w:color="auto" w:sz="4" w:space="0"/>
                  </w:tcBorders>
                  <w:shd w:val="clear"/>
                  <w:vAlign w:val="center"/>
                </w:tcPr>
                <w:p w14:paraId="718AD24F">
                  <w:pPr>
                    <w:rPr>
                      <w:rFonts w:hint="default" w:ascii="Calibri" w:hAnsi="Calibri" w:cs="Calibri"/>
                      <w:sz w:val="20"/>
                      <w:szCs w:val="20"/>
                    </w:rPr>
                  </w:pPr>
                </w:p>
              </w:tc>
              <w:tc>
                <w:tcPr>
                  <w:tcW w:w="716" w:type="dxa"/>
                  <w:vMerge w:val="continue"/>
                  <w:tcBorders>
                    <w:top w:val="single" w:color="auto" w:sz="12" w:space="0"/>
                    <w:left w:val="single" w:color="auto" w:sz="4" w:space="0"/>
                    <w:bottom w:val="single" w:color="auto" w:sz="4" w:space="0"/>
                    <w:right w:val="nil"/>
                  </w:tcBorders>
                  <w:shd w:val="clear"/>
                  <w:vAlign w:val="center"/>
                </w:tcPr>
                <w:p w14:paraId="23189E69">
                  <w:pPr>
                    <w:rPr>
                      <w:rFonts w:hint="default" w:ascii="Calibri" w:hAnsi="Calibri" w:cs="Calibri"/>
                      <w:sz w:val="20"/>
                      <w:szCs w:val="20"/>
                    </w:rPr>
                  </w:pPr>
                </w:p>
              </w:tc>
            </w:tr>
            <w:tr w14:paraId="5612FBD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8" w:hRule="atLeast"/>
              </w:trPr>
              <w:tc>
                <w:tcPr>
                  <w:tcW w:w="488" w:type="dxa"/>
                  <w:tcBorders>
                    <w:top w:val="single" w:color="auto" w:sz="4" w:space="0"/>
                    <w:left w:val="nil"/>
                    <w:bottom w:val="single" w:color="auto" w:sz="12" w:space="0"/>
                    <w:right w:val="single" w:color="auto" w:sz="4" w:space="0"/>
                  </w:tcBorders>
                  <w:shd w:val="clear"/>
                  <w:vAlign w:val="center"/>
                </w:tcPr>
                <w:p w14:paraId="29921BAC">
                  <w:pPr>
                    <w:pStyle w:val="108"/>
                    <w:widowControl/>
                    <w:spacing w:line="300" w:lineRule="exact"/>
                  </w:pPr>
                  <w:r>
                    <w:rPr>
                      <w:rFonts w:hint="eastAsia" w:ascii="Times New Roman" w:hAnsi="Times New Roman" w:eastAsia="宋体" w:cs="宋体"/>
                      <w:bdr w:val="none" w:color="auto" w:sz="0" w:space="0"/>
                    </w:rPr>
                    <w:t>生活污水</w:t>
                  </w:r>
                </w:p>
              </w:tc>
              <w:tc>
                <w:tcPr>
                  <w:tcW w:w="930" w:type="dxa"/>
                  <w:tcBorders>
                    <w:top w:val="single" w:color="auto" w:sz="4" w:space="0"/>
                    <w:left w:val="single" w:color="auto" w:sz="4" w:space="0"/>
                    <w:bottom w:val="single" w:color="auto" w:sz="12" w:space="0"/>
                    <w:right w:val="single" w:color="auto" w:sz="4" w:space="0"/>
                  </w:tcBorders>
                  <w:shd w:val="clear"/>
                  <w:vAlign w:val="center"/>
                </w:tcPr>
                <w:p w14:paraId="7E8DCAD0">
                  <w:pPr>
                    <w:pStyle w:val="108"/>
                    <w:widowControl/>
                    <w:spacing w:line="300" w:lineRule="exact"/>
                  </w:pPr>
                  <w:r>
                    <w:rPr>
                      <w:bdr w:val="none" w:color="auto" w:sz="0" w:space="0"/>
                      <w:lang w:val="en-US"/>
                    </w:rPr>
                    <w:t>COD</w:t>
                  </w:r>
                  <w:r>
                    <w:rPr>
                      <w:rFonts w:hint="eastAsia" w:ascii="Times New Roman" w:hAnsi="Times New Roman" w:eastAsia="宋体" w:cs="宋体"/>
                      <w:bdr w:val="none" w:color="auto" w:sz="0" w:space="0"/>
                    </w:rPr>
                    <w:t>、</w:t>
                  </w:r>
                  <w:r>
                    <w:rPr>
                      <w:bdr w:val="none" w:color="auto" w:sz="0" w:space="0"/>
                      <w:lang w:val="en-US"/>
                    </w:rPr>
                    <w:t>BOD</w:t>
                  </w:r>
                  <w:r>
                    <w:rPr>
                      <w:bdr w:val="none" w:color="auto" w:sz="0" w:space="0"/>
                      <w:vertAlign w:val="subscript"/>
                      <w:lang w:val="en-US"/>
                    </w:rPr>
                    <w:t>5</w:t>
                  </w:r>
                  <w:r>
                    <w:rPr>
                      <w:rFonts w:hint="eastAsia" w:ascii="Times New Roman" w:hAnsi="Times New Roman" w:eastAsia="宋体" w:cs="宋体"/>
                      <w:bdr w:val="none" w:color="auto" w:sz="0" w:space="0"/>
                    </w:rPr>
                    <w:t>、</w:t>
                  </w:r>
                  <w:r>
                    <w:rPr>
                      <w:bdr w:val="none" w:color="auto" w:sz="0" w:space="0"/>
                      <w:lang w:val="en-US"/>
                    </w:rPr>
                    <w:t>SS</w:t>
                  </w:r>
                  <w:r>
                    <w:rPr>
                      <w:rFonts w:hint="eastAsia" w:ascii="Times New Roman" w:hAnsi="Times New Roman" w:eastAsia="宋体" w:cs="宋体"/>
                      <w:bdr w:val="none" w:color="auto" w:sz="0" w:space="0"/>
                    </w:rPr>
                    <w:t>、</w:t>
                  </w:r>
                  <w:r>
                    <w:rPr>
                      <w:bdr w:val="none" w:color="auto" w:sz="0" w:space="0"/>
                      <w:lang w:val="en-US"/>
                    </w:rPr>
                    <w:t>NH</w:t>
                  </w:r>
                  <w:r>
                    <w:rPr>
                      <w:bdr w:val="none" w:color="auto" w:sz="0" w:space="0"/>
                      <w:vertAlign w:val="subscript"/>
                      <w:lang w:val="en-US"/>
                    </w:rPr>
                    <w:t>3</w:t>
                  </w:r>
                  <w:r>
                    <w:rPr>
                      <w:bdr w:val="none" w:color="auto" w:sz="0" w:space="0"/>
                      <w:lang w:val="en-US"/>
                    </w:rPr>
                    <w:t>-N</w:t>
                  </w:r>
                </w:p>
              </w:tc>
              <w:tc>
                <w:tcPr>
                  <w:tcW w:w="709" w:type="dxa"/>
                  <w:tcBorders>
                    <w:top w:val="single" w:color="auto" w:sz="4" w:space="0"/>
                    <w:left w:val="single" w:color="auto" w:sz="4" w:space="0"/>
                    <w:bottom w:val="single" w:color="auto" w:sz="12" w:space="0"/>
                    <w:right w:val="single" w:color="auto" w:sz="4" w:space="0"/>
                  </w:tcBorders>
                  <w:shd w:val="clear"/>
                  <w:vAlign w:val="center"/>
                </w:tcPr>
                <w:p w14:paraId="5A0B6CC5">
                  <w:pPr>
                    <w:pStyle w:val="108"/>
                    <w:widowControl/>
                    <w:spacing w:line="300" w:lineRule="exact"/>
                  </w:pPr>
                  <w:r>
                    <w:rPr>
                      <w:rFonts w:hint="eastAsia" w:ascii="Times New Roman" w:hAnsi="Times New Roman" w:eastAsia="宋体" w:cs="宋体"/>
                      <w:bdr w:val="none" w:color="auto" w:sz="0" w:space="0"/>
                    </w:rPr>
                    <w:t>农创园污水处理厂</w:t>
                  </w:r>
                </w:p>
              </w:tc>
              <w:tc>
                <w:tcPr>
                  <w:tcW w:w="1121" w:type="dxa"/>
                  <w:tcBorders>
                    <w:top w:val="single" w:color="auto" w:sz="4" w:space="0"/>
                    <w:left w:val="single" w:color="auto" w:sz="4" w:space="0"/>
                    <w:bottom w:val="single" w:color="auto" w:sz="12" w:space="0"/>
                    <w:right w:val="single" w:color="auto" w:sz="4" w:space="0"/>
                  </w:tcBorders>
                  <w:shd w:val="clear"/>
                  <w:vAlign w:val="center"/>
                </w:tcPr>
                <w:p w14:paraId="3ED73181">
                  <w:pPr>
                    <w:pStyle w:val="108"/>
                    <w:widowControl/>
                    <w:spacing w:line="300" w:lineRule="exact"/>
                  </w:pPr>
                  <w:r>
                    <w:rPr>
                      <w:rFonts w:hint="eastAsia" w:ascii="Times New Roman" w:hAnsi="Times New Roman" w:eastAsia="宋体" w:cs="宋体"/>
                      <w:bdr w:val="none" w:color="auto" w:sz="0" w:space="0"/>
                    </w:rPr>
                    <w:t>间断排放，排放期间流量不稳定，但有周期性规律</w:t>
                  </w:r>
                </w:p>
              </w:tc>
              <w:tc>
                <w:tcPr>
                  <w:tcW w:w="863" w:type="dxa"/>
                  <w:tcBorders>
                    <w:top w:val="single" w:color="auto" w:sz="4" w:space="0"/>
                    <w:left w:val="single" w:color="auto" w:sz="4" w:space="0"/>
                    <w:bottom w:val="single" w:color="auto" w:sz="12" w:space="0"/>
                    <w:right w:val="single" w:color="auto" w:sz="4" w:space="0"/>
                  </w:tcBorders>
                  <w:shd w:val="clear"/>
                  <w:vAlign w:val="center"/>
                </w:tcPr>
                <w:p w14:paraId="49201C5D">
                  <w:pPr>
                    <w:pStyle w:val="108"/>
                    <w:widowControl/>
                    <w:spacing w:line="300" w:lineRule="exact"/>
                  </w:pPr>
                  <w:r>
                    <w:rPr>
                      <w:rFonts w:hint="eastAsia" w:ascii="Times New Roman" w:hAnsi="Times New Roman" w:eastAsia="宋体" w:cs="宋体"/>
                      <w:bdr w:val="none" w:color="auto" w:sz="0" w:space="0"/>
                    </w:rPr>
                    <w:t>污水池</w:t>
                  </w:r>
                </w:p>
              </w:tc>
              <w:tc>
                <w:tcPr>
                  <w:tcW w:w="679" w:type="dxa"/>
                  <w:tcBorders>
                    <w:top w:val="single" w:color="auto" w:sz="4" w:space="0"/>
                    <w:left w:val="single" w:color="auto" w:sz="4" w:space="0"/>
                    <w:bottom w:val="single" w:color="auto" w:sz="12" w:space="0"/>
                    <w:right w:val="single" w:color="auto" w:sz="4" w:space="0"/>
                  </w:tcBorders>
                  <w:shd w:val="clear"/>
                  <w:vAlign w:val="center"/>
                </w:tcPr>
                <w:p w14:paraId="64DD4A48">
                  <w:pPr>
                    <w:pStyle w:val="108"/>
                    <w:widowControl/>
                    <w:spacing w:line="300" w:lineRule="exact"/>
                  </w:pPr>
                  <w:r>
                    <w:rPr>
                      <w:rFonts w:hint="eastAsia" w:ascii="Times New Roman" w:hAnsi="Times New Roman" w:eastAsia="宋体" w:cs="宋体"/>
                      <w:bdr w:val="none" w:color="auto" w:sz="0" w:space="0"/>
                    </w:rPr>
                    <w:t>厌氧生化</w:t>
                  </w:r>
                </w:p>
              </w:tc>
              <w:tc>
                <w:tcPr>
                  <w:tcW w:w="880" w:type="dxa"/>
                  <w:tcBorders>
                    <w:top w:val="single" w:color="auto" w:sz="4" w:space="0"/>
                    <w:left w:val="single" w:color="auto" w:sz="4" w:space="0"/>
                    <w:bottom w:val="single" w:color="auto" w:sz="12" w:space="0"/>
                    <w:right w:val="single" w:color="auto" w:sz="4" w:space="0"/>
                  </w:tcBorders>
                  <w:shd w:val="clear"/>
                  <w:vAlign w:val="center"/>
                </w:tcPr>
                <w:p w14:paraId="1B6A2D83">
                  <w:pPr>
                    <w:pStyle w:val="108"/>
                    <w:widowControl/>
                    <w:spacing w:line="300" w:lineRule="exact"/>
                  </w:pPr>
                  <w:r>
                    <w:rPr>
                      <w:bdr w:val="none" w:color="auto" w:sz="0" w:space="0"/>
                      <w:lang w:val="en-US"/>
                    </w:rPr>
                    <w:t>400m</w:t>
                  </w:r>
                  <w:r>
                    <w:rPr>
                      <w:bdr w:val="none" w:color="auto" w:sz="0" w:space="0"/>
                      <w:vertAlign w:val="superscript"/>
                      <w:lang w:val="en-US"/>
                    </w:rPr>
                    <w:t>3</w:t>
                  </w:r>
                  <w:r>
                    <w:rPr>
                      <w:bdr w:val="none" w:color="auto" w:sz="0" w:space="0"/>
                      <w:lang w:val="en-US"/>
                    </w:rPr>
                    <w:t>/d</w:t>
                  </w:r>
                </w:p>
              </w:tc>
              <w:tc>
                <w:tcPr>
                  <w:tcW w:w="709" w:type="dxa"/>
                  <w:tcBorders>
                    <w:top w:val="single" w:color="auto" w:sz="4" w:space="0"/>
                    <w:left w:val="single" w:color="auto" w:sz="4" w:space="0"/>
                    <w:bottom w:val="single" w:color="auto" w:sz="12" w:space="0"/>
                    <w:right w:val="single" w:color="auto" w:sz="4" w:space="0"/>
                  </w:tcBorders>
                  <w:shd w:val="clear"/>
                  <w:vAlign w:val="center"/>
                </w:tcPr>
                <w:p w14:paraId="27EFD701">
                  <w:pPr>
                    <w:pStyle w:val="108"/>
                    <w:widowControl/>
                    <w:spacing w:line="300" w:lineRule="exact"/>
                  </w:pPr>
                  <w:r>
                    <w:rPr>
                      <w:bdr w:val="none" w:color="auto" w:sz="0" w:space="0"/>
                      <w:lang w:val="en-US"/>
                    </w:rPr>
                    <w:t>DW001</w:t>
                  </w:r>
                </w:p>
              </w:tc>
              <w:tc>
                <w:tcPr>
                  <w:tcW w:w="851" w:type="dxa"/>
                  <w:tcBorders>
                    <w:top w:val="single" w:color="auto" w:sz="4" w:space="0"/>
                    <w:left w:val="single" w:color="auto" w:sz="4" w:space="0"/>
                    <w:bottom w:val="single" w:color="auto" w:sz="12" w:space="0"/>
                    <w:right w:val="single" w:color="auto" w:sz="4" w:space="0"/>
                  </w:tcBorders>
                  <w:shd w:val="clear"/>
                  <w:vAlign w:val="center"/>
                </w:tcPr>
                <w:p w14:paraId="07BC81BF">
                  <w:pPr>
                    <w:pStyle w:val="108"/>
                    <w:widowControl/>
                    <w:spacing w:line="300" w:lineRule="exact"/>
                  </w:pPr>
                  <w:r>
                    <w:rPr>
                      <w:rFonts w:hint="eastAsia" w:ascii="Times New Roman" w:hAnsi="Times New Roman" w:eastAsia="宋体" w:cs="宋体"/>
                      <w:bdr w:val="none" w:color="auto" w:sz="0" w:space="0"/>
                    </w:rPr>
                    <w:t>符合</w:t>
                  </w:r>
                </w:p>
              </w:tc>
              <w:tc>
                <w:tcPr>
                  <w:tcW w:w="716" w:type="dxa"/>
                  <w:tcBorders>
                    <w:top w:val="single" w:color="auto" w:sz="4" w:space="0"/>
                    <w:left w:val="single" w:color="auto" w:sz="4" w:space="0"/>
                    <w:bottom w:val="single" w:color="auto" w:sz="12" w:space="0"/>
                    <w:right w:val="nil"/>
                  </w:tcBorders>
                  <w:shd w:val="clear"/>
                  <w:vAlign w:val="center"/>
                </w:tcPr>
                <w:p w14:paraId="52076AAD">
                  <w:pPr>
                    <w:pStyle w:val="108"/>
                    <w:widowControl/>
                    <w:spacing w:line="300" w:lineRule="exact"/>
                  </w:pPr>
                  <w:r>
                    <w:rPr>
                      <w:rFonts w:hint="eastAsia" w:ascii="Times New Roman" w:hAnsi="Times New Roman" w:eastAsia="宋体" w:cs="宋体"/>
                      <w:bdr w:val="none" w:color="auto" w:sz="0" w:space="0"/>
                    </w:rPr>
                    <w:t>一般排放口</w:t>
                  </w:r>
                </w:p>
              </w:tc>
            </w:tr>
          </w:tbl>
          <w:p w14:paraId="6F502C7D">
            <w:pPr>
              <w:pStyle w:val="100"/>
              <w:widowControl/>
              <w:jc w:val="both"/>
              <w:rPr>
                <w:color w:val="000000"/>
                <w:bdr w:val="none" w:color="auto" w:sz="0" w:space="0"/>
                <w:lang w:val="en-US" w:eastAsia="zh-CN"/>
              </w:rPr>
            </w:pPr>
            <w:r>
              <w:rPr>
                <w:rFonts w:hint="eastAsia" w:ascii="Times New Roman" w:hAnsi="宋体" w:eastAsia="宋体" w:cs="宋体"/>
                <w:color w:val="000000"/>
                <w:bdr w:val="none" w:color="auto" w:sz="0" w:space="0"/>
                <w:lang w:val="en-US" w:eastAsia="zh-CN"/>
              </w:rPr>
              <w:t>（</w:t>
            </w:r>
            <w:r>
              <w:rPr>
                <w:color w:val="000000"/>
                <w:bdr w:val="none" w:color="auto" w:sz="0" w:space="0"/>
                <w:lang w:val="en-US" w:eastAsia="zh-CN"/>
              </w:rPr>
              <w:t>2</w:t>
            </w:r>
            <w:r>
              <w:rPr>
                <w:rFonts w:hint="eastAsia" w:ascii="Times New Roman" w:hAnsi="宋体" w:eastAsia="宋体" w:cs="宋体"/>
                <w:color w:val="000000"/>
                <w:bdr w:val="none" w:color="auto" w:sz="0" w:space="0"/>
                <w:lang w:val="en-US" w:eastAsia="zh-CN"/>
              </w:rPr>
              <w:t>）依托园区污水处理厂可行性分析</w:t>
            </w:r>
          </w:p>
          <w:p w14:paraId="6357FD1E">
            <w:pPr>
              <w:pStyle w:val="100"/>
              <w:widowControl/>
              <w:jc w:val="both"/>
              <w:rPr>
                <w:bCs w:val="0"/>
                <w:color w:val="000000"/>
                <w:bdr w:val="none" w:color="auto" w:sz="0" w:space="0"/>
                <w:lang w:val="en-US" w:eastAsia="zh-CN"/>
              </w:rPr>
            </w:pPr>
            <w:r>
              <w:rPr>
                <w:rFonts w:hint="eastAsia" w:ascii="Times New Roman" w:hAnsi="宋体" w:eastAsia="宋体" w:cs="宋体"/>
                <w:bCs w:val="0"/>
                <w:color w:val="000000"/>
                <w:bdr w:val="none" w:color="auto" w:sz="0" w:space="0"/>
                <w:lang w:val="en-US" w:eastAsia="zh-CN"/>
              </w:rPr>
              <w:t>根据调查，农创园污水处理厂位于重庆市草街街道百岁村</w:t>
            </w:r>
            <w:r>
              <w:rPr>
                <w:bCs w:val="0"/>
                <w:color w:val="000000"/>
                <w:bdr w:val="none" w:color="auto" w:sz="0" w:space="0"/>
                <w:lang w:val="en-US" w:eastAsia="zh-CN"/>
              </w:rPr>
              <w:t>6</w:t>
            </w:r>
            <w:r>
              <w:rPr>
                <w:rFonts w:hint="eastAsia" w:ascii="Times New Roman" w:hAnsi="宋体" w:eastAsia="宋体" w:cs="宋体"/>
                <w:bCs w:val="0"/>
                <w:color w:val="000000"/>
                <w:bdr w:val="none" w:color="auto" w:sz="0" w:space="0"/>
                <w:lang w:val="en-US" w:eastAsia="zh-CN"/>
              </w:rPr>
              <w:t>社，采用</w:t>
            </w:r>
            <w:r>
              <w:rPr>
                <w:bCs w:val="0"/>
                <w:color w:val="000000"/>
                <w:bdr w:val="none" w:color="auto" w:sz="0" w:space="0"/>
                <w:lang w:val="en-US" w:eastAsia="zh-CN"/>
              </w:rPr>
              <w:t>A</w:t>
            </w:r>
            <w:r>
              <w:rPr>
                <w:bCs w:val="0"/>
                <w:color w:val="000000"/>
                <w:bdr w:val="none" w:color="auto" w:sz="0" w:space="0"/>
                <w:vertAlign w:val="superscript"/>
                <w:lang w:val="en-US" w:eastAsia="zh-CN"/>
              </w:rPr>
              <w:t>2</w:t>
            </w:r>
            <w:r>
              <w:rPr>
                <w:bCs w:val="0"/>
                <w:color w:val="000000"/>
                <w:bdr w:val="none" w:color="auto" w:sz="0" w:space="0"/>
                <w:lang w:val="en-US" w:eastAsia="zh-CN"/>
              </w:rPr>
              <w:t>/O</w:t>
            </w:r>
            <w:r>
              <w:rPr>
                <w:rFonts w:hint="eastAsia" w:ascii="Times New Roman" w:hAnsi="宋体" w:eastAsia="宋体" w:cs="宋体"/>
                <w:bCs w:val="0"/>
                <w:color w:val="000000"/>
                <w:bdr w:val="none" w:color="auto" w:sz="0" w:space="0"/>
                <w:lang w:val="en-US" w:eastAsia="zh-CN"/>
              </w:rPr>
              <w:t>处理工艺，进出口均安装了在线监测系统，主要处理对象为合川草街信息安全产业城的城市生活污水和达标排放的工业废水，农创园污水处理厂一期设计处理能力为</w:t>
            </w:r>
            <w:r>
              <w:rPr>
                <w:bCs w:val="0"/>
                <w:color w:val="000000"/>
                <w:bdr w:val="none" w:color="auto" w:sz="0" w:space="0"/>
                <w:lang w:val="en-US" w:eastAsia="zh-CN"/>
              </w:rPr>
              <w:t>2</w:t>
            </w:r>
            <w:r>
              <w:rPr>
                <w:rFonts w:hint="eastAsia" w:ascii="Times New Roman" w:hAnsi="宋体" w:eastAsia="宋体" w:cs="宋体"/>
                <w:bCs w:val="0"/>
                <w:color w:val="000000"/>
                <w:bdr w:val="none" w:color="auto" w:sz="0" w:space="0"/>
                <w:lang w:val="en-US" w:eastAsia="zh-CN"/>
              </w:rPr>
              <w:t>万</w:t>
            </w:r>
            <w:r>
              <w:rPr>
                <w:bCs w:val="0"/>
                <w:color w:val="000000"/>
                <w:bdr w:val="none" w:color="auto" w:sz="0" w:space="0"/>
                <w:lang w:val="en-US" w:eastAsia="zh-CN"/>
              </w:rPr>
              <w:t>m</w:t>
            </w:r>
            <w:r>
              <w:rPr>
                <w:bCs w:val="0"/>
                <w:color w:val="000000"/>
                <w:bdr w:val="none" w:color="auto" w:sz="0" w:space="0"/>
                <w:vertAlign w:val="superscript"/>
                <w:lang w:val="en-US" w:eastAsia="zh-CN"/>
              </w:rPr>
              <w:t>3</w:t>
            </w:r>
            <w:r>
              <w:rPr>
                <w:bCs w:val="0"/>
                <w:color w:val="000000"/>
                <w:bdr w:val="none" w:color="auto" w:sz="0" w:space="0"/>
                <w:lang w:val="en-US" w:eastAsia="zh-CN"/>
              </w:rPr>
              <w:t>/d</w:t>
            </w:r>
            <w:r>
              <w:rPr>
                <w:rFonts w:hint="eastAsia" w:ascii="Times New Roman" w:hAnsi="宋体" w:eastAsia="宋体" w:cs="宋体"/>
                <w:bCs w:val="0"/>
                <w:color w:val="000000"/>
                <w:bdr w:val="none" w:color="auto" w:sz="0" w:space="0"/>
                <w:lang w:val="en-US" w:eastAsia="zh-CN"/>
              </w:rPr>
              <w:t>，目前已建成运营。</w:t>
            </w:r>
          </w:p>
          <w:p w14:paraId="0124E04B">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32"/>
                <w:bdr w:val="none" w:color="auto" w:sz="0" w:space="0"/>
                <w:lang w:val="en-US"/>
              </w:rPr>
            </w:pPr>
            <w:r>
              <w:rPr>
                <w:rFonts w:hint="eastAsia" w:ascii="Times New Roman" w:hAnsi="Times New Roman" w:eastAsia="宋体" w:cs="宋体"/>
                <w:color w:val="000000"/>
                <w:kern w:val="2"/>
                <w:sz w:val="24"/>
                <w:szCs w:val="32"/>
                <w:bdr w:val="none" w:color="auto" w:sz="0" w:space="0"/>
                <w:lang w:val="en-US" w:eastAsia="zh-CN" w:bidi="ar"/>
              </w:rPr>
              <w:t>扩建项目所在厂区属于合川农创园污水处理厂的接纳范围，租赁厂区污水处理设施废水排放现已与市政污水管网相连。扩建后全厂生活污水排放量约</w:t>
            </w:r>
            <w:r>
              <w:rPr>
                <w:rFonts w:hint="default" w:ascii="Times New Roman" w:hAnsi="Times New Roman" w:eastAsia="宋体" w:cs="Times New Roman"/>
                <w:color w:val="000000"/>
                <w:kern w:val="2"/>
                <w:sz w:val="24"/>
                <w:szCs w:val="32"/>
                <w:bdr w:val="none" w:color="auto" w:sz="0" w:space="0"/>
                <w:lang w:val="en-US" w:eastAsia="zh-CN" w:bidi="ar"/>
              </w:rPr>
              <w:t>2.925m</w:t>
            </w:r>
            <w:r>
              <w:rPr>
                <w:rFonts w:hint="default" w:ascii="Times New Roman" w:hAnsi="Times New Roman" w:eastAsia="宋体" w:cs="Times New Roman"/>
                <w:color w:val="000000"/>
                <w:kern w:val="2"/>
                <w:sz w:val="24"/>
                <w:szCs w:val="32"/>
                <w:bdr w:val="none" w:color="auto" w:sz="0" w:space="0"/>
                <w:vertAlign w:val="superscript"/>
                <w:lang w:val="en-US" w:eastAsia="zh-CN" w:bidi="ar"/>
              </w:rPr>
              <w:t>3</w:t>
            </w:r>
            <w:r>
              <w:rPr>
                <w:rFonts w:hint="default" w:ascii="Times New Roman" w:hAnsi="Times New Roman" w:eastAsia="宋体" w:cs="Times New Roman"/>
                <w:color w:val="000000"/>
                <w:kern w:val="2"/>
                <w:sz w:val="24"/>
                <w:szCs w:val="32"/>
                <w:bdr w:val="none" w:color="auto" w:sz="0" w:space="0"/>
                <w:lang w:val="en-US" w:eastAsia="zh-CN" w:bidi="ar"/>
              </w:rPr>
              <w:t>/d</w:t>
            </w:r>
            <w:r>
              <w:rPr>
                <w:rFonts w:hint="eastAsia" w:ascii="Times New Roman" w:hAnsi="Times New Roman" w:eastAsia="宋体" w:cs="宋体"/>
                <w:color w:val="000000"/>
                <w:kern w:val="2"/>
                <w:sz w:val="24"/>
                <w:szCs w:val="32"/>
                <w:bdr w:val="none" w:color="auto" w:sz="0" w:space="0"/>
                <w:lang w:val="en-US" w:eastAsia="zh-CN" w:bidi="ar"/>
              </w:rPr>
              <w:t>，排放量较少，水质较为简单，主要污染因子为</w:t>
            </w:r>
            <w:r>
              <w:rPr>
                <w:rFonts w:hint="default" w:ascii="Times New Roman" w:hAnsi="Times New Roman" w:eastAsia="宋体" w:cs="Times New Roman"/>
                <w:color w:val="000000"/>
                <w:kern w:val="2"/>
                <w:sz w:val="24"/>
                <w:szCs w:val="32"/>
                <w:bdr w:val="none" w:color="auto" w:sz="0" w:space="0"/>
                <w:lang w:val="en-US" w:eastAsia="zh-CN" w:bidi="ar"/>
              </w:rPr>
              <w:t>COD</w:t>
            </w:r>
            <w:r>
              <w:rPr>
                <w:rFonts w:hint="eastAsia" w:ascii="Times New Roman" w:hAnsi="Times New Roman" w:eastAsia="宋体" w:cs="宋体"/>
                <w:color w:val="000000"/>
                <w:kern w:val="2"/>
                <w:sz w:val="24"/>
                <w:szCs w:val="32"/>
                <w:bdr w:val="none" w:color="auto" w:sz="0" w:space="0"/>
                <w:lang w:val="en-US" w:eastAsia="zh-CN" w:bidi="ar"/>
              </w:rPr>
              <w:t>、</w:t>
            </w:r>
            <w:r>
              <w:rPr>
                <w:rFonts w:hint="default" w:ascii="Times New Roman" w:hAnsi="Times New Roman" w:eastAsia="宋体" w:cs="Times New Roman"/>
                <w:color w:val="000000"/>
                <w:kern w:val="2"/>
                <w:sz w:val="24"/>
                <w:szCs w:val="32"/>
                <w:bdr w:val="none" w:color="auto" w:sz="0" w:space="0"/>
                <w:lang w:val="en-US" w:eastAsia="zh-CN" w:bidi="ar"/>
              </w:rPr>
              <w:t>BOD</w:t>
            </w:r>
            <w:r>
              <w:rPr>
                <w:rFonts w:hint="default" w:ascii="Times New Roman" w:hAnsi="Times New Roman" w:eastAsia="宋体" w:cs="Times New Roman"/>
                <w:color w:val="000000"/>
                <w:kern w:val="2"/>
                <w:sz w:val="24"/>
                <w:szCs w:val="32"/>
                <w:bdr w:val="none" w:color="auto" w:sz="0" w:space="0"/>
                <w:vertAlign w:val="subscript"/>
                <w:lang w:val="en-US" w:eastAsia="zh-CN" w:bidi="ar"/>
              </w:rPr>
              <w:t>5</w:t>
            </w:r>
            <w:r>
              <w:rPr>
                <w:rFonts w:hint="eastAsia" w:ascii="Times New Roman" w:hAnsi="Times New Roman" w:eastAsia="宋体" w:cs="宋体"/>
                <w:color w:val="000000"/>
                <w:kern w:val="2"/>
                <w:sz w:val="24"/>
                <w:szCs w:val="32"/>
                <w:bdr w:val="none" w:color="auto" w:sz="0" w:space="0"/>
                <w:lang w:val="en-US" w:eastAsia="zh-CN" w:bidi="ar"/>
              </w:rPr>
              <w:t>、</w:t>
            </w:r>
            <w:r>
              <w:rPr>
                <w:rFonts w:hint="default" w:ascii="Times New Roman" w:hAnsi="Times New Roman" w:eastAsia="宋体" w:cs="Times New Roman"/>
                <w:color w:val="000000"/>
                <w:kern w:val="2"/>
                <w:sz w:val="24"/>
                <w:szCs w:val="32"/>
                <w:bdr w:val="none" w:color="auto" w:sz="0" w:space="0"/>
                <w:lang w:val="en-US" w:eastAsia="zh-CN" w:bidi="ar"/>
              </w:rPr>
              <w:t>SS</w:t>
            </w:r>
            <w:r>
              <w:rPr>
                <w:rFonts w:hint="eastAsia" w:ascii="Times New Roman" w:hAnsi="Times New Roman" w:eastAsia="宋体" w:cs="宋体"/>
                <w:color w:val="000000"/>
                <w:kern w:val="2"/>
                <w:sz w:val="24"/>
                <w:szCs w:val="32"/>
                <w:bdr w:val="none" w:color="auto" w:sz="0" w:space="0"/>
                <w:lang w:val="en-US" w:eastAsia="zh-CN" w:bidi="ar"/>
              </w:rPr>
              <w:t>、</w:t>
            </w:r>
            <w:r>
              <w:rPr>
                <w:rFonts w:hint="default" w:ascii="Times New Roman" w:hAnsi="Times New Roman" w:eastAsia="宋体" w:cs="Times New Roman"/>
                <w:color w:val="000000"/>
                <w:kern w:val="2"/>
                <w:sz w:val="24"/>
                <w:szCs w:val="32"/>
                <w:bdr w:val="none" w:color="auto" w:sz="0" w:space="0"/>
                <w:lang w:val="en-US" w:eastAsia="zh-CN" w:bidi="ar"/>
              </w:rPr>
              <w:t>NH</w:t>
            </w:r>
            <w:r>
              <w:rPr>
                <w:rFonts w:hint="default" w:ascii="Times New Roman" w:hAnsi="Times New Roman" w:eastAsia="宋体" w:cs="Times New Roman"/>
                <w:color w:val="000000"/>
                <w:kern w:val="2"/>
                <w:sz w:val="24"/>
                <w:szCs w:val="32"/>
                <w:bdr w:val="none" w:color="auto" w:sz="0" w:space="0"/>
                <w:vertAlign w:val="subscript"/>
                <w:lang w:val="en-US" w:eastAsia="zh-CN" w:bidi="ar"/>
              </w:rPr>
              <w:t>3</w:t>
            </w:r>
            <w:r>
              <w:rPr>
                <w:rFonts w:hint="default" w:ascii="Times New Roman" w:hAnsi="Times New Roman" w:eastAsia="宋体" w:cs="Times New Roman"/>
                <w:color w:val="000000"/>
                <w:kern w:val="2"/>
                <w:sz w:val="24"/>
                <w:szCs w:val="32"/>
                <w:bdr w:val="none" w:color="auto" w:sz="0" w:space="0"/>
                <w:lang w:val="en-US" w:eastAsia="zh-CN" w:bidi="ar"/>
              </w:rPr>
              <w:t>-N</w:t>
            </w:r>
            <w:r>
              <w:rPr>
                <w:rFonts w:hint="eastAsia" w:ascii="Times New Roman" w:hAnsi="Times New Roman" w:eastAsia="宋体" w:cs="宋体"/>
                <w:color w:val="000000"/>
                <w:kern w:val="2"/>
                <w:sz w:val="24"/>
                <w:szCs w:val="32"/>
                <w:bdr w:val="none" w:color="auto" w:sz="0" w:space="0"/>
                <w:lang w:val="en-US" w:eastAsia="zh-CN" w:bidi="ar"/>
              </w:rPr>
              <w:t>，与农创园污水处理厂能够接纳处理的污染因子一致，同时废水经厂区污水处理设施处理后的水质能够满足农创园污水处理厂的接管要求，</w:t>
            </w:r>
            <w:r>
              <w:rPr>
                <w:rFonts w:hint="eastAsia" w:ascii="Calibri" w:hAnsi="Calibri" w:eastAsia="宋体" w:cs="宋体"/>
                <w:color w:val="000000"/>
                <w:kern w:val="2"/>
                <w:sz w:val="24"/>
                <w:szCs w:val="24"/>
                <w:bdr w:val="none" w:color="auto" w:sz="0" w:space="0"/>
                <w:lang w:val="en-US" w:eastAsia="zh-CN" w:bidi="ar"/>
              </w:rPr>
              <w:t>不会对污水处理厂运行造成较大冲击影响。</w:t>
            </w:r>
            <w:r>
              <w:rPr>
                <w:rFonts w:hint="eastAsia" w:ascii="Times New Roman" w:hAnsi="Times New Roman" w:eastAsia="宋体" w:cs="宋体"/>
                <w:color w:val="000000"/>
                <w:kern w:val="2"/>
                <w:sz w:val="24"/>
                <w:szCs w:val="32"/>
                <w:bdr w:val="none" w:color="auto" w:sz="0" w:space="0"/>
                <w:lang w:val="en-US" w:eastAsia="zh-CN" w:bidi="ar"/>
              </w:rPr>
              <w:t>污水处理厂处理工艺、排放标准涵盖了扩建项目废水污染物，有足够富余能力接纳扩建项目废水。</w:t>
            </w:r>
          </w:p>
          <w:p w14:paraId="74E188B3">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32"/>
                <w:bdr w:val="none" w:color="auto" w:sz="0" w:space="0"/>
                <w:lang w:val="en-US"/>
              </w:rPr>
            </w:pPr>
            <w:r>
              <w:rPr>
                <w:rFonts w:hint="eastAsia" w:ascii="Calibri" w:hAnsi="Calibri" w:eastAsia="宋体" w:cs="宋体"/>
                <w:color w:val="000000"/>
                <w:kern w:val="2"/>
                <w:sz w:val="24"/>
                <w:szCs w:val="24"/>
                <w:bdr w:val="none" w:color="auto" w:sz="0" w:space="0"/>
                <w:lang w:val="en-US" w:eastAsia="zh-CN" w:bidi="ar"/>
              </w:rPr>
              <w:t>因此，扩建项目生活废水依托园区污水处理厂处理的方案是合理可行的。</w:t>
            </w:r>
          </w:p>
          <w:p w14:paraId="7227C37E">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宋体" w:cs="Times New Roman"/>
                <w:b/>
                <w:bCs/>
                <w:color w:val="000000"/>
                <w:spacing w:val="-10"/>
                <w:sz w:val="24"/>
                <w:szCs w:val="24"/>
                <w:bdr w:val="none" w:color="auto" w:sz="0" w:space="0"/>
                <w:lang w:val="en-US"/>
              </w:rPr>
            </w:pPr>
            <w:r>
              <w:rPr>
                <w:rFonts w:hint="default" w:ascii="Times New Roman" w:hAnsi="宋体" w:eastAsia="宋体" w:cs="Times New Roman"/>
                <w:b/>
                <w:bCs/>
                <w:color w:val="000000"/>
                <w:spacing w:val="-10"/>
                <w:kern w:val="2"/>
                <w:sz w:val="24"/>
                <w:szCs w:val="24"/>
                <w:bdr w:val="none" w:color="auto" w:sz="0" w:space="0"/>
                <w:lang w:val="en-US" w:eastAsia="zh-CN" w:bidi="ar"/>
              </w:rPr>
              <w:t xml:space="preserve">4.3.4 </w:t>
            </w:r>
            <w:r>
              <w:rPr>
                <w:rFonts w:hint="eastAsia" w:ascii="Times New Roman" w:hAnsi="宋体" w:eastAsia="宋体" w:cs="宋体"/>
                <w:b/>
                <w:bCs/>
                <w:color w:val="000000"/>
                <w:spacing w:val="-10"/>
                <w:kern w:val="2"/>
                <w:sz w:val="24"/>
                <w:szCs w:val="24"/>
                <w:bdr w:val="none" w:color="auto" w:sz="0" w:space="0"/>
                <w:lang w:val="en-US" w:eastAsia="zh-CN" w:bidi="ar"/>
              </w:rPr>
              <w:t>排放口基本信息</w:t>
            </w:r>
          </w:p>
          <w:p w14:paraId="3DBB7BDD">
            <w:pPr>
              <w:pStyle w:val="14"/>
              <w:widowControl/>
              <w:spacing w:before="0" w:beforeAutospacing="0" w:after="0" w:afterAutospacing="0" w:line="460" w:lineRule="exact"/>
              <w:ind w:left="0" w:right="0" w:firstLine="480" w:firstLineChars="200"/>
              <w:outlineLvl w:val="0"/>
              <w:rPr>
                <w:rFonts w:hint="default" w:ascii="Times New Roman" w:hAnsi="Times New Roman" w:cs="Times New Roman"/>
                <w:snapToGrid w:val="0"/>
                <w:color w:val="000000"/>
                <w:szCs w:val="24"/>
                <w:bdr w:val="none" w:color="auto" w:sz="0" w:space="0"/>
                <w:lang w:val="en-US" w:eastAsia="zh-CN"/>
              </w:rPr>
            </w:pPr>
            <w:r>
              <w:rPr>
                <w:rFonts w:ascii="Times New Roman" w:hAnsi="Times New Roman"/>
                <w:snapToGrid w:val="0"/>
                <w:color w:val="000000"/>
                <w:szCs w:val="24"/>
                <w:bdr w:val="none" w:color="auto" w:sz="0" w:space="0"/>
                <w:lang w:val="en-US" w:eastAsia="zh-CN"/>
              </w:rPr>
              <w:t>废水排放口基本情况见表</w:t>
            </w:r>
            <w:r>
              <w:rPr>
                <w:rFonts w:hint="default" w:ascii="Times New Roman" w:hAnsi="Times New Roman" w:cs="Times New Roman"/>
                <w:snapToGrid w:val="0"/>
                <w:color w:val="000000"/>
                <w:szCs w:val="24"/>
                <w:bdr w:val="none" w:color="auto" w:sz="0" w:space="0"/>
                <w:lang w:val="en-US" w:eastAsia="zh-CN"/>
              </w:rPr>
              <w:t>4.3-3</w:t>
            </w:r>
            <w:r>
              <w:rPr>
                <w:rFonts w:ascii="Times New Roman" w:hAnsi="Times New Roman"/>
                <w:snapToGrid w:val="0"/>
                <w:color w:val="000000"/>
                <w:szCs w:val="24"/>
                <w:bdr w:val="none" w:color="auto" w:sz="0" w:space="0"/>
                <w:lang w:val="en-US" w:eastAsia="zh-CN"/>
              </w:rPr>
              <w:t>。</w:t>
            </w:r>
          </w:p>
          <w:p w14:paraId="36F54331">
            <w:pPr>
              <w:pStyle w:val="14"/>
              <w:widowControl/>
              <w:spacing w:before="0" w:beforeAutospacing="0" w:after="0" w:afterAutospacing="0" w:line="460" w:lineRule="exact"/>
              <w:ind w:left="0" w:right="0" w:firstLine="480" w:firstLineChars="200"/>
              <w:jc w:val="center"/>
              <w:outlineLvl w:val="0"/>
              <w:rPr>
                <w:rFonts w:hint="default" w:ascii="Times New Roman" w:hAnsi="Times New Roman" w:cs="Times New Roman"/>
                <w:snapToGrid w:val="0"/>
                <w:color w:val="000000"/>
                <w:szCs w:val="24"/>
                <w:bdr w:val="none" w:color="auto" w:sz="0" w:space="0"/>
                <w:lang w:val="en-US" w:eastAsia="zh-CN"/>
              </w:rPr>
            </w:pPr>
            <w:r>
              <w:rPr>
                <w:rFonts w:ascii="Times New Roman" w:hAnsi="Times New Roman"/>
                <w:snapToGrid w:val="0"/>
                <w:color w:val="000000"/>
                <w:szCs w:val="24"/>
                <w:bdr w:val="none" w:color="auto" w:sz="0" w:space="0"/>
                <w:lang w:val="en-US" w:eastAsia="zh-CN"/>
              </w:rPr>
              <w:t>表</w:t>
            </w:r>
            <w:r>
              <w:rPr>
                <w:rFonts w:hint="default" w:ascii="Times New Roman" w:hAnsi="Times New Roman" w:cs="Times New Roman"/>
                <w:snapToGrid w:val="0"/>
                <w:color w:val="000000"/>
                <w:szCs w:val="24"/>
                <w:bdr w:val="none" w:color="auto" w:sz="0" w:space="0"/>
                <w:lang w:val="en-US" w:eastAsia="zh-CN"/>
              </w:rPr>
              <w:t xml:space="preserve">4.3-3 </w:t>
            </w:r>
            <w:r>
              <w:rPr>
                <w:rFonts w:ascii="Times New Roman" w:hAnsi="Times New Roman"/>
                <w:snapToGrid w:val="0"/>
                <w:color w:val="000000"/>
                <w:szCs w:val="24"/>
                <w:bdr w:val="none" w:color="auto" w:sz="0" w:space="0"/>
                <w:lang w:val="en-US" w:eastAsia="zh-CN"/>
              </w:rPr>
              <w:t>废水间接排放口基本情况表</w:t>
            </w:r>
          </w:p>
          <w:tbl>
            <w:tblPr>
              <w:tblStyle w:val="18"/>
              <w:tblpPr w:leftFromText="180" w:rightFromText="180" w:vertAnchor="text" w:tblpXSpec="center" w:tblpY="1"/>
              <w:tblOverlap w:val="never"/>
              <w:tblW w:w="5000" w:type="pct"/>
              <w:tblInd w:w="8" w:type="dxa"/>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tblLayout w:type="fixed"/>
              <w:tblCellMar>
                <w:top w:w="0" w:type="dxa"/>
                <w:left w:w="108" w:type="dxa"/>
                <w:bottom w:w="0" w:type="dxa"/>
                <w:right w:w="108" w:type="dxa"/>
              </w:tblCellMar>
            </w:tblPr>
            <w:tblGrid>
              <w:gridCol w:w="773"/>
              <w:gridCol w:w="931"/>
              <w:gridCol w:w="849"/>
              <w:gridCol w:w="849"/>
              <w:gridCol w:w="571"/>
              <w:gridCol w:w="566"/>
              <w:gridCol w:w="567"/>
              <w:gridCol w:w="567"/>
              <w:gridCol w:w="1068"/>
              <w:gridCol w:w="1206"/>
            </w:tblGrid>
            <w:tr w14:paraId="23DF0086">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tblCellMar>
                  <w:top w:w="0" w:type="dxa"/>
                  <w:left w:w="108" w:type="dxa"/>
                  <w:bottom w:w="0" w:type="dxa"/>
                  <w:right w:w="108" w:type="dxa"/>
                </w:tblCellMar>
              </w:tblPrEx>
              <w:trPr>
                <w:trHeight w:val="332" w:hRule="atLeast"/>
              </w:trPr>
              <w:tc>
                <w:tcPr>
                  <w:tcW w:w="486" w:type="pct"/>
                  <w:vMerge w:val="restart"/>
                  <w:tcBorders>
                    <w:top w:val="single" w:color="auto" w:sz="12" w:space="0"/>
                    <w:left w:val="nil"/>
                    <w:bottom w:val="single" w:color="auto" w:sz="6" w:space="0"/>
                    <w:right w:val="single" w:color="auto" w:sz="6" w:space="0"/>
                  </w:tcBorders>
                  <w:shd w:val="clear"/>
                  <w:vAlign w:val="center"/>
                </w:tcPr>
                <w:p w14:paraId="751D2C6D">
                  <w:pPr>
                    <w:pStyle w:val="30"/>
                    <w:widowControl/>
                    <w:spacing w:before="0" w:beforeAutospacing="1" w:after="0" w:afterAutospacing="1" w:line="300" w:lineRule="exact"/>
                    <w:ind w:left="-105" w:leftChars="-50" w:right="-105" w:rightChars="-50"/>
                    <w:jc w:val="center"/>
                    <w:rPr>
                      <w:rFonts w:hint="default" w:ascii="Times New Roman" w:hAnsi="Times New Roman" w:cs="Times New Roman"/>
                      <w:kern w:val="2"/>
                      <w:sz w:val="21"/>
                      <w:szCs w:val="21"/>
                      <w:bdr w:val="none" w:color="auto" w:sz="0" w:space="0"/>
                      <w:lang w:val="en-US"/>
                    </w:rPr>
                  </w:pPr>
                  <w:r>
                    <w:rPr>
                      <w:rFonts w:ascii="Times New Roman"/>
                      <w:kern w:val="2"/>
                      <w:sz w:val="21"/>
                      <w:szCs w:val="21"/>
                      <w:bdr w:val="none" w:color="auto" w:sz="0" w:space="0"/>
                    </w:rPr>
                    <w:t>排放口编号</w:t>
                  </w:r>
                </w:p>
              </w:tc>
              <w:tc>
                <w:tcPr>
                  <w:tcW w:w="1119" w:type="pct"/>
                  <w:gridSpan w:val="2"/>
                  <w:tcBorders>
                    <w:top w:val="single" w:color="auto" w:sz="12" w:space="0"/>
                    <w:left w:val="single" w:color="auto" w:sz="6" w:space="0"/>
                    <w:bottom w:val="single" w:color="auto" w:sz="6" w:space="0"/>
                    <w:right w:val="single" w:color="auto" w:sz="6" w:space="0"/>
                  </w:tcBorders>
                  <w:shd w:val="clear"/>
                  <w:vAlign w:val="center"/>
                </w:tcPr>
                <w:p w14:paraId="136AE0CC">
                  <w:pPr>
                    <w:pStyle w:val="30"/>
                    <w:widowControl/>
                    <w:spacing w:before="0" w:beforeAutospacing="1" w:after="0" w:afterAutospacing="1" w:line="300" w:lineRule="exact"/>
                    <w:ind w:left="-105" w:leftChars="-50" w:right="-105" w:rightChars="-50"/>
                    <w:jc w:val="center"/>
                    <w:rPr>
                      <w:rFonts w:hint="default" w:ascii="Times New Roman" w:hAnsi="Times New Roman" w:cs="Times New Roman"/>
                      <w:kern w:val="2"/>
                      <w:sz w:val="21"/>
                      <w:szCs w:val="21"/>
                      <w:bdr w:val="none" w:color="auto" w:sz="0" w:space="0"/>
                      <w:lang w:val="en-US"/>
                    </w:rPr>
                  </w:pPr>
                  <w:r>
                    <w:rPr>
                      <w:rFonts w:ascii="Times New Roman"/>
                      <w:kern w:val="2"/>
                      <w:sz w:val="21"/>
                      <w:szCs w:val="21"/>
                      <w:bdr w:val="none" w:color="auto" w:sz="0" w:space="0"/>
                    </w:rPr>
                    <w:t>排放口地理坐标</w:t>
                  </w:r>
                </w:p>
              </w:tc>
              <w:tc>
                <w:tcPr>
                  <w:tcW w:w="534" w:type="pct"/>
                  <w:vMerge w:val="restart"/>
                  <w:tcBorders>
                    <w:top w:val="single" w:color="auto" w:sz="12" w:space="0"/>
                    <w:left w:val="single" w:color="auto" w:sz="6" w:space="0"/>
                    <w:bottom w:val="single" w:color="auto" w:sz="6" w:space="0"/>
                    <w:right w:val="single" w:color="auto" w:sz="6" w:space="0"/>
                  </w:tcBorders>
                  <w:shd w:val="clear"/>
                  <w:vAlign w:val="center"/>
                </w:tcPr>
                <w:p w14:paraId="3759749F">
                  <w:pPr>
                    <w:pStyle w:val="30"/>
                    <w:widowControl/>
                    <w:spacing w:before="0" w:beforeAutospacing="1" w:after="0" w:afterAutospacing="1" w:line="300" w:lineRule="exact"/>
                    <w:ind w:left="-105" w:leftChars="-50" w:right="-105" w:rightChars="-50"/>
                    <w:jc w:val="center"/>
                    <w:rPr>
                      <w:rFonts w:hint="default" w:ascii="Times New Roman" w:hAnsi="Times New Roman" w:cs="Times New Roman"/>
                      <w:kern w:val="2"/>
                      <w:sz w:val="21"/>
                      <w:szCs w:val="21"/>
                      <w:bdr w:val="none" w:color="auto" w:sz="0" w:space="0"/>
                      <w:lang w:val="en-US"/>
                    </w:rPr>
                  </w:pPr>
                  <w:r>
                    <w:rPr>
                      <w:rFonts w:ascii="Times New Roman"/>
                      <w:kern w:val="2"/>
                      <w:sz w:val="21"/>
                      <w:szCs w:val="21"/>
                      <w:bdr w:val="none" w:color="auto" w:sz="0" w:space="0"/>
                    </w:rPr>
                    <w:t>废水排放量（万</w:t>
                  </w:r>
                  <w:r>
                    <w:rPr>
                      <w:rFonts w:hint="default" w:ascii="Times New Roman" w:hAnsi="Times New Roman" w:cs="Times New Roman"/>
                      <w:kern w:val="2"/>
                      <w:sz w:val="21"/>
                      <w:szCs w:val="21"/>
                      <w:bdr w:val="none" w:color="auto" w:sz="0" w:space="0"/>
                      <w:lang w:val="en-US"/>
                    </w:rPr>
                    <w:t>t/a</w:t>
                  </w:r>
                  <w:r>
                    <w:rPr>
                      <w:rFonts w:ascii="Times New Roman"/>
                      <w:kern w:val="2"/>
                      <w:sz w:val="21"/>
                      <w:szCs w:val="21"/>
                      <w:bdr w:val="none" w:color="auto" w:sz="0" w:space="0"/>
                    </w:rPr>
                    <w:t>）</w:t>
                  </w:r>
                </w:p>
              </w:tc>
              <w:tc>
                <w:tcPr>
                  <w:tcW w:w="359" w:type="pct"/>
                  <w:vMerge w:val="restart"/>
                  <w:tcBorders>
                    <w:top w:val="single" w:color="auto" w:sz="12" w:space="0"/>
                    <w:left w:val="single" w:color="auto" w:sz="6" w:space="0"/>
                    <w:bottom w:val="single" w:color="auto" w:sz="6" w:space="0"/>
                    <w:right w:val="single" w:color="auto" w:sz="6" w:space="0"/>
                  </w:tcBorders>
                  <w:shd w:val="clear"/>
                  <w:vAlign w:val="center"/>
                </w:tcPr>
                <w:p w14:paraId="7B84FB43">
                  <w:pPr>
                    <w:keepNext w:val="0"/>
                    <w:keepLines w:val="0"/>
                    <w:widowControl w:val="0"/>
                    <w:suppressLineNumbers w:val="0"/>
                    <w:spacing w:before="0" w:beforeAutospacing="1" w:after="0" w:afterAutospacing="1" w:line="300" w:lineRule="exact"/>
                    <w:ind w:left="-105" w:leftChars="-50" w:right="-105" w:rightChars="-50"/>
                    <w:jc w:val="center"/>
                    <w:rPr>
                      <w:rFonts w:hint="default" w:ascii="Times New Roman" w:hAnsi="Calibri"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排放去向</w:t>
                  </w:r>
                </w:p>
              </w:tc>
              <w:tc>
                <w:tcPr>
                  <w:tcW w:w="356" w:type="pct"/>
                  <w:vMerge w:val="restart"/>
                  <w:tcBorders>
                    <w:top w:val="single" w:color="auto" w:sz="12" w:space="0"/>
                    <w:left w:val="single" w:color="auto" w:sz="6" w:space="0"/>
                    <w:bottom w:val="single" w:color="auto" w:sz="6" w:space="0"/>
                    <w:right w:val="single" w:color="auto" w:sz="6" w:space="0"/>
                  </w:tcBorders>
                  <w:shd w:val="clear"/>
                  <w:vAlign w:val="center"/>
                </w:tcPr>
                <w:p w14:paraId="56E059A3">
                  <w:pPr>
                    <w:pStyle w:val="30"/>
                    <w:widowControl/>
                    <w:spacing w:before="0" w:beforeAutospacing="1" w:after="0" w:afterAutospacing="1" w:line="300" w:lineRule="exact"/>
                    <w:ind w:left="-105" w:leftChars="-50" w:right="-105" w:rightChars="-50"/>
                    <w:jc w:val="center"/>
                    <w:rPr>
                      <w:rFonts w:hint="default" w:ascii="Times New Roman" w:hAnsi="Times New Roman" w:cs="Times New Roman"/>
                      <w:kern w:val="2"/>
                      <w:sz w:val="21"/>
                      <w:szCs w:val="21"/>
                      <w:bdr w:val="none" w:color="auto" w:sz="0" w:space="0"/>
                      <w:lang w:val="en-US"/>
                    </w:rPr>
                  </w:pPr>
                  <w:r>
                    <w:rPr>
                      <w:rFonts w:ascii="Times New Roman"/>
                      <w:kern w:val="2"/>
                      <w:sz w:val="21"/>
                      <w:szCs w:val="21"/>
                      <w:bdr w:val="none" w:color="auto" w:sz="0" w:space="0"/>
                    </w:rPr>
                    <w:t>规律</w:t>
                  </w:r>
                </w:p>
              </w:tc>
              <w:tc>
                <w:tcPr>
                  <w:tcW w:w="356" w:type="pct"/>
                  <w:vMerge w:val="restart"/>
                  <w:tcBorders>
                    <w:top w:val="single" w:color="auto" w:sz="12" w:space="0"/>
                    <w:left w:val="single" w:color="auto" w:sz="6" w:space="0"/>
                    <w:bottom w:val="single" w:color="auto" w:sz="6" w:space="0"/>
                    <w:right w:val="single" w:color="auto" w:sz="6" w:space="0"/>
                  </w:tcBorders>
                  <w:shd w:val="clear"/>
                  <w:vAlign w:val="center"/>
                </w:tcPr>
                <w:p w14:paraId="148D9C95">
                  <w:pPr>
                    <w:pStyle w:val="30"/>
                    <w:widowControl/>
                    <w:spacing w:before="0" w:beforeAutospacing="1" w:after="0" w:afterAutospacing="1" w:line="300" w:lineRule="exact"/>
                    <w:ind w:left="-105" w:leftChars="-50" w:right="-105" w:rightChars="-50"/>
                    <w:jc w:val="center"/>
                    <w:rPr>
                      <w:rFonts w:hint="default" w:ascii="Times New Roman" w:hAnsi="Times New Roman" w:cs="Times New Roman"/>
                      <w:kern w:val="2"/>
                      <w:sz w:val="21"/>
                      <w:szCs w:val="21"/>
                      <w:bdr w:val="none" w:color="auto" w:sz="0" w:space="0"/>
                      <w:lang w:val="en-US"/>
                    </w:rPr>
                  </w:pPr>
                  <w:r>
                    <w:rPr>
                      <w:rFonts w:ascii="Times New Roman"/>
                      <w:kern w:val="2"/>
                      <w:sz w:val="21"/>
                      <w:szCs w:val="21"/>
                      <w:bdr w:val="none" w:color="auto" w:sz="0" w:space="0"/>
                    </w:rPr>
                    <w:t>间歇排放时段</w:t>
                  </w:r>
                </w:p>
              </w:tc>
              <w:tc>
                <w:tcPr>
                  <w:tcW w:w="1787" w:type="pct"/>
                  <w:gridSpan w:val="3"/>
                  <w:tcBorders>
                    <w:top w:val="single" w:color="auto" w:sz="12" w:space="0"/>
                    <w:left w:val="single" w:color="auto" w:sz="6" w:space="0"/>
                    <w:bottom w:val="single" w:color="auto" w:sz="6" w:space="0"/>
                    <w:right w:val="nil"/>
                  </w:tcBorders>
                  <w:shd w:val="clear"/>
                  <w:vAlign w:val="center"/>
                </w:tcPr>
                <w:p w14:paraId="1CD78EF6">
                  <w:pPr>
                    <w:pStyle w:val="30"/>
                    <w:widowControl/>
                    <w:spacing w:before="0" w:beforeAutospacing="1" w:after="0" w:afterAutospacing="1" w:line="300" w:lineRule="exact"/>
                    <w:ind w:left="-105" w:leftChars="-50" w:right="-105" w:rightChars="-50"/>
                    <w:jc w:val="center"/>
                    <w:rPr>
                      <w:rFonts w:hint="default" w:ascii="Times New Roman" w:hAnsi="Times New Roman" w:cs="Times New Roman"/>
                      <w:kern w:val="2"/>
                      <w:sz w:val="21"/>
                      <w:szCs w:val="21"/>
                      <w:bdr w:val="none" w:color="auto" w:sz="0" w:space="0"/>
                      <w:lang w:val="en-US"/>
                    </w:rPr>
                  </w:pPr>
                  <w:r>
                    <w:rPr>
                      <w:rFonts w:ascii="Times New Roman"/>
                      <w:kern w:val="2"/>
                      <w:sz w:val="21"/>
                      <w:szCs w:val="21"/>
                      <w:bdr w:val="none" w:color="auto" w:sz="0" w:space="0"/>
                    </w:rPr>
                    <w:t>受纳污水处理厂信息</w:t>
                  </w:r>
                </w:p>
              </w:tc>
            </w:tr>
            <w:tr w14:paraId="4FB4319C">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55" w:hRule="atLeast"/>
              </w:trPr>
              <w:tc>
                <w:tcPr>
                  <w:tcW w:w="486" w:type="pct"/>
                  <w:vMerge w:val="continue"/>
                  <w:tcBorders>
                    <w:top w:val="single" w:color="auto" w:sz="12" w:space="0"/>
                    <w:left w:val="nil"/>
                    <w:bottom w:val="single" w:color="auto" w:sz="6" w:space="0"/>
                    <w:right w:val="single" w:color="auto" w:sz="6" w:space="0"/>
                  </w:tcBorders>
                  <w:shd w:val="clear"/>
                  <w:vAlign w:val="center"/>
                </w:tcPr>
                <w:p w14:paraId="6FF29787">
                  <w:pPr>
                    <w:rPr>
                      <w:rFonts w:hint="default" w:ascii="Calibri" w:hAnsi="Calibri" w:cs="Calibri"/>
                      <w:sz w:val="20"/>
                      <w:szCs w:val="20"/>
                    </w:rPr>
                  </w:pPr>
                </w:p>
              </w:tc>
              <w:tc>
                <w:tcPr>
                  <w:tcW w:w="586" w:type="pct"/>
                  <w:tcBorders>
                    <w:top w:val="single" w:color="auto" w:sz="6" w:space="0"/>
                    <w:left w:val="single" w:color="auto" w:sz="6" w:space="0"/>
                    <w:bottom w:val="single" w:color="auto" w:sz="6" w:space="0"/>
                    <w:right w:val="single" w:color="auto" w:sz="6" w:space="0"/>
                  </w:tcBorders>
                  <w:shd w:val="clear"/>
                  <w:vAlign w:val="center"/>
                </w:tcPr>
                <w:p w14:paraId="4D066BA1">
                  <w:pPr>
                    <w:keepNext w:val="0"/>
                    <w:keepLines w:val="0"/>
                    <w:widowControl w:val="0"/>
                    <w:suppressLineNumbers w:val="0"/>
                    <w:spacing w:before="0" w:beforeAutospacing="1" w:after="0" w:afterAutospacing="1" w:line="300" w:lineRule="exact"/>
                    <w:ind w:left="-105" w:leftChars="-50" w:right="-105" w:rightChars="-5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经度</w:t>
                  </w:r>
                </w:p>
              </w:tc>
              <w:tc>
                <w:tcPr>
                  <w:tcW w:w="534" w:type="pct"/>
                  <w:tcBorders>
                    <w:top w:val="single" w:color="auto" w:sz="6" w:space="0"/>
                    <w:left w:val="single" w:color="auto" w:sz="6" w:space="0"/>
                    <w:bottom w:val="single" w:color="auto" w:sz="6" w:space="0"/>
                    <w:right w:val="single" w:color="auto" w:sz="6" w:space="0"/>
                  </w:tcBorders>
                  <w:shd w:val="clear"/>
                  <w:vAlign w:val="center"/>
                </w:tcPr>
                <w:p w14:paraId="23CD2EE1">
                  <w:pPr>
                    <w:keepNext w:val="0"/>
                    <w:keepLines w:val="0"/>
                    <w:widowControl w:val="0"/>
                    <w:suppressLineNumbers w:val="0"/>
                    <w:spacing w:before="0" w:beforeAutospacing="1" w:after="0" w:afterAutospacing="1" w:line="300" w:lineRule="exact"/>
                    <w:ind w:left="-105" w:leftChars="-50" w:right="-105" w:rightChars="-5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纬度</w:t>
                  </w:r>
                </w:p>
              </w:tc>
              <w:tc>
                <w:tcPr>
                  <w:tcW w:w="534" w:type="pct"/>
                  <w:vMerge w:val="continue"/>
                  <w:tcBorders>
                    <w:top w:val="single" w:color="auto" w:sz="12" w:space="0"/>
                    <w:left w:val="single" w:color="auto" w:sz="6" w:space="0"/>
                    <w:bottom w:val="single" w:color="auto" w:sz="6" w:space="0"/>
                    <w:right w:val="single" w:color="auto" w:sz="6" w:space="0"/>
                  </w:tcBorders>
                  <w:shd w:val="clear"/>
                  <w:vAlign w:val="center"/>
                </w:tcPr>
                <w:p w14:paraId="22F08B36">
                  <w:pPr>
                    <w:rPr>
                      <w:rFonts w:hint="default" w:ascii="Calibri" w:hAnsi="Calibri" w:cs="Calibri"/>
                      <w:sz w:val="20"/>
                      <w:szCs w:val="20"/>
                    </w:rPr>
                  </w:pPr>
                </w:p>
              </w:tc>
              <w:tc>
                <w:tcPr>
                  <w:tcW w:w="359" w:type="pct"/>
                  <w:vMerge w:val="continue"/>
                  <w:tcBorders>
                    <w:top w:val="single" w:color="auto" w:sz="12" w:space="0"/>
                    <w:left w:val="single" w:color="auto" w:sz="6" w:space="0"/>
                    <w:bottom w:val="single" w:color="auto" w:sz="6" w:space="0"/>
                    <w:right w:val="single" w:color="auto" w:sz="6" w:space="0"/>
                  </w:tcBorders>
                  <w:shd w:val="clear"/>
                  <w:vAlign w:val="center"/>
                </w:tcPr>
                <w:p w14:paraId="5C4ED33F">
                  <w:pPr>
                    <w:rPr>
                      <w:rFonts w:hint="default" w:ascii="Calibri" w:hAnsi="Calibri" w:cs="Calibri"/>
                      <w:sz w:val="20"/>
                      <w:szCs w:val="20"/>
                    </w:rPr>
                  </w:pPr>
                </w:p>
              </w:tc>
              <w:tc>
                <w:tcPr>
                  <w:tcW w:w="356" w:type="pct"/>
                  <w:vMerge w:val="continue"/>
                  <w:tcBorders>
                    <w:top w:val="single" w:color="auto" w:sz="12" w:space="0"/>
                    <w:left w:val="single" w:color="auto" w:sz="6" w:space="0"/>
                    <w:bottom w:val="single" w:color="auto" w:sz="6" w:space="0"/>
                    <w:right w:val="single" w:color="auto" w:sz="6" w:space="0"/>
                  </w:tcBorders>
                  <w:shd w:val="clear"/>
                  <w:vAlign w:val="center"/>
                </w:tcPr>
                <w:p w14:paraId="7D671DBC">
                  <w:pPr>
                    <w:rPr>
                      <w:rFonts w:hint="default" w:ascii="Calibri" w:hAnsi="Calibri" w:cs="Calibri"/>
                      <w:sz w:val="20"/>
                      <w:szCs w:val="20"/>
                    </w:rPr>
                  </w:pPr>
                </w:p>
              </w:tc>
              <w:tc>
                <w:tcPr>
                  <w:tcW w:w="356" w:type="pct"/>
                  <w:vMerge w:val="continue"/>
                  <w:tcBorders>
                    <w:top w:val="single" w:color="auto" w:sz="12" w:space="0"/>
                    <w:left w:val="single" w:color="auto" w:sz="6" w:space="0"/>
                    <w:bottom w:val="single" w:color="auto" w:sz="6" w:space="0"/>
                    <w:right w:val="single" w:color="auto" w:sz="6" w:space="0"/>
                  </w:tcBorders>
                  <w:shd w:val="clear"/>
                  <w:vAlign w:val="center"/>
                </w:tcPr>
                <w:p w14:paraId="20C73D27">
                  <w:pPr>
                    <w:rPr>
                      <w:rFonts w:hint="default" w:ascii="Calibri" w:hAnsi="Calibri" w:cs="Calibri"/>
                      <w:sz w:val="20"/>
                      <w:szCs w:val="20"/>
                    </w:rPr>
                  </w:pPr>
                </w:p>
              </w:tc>
              <w:tc>
                <w:tcPr>
                  <w:tcW w:w="356" w:type="pct"/>
                  <w:tcBorders>
                    <w:top w:val="single" w:color="auto" w:sz="6" w:space="0"/>
                    <w:left w:val="single" w:color="auto" w:sz="6" w:space="0"/>
                    <w:bottom w:val="single" w:color="auto" w:sz="6" w:space="0"/>
                    <w:right w:val="single" w:color="auto" w:sz="6" w:space="0"/>
                  </w:tcBorders>
                  <w:shd w:val="clear"/>
                  <w:vAlign w:val="center"/>
                </w:tcPr>
                <w:p w14:paraId="6AE3C47E">
                  <w:pPr>
                    <w:pStyle w:val="30"/>
                    <w:widowControl/>
                    <w:spacing w:before="0" w:beforeAutospacing="1" w:after="0" w:afterAutospacing="1" w:line="300" w:lineRule="exact"/>
                    <w:ind w:left="-105" w:leftChars="-50" w:right="-105" w:rightChars="-50"/>
                    <w:jc w:val="center"/>
                    <w:rPr>
                      <w:rFonts w:hint="default" w:ascii="Times New Roman" w:hAnsi="Times New Roman" w:cs="Times New Roman"/>
                      <w:kern w:val="2"/>
                      <w:sz w:val="21"/>
                      <w:szCs w:val="21"/>
                      <w:bdr w:val="none" w:color="auto" w:sz="0" w:space="0"/>
                      <w:lang w:val="en-US"/>
                    </w:rPr>
                  </w:pPr>
                  <w:r>
                    <w:rPr>
                      <w:rFonts w:ascii="Times New Roman"/>
                      <w:kern w:val="2"/>
                      <w:sz w:val="21"/>
                      <w:szCs w:val="21"/>
                      <w:bdr w:val="none" w:color="auto" w:sz="0" w:space="0"/>
                    </w:rPr>
                    <w:t>名称</w:t>
                  </w:r>
                </w:p>
              </w:tc>
              <w:tc>
                <w:tcPr>
                  <w:tcW w:w="672" w:type="pct"/>
                  <w:tcBorders>
                    <w:top w:val="single" w:color="auto" w:sz="6" w:space="0"/>
                    <w:left w:val="single" w:color="auto" w:sz="6" w:space="0"/>
                    <w:bottom w:val="single" w:color="auto" w:sz="6" w:space="0"/>
                    <w:right w:val="single" w:color="auto" w:sz="6" w:space="0"/>
                  </w:tcBorders>
                  <w:shd w:val="clear"/>
                  <w:vAlign w:val="center"/>
                </w:tcPr>
                <w:p w14:paraId="6BBBEC30">
                  <w:pPr>
                    <w:pStyle w:val="30"/>
                    <w:widowControl/>
                    <w:spacing w:before="0" w:beforeAutospacing="1" w:after="0" w:afterAutospacing="1" w:line="300" w:lineRule="exact"/>
                    <w:ind w:left="-105" w:leftChars="-50" w:right="-105" w:rightChars="-50"/>
                    <w:jc w:val="center"/>
                    <w:rPr>
                      <w:rFonts w:hint="default" w:ascii="Times New Roman" w:hAnsi="Times New Roman" w:cs="Times New Roman"/>
                      <w:kern w:val="2"/>
                      <w:sz w:val="21"/>
                      <w:szCs w:val="21"/>
                      <w:bdr w:val="none" w:color="auto" w:sz="0" w:space="0"/>
                      <w:lang w:val="en-US"/>
                    </w:rPr>
                  </w:pPr>
                  <w:r>
                    <w:rPr>
                      <w:rFonts w:ascii="Times New Roman"/>
                      <w:kern w:val="2"/>
                      <w:sz w:val="21"/>
                      <w:szCs w:val="21"/>
                      <w:bdr w:val="none" w:color="auto" w:sz="0" w:space="0"/>
                    </w:rPr>
                    <w:t>污染物种类</w:t>
                  </w:r>
                </w:p>
              </w:tc>
              <w:tc>
                <w:tcPr>
                  <w:tcW w:w="759" w:type="pct"/>
                  <w:tcBorders>
                    <w:top w:val="single" w:color="auto" w:sz="6" w:space="0"/>
                    <w:left w:val="single" w:color="auto" w:sz="6" w:space="0"/>
                    <w:bottom w:val="single" w:color="auto" w:sz="6" w:space="0"/>
                    <w:right w:val="nil"/>
                  </w:tcBorders>
                  <w:shd w:val="clear"/>
                  <w:vAlign w:val="center"/>
                </w:tcPr>
                <w:p w14:paraId="191579F1">
                  <w:pPr>
                    <w:pStyle w:val="30"/>
                    <w:widowControl/>
                    <w:spacing w:before="0" w:beforeAutospacing="1" w:after="0" w:afterAutospacing="1" w:line="300" w:lineRule="exact"/>
                    <w:ind w:left="-105" w:leftChars="-50" w:right="-105" w:rightChars="-50"/>
                    <w:jc w:val="center"/>
                    <w:rPr>
                      <w:rFonts w:hint="default" w:ascii="Times New Roman" w:hAnsi="Times New Roman" w:cs="Times New Roman"/>
                      <w:kern w:val="2"/>
                      <w:sz w:val="21"/>
                      <w:szCs w:val="21"/>
                      <w:bdr w:val="none" w:color="auto" w:sz="0" w:space="0"/>
                      <w:lang w:val="en-US"/>
                    </w:rPr>
                  </w:pPr>
                  <w:r>
                    <w:rPr>
                      <w:rFonts w:ascii="Times New Roman"/>
                      <w:kern w:val="2"/>
                      <w:sz w:val="21"/>
                      <w:szCs w:val="21"/>
                      <w:bdr w:val="none" w:color="auto" w:sz="0" w:space="0"/>
                    </w:rPr>
                    <w:t>排放标准限值</w:t>
                  </w:r>
                  <w:r>
                    <w:rPr>
                      <w:rFonts w:hint="default" w:ascii="Times New Roman" w:hAnsi="Times New Roman" w:cs="Times New Roman"/>
                      <w:kern w:val="2"/>
                      <w:sz w:val="21"/>
                      <w:szCs w:val="21"/>
                      <w:bdr w:val="none" w:color="auto" w:sz="0" w:space="0"/>
                      <w:lang w:val="en-US"/>
                    </w:rPr>
                    <w:t>(mg/L)</w:t>
                  </w:r>
                </w:p>
              </w:tc>
            </w:tr>
            <w:tr w14:paraId="09F00AA2">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04" w:hRule="atLeast"/>
              </w:trPr>
              <w:tc>
                <w:tcPr>
                  <w:tcW w:w="486" w:type="pct"/>
                  <w:vMerge w:val="restart"/>
                  <w:tcBorders>
                    <w:top w:val="single" w:color="auto" w:sz="6" w:space="0"/>
                    <w:left w:val="nil"/>
                    <w:bottom w:val="single" w:color="auto" w:sz="12" w:space="0"/>
                    <w:right w:val="single" w:color="auto" w:sz="6" w:space="0"/>
                  </w:tcBorders>
                  <w:shd w:val="clear"/>
                  <w:vAlign w:val="center"/>
                </w:tcPr>
                <w:p w14:paraId="1ED29D83">
                  <w:pPr>
                    <w:pStyle w:val="30"/>
                    <w:widowControl/>
                    <w:spacing w:before="0" w:beforeAutospacing="1" w:after="0" w:afterAutospacing="1" w:line="300" w:lineRule="exact"/>
                    <w:ind w:left="-105" w:leftChars="-50" w:right="-105" w:rightChars="-50"/>
                    <w:jc w:val="center"/>
                    <w:rPr>
                      <w:rFonts w:hint="default" w:ascii="Times New Roman" w:hAnsi="Times New Roman" w:cs="Times New Roman"/>
                      <w:kern w:val="2"/>
                      <w:sz w:val="21"/>
                      <w:szCs w:val="21"/>
                      <w:bdr w:val="none" w:color="auto" w:sz="0" w:space="0"/>
                      <w:lang w:val="en-US"/>
                    </w:rPr>
                  </w:pPr>
                  <w:r>
                    <w:rPr>
                      <w:rFonts w:hint="default" w:ascii="Times New Roman" w:hAnsi="Times New Roman" w:cs="Times New Roman"/>
                      <w:kern w:val="2"/>
                      <w:sz w:val="21"/>
                      <w:szCs w:val="21"/>
                      <w:bdr w:val="none" w:color="auto" w:sz="0" w:space="0"/>
                      <w:lang w:val="en-US"/>
                    </w:rPr>
                    <w:t>DW001</w:t>
                  </w:r>
                </w:p>
              </w:tc>
              <w:tc>
                <w:tcPr>
                  <w:tcW w:w="586" w:type="pct"/>
                  <w:vMerge w:val="restart"/>
                  <w:tcBorders>
                    <w:top w:val="single" w:color="auto" w:sz="6" w:space="0"/>
                    <w:left w:val="single" w:color="auto" w:sz="6" w:space="0"/>
                    <w:bottom w:val="single" w:color="auto" w:sz="12" w:space="0"/>
                    <w:right w:val="single" w:color="auto" w:sz="6" w:space="0"/>
                  </w:tcBorders>
                  <w:shd w:val="clear"/>
                  <w:vAlign w:val="center"/>
                </w:tcPr>
                <w:p w14:paraId="19CA53A0">
                  <w:pPr>
                    <w:pStyle w:val="30"/>
                    <w:widowControl/>
                    <w:spacing w:before="0" w:beforeAutospacing="1" w:after="0" w:afterAutospacing="1" w:line="300" w:lineRule="exact"/>
                    <w:ind w:left="-105" w:leftChars="-50" w:right="-105" w:rightChars="-50"/>
                    <w:jc w:val="center"/>
                    <w:rPr>
                      <w:rFonts w:hint="default" w:ascii="Times New Roman" w:hAnsi="Times New Roman" w:cs="Times New Roman"/>
                      <w:kern w:val="2"/>
                      <w:sz w:val="21"/>
                      <w:szCs w:val="21"/>
                      <w:bdr w:val="none" w:color="auto" w:sz="0" w:space="0"/>
                      <w:lang w:val="en-US"/>
                    </w:rPr>
                  </w:pPr>
                  <w:r>
                    <w:rPr>
                      <w:rFonts w:hint="default" w:ascii="Times New Roman" w:hAnsi="Times New Roman" w:cs="Times New Roman"/>
                      <w:kern w:val="2"/>
                      <w:sz w:val="21"/>
                      <w:szCs w:val="21"/>
                      <w:bdr w:val="none" w:color="auto" w:sz="0" w:space="0"/>
                      <w:lang w:val="en-US"/>
                    </w:rPr>
                    <w:t>106.38863</w:t>
                  </w:r>
                </w:p>
              </w:tc>
              <w:tc>
                <w:tcPr>
                  <w:tcW w:w="534" w:type="pct"/>
                  <w:vMerge w:val="restart"/>
                  <w:tcBorders>
                    <w:top w:val="single" w:color="auto" w:sz="6" w:space="0"/>
                    <w:left w:val="single" w:color="auto" w:sz="6" w:space="0"/>
                    <w:bottom w:val="single" w:color="auto" w:sz="12" w:space="0"/>
                    <w:right w:val="single" w:color="auto" w:sz="6" w:space="0"/>
                  </w:tcBorders>
                  <w:shd w:val="clear"/>
                  <w:vAlign w:val="center"/>
                </w:tcPr>
                <w:p w14:paraId="0F927C1E">
                  <w:pPr>
                    <w:pStyle w:val="30"/>
                    <w:widowControl/>
                    <w:spacing w:before="0" w:beforeAutospacing="1" w:after="0" w:afterAutospacing="1" w:line="300" w:lineRule="exact"/>
                    <w:ind w:left="-105" w:leftChars="-50" w:right="-105" w:rightChars="-50"/>
                    <w:jc w:val="center"/>
                    <w:rPr>
                      <w:rFonts w:hint="default" w:ascii="Times New Roman" w:hAnsi="Times New Roman" w:cs="Times New Roman"/>
                      <w:kern w:val="2"/>
                      <w:sz w:val="21"/>
                      <w:szCs w:val="21"/>
                      <w:bdr w:val="none" w:color="auto" w:sz="0" w:space="0"/>
                      <w:lang w:val="en-US"/>
                    </w:rPr>
                  </w:pPr>
                  <w:r>
                    <w:rPr>
                      <w:rFonts w:hint="default" w:ascii="Times New Roman" w:hAnsi="Times New Roman" w:cs="Times New Roman"/>
                      <w:kern w:val="2"/>
                      <w:sz w:val="21"/>
                      <w:szCs w:val="21"/>
                      <w:bdr w:val="none" w:color="auto" w:sz="0" w:space="0"/>
                      <w:lang w:val="en-US"/>
                    </w:rPr>
                    <w:t>29.9975</w:t>
                  </w:r>
                </w:p>
              </w:tc>
              <w:tc>
                <w:tcPr>
                  <w:tcW w:w="534" w:type="pct"/>
                  <w:vMerge w:val="restart"/>
                  <w:tcBorders>
                    <w:top w:val="single" w:color="auto" w:sz="6" w:space="0"/>
                    <w:left w:val="single" w:color="auto" w:sz="6" w:space="0"/>
                    <w:bottom w:val="single" w:color="auto" w:sz="12" w:space="0"/>
                    <w:right w:val="single" w:color="auto" w:sz="6" w:space="0"/>
                  </w:tcBorders>
                  <w:shd w:val="clear"/>
                  <w:vAlign w:val="center"/>
                </w:tcPr>
                <w:p w14:paraId="110CA5DE">
                  <w:pPr>
                    <w:pStyle w:val="30"/>
                    <w:widowControl/>
                    <w:spacing w:before="0" w:beforeAutospacing="1" w:after="0" w:afterAutospacing="1" w:line="300" w:lineRule="exact"/>
                    <w:ind w:left="-105" w:leftChars="-50" w:right="-105" w:rightChars="-50"/>
                    <w:jc w:val="center"/>
                    <w:rPr>
                      <w:rFonts w:hint="default" w:ascii="Times New Roman" w:hAnsi="Times New Roman" w:cs="Times New Roman"/>
                      <w:kern w:val="2"/>
                      <w:sz w:val="21"/>
                      <w:szCs w:val="21"/>
                      <w:bdr w:val="none" w:color="auto" w:sz="0" w:space="0"/>
                      <w:lang w:val="en-US"/>
                    </w:rPr>
                  </w:pPr>
                  <w:r>
                    <w:rPr>
                      <w:rFonts w:hint="default" w:ascii="Times New Roman" w:hAnsi="Times New Roman" w:cs="Times New Roman"/>
                      <w:kern w:val="2"/>
                      <w:sz w:val="21"/>
                      <w:szCs w:val="21"/>
                      <w:bdr w:val="none" w:color="auto" w:sz="0" w:space="0"/>
                      <w:lang w:val="en-US"/>
                    </w:rPr>
                    <w:t>0.08775</w:t>
                  </w:r>
                </w:p>
              </w:tc>
              <w:tc>
                <w:tcPr>
                  <w:tcW w:w="359" w:type="pct"/>
                  <w:vMerge w:val="restart"/>
                  <w:tcBorders>
                    <w:top w:val="single" w:color="auto" w:sz="6" w:space="0"/>
                    <w:left w:val="single" w:color="auto" w:sz="6" w:space="0"/>
                    <w:bottom w:val="single" w:color="auto" w:sz="12" w:space="0"/>
                    <w:right w:val="single" w:color="auto" w:sz="6" w:space="0"/>
                  </w:tcBorders>
                  <w:shd w:val="clear"/>
                  <w:vAlign w:val="center"/>
                </w:tcPr>
                <w:p w14:paraId="19377769">
                  <w:pPr>
                    <w:pStyle w:val="30"/>
                    <w:widowControl/>
                    <w:spacing w:before="0" w:beforeAutospacing="1" w:after="0" w:afterAutospacing="1" w:line="300" w:lineRule="exact"/>
                    <w:ind w:left="-105" w:leftChars="-50" w:right="-105" w:rightChars="-50"/>
                    <w:jc w:val="center"/>
                    <w:rPr>
                      <w:rFonts w:hint="default" w:ascii="Times New Roman" w:hAnsi="Times New Roman" w:cs="Times New Roman"/>
                      <w:sz w:val="21"/>
                      <w:szCs w:val="21"/>
                      <w:bdr w:val="none" w:color="auto" w:sz="0" w:space="0"/>
                      <w:lang w:val="en-US"/>
                    </w:rPr>
                  </w:pPr>
                  <w:r>
                    <w:rPr>
                      <w:rFonts w:ascii="Times New Roman"/>
                      <w:kern w:val="2"/>
                      <w:sz w:val="21"/>
                      <w:szCs w:val="21"/>
                      <w:bdr w:val="none" w:color="auto" w:sz="0" w:space="0"/>
                    </w:rPr>
                    <w:t>园区污水处理厂</w:t>
                  </w:r>
                </w:p>
              </w:tc>
              <w:tc>
                <w:tcPr>
                  <w:tcW w:w="356" w:type="pct"/>
                  <w:vMerge w:val="restart"/>
                  <w:tcBorders>
                    <w:top w:val="single" w:color="auto" w:sz="6" w:space="0"/>
                    <w:left w:val="single" w:color="auto" w:sz="6" w:space="0"/>
                    <w:bottom w:val="single" w:color="auto" w:sz="12" w:space="0"/>
                    <w:right w:val="single" w:color="auto" w:sz="6" w:space="0"/>
                  </w:tcBorders>
                  <w:shd w:val="clear"/>
                  <w:vAlign w:val="center"/>
                </w:tcPr>
                <w:p w14:paraId="22794B8A">
                  <w:pPr>
                    <w:pStyle w:val="30"/>
                    <w:widowControl/>
                    <w:spacing w:before="0" w:beforeAutospacing="1" w:after="0" w:afterAutospacing="1" w:line="300" w:lineRule="exact"/>
                    <w:ind w:left="-105" w:leftChars="-50" w:right="-105" w:rightChars="-50"/>
                    <w:jc w:val="center"/>
                    <w:rPr>
                      <w:rFonts w:hint="default" w:ascii="Times New Roman" w:hAnsi="Times New Roman" w:cs="Times New Roman"/>
                      <w:sz w:val="21"/>
                      <w:szCs w:val="21"/>
                      <w:bdr w:val="none" w:color="auto" w:sz="0" w:space="0"/>
                      <w:lang w:val="en-US"/>
                    </w:rPr>
                  </w:pPr>
                  <w:r>
                    <w:rPr>
                      <w:rFonts w:ascii="Times New Roman"/>
                      <w:kern w:val="2"/>
                      <w:sz w:val="21"/>
                      <w:szCs w:val="21"/>
                      <w:bdr w:val="none" w:color="auto" w:sz="0" w:space="0"/>
                    </w:rPr>
                    <w:t>间断排放</w:t>
                  </w:r>
                </w:p>
              </w:tc>
              <w:tc>
                <w:tcPr>
                  <w:tcW w:w="356" w:type="pct"/>
                  <w:vMerge w:val="restart"/>
                  <w:tcBorders>
                    <w:top w:val="single" w:color="auto" w:sz="6" w:space="0"/>
                    <w:left w:val="single" w:color="auto" w:sz="6" w:space="0"/>
                    <w:bottom w:val="single" w:color="auto" w:sz="12" w:space="0"/>
                    <w:right w:val="single" w:color="auto" w:sz="6" w:space="0"/>
                  </w:tcBorders>
                  <w:shd w:val="clear"/>
                  <w:vAlign w:val="center"/>
                </w:tcPr>
                <w:p w14:paraId="23457AF8">
                  <w:pPr>
                    <w:pStyle w:val="30"/>
                    <w:widowControl/>
                    <w:spacing w:line="300" w:lineRule="exact"/>
                    <w:jc w:val="center"/>
                    <w:rPr>
                      <w:rFonts w:hint="default" w:ascii="Times New Roman" w:hAnsi="Times New Roman" w:cs="Times New Roman"/>
                      <w:sz w:val="21"/>
                      <w:szCs w:val="21"/>
                      <w:bdr w:val="none" w:color="auto" w:sz="0" w:space="0"/>
                      <w:lang w:val="en-US"/>
                    </w:rPr>
                  </w:pPr>
                  <w:r>
                    <w:rPr>
                      <w:rFonts w:hint="default" w:ascii="Times New Roman" w:hAnsi="Times New Roman" w:cs="Times New Roman"/>
                      <w:kern w:val="2"/>
                      <w:sz w:val="21"/>
                      <w:szCs w:val="21"/>
                      <w:bdr w:val="none" w:color="auto" w:sz="0" w:space="0"/>
                      <w:lang w:val="en-US"/>
                    </w:rPr>
                    <w:t>/</w:t>
                  </w:r>
                </w:p>
              </w:tc>
              <w:tc>
                <w:tcPr>
                  <w:tcW w:w="356" w:type="pct"/>
                  <w:vMerge w:val="restart"/>
                  <w:tcBorders>
                    <w:top w:val="single" w:color="auto" w:sz="6" w:space="0"/>
                    <w:left w:val="single" w:color="auto" w:sz="6" w:space="0"/>
                    <w:bottom w:val="single" w:color="auto" w:sz="12" w:space="0"/>
                    <w:right w:val="single" w:color="auto" w:sz="6" w:space="0"/>
                  </w:tcBorders>
                  <w:shd w:val="clear"/>
                  <w:vAlign w:val="center"/>
                </w:tcPr>
                <w:p w14:paraId="52586F54">
                  <w:pPr>
                    <w:pStyle w:val="30"/>
                    <w:widowControl/>
                    <w:spacing w:before="0" w:beforeAutospacing="1" w:after="0" w:afterAutospacing="1" w:line="300" w:lineRule="exact"/>
                    <w:ind w:left="-105" w:leftChars="-50" w:right="-105" w:rightChars="-50"/>
                    <w:jc w:val="center"/>
                    <w:rPr>
                      <w:rFonts w:hint="default" w:ascii="Times New Roman" w:hAnsi="Times New Roman" w:cs="Times New Roman"/>
                      <w:kern w:val="2"/>
                      <w:sz w:val="21"/>
                      <w:szCs w:val="21"/>
                      <w:bdr w:val="none" w:color="auto" w:sz="0" w:space="0"/>
                      <w:lang w:val="en-US"/>
                    </w:rPr>
                  </w:pPr>
                  <w:r>
                    <w:rPr>
                      <w:rFonts w:ascii="Times New Roman"/>
                      <w:kern w:val="2"/>
                      <w:sz w:val="21"/>
                      <w:szCs w:val="21"/>
                      <w:bdr w:val="none" w:color="auto" w:sz="0" w:space="0"/>
                    </w:rPr>
                    <w:t>农创园污水处理厂</w:t>
                  </w:r>
                </w:p>
              </w:tc>
              <w:tc>
                <w:tcPr>
                  <w:tcW w:w="672" w:type="pct"/>
                  <w:tcBorders>
                    <w:top w:val="single" w:color="auto" w:sz="6" w:space="0"/>
                    <w:left w:val="single" w:color="auto" w:sz="6" w:space="0"/>
                    <w:bottom w:val="single" w:color="auto" w:sz="6" w:space="0"/>
                    <w:right w:val="single" w:color="auto" w:sz="6" w:space="0"/>
                  </w:tcBorders>
                  <w:shd w:val="clear"/>
                  <w:vAlign w:val="center"/>
                </w:tcPr>
                <w:p w14:paraId="6F18CE7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pH</w:t>
                  </w:r>
                </w:p>
              </w:tc>
              <w:tc>
                <w:tcPr>
                  <w:tcW w:w="759" w:type="pct"/>
                  <w:tcBorders>
                    <w:top w:val="single" w:color="auto" w:sz="6" w:space="0"/>
                    <w:left w:val="single" w:color="auto" w:sz="6" w:space="0"/>
                    <w:bottom w:val="single" w:color="auto" w:sz="6" w:space="0"/>
                    <w:right w:val="nil"/>
                  </w:tcBorders>
                  <w:shd w:val="clear"/>
                  <w:vAlign w:val="center"/>
                </w:tcPr>
                <w:p w14:paraId="278BA5B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6~9</w:t>
                  </w:r>
                </w:p>
              </w:tc>
            </w:tr>
            <w:tr w14:paraId="37C184C4">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71" w:hRule="atLeast"/>
              </w:trPr>
              <w:tc>
                <w:tcPr>
                  <w:tcW w:w="486" w:type="pct"/>
                  <w:vMerge w:val="continue"/>
                  <w:tcBorders>
                    <w:top w:val="single" w:color="auto" w:sz="6" w:space="0"/>
                    <w:left w:val="nil"/>
                    <w:bottom w:val="single" w:color="auto" w:sz="12" w:space="0"/>
                    <w:right w:val="single" w:color="auto" w:sz="6" w:space="0"/>
                  </w:tcBorders>
                  <w:shd w:val="clear"/>
                  <w:vAlign w:val="center"/>
                </w:tcPr>
                <w:p w14:paraId="7E7863FE">
                  <w:pPr>
                    <w:rPr>
                      <w:rFonts w:hint="default" w:ascii="Calibri" w:hAnsi="Calibri" w:cs="Calibri"/>
                      <w:sz w:val="20"/>
                      <w:szCs w:val="20"/>
                    </w:rPr>
                  </w:pPr>
                </w:p>
              </w:tc>
              <w:tc>
                <w:tcPr>
                  <w:tcW w:w="586" w:type="pct"/>
                  <w:vMerge w:val="continue"/>
                  <w:tcBorders>
                    <w:top w:val="single" w:color="auto" w:sz="6" w:space="0"/>
                    <w:left w:val="single" w:color="auto" w:sz="6" w:space="0"/>
                    <w:bottom w:val="single" w:color="auto" w:sz="12" w:space="0"/>
                    <w:right w:val="single" w:color="auto" w:sz="6" w:space="0"/>
                  </w:tcBorders>
                  <w:shd w:val="clear"/>
                  <w:vAlign w:val="center"/>
                </w:tcPr>
                <w:p w14:paraId="533D51A4">
                  <w:pPr>
                    <w:rPr>
                      <w:rFonts w:hint="default" w:ascii="Calibri" w:hAnsi="Calibri" w:cs="Calibri"/>
                      <w:sz w:val="20"/>
                      <w:szCs w:val="20"/>
                    </w:rPr>
                  </w:pPr>
                </w:p>
              </w:tc>
              <w:tc>
                <w:tcPr>
                  <w:tcW w:w="534" w:type="pct"/>
                  <w:vMerge w:val="continue"/>
                  <w:tcBorders>
                    <w:top w:val="single" w:color="auto" w:sz="6" w:space="0"/>
                    <w:left w:val="single" w:color="auto" w:sz="6" w:space="0"/>
                    <w:bottom w:val="single" w:color="auto" w:sz="12" w:space="0"/>
                    <w:right w:val="single" w:color="auto" w:sz="6" w:space="0"/>
                  </w:tcBorders>
                  <w:shd w:val="clear"/>
                  <w:vAlign w:val="center"/>
                </w:tcPr>
                <w:p w14:paraId="57E7737C">
                  <w:pPr>
                    <w:rPr>
                      <w:rFonts w:hint="default" w:ascii="Calibri" w:hAnsi="Calibri" w:cs="Calibri"/>
                      <w:sz w:val="20"/>
                      <w:szCs w:val="20"/>
                    </w:rPr>
                  </w:pPr>
                </w:p>
              </w:tc>
              <w:tc>
                <w:tcPr>
                  <w:tcW w:w="534" w:type="pct"/>
                  <w:vMerge w:val="continue"/>
                  <w:tcBorders>
                    <w:top w:val="single" w:color="auto" w:sz="6" w:space="0"/>
                    <w:left w:val="single" w:color="auto" w:sz="6" w:space="0"/>
                    <w:bottom w:val="single" w:color="auto" w:sz="12" w:space="0"/>
                    <w:right w:val="single" w:color="auto" w:sz="6" w:space="0"/>
                  </w:tcBorders>
                  <w:shd w:val="clear"/>
                  <w:vAlign w:val="center"/>
                </w:tcPr>
                <w:p w14:paraId="245DCB7C">
                  <w:pPr>
                    <w:rPr>
                      <w:rFonts w:hint="default" w:ascii="Calibri" w:hAnsi="Calibri" w:cs="Calibri"/>
                      <w:sz w:val="20"/>
                      <w:szCs w:val="20"/>
                    </w:rPr>
                  </w:pPr>
                </w:p>
              </w:tc>
              <w:tc>
                <w:tcPr>
                  <w:tcW w:w="359" w:type="pct"/>
                  <w:vMerge w:val="continue"/>
                  <w:tcBorders>
                    <w:top w:val="single" w:color="auto" w:sz="6" w:space="0"/>
                    <w:left w:val="single" w:color="auto" w:sz="6" w:space="0"/>
                    <w:bottom w:val="single" w:color="auto" w:sz="12" w:space="0"/>
                    <w:right w:val="single" w:color="auto" w:sz="6" w:space="0"/>
                  </w:tcBorders>
                  <w:shd w:val="clear"/>
                  <w:vAlign w:val="center"/>
                </w:tcPr>
                <w:p w14:paraId="2D3D85DF">
                  <w:pPr>
                    <w:rPr>
                      <w:rFonts w:hint="default" w:ascii="Calibri" w:hAnsi="Calibri" w:cs="Calibri"/>
                      <w:sz w:val="20"/>
                      <w:szCs w:val="20"/>
                    </w:rPr>
                  </w:pPr>
                </w:p>
              </w:tc>
              <w:tc>
                <w:tcPr>
                  <w:tcW w:w="356" w:type="pct"/>
                  <w:vMerge w:val="continue"/>
                  <w:tcBorders>
                    <w:top w:val="single" w:color="auto" w:sz="6" w:space="0"/>
                    <w:left w:val="single" w:color="auto" w:sz="6" w:space="0"/>
                    <w:bottom w:val="single" w:color="auto" w:sz="12" w:space="0"/>
                    <w:right w:val="single" w:color="auto" w:sz="6" w:space="0"/>
                  </w:tcBorders>
                  <w:shd w:val="clear"/>
                  <w:vAlign w:val="center"/>
                </w:tcPr>
                <w:p w14:paraId="0A2B10EC">
                  <w:pPr>
                    <w:rPr>
                      <w:rFonts w:hint="default" w:ascii="Calibri" w:hAnsi="Calibri" w:cs="Calibri"/>
                      <w:sz w:val="20"/>
                      <w:szCs w:val="20"/>
                    </w:rPr>
                  </w:pPr>
                </w:p>
              </w:tc>
              <w:tc>
                <w:tcPr>
                  <w:tcW w:w="356" w:type="pct"/>
                  <w:vMerge w:val="continue"/>
                  <w:tcBorders>
                    <w:top w:val="single" w:color="auto" w:sz="6" w:space="0"/>
                    <w:left w:val="single" w:color="auto" w:sz="6" w:space="0"/>
                    <w:bottom w:val="single" w:color="auto" w:sz="12" w:space="0"/>
                    <w:right w:val="single" w:color="auto" w:sz="6" w:space="0"/>
                  </w:tcBorders>
                  <w:shd w:val="clear"/>
                  <w:vAlign w:val="center"/>
                </w:tcPr>
                <w:p w14:paraId="2F0702AC">
                  <w:pPr>
                    <w:rPr>
                      <w:rFonts w:hint="default" w:ascii="Calibri" w:hAnsi="Calibri" w:cs="Calibri"/>
                      <w:sz w:val="20"/>
                      <w:szCs w:val="20"/>
                    </w:rPr>
                  </w:pPr>
                </w:p>
              </w:tc>
              <w:tc>
                <w:tcPr>
                  <w:tcW w:w="356" w:type="pct"/>
                  <w:vMerge w:val="continue"/>
                  <w:tcBorders>
                    <w:top w:val="single" w:color="auto" w:sz="6" w:space="0"/>
                    <w:left w:val="single" w:color="auto" w:sz="6" w:space="0"/>
                    <w:bottom w:val="single" w:color="auto" w:sz="12" w:space="0"/>
                    <w:right w:val="single" w:color="auto" w:sz="6" w:space="0"/>
                  </w:tcBorders>
                  <w:shd w:val="clear"/>
                  <w:vAlign w:val="center"/>
                </w:tcPr>
                <w:p w14:paraId="4550F5BB">
                  <w:pPr>
                    <w:rPr>
                      <w:rFonts w:hint="default" w:ascii="Calibri" w:hAnsi="Calibri" w:cs="Calibri"/>
                      <w:sz w:val="20"/>
                      <w:szCs w:val="20"/>
                    </w:rPr>
                  </w:pPr>
                </w:p>
              </w:tc>
              <w:tc>
                <w:tcPr>
                  <w:tcW w:w="672" w:type="pct"/>
                  <w:tcBorders>
                    <w:top w:val="single" w:color="auto" w:sz="6" w:space="0"/>
                    <w:left w:val="single" w:color="auto" w:sz="6" w:space="0"/>
                    <w:bottom w:val="single" w:color="auto" w:sz="6" w:space="0"/>
                    <w:right w:val="single" w:color="auto" w:sz="6" w:space="0"/>
                  </w:tcBorders>
                  <w:shd w:val="clear"/>
                  <w:vAlign w:val="center"/>
                </w:tcPr>
                <w:p w14:paraId="3D5D8AB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COD</w:t>
                  </w:r>
                </w:p>
              </w:tc>
              <w:tc>
                <w:tcPr>
                  <w:tcW w:w="759" w:type="pct"/>
                  <w:tcBorders>
                    <w:top w:val="single" w:color="auto" w:sz="6" w:space="0"/>
                    <w:left w:val="single" w:color="auto" w:sz="6" w:space="0"/>
                    <w:bottom w:val="single" w:color="auto" w:sz="6" w:space="0"/>
                    <w:right w:val="nil"/>
                  </w:tcBorders>
                  <w:shd w:val="clear"/>
                  <w:vAlign w:val="center"/>
                </w:tcPr>
                <w:p w14:paraId="3A262C9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60</w:t>
                  </w:r>
                </w:p>
              </w:tc>
            </w:tr>
            <w:tr w14:paraId="7937DA81">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63" w:hRule="atLeast"/>
              </w:trPr>
              <w:tc>
                <w:tcPr>
                  <w:tcW w:w="486" w:type="pct"/>
                  <w:vMerge w:val="continue"/>
                  <w:tcBorders>
                    <w:top w:val="single" w:color="auto" w:sz="6" w:space="0"/>
                    <w:left w:val="nil"/>
                    <w:bottom w:val="single" w:color="auto" w:sz="12" w:space="0"/>
                    <w:right w:val="single" w:color="auto" w:sz="6" w:space="0"/>
                  </w:tcBorders>
                  <w:shd w:val="clear"/>
                  <w:vAlign w:val="center"/>
                </w:tcPr>
                <w:p w14:paraId="1F3205CE">
                  <w:pPr>
                    <w:rPr>
                      <w:rFonts w:hint="default" w:ascii="Calibri" w:hAnsi="Calibri" w:cs="Calibri"/>
                      <w:sz w:val="20"/>
                      <w:szCs w:val="20"/>
                    </w:rPr>
                  </w:pPr>
                </w:p>
              </w:tc>
              <w:tc>
                <w:tcPr>
                  <w:tcW w:w="586" w:type="pct"/>
                  <w:vMerge w:val="continue"/>
                  <w:tcBorders>
                    <w:top w:val="single" w:color="auto" w:sz="6" w:space="0"/>
                    <w:left w:val="single" w:color="auto" w:sz="6" w:space="0"/>
                    <w:bottom w:val="single" w:color="auto" w:sz="12" w:space="0"/>
                    <w:right w:val="single" w:color="auto" w:sz="6" w:space="0"/>
                  </w:tcBorders>
                  <w:shd w:val="clear"/>
                  <w:vAlign w:val="center"/>
                </w:tcPr>
                <w:p w14:paraId="78A5340D">
                  <w:pPr>
                    <w:rPr>
                      <w:rFonts w:hint="default" w:ascii="Calibri" w:hAnsi="Calibri" w:cs="Calibri"/>
                      <w:sz w:val="20"/>
                      <w:szCs w:val="20"/>
                    </w:rPr>
                  </w:pPr>
                </w:p>
              </w:tc>
              <w:tc>
                <w:tcPr>
                  <w:tcW w:w="534" w:type="pct"/>
                  <w:vMerge w:val="continue"/>
                  <w:tcBorders>
                    <w:top w:val="single" w:color="auto" w:sz="6" w:space="0"/>
                    <w:left w:val="single" w:color="auto" w:sz="6" w:space="0"/>
                    <w:bottom w:val="single" w:color="auto" w:sz="12" w:space="0"/>
                    <w:right w:val="single" w:color="auto" w:sz="6" w:space="0"/>
                  </w:tcBorders>
                  <w:shd w:val="clear"/>
                  <w:vAlign w:val="center"/>
                </w:tcPr>
                <w:p w14:paraId="1D2F24AD">
                  <w:pPr>
                    <w:rPr>
                      <w:rFonts w:hint="default" w:ascii="Calibri" w:hAnsi="Calibri" w:cs="Calibri"/>
                      <w:sz w:val="20"/>
                      <w:szCs w:val="20"/>
                    </w:rPr>
                  </w:pPr>
                </w:p>
              </w:tc>
              <w:tc>
                <w:tcPr>
                  <w:tcW w:w="534" w:type="pct"/>
                  <w:vMerge w:val="continue"/>
                  <w:tcBorders>
                    <w:top w:val="single" w:color="auto" w:sz="6" w:space="0"/>
                    <w:left w:val="single" w:color="auto" w:sz="6" w:space="0"/>
                    <w:bottom w:val="single" w:color="auto" w:sz="12" w:space="0"/>
                    <w:right w:val="single" w:color="auto" w:sz="6" w:space="0"/>
                  </w:tcBorders>
                  <w:shd w:val="clear"/>
                  <w:vAlign w:val="center"/>
                </w:tcPr>
                <w:p w14:paraId="3CCF07B6">
                  <w:pPr>
                    <w:rPr>
                      <w:rFonts w:hint="default" w:ascii="Calibri" w:hAnsi="Calibri" w:cs="Calibri"/>
                      <w:sz w:val="20"/>
                      <w:szCs w:val="20"/>
                    </w:rPr>
                  </w:pPr>
                </w:p>
              </w:tc>
              <w:tc>
                <w:tcPr>
                  <w:tcW w:w="359" w:type="pct"/>
                  <w:vMerge w:val="continue"/>
                  <w:tcBorders>
                    <w:top w:val="single" w:color="auto" w:sz="6" w:space="0"/>
                    <w:left w:val="single" w:color="auto" w:sz="6" w:space="0"/>
                    <w:bottom w:val="single" w:color="auto" w:sz="12" w:space="0"/>
                    <w:right w:val="single" w:color="auto" w:sz="6" w:space="0"/>
                  </w:tcBorders>
                  <w:shd w:val="clear"/>
                  <w:vAlign w:val="center"/>
                </w:tcPr>
                <w:p w14:paraId="12294CAB">
                  <w:pPr>
                    <w:rPr>
                      <w:rFonts w:hint="default" w:ascii="Calibri" w:hAnsi="Calibri" w:cs="Calibri"/>
                      <w:sz w:val="20"/>
                      <w:szCs w:val="20"/>
                    </w:rPr>
                  </w:pPr>
                </w:p>
              </w:tc>
              <w:tc>
                <w:tcPr>
                  <w:tcW w:w="356" w:type="pct"/>
                  <w:vMerge w:val="continue"/>
                  <w:tcBorders>
                    <w:top w:val="single" w:color="auto" w:sz="6" w:space="0"/>
                    <w:left w:val="single" w:color="auto" w:sz="6" w:space="0"/>
                    <w:bottom w:val="single" w:color="auto" w:sz="12" w:space="0"/>
                    <w:right w:val="single" w:color="auto" w:sz="6" w:space="0"/>
                  </w:tcBorders>
                  <w:shd w:val="clear"/>
                  <w:vAlign w:val="center"/>
                </w:tcPr>
                <w:p w14:paraId="47830CA9">
                  <w:pPr>
                    <w:rPr>
                      <w:rFonts w:hint="default" w:ascii="Calibri" w:hAnsi="Calibri" w:cs="Calibri"/>
                      <w:sz w:val="20"/>
                      <w:szCs w:val="20"/>
                    </w:rPr>
                  </w:pPr>
                </w:p>
              </w:tc>
              <w:tc>
                <w:tcPr>
                  <w:tcW w:w="356" w:type="pct"/>
                  <w:vMerge w:val="continue"/>
                  <w:tcBorders>
                    <w:top w:val="single" w:color="auto" w:sz="6" w:space="0"/>
                    <w:left w:val="single" w:color="auto" w:sz="6" w:space="0"/>
                    <w:bottom w:val="single" w:color="auto" w:sz="12" w:space="0"/>
                    <w:right w:val="single" w:color="auto" w:sz="6" w:space="0"/>
                  </w:tcBorders>
                  <w:shd w:val="clear"/>
                  <w:vAlign w:val="center"/>
                </w:tcPr>
                <w:p w14:paraId="4DB0F2DA">
                  <w:pPr>
                    <w:rPr>
                      <w:rFonts w:hint="default" w:ascii="Calibri" w:hAnsi="Calibri" w:cs="Calibri"/>
                      <w:sz w:val="20"/>
                      <w:szCs w:val="20"/>
                    </w:rPr>
                  </w:pPr>
                </w:p>
              </w:tc>
              <w:tc>
                <w:tcPr>
                  <w:tcW w:w="356" w:type="pct"/>
                  <w:vMerge w:val="continue"/>
                  <w:tcBorders>
                    <w:top w:val="single" w:color="auto" w:sz="6" w:space="0"/>
                    <w:left w:val="single" w:color="auto" w:sz="6" w:space="0"/>
                    <w:bottom w:val="single" w:color="auto" w:sz="12" w:space="0"/>
                    <w:right w:val="single" w:color="auto" w:sz="6" w:space="0"/>
                  </w:tcBorders>
                  <w:shd w:val="clear"/>
                  <w:vAlign w:val="center"/>
                </w:tcPr>
                <w:p w14:paraId="577A2B5E">
                  <w:pPr>
                    <w:rPr>
                      <w:rFonts w:hint="default" w:ascii="Calibri" w:hAnsi="Calibri" w:cs="Calibri"/>
                      <w:sz w:val="20"/>
                      <w:szCs w:val="20"/>
                    </w:rPr>
                  </w:pPr>
                </w:p>
              </w:tc>
              <w:tc>
                <w:tcPr>
                  <w:tcW w:w="672" w:type="pct"/>
                  <w:tcBorders>
                    <w:top w:val="single" w:color="auto" w:sz="6" w:space="0"/>
                    <w:left w:val="single" w:color="auto" w:sz="6" w:space="0"/>
                    <w:bottom w:val="single" w:color="auto" w:sz="6" w:space="0"/>
                    <w:right w:val="single" w:color="auto" w:sz="6" w:space="0"/>
                  </w:tcBorders>
                  <w:shd w:val="clear"/>
                  <w:vAlign w:val="center"/>
                </w:tcPr>
                <w:p w14:paraId="6BEBDD2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BOD</w:t>
                  </w:r>
                  <w:r>
                    <w:rPr>
                      <w:rFonts w:hint="default" w:ascii="Times New Roman" w:hAnsi="Times New Roman" w:eastAsia="宋体" w:cs="Times New Roman"/>
                      <w:color w:val="000000"/>
                      <w:kern w:val="2"/>
                      <w:sz w:val="21"/>
                      <w:szCs w:val="21"/>
                      <w:bdr w:val="none" w:color="auto" w:sz="0" w:space="0"/>
                      <w:vertAlign w:val="subscript"/>
                      <w:lang w:val="en-US" w:eastAsia="zh-CN" w:bidi="ar"/>
                    </w:rPr>
                    <w:t>5</w:t>
                  </w:r>
                </w:p>
              </w:tc>
              <w:tc>
                <w:tcPr>
                  <w:tcW w:w="759" w:type="pct"/>
                  <w:tcBorders>
                    <w:top w:val="single" w:color="auto" w:sz="6" w:space="0"/>
                    <w:left w:val="single" w:color="auto" w:sz="6" w:space="0"/>
                    <w:bottom w:val="single" w:color="auto" w:sz="6" w:space="0"/>
                    <w:right w:val="nil"/>
                  </w:tcBorders>
                  <w:shd w:val="clear"/>
                  <w:vAlign w:val="center"/>
                </w:tcPr>
                <w:p w14:paraId="3129445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20</w:t>
                  </w:r>
                </w:p>
              </w:tc>
            </w:tr>
            <w:tr w14:paraId="49C78892">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53" w:hRule="atLeast"/>
              </w:trPr>
              <w:tc>
                <w:tcPr>
                  <w:tcW w:w="486" w:type="pct"/>
                  <w:vMerge w:val="continue"/>
                  <w:tcBorders>
                    <w:top w:val="single" w:color="auto" w:sz="6" w:space="0"/>
                    <w:left w:val="nil"/>
                    <w:bottom w:val="single" w:color="auto" w:sz="12" w:space="0"/>
                    <w:right w:val="single" w:color="auto" w:sz="6" w:space="0"/>
                  </w:tcBorders>
                  <w:shd w:val="clear"/>
                  <w:vAlign w:val="center"/>
                </w:tcPr>
                <w:p w14:paraId="6109249F">
                  <w:pPr>
                    <w:rPr>
                      <w:rFonts w:hint="default" w:ascii="Calibri" w:hAnsi="Calibri" w:cs="Calibri"/>
                      <w:sz w:val="20"/>
                      <w:szCs w:val="20"/>
                    </w:rPr>
                  </w:pPr>
                </w:p>
              </w:tc>
              <w:tc>
                <w:tcPr>
                  <w:tcW w:w="586" w:type="pct"/>
                  <w:vMerge w:val="continue"/>
                  <w:tcBorders>
                    <w:top w:val="single" w:color="auto" w:sz="6" w:space="0"/>
                    <w:left w:val="single" w:color="auto" w:sz="6" w:space="0"/>
                    <w:bottom w:val="single" w:color="auto" w:sz="12" w:space="0"/>
                    <w:right w:val="single" w:color="auto" w:sz="6" w:space="0"/>
                  </w:tcBorders>
                  <w:shd w:val="clear"/>
                  <w:vAlign w:val="center"/>
                </w:tcPr>
                <w:p w14:paraId="7D7ADECE">
                  <w:pPr>
                    <w:rPr>
                      <w:rFonts w:hint="default" w:ascii="Calibri" w:hAnsi="Calibri" w:cs="Calibri"/>
                      <w:sz w:val="20"/>
                      <w:szCs w:val="20"/>
                    </w:rPr>
                  </w:pPr>
                </w:p>
              </w:tc>
              <w:tc>
                <w:tcPr>
                  <w:tcW w:w="534" w:type="pct"/>
                  <w:vMerge w:val="continue"/>
                  <w:tcBorders>
                    <w:top w:val="single" w:color="auto" w:sz="6" w:space="0"/>
                    <w:left w:val="single" w:color="auto" w:sz="6" w:space="0"/>
                    <w:bottom w:val="single" w:color="auto" w:sz="12" w:space="0"/>
                    <w:right w:val="single" w:color="auto" w:sz="6" w:space="0"/>
                  </w:tcBorders>
                  <w:shd w:val="clear"/>
                  <w:vAlign w:val="center"/>
                </w:tcPr>
                <w:p w14:paraId="7FEE9B64">
                  <w:pPr>
                    <w:rPr>
                      <w:rFonts w:hint="default" w:ascii="Calibri" w:hAnsi="Calibri" w:cs="Calibri"/>
                      <w:sz w:val="20"/>
                      <w:szCs w:val="20"/>
                    </w:rPr>
                  </w:pPr>
                </w:p>
              </w:tc>
              <w:tc>
                <w:tcPr>
                  <w:tcW w:w="534" w:type="pct"/>
                  <w:vMerge w:val="continue"/>
                  <w:tcBorders>
                    <w:top w:val="single" w:color="auto" w:sz="6" w:space="0"/>
                    <w:left w:val="single" w:color="auto" w:sz="6" w:space="0"/>
                    <w:bottom w:val="single" w:color="auto" w:sz="12" w:space="0"/>
                    <w:right w:val="single" w:color="auto" w:sz="6" w:space="0"/>
                  </w:tcBorders>
                  <w:shd w:val="clear"/>
                  <w:vAlign w:val="center"/>
                </w:tcPr>
                <w:p w14:paraId="0DCC941E">
                  <w:pPr>
                    <w:rPr>
                      <w:rFonts w:hint="default" w:ascii="Calibri" w:hAnsi="Calibri" w:cs="Calibri"/>
                      <w:sz w:val="20"/>
                      <w:szCs w:val="20"/>
                    </w:rPr>
                  </w:pPr>
                </w:p>
              </w:tc>
              <w:tc>
                <w:tcPr>
                  <w:tcW w:w="359" w:type="pct"/>
                  <w:vMerge w:val="continue"/>
                  <w:tcBorders>
                    <w:top w:val="single" w:color="auto" w:sz="6" w:space="0"/>
                    <w:left w:val="single" w:color="auto" w:sz="6" w:space="0"/>
                    <w:bottom w:val="single" w:color="auto" w:sz="12" w:space="0"/>
                    <w:right w:val="single" w:color="auto" w:sz="6" w:space="0"/>
                  </w:tcBorders>
                  <w:shd w:val="clear"/>
                  <w:vAlign w:val="center"/>
                </w:tcPr>
                <w:p w14:paraId="0D5A757D">
                  <w:pPr>
                    <w:rPr>
                      <w:rFonts w:hint="default" w:ascii="Calibri" w:hAnsi="Calibri" w:cs="Calibri"/>
                      <w:sz w:val="20"/>
                      <w:szCs w:val="20"/>
                    </w:rPr>
                  </w:pPr>
                </w:p>
              </w:tc>
              <w:tc>
                <w:tcPr>
                  <w:tcW w:w="356" w:type="pct"/>
                  <w:vMerge w:val="continue"/>
                  <w:tcBorders>
                    <w:top w:val="single" w:color="auto" w:sz="6" w:space="0"/>
                    <w:left w:val="single" w:color="auto" w:sz="6" w:space="0"/>
                    <w:bottom w:val="single" w:color="auto" w:sz="12" w:space="0"/>
                    <w:right w:val="single" w:color="auto" w:sz="6" w:space="0"/>
                  </w:tcBorders>
                  <w:shd w:val="clear"/>
                  <w:vAlign w:val="center"/>
                </w:tcPr>
                <w:p w14:paraId="4592F62C">
                  <w:pPr>
                    <w:rPr>
                      <w:rFonts w:hint="default" w:ascii="Calibri" w:hAnsi="Calibri" w:cs="Calibri"/>
                      <w:sz w:val="20"/>
                      <w:szCs w:val="20"/>
                    </w:rPr>
                  </w:pPr>
                </w:p>
              </w:tc>
              <w:tc>
                <w:tcPr>
                  <w:tcW w:w="356" w:type="pct"/>
                  <w:vMerge w:val="continue"/>
                  <w:tcBorders>
                    <w:top w:val="single" w:color="auto" w:sz="6" w:space="0"/>
                    <w:left w:val="single" w:color="auto" w:sz="6" w:space="0"/>
                    <w:bottom w:val="single" w:color="auto" w:sz="12" w:space="0"/>
                    <w:right w:val="single" w:color="auto" w:sz="6" w:space="0"/>
                  </w:tcBorders>
                  <w:shd w:val="clear"/>
                  <w:vAlign w:val="center"/>
                </w:tcPr>
                <w:p w14:paraId="5B1E6B05">
                  <w:pPr>
                    <w:rPr>
                      <w:rFonts w:hint="default" w:ascii="Calibri" w:hAnsi="Calibri" w:cs="Calibri"/>
                      <w:sz w:val="20"/>
                      <w:szCs w:val="20"/>
                    </w:rPr>
                  </w:pPr>
                </w:p>
              </w:tc>
              <w:tc>
                <w:tcPr>
                  <w:tcW w:w="356" w:type="pct"/>
                  <w:vMerge w:val="continue"/>
                  <w:tcBorders>
                    <w:top w:val="single" w:color="auto" w:sz="6" w:space="0"/>
                    <w:left w:val="single" w:color="auto" w:sz="6" w:space="0"/>
                    <w:bottom w:val="single" w:color="auto" w:sz="12" w:space="0"/>
                    <w:right w:val="single" w:color="auto" w:sz="6" w:space="0"/>
                  </w:tcBorders>
                  <w:shd w:val="clear"/>
                  <w:vAlign w:val="center"/>
                </w:tcPr>
                <w:p w14:paraId="1084C6A0">
                  <w:pPr>
                    <w:rPr>
                      <w:rFonts w:hint="default" w:ascii="Calibri" w:hAnsi="Calibri" w:cs="Calibri"/>
                      <w:sz w:val="20"/>
                      <w:szCs w:val="20"/>
                    </w:rPr>
                  </w:pPr>
                </w:p>
              </w:tc>
              <w:tc>
                <w:tcPr>
                  <w:tcW w:w="672" w:type="pct"/>
                  <w:tcBorders>
                    <w:top w:val="single" w:color="auto" w:sz="6" w:space="0"/>
                    <w:left w:val="single" w:color="auto" w:sz="6" w:space="0"/>
                    <w:bottom w:val="single" w:color="auto" w:sz="6" w:space="0"/>
                    <w:right w:val="single" w:color="auto" w:sz="6" w:space="0"/>
                  </w:tcBorders>
                  <w:shd w:val="clear"/>
                  <w:vAlign w:val="center"/>
                </w:tcPr>
                <w:p w14:paraId="366808B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SS</w:t>
                  </w:r>
                </w:p>
              </w:tc>
              <w:tc>
                <w:tcPr>
                  <w:tcW w:w="759" w:type="pct"/>
                  <w:tcBorders>
                    <w:top w:val="single" w:color="auto" w:sz="6" w:space="0"/>
                    <w:left w:val="single" w:color="auto" w:sz="6" w:space="0"/>
                    <w:bottom w:val="single" w:color="auto" w:sz="6" w:space="0"/>
                    <w:right w:val="nil"/>
                  </w:tcBorders>
                  <w:shd w:val="clear"/>
                  <w:vAlign w:val="center"/>
                </w:tcPr>
                <w:p w14:paraId="2D5ECB4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20</w:t>
                  </w:r>
                </w:p>
              </w:tc>
            </w:tr>
            <w:tr w14:paraId="1B017E6C">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53" w:hRule="atLeast"/>
              </w:trPr>
              <w:tc>
                <w:tcPr>
                  <w:tcW w:w="486" w:type="pct"/>
                  <w:vMerge w:val="continue"/>
                  <w:tcBorders>
                    <w:top w:val="single" w:color="auto" w:sz="6" w:space="0"/>
                    <w:left w:val="nil"/>
                    <w:bottom w:val="single" w:color="auto" w:sz="12" w:space="0"/>
                    <w:right w:val="single" w:color="auto" w:sz="6" w:space="0"/>
                  </w:tcBorders>
                  <w:shd w:val="clear"/>
                  <w:vAlign w:val="center"/>
                </w:tcPr>
                <w:p w14:paraId="09FC878F">
                  <w:pPr>
                    <w:rPr>
                      <w:rFonts w:hint="default" w:ascii="Calibri" w:hAnsi="Calibri" w:cs="Calibri"/>
                      <w:sz w:val="20"/>
                      <w:szCs w:val="20"/>
                    </w:rPr>
                  </w:pPr>
                </w:p>
              </w:tc>
              <w:tc>
                <w:tcPr>
                  <w:tcW w:w="586" w:type="pct"/>
                  <w:vMerge w:val="continue"/>
                  <w:tcBorders>
                    <w:top w:val="single" w:color="auto" w:sz="6" w:space="0"/>
                    <w:left w:val="single" w:color="auto" w:sz="6" w:space="0"/>
                    <w:bottom w:val="single" w:color="auto" w:sz="12" w:space="0"/>
                    <w:right w:val="single" w:color="auto" w:sz="6" w:space="0"/>
                  </w:tcBorders>
                  <w:shd w:val="clear"/>
                  <w:vAlign w:val="center"/>
                </w:tcPr>
                <w:p w14:paraId="4FBDC828">
                  <w:pPr>
                    <w:rPr>
                      <w:rFonts w:hint="default" w:ascii="Calibri" w:hAnsi="Calibri" w:cs="Calibri"/>
                      <w:sz w:val="20"/>
                      <w:szCs w:val="20"/>
                    </w:rPr>
                  </w:pPr>
                </w:p>
              </w:tc>
              <w:tc>
                <w:tcPr>
                  <w:tcW w:w="534" w:type="pct"/>
                  <w:vMerge w:val="continue"/>
                  <w:tcBorders>
                    <w:top w:val="single" w:color="auto" w:sz="6" w:space="0"/>
                    <w:left w:val="single" w:color="auto" w:sz="6" w:space="0"/>
                    <w:bottom w:val="single" w:color="auto" w:sz="12" w:space="0"/>
                    <w:right w:val="single" w:color="auto" w:sz="6" w:space="0"/>
                  </w:tcBorders>
                  <w:shd w:val="clear"/>
                  <w:vAlign w:val="center"/>
                </w:tcPr>
                <w:p w14:paraId="1E549CF5">
                  <w:pPr>
                    <w:rPr>
                      <w:rFonts w:hint="default" w:ascii="Calibri" w:hAnsi="Calibri" w:cs="Calibri"/>
                      <w:sz w:val="20"/>
                      <w:szCs w:val="20"/>
                    </w:rPr>
                  </w:pPr>
                </w:p>
              </w:tc>
              <w:tc>
                <w:tcPr>
                  <w:tcW w:w="534" w:type="pct"/>
                  <w:vMerge w:val="continue"/>
                  <w:tcBorders>
                    <w:top w:val="single" w:color="auto" w:sz="6" w:space="0"/>
                    <w:left w:val="single" w:color="auto" w:sz="6" w:space="0"/>
                    <w:bottom w:val="single" w:color="auto" w:sz="12" w:space="0"/>
                    <w:right w:val="single" w:color="auto" w:sz="6" w:space="0"/>
                  </w:tcBorders>
                  <w:shd w:val="clear"/>
                  <w:vAlign w:val="center"/>
                </w:tcPr>
                <w:p w14:paraId="2CE811C5">
                  <w:pPr>
                    <w:rPr>
                      <w:rFonts w:hint="default" w:ascii="Calibri" w:hAnsi="Calibri" w:cs="Calibri"/>
                      <w:sz w:val="20"/>
                      <w:szCs w:val="20"/>
                    </w:rPr>
                  </w:pPr>
                </w:p>
              </w:tc>
              <w:tc>
                <w:tcPr>
                  <w:tcW w:w="359" w:type="pct"/>
                  <w:vMerge w:val="continue"/>
                  <w:tcBorders>
                    <w:top w:val="single" w:color="auto" w:sz="6" w:space="0"/>
                    <w:left w:val="single" w:color="auto" w:sz="6" w:space="0"/>
                    <w:bottom w:val="single" w:color="auto" w:sz="12" w:space="0"/>
                    <w:right w:val="single" w:color="auto" w:sz="6" w:space="0"/>
                  </w:tcBorders>
                  <w:shd w:val="clear"/>
                  <w:vAlign w:val="center"/>
                </w:tcPr>
                <w:p w14:paraId="4747A2C0">
                  <w:pPr>
                    <w:rPr>
                      <w:rFonts w:hint="default" w:ascii="Calibri" w:hAnsi="Calibri" w:cs="Calibri"/>
                      <w:sz w:val="20"/>
                      <w:szCs w:val="20"/>
                    </w:rPr>
                  </w:pPr>
                </w:p>
              </w:tc>
              <w:tc>
                <w:tcPr>
                  <w:tcW w:w="356" w:type="pct"/>
                  <w:vMerge w:val="continue"/>
                  <w:tcBorders>
                    <w:top w:val="single" w:color="auto" w:sz="6" w:space="0"/>
                    <w:left w:val="single" w:color="auto" w:sz="6" w:space="0"/>
                    <w:bottom w:val="single" w:color="auto" w:sz="12" w:space="0"/>
                    <w:right w:val="single" w:color="auto" w:sz="6" w:space="0"/>
                  </w:tcBorders>
                  <w:shd w:val="clear"/>
                  <w:vAlign w:val="center"/>
                </w:tcPr>
                <w:p w14:paraId="16F6DB3E">
                  <w:pPr>
                    <w:rPr>
                      <w:rFonts w:hint="default" w:ascii="Calibri" w:hAnsi="Calibri" w:cs="Calibri"/>
                      <w:sz w:val="20"/>
                      <w:szCs w:val="20"/>
                    </w:rPr>
                  </w:pPr>
                </w:p>
              </w:tc>
              <w:tc>
                <w:tcPr>
                  <w:tcW w:w="356" w:type="pct"/>
                  <w:vMerge w:val="continue"/>
                  <w:tcBorders>
                    <w:top w:val="single" w:color="auto" w:sz="6" w:space="0"/>
                    <w:left w:val="single" w:color="auto" w:sz="6" w:space="0"/>
                    <w:bottom w:val="single" w:color="auto" w:sz="12" w:space="0"/>
                    <w:right w:val="single" w:color="auto" w:sz="6" w:space="0"/>
                  </w:tcBorders>
                  <w:shd w:val="clear"/>
                  <w:vAlign w:val="center"/>
                </w:tcPr>
                <w:p w14:paraId="651F837C">
                  <w:pPr>
                    <w:rPr>
                      <w:rFonts w:hint="default" w:ascii="Calibri" w:hAnsi="Calibri" w:cs="Calibri"/>
                      <w:sz w:val="20"/>
                      <w:szCs w:val="20"/>
                    </w:rPr>
                  </w:pPr>
                </w:p>
              </w:tc>
              <w:tc>
                <w:tcPr>
                  <w:tcW w:w="356" w:type="pct"/>
                  <w:vMerge w:val="continue"/>
                  <w:tcBorders>
                    <w:top w:val="single" w:color="auto" w:sz="6" w:space="0"/>
                    <w:left w:val="single" w:color="auto" w:sz="6" w:space="0"/>
                    <w:bottom w:val="single" w:color="auto" w:sz="12" w:space="0"/>
                    <w:right w:val="single" w:color="auto" w:sz="6" w:space="0"/>
                  </w:tcBorders>
                  <w:shd w:val="clear"/>
                  <w:vAlign w:val="center"/>
                </w:tcPr>
                <w:p w14:paraId="1E540FBB">
                  <w:pPr>
                    <w:rPr>
                      <w:rFonts w:hint="default" w:ascii="Calibri" w:hAnsi="Calibri" w:cs="Calibri"/>
                      <w:sz w:val="20"/>
                      <w:szCs w:val="20"/>
                    </w:rPr>
                  </w:pPr>
                </w:p>
              </w:tc>
              <w:tc>
                <w:tcPr>
                  <w:tcW w:w="672" w:type="pct"/>
                  <w:tcBorders>
                    <w:top w:val="single" w:color="auto" w:sz="6" w:space="0"/>
                    <w:left w:val="single" w:color="auto" w:sz="6" w:space="0"/>
                    <w:bottom w:val="single" w:color="auto" w:sz="12" w:space="0"/>
                    <w:right w:val="single" w:color="auto" w:sz="6" w:space="0"/>
                  </w:tcBorders>
                  <w:shd w:val="clear"/>
                  <w:vAlign w:val="center"/>
                </w:tcPr>
                <w:p w14:paraId="00564AA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NH</w:t>
                  </w:r>
                  <w:r>
                    <w:rPr>
                      <w:rFonts w:hint="default" w:ascii="Times New Roman" w:hAnsi="Times New Roman" w:eastAsia="宋体" w:cs="Times New Roman"/>
                      <w:color w:val="000000"/>
                      <w:kern w:val="2"/>
                      <w:sz w:val="21"/>
                      <w:szCs w:val="21"/>
                      <w:bdr w:val="none" w:color="auto" w:sz="0" w:space="0"/>
                      <w:vertAlign w:val="subscript"/>
                      <w:lang w:val="en-US" w:eastAsia="zh-CN" w:bidi="ar"/>
                    </w:rPr>
                    <w:t>3</w:t>
                  </w:r>
                  <w:r>
                    <w:rPr>
                      <w:rFonts w:hint="default" w:ascii="Times New Roman" w:hAnsi="Times New Roman" w:eastAsia="宋体" w:cs="Times New Roman"/>
                      <w:color w:val="000000"/>
                      <w:kern w:val="2"/>
                      <w:sz w:val="21"/>
                      <w:szCs w:val="21"/>
                      <w:bdr w:val="none" w:color="auto" w:sz="0" w:space="0"/>
                      <w:lang w:val="en-US" w:eastAsia="zh-CN" w:bidi="ar"/>
                    </w:rPr>
                    <w:t>-N</w:t>
                  </w:r>
                </w:p>
              </w:tc>
              <w:tc>
                <w:tcPr>
                  <w:tcW w:w="759" w:type="pct"/>
                  <w:tcBorders>
                    <w:top w:val="single" w:color="auto" w:sz="6" w:space="0"/>
                    <w:left w:val="single" w:color="auto" w:sz="6" w:space="0"/>
                    <w:bottom w:val="single" w:color="auto" w:sz="12" w:space="0"/>
                    <w:right w:val="nil"/>
                  </w:tcBorders>
                  <w:shd w:val="clear"/>
                  <w:vAlign w:val="center"/>
                </w:tcPr>
                <w:p w14:paraId="491C429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8</w:t>
                  </w:r>
                  <w:r>
                    <w:rPr>
                      <w:rFonts w:hint="eastAsia" w:ascii="Times New Roman" w:hAnsi="Times New Roman" w:eastAsia="宋体" w:cs="宋体"/>
                      <w:color w:val="000000"/>
                      <w:kern w:val="2"/>
                      <w:sz w:val="21"/>
                      <w:szCs w:val="21"/>
                      <w:bdr w:val="none" w:color="auto" w:sz="0" w:space="0"/>
                      <w:lang w:val="en-US" w:eastAsia="zh-CN" w:bidi="ar"/>
                    </w:rPr>
                    <w:t>（</w:t>
                  </w:r>
                  <w:r>
                    <w:rPr>
                      <w:rFonts w:hint="default" w:ascii="Times New Roman" w:hAnsi="Times New Roman" w:eastAsia="宋体" w:cs="Times New Roman"/>
                      <w:color w:val="000000"/>
                      <w:kern w:val="2"/>
                      <w:sz w:val="21"/>
                      <w:szCs w:val="21"/>
                      <w:bdr w:val="none" w:color="auto" w:sz="0" w:space="0"/>
                      <w:lang w:val="en-US" w:eastAsia="zh-CN" w:bidi="ar"/>
                    </w:rPr>
                    <w:t>15</w:t>
                  </w:r>
                  <w:r>
                    <w:rPr>
                      <w:rFonts w:hint="eastAsia" w:ascii="Times New Roman" w:hAnsi="Times New Roman" w:eastAsia="宋体" w:cs="宋体"/>
                      <w:color w:val="000000"/>
                      <w:kern w:val="2"/>
                      <w:sz w:val="21"/>
                      <w:szCs w:val="21"/>
                      <w:bdr w:val="none" w:color="auto" w:sz="0" w:space="0"/>
                      <w:lang w:val="en-US" w:eastAsia="zh-CN" w:bidi="ar"/>
                    </w:rPr>
                    <w:t>）</w:t>
                  </w:r>
                </w:p>
              </w:tc>
            </w:tr>
          </w:tbl>
          <w:p w14:paraId="2409D684">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宋体" w:cs="Times New Roman"/>
                <w:b/>
                <w:bCs/>
                <w:color w:val="000000"/>
                <w:spacing w:val="-10"/>
                <w:sz w:val="24"/>
                <w:szCs w:val="24"/>
                <w:bdr w:val="none" w:color="auto" w:sz="0" w:space="0"/>
                <w:lang w:val="en-US"/>
              </w:rPr>
            </w:pPr>
            <w:r>
              <w:rPr>
                <w:rFonts w:hint="default" w:ascii="Times New Roman" w:hAnsi="宋体" w:eastAsia="宋体" w:cs="Times New Roman"/>
                <w:b/>
                <w:bCs/>
                <w:color w:val="000000"/>
                <w:spacing w:val="-10"/>
                <w:kern w:val="2"/>
                <w:sz w:val="24"/>
                <w:szCs w:val="24"/>
                <w:bdr w:val="none" w:color="auto" w:sz="0" w:space="0"/>
                <w:lang w:val="en-US" w:eastAsia="zh-CN" w:bidi="ar"/>
              </w:rPr>
              <w:t xml:space="preserve">4.3.5 </w:t>
            </w:r>
            <w:r>
              <w:rPr>
                <w:rFonts w:hint="eastAsia" w:ascii="Times New Roman" w:hAnsi="宋体" w:eastAsia="宋体" w:cs="宋体"/>
                <w:b/>
                <w:bCs/>
                <w:color w:val="000000"/>
                <w:spacing w:val="-10"/>
                <w:kern w:val="2"/>
                <w:sz w:val="24"/>
                <w:szCs w:val="24"/>
                <w:bdr w:val="none" w:color="auto" w:sz="0" w:space="0"/>
                <w:lang w:val="en-US" w:eastAsia="zh-CN" w:bidi="ar"/>
              </w:rPr>
              <w:t>废水监测计划</w:t>
            </w:r>
          </w:p>
          <w:p w14:paraId="3D83E41B">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32"/>
                <w:bdr w:val="none" w:color="auto" w:sz="0" w:space="0"/>
                <w:lang w:val="en-US"/>
              </w:rPr>
            </w:pPr>
            <w:r>
              <w:rPr>
                <w:rFonts w:hint="eastAsia" w:ascii="Times New Roman" w:hAnsi="Times New Roman" w:eastAsia="宋体" w:cs="宋体"/>
                <w:color w:val="000000"/>
                <w:kern w:val="2"/>
                <w:sz w:val="24"/>
                <w:szCs w:val="32"/>
                <w:bdr w:val="none" w:color="auto" w:sz="0" w:space="0"/>
                <w:lang w:val="en-US" w:eastAsia="zh-CN" w:bidi="ar"/>
              </w:rPr>
              <w:t>扩建项目运营期无生产废水，新增的员工生活污水依托盈田•合川工谷现有污水设施处理后排入园区污水处理厂进一步处理达标后，最终排入嘉陵江。</w:t>
            </w:r>
          </w:p>
          <w:p w14:paraId="492349E2">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32"/>
                <w:bdr w:val="none" w:color="auto" w:sz="0" w:space="0"/>
                <w:lang w:val="en-US"/>
              </w:rPr>
            </w:pPr>
            <w:r>
              <w:rPr>
                <w:rFonts w:hint="eastAsia" w:ascii="Times New Roman" w:hAnsi="Times New Roman" w:eastAsia="宋体" w:cs="宋体"/>
                <w:color w:val="000000"/>
                <w:kern w:val="2"/>
                <w:sz w:val="24"/>
                <w:szCs w:val="32"/>
                <w:bdr w:val="none" w:color="auto" w:sz="0" w:space="0"/>
                <w:lang w:val="en-US" w:eastAsia="zh-CN" w:bidi="ar"/>
              </w:rPr>
              <w:t>盈田•合川工谷</w:t>
            </w:r>
            <w:r>
              <w:rPr>
                <w:rFonts w:hint="eastAsia" w:ascii="宋体" w:hAnsi="宋体" w:eastAsia="宋体" w:cs="宋体"/>
                <w:bCs/>
                <w:color w:val="000000"/>
                <w:kern w:val="2"/>
                <w:sz w:val="24"/>
                <w:szCs w:val="24"/>
                <w:bdr w:val="none" w:color="auto" w:sz="0" w:space="0"/>
                <w:lang w:val="en-US" w:eastAsia="zh-CN" w:bidi="ar"/>
              </w:rPr>
              <w:t>的污水处理设施为多家企业共同使用，其责任主体为</w:t>
            </w:r>
            <w:r>
              <w:rPr>
                <w:rFonts w:hint="eastAsia" w:ascii="Calibri" w:hAnsi="Calibri" w:eastAsia="宋体" w:cs="宋体"/>
                <w:color w:val="000000"/>
                <w:kern w:val="2"/>
                <w:sz w:val="24"/>
                <w:szCs w:val="24"/>
                <w:bdr w:val="none" w:color="auto" w:sz="0" w:space="0"/>
                <w:lang w:val="en-US" w:eastAsia="zh-CN" w:bidi="ar"/>
              </w:rPr>
              <w:t>重庆市合川信息安全产业发展有限公司</w:t>
            </w:r>
            <w:r>
              <w:rPr>
                <w:rFonts w:hint="eastAsia" w:ascii="Times New Roman" w:hAnsi="Calibri" w:eastAsia="宋体" w:cs="宋体"/>
                <w:color w:val="000000"/>
                <w:kern w:val="2"/>
                <w:sz w:val="24"/>
                <w:szCs w:val="24"/>
                <w:bdr w:val="none" w:color="auto" w:sz="0" w:space="0"/>
                <w:lang w:val="en-US" w:eastAsia="zh-CN" w:bidi="ar"/>
              </w:rPr>
              <w:t>（签订有污水接纳协议）</w:t>
            </w:r>
            <w:r>
              <w:rPr>
                <w:rFonts w:hint="eastAsia" w:ascii="Calibri" w:hAnsi="Calibri" w:eastAsia="宋体" w:cs="宋体"/>
                <w:color w:val="000000"/>
                <w:kern w:val="2"/>
                <w:sz w:val="24"/>
                <w:szCs w:val="24"/>
                <w:bdr w:val="none" w:color="auto" w:sz="0" w:space="0"/>
                <w:lang w:val="en-US" w:eastAsia="zh-CN" w:bidi="ar"/>
              </w:rPr>
              <w:t>。</w:t>
            </w:r>
            <w:r>
              <w:rPr>
                <w:rFonts w:hint="eastAsia" w:ascii="Times New Roman" w:hAnsi="Times New Roman" w:eastAsia="宋体" w:cs="宋体"/>
                <w:color w:val="000000"/>
                <w:kern w:val="2"/>
                <w:sz w:val="24"/>
                <w:szCs w:val="32"/>
                <w:bdr w:val="none" w:color="auto" w:sz="0" w:space="0"/>
                <w:lang w:val="en-US" w:eastAsia="zh-CN" w:bidi="ar"/>
              </w:rPr>
              <w:t>因此，</w:t>
            </w:r>
            <w:r>
              <w:rPr>
                <w:rFonts w:hint="eastAsia" w:ascii="宋体" w:hAnsi="宋体" w:eastAsia="宋体" w:cs="宋体"/>
                <w:bCs/>
                <w:color w:val="000000"/>
                <w:kern w:val="2"/>
                <w:sz w:val="24"/>
                <w:szCs w:val="24"/>
                <w:bdr w:val="none" w:color="auto" w:sz="0" w:space="0"/>
                <w:lang w:val="en-US" w:eastAsia="zh-CN" w:bidi="ar"/>
              </w:rPr>
              <w:t>后期污水处理设施</w:t>
            </w:r>
            <w:r>
              <w:rPr>
                <w:rFonts w:hint="eastAsia" w:ascii="Times New Roman" w:hAnsi="Times New Roman" w:eastAsia="宋体" w:cs="宋体"/>
                <w:color w:val="000000"/>
                <w:kern w:val="2"/>
                <w:sz w:val="24"/>
                <w:szCs w:val="32"/>
                <w:bdr w:val="none" w:color="auto" w:sz="0" w:space="0"/>
                <w:lang w:val="en-US" w:eastAsia="zh-CN" w:bidi="ar"/>
              </w:rPr>
              <w:t>纳入</w:t>
            </w:r>
            <w:r>
              <w:rPr>
                <w:rFonts w:hint="eastAsia" w:ascii="Calibri" w:hAnsi="Calibri" w:eastAsia="宋体" w:cs="宋体"/>
                <w:color w:val="000000"/>
                <w:kern w:val="2"/>
                <w:sz w:val="24"/>
                <w:szCs w:val="24"/>
                <w:bdr w:val="none" w:color="auto" w:sz="0" w:space="0"/>
                <w:lang w:val="en-US" w:eastAsia="zh-CN" w:bidi="ar"/>
              </w:rPr>
              <w:t>重庆市合川信息安全产业发展有限公司的废水监测计划</w:t>
            </w:r>
            <w:r>
              <w:rPr>
                <w:rFonts w:hint="eastAsia" w:ascii="Times New Roman" w:hAnsi="Times New Roman" w:eastAsia="宋体" w:cs="宋体"/>
                <w:color w:val="000000"/>
                <w:kern w:val="2"/>
                <w:sz w:val="24"/>
                <w:szCs w:val="32"/>
                <w:bdr w:val="none" w:color="auto" w:sz="0" w:space="0"/>
                <w:lang w:val="en-US" w:eastAsia="zh-CN" w:bidi="ar"/>
              </w:rPr>
              <w:t>。</w:t>
            </w:r>
          </w:p>
          <w:p w14:paraId="12AB99FC">
            <w:pPr>
              <w:keepNext w:val="0"/>
              <w:keepLines w:val="0"/>
              <w:widowControl w:val="0"/>
              <w:suppressLineNumbers w:val="0"/>
              <w:adjustRightInd w:val="0"/>
              <w:snapToGrid w:val="0"/>
              <w:spacing w:before="0" w:beforeAutospacing="0" w:after="0" w:afterAutospacing="0" w:line="440" w:lineRule="exact"/>
              <w:ind w:left="0" w:right="0"/>
              <w:jc w:val="left"/>
              <w:outlineLvl w:val="1"/>
              <w:rPr>
                <w:rFonts w:hint="default" w:ascii="Times New Roman" w:hAnsi="宋体" w:cs="Times New Roman"/>
                <w:b/>
                <w:bCs/>
                <w:color w:val="000000"/>
                <w:spacing w:val="-10"/>
                <w:sz w:val="24"/>
                <w:szCs w:val="24"/>
                <w:bdr w:val="none" w:color="auto" w:sz="0" w:space="0"/>
                <w:lang w:val="en-US"/>
              </w:rPr>
            </w:pPr>
            <w:r>
              <w:rPr>
                <w:rFonts w:hint="default" w:ascii="Times New Roman" w:hAnsi="宋体" w:eastAsia="宋体" w:cs="Times New Roman"/>
                <w:b/>
                <w:bCs/>
                <w:color w:val="000000"/>
                <w:spacing w:val="-10"/>
                <w:kern w:val="2"/>
                <w:sz w:val="24"/>
                <w:szCs w:val="24"/>
                <w:bdr w:val="none" w:color="auto" w:sz="0" w:space="0"/>
                <w:lang w:val="en-US" w:eastAsia="zh-CN" w:bidi="ar"/>
              </w:rPr>
              <w:t xml:space="preserve">4.4 </w:t>
            </w:r>
            <w:r>
              <w:rPr>
                <w:rFonts w:hint="eastAsia" w:ascii="Times New Roman" w:hAnsi="宋体" w:eastAsia="宋体" w:cs="宋体"/>
                <w:b/>
                <w:bCs/>
                <w:color w:val="000000"/>
                <w:spacing w:val="-10"/>
                <w:kern w:val="2"/>
                <w:sz w:val="24"/>
                <w:szCs w:val="24"/>
                <w:bdr w:val="none" w:color="auto" w:sz="0" w:space="0"/>
                <w:lang w:val="en-US" w:eastAsia="zh-CN" w:bidi="ar"/>
              </w:rPr>
              <w:t>噪声</w:t>
            </w:r>
          </w:p>
          <w:p w14:paraId="03E7D8B7">
            <w:pPr>
              <w:keepNext w:val="0"/>
              <w:keepLines w:val="0"/>
              <w:widowControl w:val="0"/>
              <w:suppressLineNumbers w:val="0"/>
              <w:adjustRightInd w:val="0"/>
              <w:snapToGrid w:val="0"/>
              <w:spacing w:before="0" w:beforeAutospacing="0" w:after="0" w:afterAutospacing="0" w:line="440" w:lineRule="exact"/>
              <w:ind w:left="0" w:right="0"/>
              <w:jc w:val="left"/>
              <w:outlineLvl w:val="2"/>
              <w:rPr>
                <w:rFonts w:hint="default" w:ascii="Times New Roman" w:hAnsi="宋体" w:cs="Times New Roman"/>
                <w:b/>
                <w:bCs/>
                <w:color w:val="000000"/>
                <w:spacing w:val="-10"/>
                <w:sz w:val="24"/>
                <w:szCs w:val="24"/>
                <w:bdr w:val="none" w:color="auto" w:sz="0" w:space="0"/>
                <w:lang w:val="en-US"/>
              </w:rPr>
            </w:pPr>
            <w:r>
              <w:rPr>
                <w:rFonts w:hint="default" w:ascii="Times New Roman" w:hAnsi="宋体" w:eastAsia="宋体" w:cs="Times New Roman"/>
                <w:b/>
                <w:bCs/>
                <w:color w:val="000000"/>
                <w:spacing w:val="-10"/>
                <w:kern w:val="2"/>
                <w:sz w:val="24"/>
                <w:szCs w:val="24"/>
                <w:bdr w:val="none" w:color="auto" w:sz="0" w:space="0"/>
                <w:lang w:val="en-US" w:eastAsia="zh-CN" w:bidi="ar"/>
              </w:rPr>
              <w:t xml:space="preserve">4.4.1 </w:t>
            </w:r>
            <w:r>
              <w:rPr>
                <w:rFonts w:hint="eastAsia" w:ascii="Times New Roman" w:hAnsi="宋体" w:eastAsia="宋体" w:cs="宋体"/>
                <w:b/>
                <w:bCs/>
                <w:color w:val="000000"/>
                <w:spacing w:val="-10"/>
                <w:kern w:val="2"/>
                <w:sz w:val="24"/>
                <w:szCs w:val="24"/>
                <w:bdr w:val="none" w:color="auto" w:sz="0" w:space="0"/>
                <w:lang w:val="en-US" w:eastAsia="zh-CN" w:bidi="ar"/>
              </w:rPr>
              <w:t>噪声源强</w:t>
            </w:r>
          </w:p>
          <w:p w14:paraId="13AF1AE9">
            <w:pPr>
              <w:keepNext w:val="0"/>
              <w:keepLines w:val="0"/>
              <w:widowControl w:val="0"/>
              <w:suppressLineNumbers w:val="0"/>
              <w:adjustRightInd w:val="0"/>
              <w:snapToGrid w:val="0"/>
              <w:spacing w:before="0" w:beforeAutospacing="0" w:after="0" w:afterAutospacing="0" w:line="440" w:lineRule="exact"/>
              <w:ind w:left="0" w:right="0" w:firstLine="454"/>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扩建项目运营期的噪声污染源主要为机械设备噪声，项目主要生产设备均位于室内，废气治理设施的风机位于厂房外，故噪声源强分为室内声源和室外声源。</w:t>
            </w:r>
            <w:r>
              <w:rPr>
                <w:rFonts w:hint="eastAsia" w:ascii="Calibri" w:hAnsi="Calibri" w:eastAsia="宋体" w:cs="宋体"/>
                <w:color w:val="000000"/>
                <w:kern w:val="2"/>
                <w:sz w:val="24"/>
                <w:szCs w:val="24"/>
                <w:bdr w:val="none" w:color="auto" w:sz="0" w:space="0"/>
                <w:lang w:val="en-US" w:eastAsia="zh-CN" w:bidi="ar"/>
              </w:rPr>
              <w:t>由于扩建项目新增设备数量，导致原有设备的位置布局发生一定变化，故本次根据扩建后的全厂平面布局情况重新对厂界噪声进行预测。</w:t>
            </w:r>
          </w:p>
          <w:p w14:paraId="74B0C90B">
            <w:pPr>
              <w:keepNext w:val="0"/>
              <w:keepLines w:val="0"/>
              <w:widowControl/>
              <w:suppressLineNumbers w:val="0"/>
              <w:spacing w:before="0" w:beforeAutospacing="0" w:after="0" w:afterAutospacing="0" w:line="440" w:lineRule="exact"/>
              <w:ind w:left="0" w:right="0" w:firstLine="480" w:firstLineChars="200"/>
              <w:jc w:val="center"/>
              <w:rPr>
                <w:rFonts w:hint="default" w:ascii="Times New Roman" w:hAnsi="Calibri" w:cs="Times New Roman"/>
                <w:bCs/>
                <w:color w:val="000000"/>
                <w:sz w:val="24"/>
                <w:szCs w:val="24"/>
                <w:bdr w:val="none" w:color="auto" w:sz="0" w:space="0"/>
                <w:lang w:val="en-US"/>
              </w:rPr>
            </w:pPr>
            <w:r>
              <w:rPr>
                <w:rFonts w:hint="eastAsia" w:ascii="Times New Roman" w:hAnsi="Calibri" w:eastAsia="宋体" w:cs="宋体"/>
                <w:bCs/>
                <w:color w:val="000000"/>
                <w:kern w:val="2"/>
                <w:sz w:val="24"/>
                <w:szCs w:val="24"/>
                <w:bdr w:val="none" w:color="auto" w:sz="0" w:space="0"/>
                <w:lang w:val="en-US" w:eastAsia="zh-CN" w:bidi="ar"/>
              </w:rPr>
              <w:t>表</w:t>
            </w:r>
            <w:r>
              <w:rPr>
                <w:rFonts w:hint="default" w:ascii="Times New Roman" w:hAnsi="Calibri" w:eastAsia="宋体" w:cs="Times New Roman"/>
                <w:bCs/>
                <w:color w:val="000000"/>
                <w:kern w:val="2"/>
                <w:sz w:val="24"/>
                <w:szCs w:val="24"/>
                <w:bdr w:val="none" w:color="auto" w:sz="0" w:space="0"/>
                <w:lang w:val="en-US" w:eastAsia="zh-CN" w:bidi="ar"/>
              </w:rPr>
              <w:t xml:space="preserve">4.4-1 </w:t>
            </w:r>
            <w:r>
              <w:rPr>
                <w:rFonts w:hint="eastAsia" w:ascii="Times New Roman" w:hAnsi="Calibri" w:eastAsia="宋体" w:cs="宋体"/>
                <w:bCs/>
                <w:color w:val="000000"/>
                <w:kern w:val="2"/>
                <w:sz w:val="24"/>
                <w:szCs w:val="24"/>
                <w:bdr w:val="none" w:color="auto" w:sz="0" w:space="0"/>
                <w:lang w:val="en-US" w:eastAsia="zh-CN" w:bidi="ar"/>
              </w:rPr>
              <w:t>工业企业噪声源强调查清单（室内声源）</w:t>
            </w:r>
            <w:r>
              <w:rPr>
                <w:rFonts w:hint="default" w:ascii="Times New Roman" w:hAnsi="Calibri" w:eastAsia="宋体" w:cs="Times New Roman"/>
                <w:bCs/>
                <w:color w:val="000000"/>
                <w:kern w:val="2"/>
                <w:sz w:val="24"/>
                <w:szCs w:val="24"/>
                <w:bdr w:val="none" w:color="auto" w:sz="0" w:space="0"/>
                <w:lang w:val="en-US" w:eastAsia="zh-CN" w:bidi="ar"/>
              </w:rPr>
              <w:t xml:space="preserve"> </w:t>
            </w:r>
            <w:r>
              <w:rPr>
                <w:rFonts w:hint="eastAsia" w:ascii="Times New Roman" w:hAnsi="Calibri" w:eastAsia="宋体" w:cs="宋体"/>
                <w:bCs/>
                <w:color w:val="000000"/>
                <w:kern w:val="2"/>
                <w:sz w:val="24"/>
                <w:szCs w:val="24"/>
                <w:bdr w:val="none" w:color="auto" w:sz="0" w:space="0"/>
                <w:lang w:val="en-US" w:eastAsia="zh-CN" w:bidi="ar"/>
              </w:rPr>
              <w:t>单位：</w:t>
            </w:r>
            <w:r>
              <w:rPr>
                <w:rFonts w:hint="default" w:ascii="Times New Roman" w:hAnsi="Calibri" w:eastAsia="宋体" w:cs="Times New Roman"/>
                <w:bCs/>
                <w:color w:val="000000"/>
                <w:kern w:val="2"/>
                <w:sz w:val="24"/>
                <w:szCs w:val="24"/>
                <w:bdr w:val="none" w:color="auto" w:sz="0" w:space="0"/>
                <w:lang w:val="en-US" w:eastAsia="zh-CN" w:bidi="ar"/>
              </w:rPr>
              <w:t>dB</w:t>
            </w:r>
            <w:r>
              <w:rPr>
                <w:rFonts w:hint="eastAsia" w:ascii="Times New Roman" w:hAnsi="Calibri" w:eastAsia="宋体" w:cs="宋体"/>
                <w:bCs/>
                <w:color w:val="000000"/>
                <w:kern w:val="2"/>
                <w:sz w:val="24"/>
                <w:szCs w:val="24"/>
                <w:bdr w:val="none" w:color="auto" w:sz="0" w:space="0"/>
                <w:lang w:val="en-US" w:eastAsia="zh-CN" w:bidi="ar"/>
              </w:rPr>
              <w:t>（</w:t>
            </w:r>
            <w:r>
              <w:rPr>
                <w:rFonts w:hint="default" w:ascii="Times New Roman" w:hAnsi="Calibri" w:eastAsia="宋体" w:cs="Times New Roman"/>
                <w:bCs/>
                <w:color w:val="000000"/>
                <w:kern w:val="2"/>
                <w:sz w:val="24"/>
                <w:szCs w:val="24"/>
                <w:bdr w:val="none" w:color="auto" w:sz="0" w:space="0"/>
                <w:lang w:val="en-US" w:eastAsia="zh-CN" w:bidi="ar"/>
              </w:rPr>
              <w:t>A</w:t>
            </w:r>
            <w:r>
              <w:rPr>
                <w:rFonts w:hint="eastAsia" w:ascii="Times New Roman" w:hAnsi="Calibri" w:eastAsia="宋体" w:cs="宋体"/>
                <w:bCs/>
                <w:color w:val="000000"/>
                <w:kern w:val="2"/>
                <w:sz w:val="24"/>
                <w:szCs w:val="24"/>
                <w:bdr w:val="none" w:color="auto" w:sz="0" w:space="0"/>
                <w:lang w:val="en-US" w:eastAsia="zh-CN" w:bidi="ar"/>
              </w:rPr>
              <w:t>）</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tblLayout w:type="fixed"/>
              <w:tblCellMar>
                <w:top w:w="0" w:type="dxa"/>
                <w:left w:w="108" w:type="dxa"/>
                <w:bottom w:w="0" w:type="dxa"/>
                <w:right w:w="108" w:type="dxa"/>
              </w:tblCellMar>
            </w:tblPr>
            <w:tblGrid>
              <w:gridCol w:w="431"/>
              <w:gridCol w:w="684"/>
              <w:gridCol w:w="532"/>
              <w:gridCol w:w="533"/>
              <w:gridCol w:w="533"/>
              <w:gridCol w:w="651"/>
              <w:gridCol w:w="601"/>
              <w:gridCol w:w="473"/>
              <w:gridCol w:w="660"/>
              <w:gridCol w:w="660"/>
              <w:gridCol w:w="660"/>
              <w:gridCol w:w="659"/>
              <w:gridCol w:w="869"/>
            </w:tblGrid>
            <w:tr w14:paraId="14E093D0">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tblCellMar>
                  <w:top w:w="0" w:type="dxa"/>
                  <w:left w:w="108" w:type="dxa"/>
                  <w:bottom w:w="0" w:type="dxa"/>
                  <w:right w:w="108" w:type="dxa"/>
                </w:tblCellMar>
              </w:tblPrEx>
              <w:trPr>
                <w:trHeight w:val="84" w:hRule="atLeast"/>
                <w:jc w:val="center"/>
              </w:trPr>
              <w:tc>
                <w:tcPr>
                  <w:tcW w:w="431" w:type="dxa"/>
                  <w:vMerge w:val="restart"/>
                  <w:tcBorders>
                    <w:top w:val="single" w:color="auto" w:sz="12" w:space="0"/>
                    <w:left w:val="nil"/>
                    <w:bottom w:val="single" w:color="auto" w:sz="8" w:space="0"/>
                    <w:right w:val="single" w:color="auto" w:sz="8" w:space="0"/>
                  </w:tcBorders>
                  <w:shd w:val="clear"/>
                  <w:vAlign w:val="center"/>
                </w:tcPr>
                <w:p w14:paraId="3007774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序号</w:t>
                  </w:r>
                </w:p>
              </w:tc>
              <w:tc>
                <w:tcPr>
                  <w:tcW w:w="684" w:type="dxa"/>
                  <w:vMerge w:val="restart"/>
                  <w:tcBorders>
                    <w:top w:val="single" w:color="auto" w:sz="12" w:space="0"/>
                    <w:left w:val="single" w:color="auto" w:sz="8" w:space="0"/>
                    <w:bottom w:val="single" w:color="auto" w:sz="8" w:space="0"/>
                    <w:right w:val="single" w:color="auto" w:sz="8" w:space="0"/>
                  </w:tcBorders>
                  <w:shd w:val="clear"/>
                  <w:vAlign w:val="center"/>
                </w:tcPr>
                <w:p w14:paraId="6ED7644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设备名称</w:t>
                  </w:r>
                </w:p>
              </w:tc>
              <w:tc>
                <w:tcPr>
                  <w:tcW w:w="532" w:type="dxa"/>
                  <w:vMerge w:val="restart"/>
                  <w:tcBorders>
                    <w:top w:val="single" w:color="auto" w:sz="12" w:space="0"/>
                    <w:left w:val="single" w:color="auto" w:sz="8" w:space="0"/>
                    <w:bottom w:val="single" w:color="auto" w:sz="8" w:space="0"/>
                    <w:right w:val="single" w:color="auto" w:sz="8" w:space="0"/>
                  </w:tcBorders>
                  <w:shd w:val="clear"/>
                  <w:vAlign w:val="center"/>
                </w:tcPr>
                <w:p w14:paraId="5F0B5C9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数量</w:t>
                  </w:r>
                  <w:r>
                    <w:rPr>
                      <w:rFonts w:hint="default" w:ascii="Times New Roman" w:hAnsi="Calibri" w:eastAsia="宋体" w:cs="Times New Roman"/>
                      <w:color w:val="000000"/>
                      <w:kern w:val="0"/>
                      <w:sz w:val="21"/>
                      <w:szCs w:val="21"/>
                      <w:bdr w:val="none" w:color="auto" w:sz="0" w:space="0"/>
                      <w:lang w:val="en-US" w:eastAsia="zh-CN" w:bidi="ar"/>
                    </w:rPr>
                    <w:t>(</w:t>
                  </w:r>
                  <w:r>
                    <w:rPr>
                      <w:rFonts w:hint="eastAsia" w:ascii="Times New Roman" w:hAnsi="Calibri" w:eastAsia="宋体" w:cs="宋体"/>
                      <w:color w:val="000000"/>
                      <w:kern w:val="0"/>
                      <w:sz w:val="21"/>
                      <w:szCs w:val="21"/>
                      <w:bdr w:val="none" w:color="auto" w:sz="0" w:space="0"/>
                      <w:lang w:val="en-US" w:eastAsia="zh-CN" w:bidi="ar"/>
                    </w:rPr>
                    <w:t>台</w:t>
                  </w:r>
                  <w:r>
                    <w:rPr>
                      <w:rFonts w:hint="default" w:ascii="Times New Roman" w:hAnsi="Calibri" w:eastAsia="宋体" w:cs="Times New Roman"/>
                      <w:color w:val="000000"/>
                      <w:kern w:val="0"/>
                      <w:sz w:val="21"/>
                      <w:szCs w:val="21"/>
                      <w:bdr w:val="none" w:color="auto" w:sz="0" w:space="0"/>
                      <w:lang w:val="en-US" w:eastAsia="zh-CN" w:bidi="ar"/>
                    </w:rPr>
                    <w:t>)</w:t>
                  </w:r>
                </w:p>
              </w:tc>
              <w:tc>
                <w:tcPr>
                  <w:tcW w:w="533" w:type="dxa"/>
                  <w:vMerge w:val="restart"/>
                  <w:tcBorders>
                    <w:top w:val="single" w:color="auto" w:sz="12" w:space="0"/>
                    <w:left w:val="single" w:color="auto" w:sz="8" w:space="0"/>
                    <w:bottom w:val="single" w:color="auto" w:sz="8" w:space="0"/>
                    <w:right w:val="single" w:color="auto" w:sz="8" w:space="0"/>
                  </w:tcBorders>
                  <w:shd w:val="clear"/>
                  <w:vAlign w:val="center"/>
                </w:tcPr>
                <w:p w14:paraId="6BBEE63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源强</w:t>
                  </w:r>
                </w:p>
              </w:tc>
              <w:tc>
                <w:tcPr>
                  <w:tcW w:w="1785" w:type="dxa"/>
                  <w:gridSpan w:val="3"/>
                  <w:tcBorders>
                    <w:top w:val="single" w:color="auto" w:sz="12" w:space="0"/>
                    <w:left w:val="single" w:color="auto" w:sz="8" w:space="0"/>
                    <w:bottom w:val="single" w:color="auto" w:sz="8" w:space="0"/>
                    <w:right w:val="single" w:color="auto" w:sz="8" w:space="0"/>
                  </w:tcBorders>
                  <w:shd w:val="clear"/>
                  <w:vAlign w:val="center"/>
                </w:tcPr>
                <w:p w14:paraId="20E7F98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空间相对位（</w:t>
                  </w:r>
                  <w:r>
                    <w:rPr>
                      <w:rFonts w:hint="default" w:ascii="Times New Roman" w:hAnsi="Calibri" w:eastAsia="宋体" w:cs="Times New Roman"/>
                      <w:color w:val="000000"/>
                      <w:kern w:val="0"/>
                      <w:sz w:val="21"/>
                      <w:szCs w:val="21"/>
                      <w:bdr w:val="none" w:color="auto" w:sz="0" w:space="0"/>
                      <w:lang w:val="en-US" w:eastAsia="zh-CN" w:bidi="ar"/>
                    </w:rPr>
                    <w:t>m</w:t>
                  </w:r>
                  <w:r>
                    <w:rPr>
                      <w:rFonts w:hint="eastAsia" w:ascii="Times New Roman" w:hAnsi="Calibri" w:eastAsia="宋体" w:cs="宋体"/>
                      <w:color w:val="000000"/>
                      <w:kern w:val="0"/>
                      <w:sz w:val="21"/>
                      <w:szCs w:val="21"/>
                      <w:bdr w:val="none" w:color="auto" w:sz="0" w:space="0"/>
                      <w:lang w:val="en-US" w:eastAsia="zh-CN" w:bidi="ar"/>
                    </w:rPr>
                    <w:t>）</w:t>
                  </w:r>
                </w:p>
              </w:tc>
              <w:tc>
                <w:tcPr>
                  <w:tcW w:w="1133" w:type="dxa"/>
                  <w:gridSpan w:val="2"/>
                  <w:vMerge w:val="restart"/>
                  <w:tcBorders>
                    <w:top w:val="single" w:color="auto" w:sz="12" w:space="0"/>
                    <w:left w:val="single" w:color="auto" w:sz="8" w:space="0"/>
                    <w:bottom w:val="single" w:color="auto" w:sz="8" w:space="0"/>
                    <w:right w:val="single" w:color="auto" w:sz="8" w:space="0"/>
                  </w:tcBorders>
                  <w:shd w:val="clear"/>
                  <w:vAlign w:val="center"/>
                </w:tcPr>
                <w:p w14:paraId="286112A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距室内边界最近距离</w:t>
                  </w:r>
                  <w:r>
                    <w:rPr>
                      <w:rFonts w:hint="default" w:ascii="Times New Roman" w:hAnsi="Calibri" w:eastAsia="宋体" w:cs="Times New Roman"/>
                      <w:color w:val="000000"/>
                      <w:kern w:val="0"/>
                      <w:sz w:val="21"/>
                      <w:szCs w:val="21"/>
                      <w:bdr w:val="none" w:color="auto" w:sz="0" w:space="0"/>
                      <w:lang w:val="en-US" w:eastAsia="zh-CN" w:bidi="ar"/>
                    </w:rPr>
                    <w:t>/m</w:t>
                  </w:r>
                </w:p>
              </w:tc>
              <w:tc>
                <w:tcPr>
                  <w:tcW w:w="660" w:type="dxa"/>
                  <w:vMerge w:val="restart"/>
                  <w:tcBorders>
                    <w:top w:val="single" w:color="auto" w:sz="12" w:space="0"/>
                    <w:left w:val="single" w:color="auto" w:sz="8" w:space="0"/>
                    <w:bottom w:val="single" w:color="auto" w:sz="8" w:space="0"/>
                    <w:right w:val="single" w:color="auto" w:sz="8" w:space="0"/>
                  </w:tcBorders>
                  <w:shd w:val="clear"/>
                  <w:vAlign w:val="center"/>
                </w:tcPr>
                <w:p w14:paraId="1B8E8D9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室内边界声级</w:t>
                  </w:r>
                </w:p>
              </w:tc>
              <w:tc>
                <w:tcPr>
                  <w:tcW w:w="660" w:type="dxa"/>
                  <w:vMerge w:val="restart"/>
                  <w:tcBorders>
                    <w:top w:val="single" w:color="auto" w:sz="12" w:space="0"/>
                    <w:left w:val="single" w:color="auto" w:sz="8" w:space="0"/>
                    <w:bottom w:val="single" w:color="auto" w:sz="8" w:space="0"/>
                    <w:right w:val="single" w:color="auto" w:sz="8" w:space="0"/>
                  </w:tcBorders>
                  <w:shd w:val="clear"/>
                  <w:vAlign w:val="center"/>
                </w:tcPr>
                <w:p w14:paraId="1C75C381">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szCs w:val="24"/>
                      <w:bdr w:val="none" w:color="auto" w:sz="0" w:space="0"/>
                      <w:lang w:val="en-US"/>
                    </w:rPr>
                  </w:pPr>
                  <w:r>
                    <w:rPr>
                      <w:rFonts w:hint="eastAsia" w:ascii="宋体" w:hAnsi="宋体" w:eastAsia="宋体" w:cs="宋体"/>
                      <w:color w:val="000000"/>
                      <w:kern w:val="0"/>
                      <w:sz w:val="21"/>
                      <w:szCs w:val="21"/>
                      <w:bdr w:val="none" w:color="auto" w:sz="0" w:space="0"/>
                      <w:lang w:val="en-US" w:eastAsia="zh-CN" w:bidi="ar"/>
                    </w:rPr>
                    <w:t>建筑物插入损失</w:t>
                  </w:r>
                </w:p>
              </w:tc>
              <w:tc>
                <w:tcPr>
                  <w:tcW w:w="1528" w:type="dxa"/>
                  <w:gridSpan w:val="2"/>
                  <w:tcBorders>
                    <w:top w:val="single" w:color="auto" w:sz="12" w:space="0"/>
                    <w:left w:val="single" w:color="auto" w:sz="8" w:space="0"/>
                    <w:bottom w:val="single" w:color="auto" w:sz="8" w:space="0"/>
                    <w:right w:val="nil"/>
                  </w:tcBorders>
                  <w:shd w:val="clear"/>
                  <w:vAlign w:val="center"/>
                </w:tcPr>
                <w:p w14:paraId="23DC58AB">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建筑物外噪声</w:t>
                  </w:r>
                </w:p>
              </w:tc>
            </w:tr>
            <w:tr w14:paraId="0349F0F9">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467" w:hRule="atLeast"/>
                <w:jc w:val="center"/>
              </w:trPr>
              <w:tc>
                <w:tcPr>
                  <w:tcW w:w="431" w:type="dxa"/>
                  <w:vMerge w:val="continue"/>
                  <w:tcBorders>
                    <w:top w:val="single" w:color="auto" w:sz="12" w:space="0"/>
                    <w:left w:val="nil"/>
                    <w:bottom w:val="single" w:color="auto" w:sz="8" w:space="0"/>
                    <w:right w:val="single" w:color="auto" w:sz="8" w:space="0"/>
                  </w:tcBorders>
                  <w:shd w:val="clear"/>
                  <w:vAlign w:val="center"/>
                </w:tcPr>
                <w:p w14:paraId="6C337556">
                  <w:pPr>
                    <w:rPr>
                      <w:rFonts w:hint="default" w:ascii="Calibri" w:hAnsi="Calibri" w:cs="Calibri"/>
                      <w:sz w:val="20"/>
                      <w:szCs w:val="20"/>
                    </w:rPr>
                  </w:pPr>
                </w:p>
              </w:tc>
              <w:tc>
                <w:tcPr>
                  <w:tcW w:w="684" w:type="dxa"/>
                  <w:vMerge w:val="continue"/>
                  <w:tcBorders>
                    <w:top w:val="single" w:color="auto" w:sz="12" w:space="0"/>
                    <w:left w:val="single" w:color="auto" w:sz="8" w:space="0"/>
                    <w:bottom w:val="single" w:color="auto" w:sz="8" w:space="0"/>
                    <w:right w:val="single" w:color="auto" w:sz="8" w:space="0"/>
                  </w:tcBorders>
                  <w:shd w:val="clear"/>
                  <w:vAlign w:val="center"/>
                </w:tcPr>
                <w:p w14:paraId="4CE7CC35">
                  <w:pPr>
                    <w:rPr>
                      <w:rFonts w:hint="default" w:ascii="Calibri" w:hAnsi="Calibri" w:cs="Calibri"/>
                      <w:sz w:val="20"/>
                      <w:szCs w:val="20"/>
                    </w:rPr>
                  </w:pPr>
                </w:p>
              </w:tc>
              <w:tc>
                <w:tcPr>
                  <w:tcW w:w="532" w:type="dxa"/>
                  <w:vMerge w:val="continue"/>
                  <w:tcBorders>
                    <w:top w:val="single" w:color="auto" w:sz="12" w:space="0"/>
                    <w:left w:val="single" w:color="auto" w:sz="8" w:space="0"/>
                    <w:bottom w:val="single" w:color="auto" w:sz="8" w:space="0"/>
                    <w:right w:val="single" w:color="auto" w:sz="8" w:space="0"/>
                  </w:tcBorders>
                  <w:shd w:val="clear"/>
                  <w:vAlign w:val="center"/>
                </w:tcPr>
                <w:p w14:paraId="21CA9296">
                  <w:pPr>
                    <w:rPr>
                      <w:rFonts w:hint="default" w:ascii="Calibri" w:hAnsi="Calibri" w:cs="Calibri"/>
                      <w:sz w:val="20"/>
                      <w:szCs w:val="20"/>
                    </w:rPr>
                  </w:pPr>
                </w:p>
              </w:tc>
              <w:tc>
                <w:tcPr>
                  <w:tcW w:w="533" w:type="dxa"/>
                  <w:vMerge w:val="continue"/>
                  <w:tcBorders>
                    <w:top w:val="single" w:color="auto" w:sz="12" w:space="0"/>
                    <w:left w:val="single" w:color="auto" w:sz="8" w:space="0"/>
                    <w:bottom w:val="single" w:color="auto" w:sz="8" w:space="0"/>
                    <w:right w:val="single" w:color="auto" w:sz="8" w:space="0"/>
                  </w:tcBorders>
                  <w:shd w:val="clear"/>
                  <w:vAlign w:val="center"/>
                </w:tcPr>
                <w:p w14:paraId="68632B19">
                  <w:pPr>
                    <w:rPr>
                      <w:rFonts w:hint="default" w:ascii="Calibri" w:hAnsi="Calibri" w:cs="Calibri"/>
                      <w:sz w:val="20"/>
                      <w:szCs w:val="20"/>
                    </w:rPr>
                  </w:pPr>
                </w:p>
              </w:tc>
              <w:tc>
                <w:tcPr>
                  <w:tcW w:w="533" w:type="dxa"/>
                  <w:tcBorders>
                    <w:top w:val="single" w:color="auto" w:sz="8" w:space="0"/>
                    <w:left w:val="single" w:color="auto" w:sz="8" w:space="0"/>
                    <w:bottom w:val="single" w:color="auto" w:sz="8" w:space="0"/>
                    <w:right w:val="single" w:color="auto" w:sz="8" w:space="0"/>
                  </w:tcBorders>
                  <w:shd w:val="clear"/>
                  <w:vAlign w:val="center"/>
                </w:tcPr>
                <w:p w14:paraId="675738E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default" w:ascii="Times New Roman" w:hAnsi="Calibri" w:eastAsia="宋体" w:cs="Times New Roman"/>
                      <w:color w:val="000000"/>
                      <w:kern w:val="0"/>
                      <w:sz w:val="21"/>
                      <w:szCs w:val="21"/>
                      <w:bdr w:val="none" w:color="auto" w:sz="0" w:space="0"/>
                      <w:lang w:val="en-US" w:eastAsia="zh-CN" w:bidi="ar"/>
                    </w:rPr>
                    <w:t>X</w:t>
                  </w:r>
                </w:p>
              </w:tc>
              <w:tc>
                <w:tcPr>
                  <w:tcW w:w="651" w:type="dxa"/>
                  <w:tcBorders>
                    <w:top w:val="single" w:color="auto" w:sz="8" w:space="0"/>
                    <w:left w:val="single" w:color="auto" w:sz="8" w:space="0"/>
                    <w:bottom w:val="single" w:color="auto" w:sz="8" w:space="0"/>
                    <w:right w:val="single" w:color="auto" w:sz="8" w:space="0"/>
                  </w:tcBorders>
                  <w:shd w:val="clear"/>
                  <w:vAlign w:val="center"/>
                </w:tcPr>
                <w:p w14:paraId="7B45084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default" w:ascii="Times New Roman" w:hAnsi="Calibri" w:eastAsia="宋体" w:cs="Times New Roman"/>
                      <w:color w:val="000000"/>
                      <w:kern w:val="0"/>
                      <w:sz w:val="21"/>
                      <w:szCs w:val="21"/>
                      <w:bdr w:val="none" w:color="auto" w:sz="0" w:space="0"/>
                      <w:lang w:val="en-US" w:eastAsia="zh-CN" w:bidi="ar"/>
                    </w:rPr>
                    <w:t>Y</w:t>
                  </w:r>
                </w:p>
              </w:tc>
              <w:tc>
                <w:tcPr>
                  <w:tcW w:w="601" w:type="dxa"/>
                  <w:tcBorders>
                    <w:top w:val="single" w:color="auto" w:sz="8" w:space="0"/>
                    <w:left w:val="single" w:color="auto" w:sz="8" w:space="0"/>
                    <w:bottom w:val="single" w:color="auto" w:sz="8" w:space="0"/>
                    <w:right w:val="single" w:color="auto" w:sz="8" w:space="0"/>
                  </w:tcBorders>
                  <w:shd w:val="clear"/>
                  <w:vAlign w:val="center"/>
                </w:tcPr>
                <w:p w14:paraId="754518D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default" w:ascii="Times New Roman" w:hAnsi="Calibri" w:eastAsia="宋体" w:cs="Times New Roman"/>
                      <w:color w:val="000000"/>
                      <w:kern w:val="0"/>
                      <w:sz w:val="21"/>
                      <w:szCs w:val="21"/>
                      <w:bdr w:val="none" w:color="auto" w:sz="0" w:space="0"/>
                      <w:lang w:val="en-US" w:eastAsia="zh-CN" w:bidi="ar"/>
                    </w:rPr>
                    <w:t>Z</w:t>
                  </w:r>
                </w:p>
              </w:tc>
              <w:tc>
                <w:tcPr>
                  <w:tcW w:w="1133" w:type="dxa"/>
                  <w:gridSpan w:val="2"/>
                  <w:vMerge w:val="continue"/>
                  <w:tcBorders>
                    <w:top w:val="single" w:color="auto" w:sz="12" w:space="0"/>
                    <w:left w:val="single" w:color="auto" w:sz="8" w:space="0"/>
                    <w:bottom w:val="single" w:color="auto" w:sz="8" w:space="0"/>
                    <w:right w:val="single" w:color="auto" w:sz="8" w:space="0"/>
                  </w:tcBorders>
                  <w:shd w:val="clear"/>
                  <w:vAlign w:val="center"/>
                </w:tcPr>
                <w:p w14:paraId="4CEC245A">
                  <w:pPr>
                    <w:rPr>
                      <w:rFonts w:hint="default" w:ascii="Calibri" w:hAnsi="Calibri" w:cs="Calibri"/>
                      <w:sz w:val="20"/>
                      <w:szCs w:val="20"/>
                    </w:rPr>
                  </w:pPr>
                </w:p>
              </w:tc>
              <w:tc>
                <w:tcPr>
                  <w:tcW w:w="660" w:type="dxa"/>
                  <w:vMerge w:val="continue"/>
                  <w:tcBorders>
                    <w:top w:val="single" w:color="auto" w:sz="12" w:space="0"/>
                    <w:left w:val="single" w:color="auto" w:sz="8" w:space="0"/>
                    <w:bottom w:val="single" w:color="auto" w:sz="8" w:space="0"/>
                    <w:right w:val="single" w:color="auto" w:sz="8" w:space="0"/>
                  </w:tcBorders>
                  <w:shd w:val="clear"/>
                  <w:vAlign w:val="center"/>
                </w:tcPr>
                <w:p w14:paraId="7A7DA239">
                  <w:pPr>
                    <w:rPr>
                      <w:rFonts w:hint="default" w:ascii="Calibri" w:hAnsi="Calibri" w:cs="Calibri"/>
                      <w:sz w:val="20"/>
                      <w:szCs w:val="20"/>
                    </w:rPr>
                  </w:pPr>
                </w:p>
              </w:tc>
              <w:tc>
                <w:tcPr>
                  <w:tcW w:w="660" w:type="dxa"/>
                  <w:vMerge w:val="continue"/>
                  <w:tcBorders>
                    <w:top w:val="single" w:color="auto" w:sz="12" w:space="0"/>
                    <w:left w:val="single" w:color="auto" w:sz="8" w:space="0"/>
                    <w:bottom w:val="single" w:color="auto" w:sz="8" w:space="0"/>
                    <w:right w:val="single" w:color="auto" w:sz="8" w:space="0"/>
                  </w:tcBorders>
                  <w:shd w:val="clear"/>
                  <w:vAlign w:val="center"/>
                </w:tcPr>
                <w:p w14:paraId="3AD29678">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7C63BF0D">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bdr w:val="none" w:color="auto" w:sz="0" w:space="0"/>
                      <w:lang w:val="en-US"/>
                    </w:rPr>
                  </w:pPr>
                  <w:r>
                    <w:rPr>
                      <w:rFonts w:hint="eastAsia" w:ascii="宋体" w:hAnsi="宋体" w:eastAsia="宋体" w:cs="宋体"/>
                      <w:color w:val="000000"/>
                      <w:kern w:val="0"/>
                      <w:sz w:val="21"/>
                      <w:szCs w:val="21"/>
                      <w:bdr w:val="none" w:color="auto" w:sz="0" w:space="0"/>
                      <w:lang w:val="en-US" w:eastAsia="zh-CN" w:bidi="ar"/>
                    </w:rPr>
                    <w:t>声压级</w:t>
                  </w:r>
                </w:p>
              </w:tc>
              <w:tc>
                <w:tcPr>
                  <w:tcW w:w="869" w:type="dxa"/>
                  <w:tcBorders>
                    <w:top w:val="single" w:color="auto" w:sz="8" w:space="0"/>
                    <w:left w:val="single" w:color="auto" w:sz="8" w:space="0"/>
                    <w:bottom w:val="single" w:color="auto" w:sz="8" w:space="0"/>
                    <w:right w:val="nil"/>
                  </w:tcBorders>
                  <w:shd w:val="clear"/>
                  <w:vAlign w:val="center"/>
                </w:tcPr>
                <w:p w14:paraId="5C73B8E9">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bdr w:val="none" w:color="auto" w:sz="0" w:space="0"/>
                      <w:lang w:val="en-US"/>
                    </w:rPr>
                  </w:pPr>
                  <w:r>
                    <w:rPr>
                      <w:rFonts w:hint="eastAsia" w:ascii="宋体" w:hAnsi="宋体" w:eastAsia="宋体" w:cs="宋体"/>
                      <w:color w:val="000000"/>
                      <w:kern w:val="0"/>
                      <w:sz w:val="21"/>
                      <w:szCs w:val="21"/>
                      <w:bdr w:val="none" w:color="auto" w:sz="0" w:space="0"/>
                      <w:lang w:val="en-US" w:eastAsia="zh-CN" w:bidi="ar"/>
                    </w:rPr>
                    <w:t>建筑物外距离</w:t>
                  </w:r>
                  <w:r>
                    <w:rPr>
                      <w:rFonts w:hint="default" w:ascii="Times New Roman" w:hAnsi="Times New Roman" w:eastAsia="宋体" w:cs="Times New Roman"/>
                      <w:color w:val="000000"/>
                      <w:kern w:val="0"/>
                      <w:sz w:val="21"/>
                      <w:szCs w:val="21"/>
                      <w:bdr w:val="none" w:color="auto" w:sz="0" w:space="0"/>
                      <w:lang w:val="en-US" w:eastAsia="zh-CN" w:bidi="ar"/>
                    </w:rPr>
                    <w:t>m</w:t>
                  </w:r>
                </w:p>
              </w:tc>
            </w:tr>
            <w:tr w14:paraId="3218B20A">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vAlign w:val="center"/>
                </w:tcPr>
                <w:p w14:paraId="5247D04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684" w:type="dxa"/>
                  <w:vMerge w:val="restart"/>
                  <w:tcBorders>
                    <w:top w:val="single" w:color="auto" w:sz="8" w:space="0"/>
                    <w:left w:val="single" w:color="auto" w:sz="8" w:space="0"/>
                    <w:bottom w:val="single" w:color="auto" w:sz="8" w:space="0"/>
                    <w:right w:val="single" w:color="auto" w:sz="8" w:space="0"/>
                  </w:tcBorders>
                  <w:shd w:val="clear"/>
                  <w:vAlign w:val="center"/>
                </w:tcPr>
                <w:p w14:paraId="0C3B7448">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Calibri" w:eastAsia="宋体" w:cs="宋体"/>
                      <w:color w:val="000000"/>
                      <w:kern w:val="2"/>
                      <w:sz w:val="21"/>
                      <w:szCs w:val="21"/>
                      <w:bdr w:val="none" w:color="auto" w:sz="0" w:space="0"/>
                      <w:lang w:val="en-US" w:eastAsia="zh-CN" w:bidi="ar"/>
                    </w:rPr>
                    <w:t>皮革分切机</w:t>
                  </w:r>
                </w:p>
              </w:tc>
              <w:tc>
                <w:tcPr>
                  <w:tcW w:w="532" w:type="dxa"/>
                  <w:vMerge w:val="restart"/>
                  <w:tcBorders>
                    <w:top w:val="single" w:color="auto" w:sz="8" w:space="0"/>
                    <w:left w:val="single" w:color="auto" w:sz="8" w:space="0"/>
                    <w:bottom w:val="single" w:color="auto" w:sz="8" w:space="0"/>
                    <w:right w:val="single" w:color="auto" w:sz="8" w:space="0"/>
                  </w:tcBorders>
                  <w:shd w:val="clear"/>
                  <w:vAlign w:val="center"/>
                </w:tcPr>
                <w:p w14:paraId="19A95BA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2FA008E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70</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2B5BD3F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w:t>
                  </w:r>
                </w:p>
              </w:tc>
              <w:tc>
                <w:tcPr>
                  <w:tcW w:w="651" w:type="dxa"/>
                  <w:vMerge w:val="restart"/>
                  <w:tcBorders>
                    <w:top w:val="single" w:color="auto" w:sz="8" w:space="0"/>
                    <w:left w:val="single" w:color="auto" w:sz="8" w:space="0"/>
                    <w:bottom w:val="single" w:color="auto" w:sz="8" w:space="0"/>
                    <w:right w:val="single" w:color="auto" w:sz="8" w:space="0"/>
                  </w:tcBorders>
                  <w:shd w:val="clear"/>
                  <w:vAlign w:val="center"/>
                </w:tcPr>
                <w:p w14:paraId="5A4E89F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22</w:t>
                  </w:r>
                </w:p>
              </w:tc>
              <w:tc>
                <w:tcPr>
                  <w:tcW w:w="601" w:type="dxa"/>
                  <w:vMerge w:val="restart"/>
                  <w:tcBorders>
                    <w:top w:val="single" w:color="auto" w:sz="8" w:space="0"/>
                    <w:left w:val="single" w:color="auto" w:sz="8" w:space="0"/>
                    <w:bottom w:val="single" w:color="auto" w:sz="8" w:space="0"/>
                    <w:right w:val="single" w:color="auto" w:sz="8" w:space="0"/>
                  </w:tcBorders>
                  <w:shd w:val="clear"/>
                  <w:vAlign w:val="center"/>
                </w:tcPr>
                <w:p w14:paraId="38A5529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6.8</w:t>
                  </w:r>
                </w:p>
              </w:tc>
              <w:tc>
                <w:tcPr>
                  <w:tcW w:w="473" w:type="dxa"/>
                  <w:tcBorders>
                    <w:top w:val="single" w:color="auto" w:sz="8" w:space="0"/>
                    <w:left w:val="single" w:color="auto" w:sz="8" w:space="0"/>
                    <w:bottom w:val="single" w:color="auto" w:sz="8" w:space="0"/>
                    <w:right w:val="single" w:color="auto" w:sz="8" w:space="0"/>
                  </w:tcBorders>
                  <w:shd w:val="clear"/>
                  <w:vAlign w:val="center"/>
                </w:tcPr>
                <w:p w14:paraId="3332083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1DB60BB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16</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2B7FE5B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46</w:t>
                  </w:r>
                </w:p>
              </w:tc>
              <w:tc>
                <w:tcPr>
                  <w:tcW w:w="660" w:type="dxa"/>
                  <w:vMerge w:val="restart"/>
                  <w:tcBorders>
                    <w:top w:val="single" w:color="auto" w:sz="8" w:space="0"/>
                    <w:left w:val="single" w:color="auto" w:sz="8" w:space="0"/>
                    <w:bottom w:val="single" w:color="auto" w:sz="8" w:space="0"/>
                    <w:right w:val="single" w:color="auto" w:sz="8" w:space="0"/>
                  </w:tcBorders>
                  <w:shd w:val="clear"/>
                  <w:vAlign w:val="center"/>
                </w:tcPr>
                <w:p w14:paraId="4BEAB22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vAlign w:val="center"/>
                </w:tcPr>
                <w:p w14:paraId="07D0D3F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31</w:t>
                  </w:r>
                </w:p>
              </w:tc>
              <w:tc>
                <w:tcPr>
                  <w:tcW w:w="869" w:type="dxa"/>
                  <w:tcBorders>
                    <w:top w:val="single" w:color="auto" w:sz="8" w:space="0"/>
                    <w:left w:val="single" w:color="auto" w:sz="8" w:space="0"/>
                    <w:bottom w:val="single" w:color="auto" w:sz="8" w:space="0"/>
                    <w:right w:val="nil"/>
                  </w:tcBorders>
                  <w:shd w:val="clear"/>
                  <w:vAlign w:val="center"/>
                </w:tcPr>
                <w:p w14:paraId="48EE185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29887C57">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736516BC">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6C1C01A5">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565A94DC">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48ACC921">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7AC29CE0">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066F4415">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32435FAC">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2387D12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13EEA05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59</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24C50F2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35</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5DDEF1E2">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1909046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20</w:t>
                  </w:r>
                </w:p>
              </w:tc>
              <w:tc>
                <w:tcPr>
                  <w:tcW w:w="869" w:type="dxa"/>
                  <w:tcBorders>
                    <w:top w:val="single" w:color="auto" w:sz="8" w:space="0"/>
                    <w:left w:val="single" w:color="auto" w:sz="8" w:space="0"/>
                    <w:bottom w:val="single" w:color="auto" w:sz="8" w:space="0"/>
                    <w:right w:val="nil"/>
                  </w:tcBorders>
                  <w:shd w:val="clear"/>
                  <w:vAlign w:val="center"/>
                </w:tcPr>
                <w:p w14:paraId="6B488D2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561BB5B8">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45122366">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5453FE18">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4C4DD1CA">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7C1911E9">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33CAF6CD">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3536A0E6">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0AA71BA6">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175FB71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3A2EC09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20</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39B03D6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5249FD83">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2CCB19C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29</w:t>
                  </w:r>
                </w:p>
              </w:tc>
              <w:tc>
                <w:tcPr>
                  <w:tcW w:w="869" w:type="dxa"/>
                  <w:tcBorders>
                    <w:top w:val="single" w:color="auto" w:sz="8" w:space="0"/>
                    <w:left w:val="single" w:color="auto" w:sz="8" w:space="0"/>
                    <w:bottom w:val="single" w:color="auto" w:sz="8" w:space="0"/>
                    <w:right w:val="nil"/>
                  </w:tcBorders>
                  <w:shd w:val="clear"/>
                  <w:vAlign w:val="center"/>
                </w:tcPr>
                <w:p w14:paraId="723B8CE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61DDAE55">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42A6DEDB">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3738B277">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4211594B">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30072187">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6B119E7B">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2C8B8387">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702BD84A">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4D0B3C6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59B795A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2A791E2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46</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703ADCFB">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3D09EBC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31</w:t>
                  </w:r>
                </w:p>
              </w:tc>
              <w:tc>
                <w:tcPr>
                  <w:tcW w:w="869" w:type="dxa"/>
                  <w:tcBorders>
                    <w:top w:val="single" w:color="auto" w:sz="8" w:space="0"/>
                    <w:left w:val="single" w:color="auto" w:sz="8" w:space="0"/>
                    <w:bottom w:val="single" w:color="auto" w:sz="8" w:space="0"/>
                    <w:right w:val="nil"/>
                  </w:tcBorders>
                  <w:shd w:val="clear"/>
                  <w:vAlign w:val="center"/>
                </w:tcPr>
                <w:p w14:paraId="33B89A6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2CFD415D">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vAlign w:val="center"/>
                </w:tcPr>
                <w:p w14:paraId="2ECB5FF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w:t>
                  </w:r>
                </w:p>
              </w:tc>
              <w:tc>
                <w:tcPr>
                  <w:tcW w:w="684" w:type="dxa"/>
                  <w:vMerge w:val="restart"/>
                  <w:tcBorders>
                    <w:top w:val="single" w:color="auto" w:sz="8" w:space="0"/>
                    <w:left w:val="single" w:color="auto" w:sz="8" w:space="0"/>
                    <w:bottom w:val="single" w:color="auto" w:sz="8" w:space="0"/>
                    <w:right w:val="single" w:color="auto" w:sz="8" w:space="0"/>
                  </w:tcBorders>
                  <w:shd w:val="clear"/>
                  <w:vAlign w:val="center"/>
                </w:tcPr>
                <w:p w14:paraId="4174B63D">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收卷机</w:t>
                  </w:r>
                </w:p>
              </w:tc>
              <w:tc>
                <w:tcPr>
                  <w:tcW w:w="532" w:type="dxa"/>
                  <w:vMerge w:val="restart"/>
                  <w:tcBorders>
                    <w:top w:val="single" w:color="auto" w:sz="8" w:space="0"/>
                    <w:left w:val="single" w:color="auto" w:sz="8" w:space="0"/>
                    <w:bottom w:val="single" w:color="auto" w:sz="8" w:space="0"/>
                    <w:right w:val="single" w:color="auto" w:sz="8" w:space="0"/>
                  </w:tcBorders>
                  <w:shd w:val="clear"/>
                  <w:vAlign w:val="center"/>
                </w:tcPr>
                <w:p w14:paraId="2C0EF64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247247B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65</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737BF28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w:t>
                  </w:r>
                </w:p>
              </w:tc>
              <w:tc>
                <w:tcPr>
                  <w:tcW w:w="651" w:type="dxa"/>
                  <w:vMerge w:val="restart"/>
                  <w:tcBorders>
                    <w:top w:val="single" w:color="auto" w:sz="8" w:space="0"/>
                    <w:left w:val="single" w:color="auto" w:sz="8" w:space="0"/>
                    <w:bottom w:val="single" w:color="auto" w:sz="8" w:space="0"/>
                    <w:right w:val="single" w:color="auto" w:sz="8" w:space="0"/>
                  </w:tcBorders>
                  <w:shd w:val="clear"/>
                  <w:vAlign w:val="center"/>
                </w:tcPr>
                <w:p w14:paraId="1054BB1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23</w:t>
                  </w:r>
                </w:p>
              </w:tc>
              <w:tc>
                <w:tcPr>
                  <w:tcW w:w="601" w:type="dxa"/>
                  <w:vMerge w:val="restart"/>
                  <w:tcBorders>
                    <w:top w:val="single" w:color="auto" w:sz="8" w:space="0"/>
                    <w:left w:val="single" w:color="auto" w:sz="8" w:space="0"/>
                    <w:bottom w:val="single" w:color="auto" w:sz="8" w:space="0"/>
                    <w:right w:val="single" w:color="auto" w:sz="8" w:space="0"/>
                  </w:tcBorders>
                  <w:shd w:val="clear"/>
                  <w:vAlign w:val="center"/>
                </w:tcPr>
                <w:p w14:paraId="6A18AB5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6.5</w:t>
                  </w:r>
                </w:p>
              </w:tc>
              <w:tc>
                <w:tcPr>
                  <w:tcW w:w="473" w:type="dxa"/>
                  <w:tcBorders>
                    <w:top w:val="single" w:color="auto" w:sz="8" w:space="0"/>
                    <w:left w:val="single" w:color="auto" w:sz="8" w:space="0"/>
                    <w:bottom w:val="single" w:color="auto" w:sz="8" w:space="0"/>
                    <w:right w:val="single" w:color="auto" w:sz="8" w:space="0"/>
                  </w:tcBorders>
                  <w:shd w:val="clear"/>
                  <w:vAlign w:val="center"/>
                </w:tcPr>
                <w:p w14:paraId="692BC13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53FF83D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18</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441D1BA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40</w:t>
                  </w:r>
                </w:p>
              </w:tc>
              <w:tc>
                <w:tcPr>
                  <w:tcW w:w="660" w:type="dxa"/>
                  <w:vMerge w:val="restart"/>
                  <w:tcBorders>
                    <w:top w:val="single" w:color="auto" w:sz="8" w:space="0"/>
                    <w:left w:val="single" w:color="auto" w:sz="8" w:space="0"/>
                    <w:bottom w:val="single" w:color="auto" w:sz="8" w:space="0"/>
                    <w:right w:val="single" w:color="auto" w:sz="8" w:space="0"/>
                  </w:tcBorders>
                  <w:shd w:val="clear"/>
                  <w:vAlign w:val="center"/>
                </w:tcPr>
                <w:p w14:paraId="3F73FF6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vAlign w:val="center"/>
                </w:tcPr>
                <w:p w14:paraId="2411502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25</w:t>
                  </w:r>
                </w:p>
              </w:tc>
              <w:tc>
                <w:tcPr>
                  <w:tcW w:w="869" w:type="dxa"/>
                  <w:tcBorders>
                    <w:top w:val="single" w:color="auto" w:sz="8" w:space="0"/>
                    <w:left w:val="single" w:color="auto" w:sz="8" w:space="0"/>
                    <w:bottom w:val="single" w:color="auto" w:sz="8" w:space="0"/>
                    <w:right w:val="nil"/>
                  </w:tcBorders>
                  <w:shd w:val="clear"/>
                  <w:vAlign w:val="center"/>
                </w:tcPr>
                <w:p w14:paraId="7344B7E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300BAD6F">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57D54E5E">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22D5EFD3">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56325897">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69477A5A">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7BC2D5AC">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51E31B1A">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6C89EC81">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08CE297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72D7388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60</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02CF6CE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29</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59DE1372">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2EE6E1F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14</w:t>
                  </w:r>
                </w:p>
              </w:tc>
              <w:tc>
                <w:tcPr>
                  <w:tcW w:w="869" w:type="dxa"/>
                  <w:tcBorders>
                    <w:top w:val="single" w:color="auto" w:sz="8" w:space="0"/>
                    <w:left w:val="single" w:color="auto" w:sz="8" w:space="0"/>
                    <w:bottom w:val="single" w:color="auto" w:sz="8" w:space="0"/>
                    <w:right w:val="nil"/>
                  </w:tcBorders>
                  <w:shd w:val="clear"/>
                  <w:vAlign w:val="center"/>
                </w:tcPr>
                <w:p w14:paraId="7412F09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5AC7299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2D45BB8A">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3900C5AB">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0AC70947">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1F75ED3A">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4D9AFB8D">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728560F0">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5F0716FE">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4A066C8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498A988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18</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6A99F2C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40</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7B97BD04">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37CA752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25</w:t>
                  </w:r>
                </w:p>
              </w:tc>
              <w:tc>
                <w:tcPr>
                  <w:tcW w:w="869" w:type="dxa"/>
                  <w:tcBorders>
                    <w:top w:val="single" w:color="auto" w:sz="8" w:space="0"/>
                    <w:left w:val="single" w:color="auto" w:sz="8" w:space="0"/>
                    <w:bottom w:val="single" w:color="auto" w:sz="8" w:space="0"/>
                    <w:right w:val="nil"/>
                  </w:tcBorders>
                  <w:shd w:val="clear"/>
                  <w:vAlign w:val="center"/>
                </w:tcPr>
                <w:p w14:paraId="02B00C6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4E02E2AD">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6E07E81F">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03187EA9">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7046AAD2">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2D490AA7">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222935A2">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09D56E44">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77C2843D">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5C810B0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4945997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14</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30EB603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42</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7D522E5C">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1ABD0C0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27</w:t>
                  </w:r>
                </w:p>
              </w:tc>
              <w:tc>
                <w:tcPr>
                  <w:tcW w:w="869" w:type="dxa"/>
                  <w:tcBorders>
                    <w:top w:val="single" w:color="auto" w:sz="8" w:space="0"/>
                    <w:left w:val="single" w:color="auto" w:sz="8" w:space="0"/>
                    <w:bottom w:val="single" w:color="auto" w:sz="8" w:space="0"/>
                    <w:right w:val="nil"/>
                  </w:tcBorders>
                  <w:shd w:val="clear"/>
                  <w:vAlign w:val="center"/>
                </w:tcPr>
                <w:p w14:paraId="520C5FF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643658BD">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vAlign w:val="center"/>
                </w:tcPr>
                <w:p w14:paraId="4CEEE9E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w:t>
                  </w:r>
                </w:p>
              </w:tc>
              <w:tc>
                <w:tcPr>
                  <w:tcW w:w="684" w:type="dxa"/>
                  <w:vMerge w:val="restart"/>
                  <w:tcBorders>
                    <w:top w:val="single" w:color="auto" w:sz="8" w:space="0"/>
                    <w:left w:val="single" w:color="auto" w:sz="8" w:space="0"/>
                    <w:bottom w:val="single" w:color="auto" w:sz="8" w:space="0"/>
                    <w:right w:val="single" w:color="auto" w:sz="8" w:space="0"/>
                  </w:tcBorders>
                  <w:shd w:val="clear"/>
                  <w:vAlign w:val="center"/>
                </w:tcPr>
                <w:p w14:paraId="2FECCFE6">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涂胶分切机</w:t>
                  </w:r>
                  <w:r>
                    <w:rPr>
                      <w:rFonts w:hint="default" w:ascii="Times New Roman" w:hAnsi="Times New Roman" w:eastAsia="宋体" w:cs="Times New Roman"/>
                      <w:color w:val="000000"/>
                      <w:kern w:val="2"/>
                      <w:sz w:val="21"/>
                      <w:szCs w:val="21"/>
                      <w:bdr w:val="none" w:color="auto" w:sz="0" w:space="0"/>
                      <w:lang w:val="en-US" w:eastAsia="zh-CN" w:bidi="ar"/>
                    </w:rPr>
                    <w:t>1</w:t>
                  </w:r>
                </w:p>
              </w:tc>
              <w:tc>
                <w:tcPr>
                  <w:tcW w:w="532" w:type="dxa"/>
                  <w:vMerge w:val="restart"/>
                  <w:tcBorders>
                    <w:top w:val="single" w:color="auto" w:sz="8" w:space="0"/>
                    <w:left w:val="single" w:color="auto" w:sz="8" w:space="0"/>
                    <w:bottom w:val="single" w:color="auto" w:sz="8" w:space="0"/>
                    <w:right w:val="single" w:color="auto" w:sz="8" w:space="0"/>
                  </w:tcBorders>
                  <w:shd w:val="clear"/>
                  <w:vAlign w:val="center"/>
                </w:tcPr>
                <w:p w14:paraId="567C757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7FB655F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70</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07C45CE4">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3</w:t>
                  </w:r>
                </w:p>
              </w:tc>
              <w:tc>
                <w:tcPr>
                  <w:tcW w:w="651" w:type="dxa"/>
                  <w:vMerge w:val="restart"/>
                  <w:tcBorders>
                    <w:top w:val="single" w:color="auto" w:sz="8" w:space="0"/>
                    <w:left w:val="single" w:color="auto" w:sz="8" w:space="0"/>
                    <w:bottom w:val="single" w:color="auto" w:sz="8" w:space="0"/>
                    <w:right w:val="single" w:color="auto" w:sz="8" w:space="0"/>
                  </w:tcBorders>
                  <w:shd w:val="clear"/>
                  <w:vAlign w:val="center"/>
                </w:tcPr>
                <w:p w14:paraId="6867981B">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-35</w:t>
                  </w:r>
                </w:p>
              </w:tc>
              <w:tc>
                <w:tcPr>
                  <w:tcW w:w="601" w:type="dxa"/>
                  <w:vMerge w:val="restart"/>
                  <w:tcBorders>
                    <w:top w:val="single" w:color="auto" w:sz="8" w:space="0"/>
                    <w:left w:val="single" w:color="auto" w:sz="8" w:space="0"/>
                    <w:bottom w:val="single" w:color="auto" w:sz="8" w:space="0"/>
                    <w:right w:val="single" w:color="auto" w:sz="8" w:space="0"/>
                  </w:tcBorders>
                  <w:shd w:val="clear"/>
                  <w:vAlign w:val="center"/>
                </w:tcPr>
                <w:p w14:paraId="796AFF5E">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0.8</w:t>
                  </w:r>
                </w:p>
              </w:tc>
              <w:tc>
                <w:tcPr>
                  <w:tcW w:w="473" w:type="dxa"/>
                  <w:tcBorders>
                    <w:top w:val="single" w:color="auto" w:sz="8" w:space="0"/>
                    <w:left w:val="single" w:color="auto" w:sz="8" w:space="0"/>
                    <w:bottom w:val="single" w:color="auto" w:sz="8" w:space="0"/>
                    <w:right w:val="single" w:color="auto" w:sz="8" w:space="0"/>
                  </w:tcBorders>
                  <w:shd w:val="clear"/>
                  <w:vAlign w:val="center"/>
                </w:tcPr>
                <w:p w14:paraId="2F1C474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45C771F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5FF33AB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46</w:t>
                  </w:r>
                </w:p>
              </w:tc>
              <w:tc>
                <w:tcPr>
                  <w:tcW w:w="660" w:type="dxa"/>
                  <w:vMerge w:val="restart"/>
                  <w:tcBorders>
                    <w:top w:val="single" w:color="auto" w:sz="8" w:space="0"/>
                    <w:left w:val="single" w:color="auto" w:sz="8" w:space="0"/>
                    <w:bottom w:val="single" w:color="auto" w:sz="8" w:space="0"/>
                    <w:right w:val="single" w:color="auto" w:sz="8" w:space="0"/>
                  </w:tcBorders>
                  <w:shd w:val="clear"/>
                  <w:vAlign w:val="center"/>
                </w:tcPr>
                <w:p w14:paraId="2A534F5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vAlign w:val="center"/>
                </w:tcPr>
                <w:p w14:paraId="109735C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31</w:t>
                  </w:r>
                </w:p>
              </w:tc>
              <w:tc>
                <w:tcPr>
                  <w:tcW w:w="869" w:type="dxa"/>
                  <w:tcBorders>
                    <w:top w:val="single" w:color="auto" w:sz="8" w:space="0"/>
                    <w:left w:val="single" w:color="auto" w:sz="8" w:space="0"/>
                    <w:bottom w:val="single" w:color="auto" w:sz="8" w:space="0"/>
                    <w:right w:val="nil"/>
                  </w:tcBorders>
                  <w:shd w:val="clear"/>
                  <w:vAlign w:val="center"/>
                </w:tcPr>
                <w:p w14:paraId="16468A2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1C09C65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612E81B9">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1458F1E9">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653D326A">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7C28BE2C">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148E66F2">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162CE410">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4C70562C">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44C7172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1AAC2A7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3A89696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64</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2E750464">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23C215A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49</w:t>
                  </w:r>
                </w:p>
              </w:tc>
              <w:tc>
                <w:tcPr>
                  <w:tcW w:w="869" w:type="dxa"/>
                  <w:tcBorders>
                    <w:top w:val="single" w:color="auto" w:sz="8" w:space="0"/>
                    <w:left w:val="single" w:color="auto" w:sz="8" w:space="0"/>
                    <w:bottom w:val="single" w:color="auto" w:sz="8" w:space="0"/>
                    <w:right w:val="nil"/>
                  </w:tcBorders>
                  <w:shd w:val="clear"/>
                  <w:vAlign w:val="center"/>
                </w:tcPr>
                <w:p w14:paraId="5A93385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4B83807D">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46268570">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32C0BF8A">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3F93ED00">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1AA7DD77">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3FC7340B">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1985A8CB">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21A3DA11">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11A0937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39E635D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21</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51723D5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07F73CC7">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4756E52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29</w:t>
                  </w:r>
                </w:p>
              </w:tc>
              <w:tc>
                <w:tcPr>
                  <w:tcW w:w="869" w:type="dxa"/>
                  <w:tcBorders>
                    <w:top w:val="single" w:color="auto" w:sz="8" w:space="0"/>
                    <w:left w:val="single" w:color="auto" w:sz="8" w:space="0"/>
                    <w:bottom w:val="single" w:color="auto" w:sz="8" w:space="0"/>
                    <w:right w:val="nil"/>
                  </w:tcBorders>
                  <w:shd w:val="clear"/>
                  <w:vAlign w:val="center"/>
                </w:tcPr>
                <w:p w14:paraId="10E2DB9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655142B4">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61343398">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233BA3A5">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10B0F259">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5F164D29">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7F255C1B">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4A9A892D">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0EE34848">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01E9491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19145EC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72</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06ACFD9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33</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3E09A10D">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3419B4C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18</w:t>
                  </w:r>
                </w:p>
              </w:tc>
              <w:tc>
                <w:tcPr>
                  <w:tcW w:w="869" w:type="dxa"/>
                  <w:tcBorders>
                    <w:top w:val="single" w:color="auto" w:sz="8" w:space="0"/>
                    <w:left w:val="single" w:color="auto" w:sz="8" w:space="0"/>
                    <w:bottom w:val="single" w:color="auto" w:sz="8" w:space="0"/>
                    <w:right w:val="nil"/>
                  </w:tcBorders>
                  <w:shd w:val="clear"/>
                  <w:vAlign w:val="center"/>
                </w:tcPr>
                <w:p w14:paraId="53D3A5C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241DF62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vAlign w:val="center"/>
                </w:tcPr>
                <w:p w14:paraId="65D7CAB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w:t>
                  </w:r>
                </w:p>
              </w:tc>
              <w:tc>
                <w:tcPr>
                  <w:tcW w:w="684" w:type="dxa"/>
                  <w:vMerge w:val="restart"/>
                  <w:tcBorders>
                    <w:top w:val="single" w:color="auto" w:sz="8" w:space="0"/>
                    <w:left w:val="single" w:color="auto" w:sz="8" w:space="0"/>
                    <w:bottom w:val="single" w:color="auto" w:sz="8" w:space="0"/>
                    <w:right w:val="single" w:color="auto" w:sz="8" w:space="0"/>
                  </w:tcBorders>
                  <w:shd w:val="clear"/>
                  <w:vAlign w:val="center"/>
                </w:tcPr>
                <w:p w14:paraId="295B5490">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涂胶分切机</w:t>
                  </w:r>
                  <w:r>
                    <w:rPr>
                      <w:rFonts w:hint="default" w:ascii="Times New Roman" w:hAnsi="Times New Roman" w:eastAsia="宋体" w:cs="Times New Roman"/>
                      <w:color w:val="000000"/>
                      <w:kern w:val="2"/>
                      <w:sz w:val="21"/>
                      <w:szCs w:val="21"/>
                      <w:bdr w:val="none" w:color="auto" w:sz="0" w:space="0"/>
                      <w:lang w:val="en-US" w:eastAsia="zh-CN" w:bidi="ar"/>
                    </w:rPr>
                    <w:t>2</w:t>
                  </w:r>
                </w:p>
              </w:tc>
              <w:tc>
                <w:tcPr>
                  <w:tcW w:w="532" w:type="dxa"/>
                  <w:vMerge w:val="restart"/>
                  <w:tcBorders>
                    <w:top w:val="single" w:color="auto" w:sz="8" w:space="0"/>
                    <w:left w:val="single" w:color="auto" w:sz="8" w:space="0"/>
                    <w:bottom w:val="single" w:color="auto" w:sz="8" w:space="0"/>
                    <w:right w:val="single" w:color="auto" w:sz="8" w:space="0"/>
                  </w:tcBorders>
                  <w:shd w:val="clear"/>
                  <w:vAlign w:val="center"/>
                </w:tcPr>
                <w:p w14:paraId="7573632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47BDE2F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70</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01476184">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3</w:t>
                  </w:r>
                </w:p>
              </w:tc>
              <w:tc>
                <w:tcPr>
                  <w:tcW w:w="651" w:type="dxa"/>
                  <w:vMerge w:val="restart"/>
                  <w:tcBorders>
                    <w:top w:val="single" w:color="auto" w:sz="8" w:space="0"/>
                    <w:left w:val="single" w:color="auto" w:sz="8" w:space="0"/>
                    <w:bottom w:val="single" w:color="auto" w:sz="8" w:space="0"/>
                    <w:right w:val="single" w:color="auto" w:sz="8" w:space="0"/>
                  </w:tcBorders>
                  <w:shd w:val="clear"/>
                  <w:vAlign w:val="center"/>
                </w:tcPr>
                <w:p w14:paraId="16E9712E">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-33</w:t>
                  </w:r>
                </w:p>
              </w:tc>
              <w:tc>
                <w:tcPr>
                  <w:tcW w:w="601" w:type="dxa"/>
                  <w:vMerge w:val="restart"/>
                  <w:tcBorders>
                    <w:top w:val="single" w:color="auto" w:sz="8" w:space="0"/>
                    <w:left w:val="single" w:color="auto" w:sz="8" w:space="0"/>
                    <w:bottom w:val="single" w:color="auto" w:sz="8" w:space="0"/>
                    <w:right w:val="single" w:color="auto" w:sz="8" w:space="0"/>
                  </w:tcBorders>
                  <w:shd w:val="clear"/>
                  <w:vAlign w:val="center"/>
                </w:tcPr>
                <w:p w14:paraId="3D38F579">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0.8</w:t>
                  </w:r>
                </w:p>
              </w:tc>
              <w:tc>
                <w:tcPr>
                  <w:tcW w:w="473" w:type="dxa"/>
                  <w:tcBorders>
                    <w:top w:val="single" w:color="auto" w:sz="8" w:space="0"/>
                    <w:left w:val="single" w:color="auto" w:sz="8" w:space="0"/>
                    <w:bottom w:val="single" w:color="auto" w:sz="8" w:space="0"/>
                    <w:right w:val="single" w:color="auto" w:sz="8" w:space="0"/>
                  </w:tcBorders>
                  <w:shd w:val="clear"/>
                  <w:vAlign w:val="center"/>
                </w:tcPr>
                <w:p w14:paraId="69D5A05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38960CD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703D3A3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46</w:t>
                  </w:r>
                </w:p>
              </w:tc>
              <w:tc>
                <w:tcPr>
                  <w:tcW w:w="660" w:type="dxa"/>
                  <w:vMerge w:val="restart"/>
                  <w:tcBorders>
                    <w:top w:val="single" w:color="auto" w:sz="8" w:space="0"/>
                    <w:left w:val="single" w:color="auto" w:sz="8" w:space="0"/>
                    <w:bottom w:val="single" w:color="auto" w:sz="8" w:space="0"/>
                    <w:right w:val="single" w:color="auto" w:sz="8" w:space="0"/>
                  </w:tcBorders>
                  <w:shd w:val="clear"/>
                  <w:vAlign w:val="center"/>
                </w:tcPr>
                <w:p w14:paraId="49F572A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vAlign w:val="center"/>
                </w:tcPr>
                <w:p w14:paraId="51494D0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31</w:t>
                  </w:r>
                </w:p>
              </w:tc>
              <w:tc>
                <w:tcPr>
                  <w:tcW w:w="869" w:type="dxa"/>
                  <w:tcBorders>
                    <w:top w:val="single" w:color="auto" w:sz="8" w:space="0"/>
                    <w:left w:val="single" w:color="auto" w:sz="8" w:space="0"/>
                    <w:bottom w:val="single" w:color="auto" w:sz="8" w:space="0"/>
                    <w:right w:val="nil"/>
                  </w:tcBorders>
                  <w:shd w:val="clear"/>
                  <w:vAlign w:val="center"/>
                </w:tcPr>
                <w:p w14:paraId="50087D0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0620A2E3">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5B9D3827">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4DE209BD">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61D570BD">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24382BD2">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128C6499">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22FCD2A5">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6E894FA6">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36A2FB2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42F659F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0903E0B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58</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4669A12C">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05877C7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43</w:t>
                  </w:r>
                </w:p>
              </w:tc>
              <w:tc>
                <w:tcPr>
                  <w:tcW w:w="869" w:type="dxa"/>
                  <w:tcBorders>
                    <w:top w:val="single" w:color="auto" w:sz="8" w:space="0"/>
                    <w:left w:val="single" w:color="auto" w:sz="8" w:space="0"/>
                    <w:bottom w:val="single" w:color="auto" w:sz="8" w:space="0"/>
                    <w:right w:val="nil"/>
                  </w:tcBorders>
                  <w:shd w:val="clear"/>
                  <w:vAlign w:val="center"/>
                </w:tcPr>
                <w:p w14:paraId="783E67C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31E48A8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6E829E88">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22483260">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0BED6BAD">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08EE7D86">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771E894A">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65A133D1">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5CA82EF8">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52ED375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3383984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21</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115E587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2282D139">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6EC3313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29</w:t>
                  </w:r>
                </w:p>
              </w:tc>
              <w:tc>
                <w:tcPr>
                  <w:tcW w:w="869" w:type="dxa"/>
                  <w:tcBorders>
                    <w:top w:val="single" w:color="auto" w:sz="8" w:space="0"/>
                    <w:left w:val="single" w:color="auto" w:sz="8" w:space="0"/>
                    <w:bottom w:val="single" w:color="auto" w:sz="8" w:space="0"/>
                    <w:right w:val="nil"/>
                  </w:tcBorders>
                  <w:shd w:val="clear"/>
                  <w:vAlign w:val="center"/>
                </w:tcPr>
                <w:p w14:paraId="79CB2B2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4605616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767D9102">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0B070736">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22FA0623">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24AEB1D8">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537BC82F">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2B81D52F">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55424042">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4D8394F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24022F4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70</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66D53F8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33</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6AB27AAA">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2E5A695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18</w:t>
                  </w:r>
                </w:p>
              </w:tc>
              <w:tc>
                <w:tcPr>
                  <w:tcW w:w="869" w:type="dxa"/>
                  <w:tcBorders>
                    <w:top w:val="single" w:color="auto" w:sz="8" w:space="0"/>
                    <w:left w:val="single" w:color="auto" w:sz="8" w:space="0"/>
                    <w:bottom w:val="single" w:color="auto" w:sz="8" w:space="0"/>
                    <w:right w:val="nil"/>
                  </w:tcBorders>
                  <w:shd w:val="clear"/>
                  <w:vAlign w:val="center"/>
                </w:tcPr>
                <w:p w14:paraId="62EC477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2DA9097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vAlign w:val="center"/>
                </w:tcPr>
                <w:p w14:paraId="471FC66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w:t>
                  </w:r>
                </w:p>
              </w:tc>
              <w:tc>
                <w:tcPr>
                  <w:tcW w:w="684" w:type="dxa"/>
                  <w:vMerge w:val="restart"/>
                  <w:tcBorders>
                    <w:top w:val="single" w:color="auto" w:sz="8" w:space="0"/>
                    <w:left w:val="single" w:color="auto" w:sz="8" w:space="0"/>
                    <w:bottom w:val="single" w:color="auto" w:sz="8" w:space="0"/>
                    <w:right w:val="single" w:color="auto" w:sz="8" w:space="0"/>
                  </w:tcBorders>
                  <w:shd w:val="clear"/>
                  <w:vAlign w:val="center"/>
                </w:tcPr>
                <w:p w14:paraId="4FA8079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高速模切机</w:t>
                  </w:r>
                  <w:r>
                    <w:rPr>
                      <w:rFonts w:hint="default" w:ascii="Times New Roman" w:hAnsi="Times New Roman" w:eastAsia="宋体" w:cs="Times New Roman"/>
                      <w:color w:val="000000"/>
                      <w:kern w:val="2"/>
                      <w:sz w:val="21"/>
                      <w:szCs w:val="21"/>
                      <w:bdr w:val="none" w:color="auto" w:sz="0" w:space="0"/>
                      <w:lang w:val="en-US" w:eastAsia="zh-CN" w:bidi="ar"/>
                    </w:rPr>
                    <w:t>1</w:t>
                  </w:r>
                </w:p>
              </w:tc>
              <w:tc>
                <w:tcPr>
                  <w:tcW w:w="532" w:type="dxa"/>
                  <w:vMerge w:val="restart"/>
                  <w:tcBorders>
                    <w:top w:val="single" w:color="auto" w:sz="8" w:space="0"/>
                    <w:left w:val="single" w:color="auto" w:sz="8" w:space="0"/>
                    <w:bottom w:val="single" w:color="auto" w:sz="8" w:space="0"/>
                    <w:right w:val="single" w:color="auto" w:sz="8" w:space="0"/>
                  </w:tcBorders>
                  <w:shd w:val="clear"/>
                  <w:vAlign w:val="center"/>
                </w:tcPr>
                <w:p w14:paraId="52702C3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406867F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75</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5AAEE0E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16</w:t>
                  </w:r>
                </w:p>
              </w:tc>
              <w:tc>
                <w:tcPr>
                  <w:tcW w:w="651" w:type="dxa"/>
                  <w:vMerge w:val="restart"/>
                  <w:tcBorders>
                    <w:top w:val="single" w:color="auto" w:sz="8" w:space="0"/>
                    <w:left w:val="single" w:color="auto" w:sz="8" w:space="0"/>
                    <w:bottom w:val="single" w:color="auto" w:sz="8" w:space="0"/>
                    <w:right w:val="single" w:color="auto" w:sz="8" w:space="0"/>
                  </w:tcBorders>
                  <w:shd w:val="clear"/>
                  <w:vAlign w:val="center"/>
                </w:tcPr>
                <w:p w14:paraId="11ACB98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-16</w:t>
                  </w:r>
                </w:p>
              </w:tc>
              <w:tc>
                <w:tcPr>
                  <w:tcW w:w="601" w:type="dxa"/>
                  <w:vMerge w:val="restart"/>
                  <w:tcBorders>
                    <w:top w:val="single" w:color="auto" w:sz="8" w:space="0"/>
                    <w:left w:val="single" w:color="auto" w:sz="8" w:space="0"/>
                    <w:bottom w:val="single" w:color="auto" w:sz="8" w:space="0"/>
                    <w:right w:val="single" w:color="auto" w:sz="8" w:space="0"/>
                  </w:tcBorders>
                  <w:shd w:val="clear"/>
                  <w:vAlign w:val="center"/>
                </w:tcPr>
                <w:p w14:paraId="3D90622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6.8</w:t>
                  </w:r>
                </w:p>
              </w:tc>
              <w:tc>
                <w:tcPr>
                  <w:tcW w:w="473" w:type="dxa"/>
                  <w:tcBorders>
                    <w:top w:val="single" w:color="auto" w:sz="8" w:space="0"/>
                    <w:left w:val="single" w:color="auto" w:sz="8" w:space="0"/>
                    <w:bottom w:val="single" w:color="auto" w:sz="8" w:space="0"/>
                    <w:right w:val="single" w:color="auto" w:sz="8" w:space="0"/>
                  </w:tcBorders>
                  <w:shd w:val="clear"/>
                  <w:vAlign w:val="center"/>
                </w:tcPr>
                <w:p w14:paraId="47451FC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034BE1A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687D651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69</w:t>
                  </w:r>
                </w:p>
              </w:tc>
              <w:tc>
                <w:tcPr>
                  <w:tcW w:w="660" w:type="dxa"/>
                  <w:vMerge w:val="restart"/>
                  <w:tcBorders>
                    <w:top w:val="single" w:color="auto" w:sz="8" w:space="0"/>
                    <w:left w:val="single" w:color="auto" w:sz="8" w:space="0"/>
                    <w:bottom w:val="single" w:color="auto" w:sz="8" w:space="0"/>
                    <w:right w:val="single" w:color="auto" w:sz="8" w:space="0"/>
                  </w:tcBorders>
                  <w:shd w:val="clear"/>
                  <w:vAlign w:val="center"/>
                </w:tcPr>
                <w:p w14:paraId="379D0D3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vAlign w:val="center"/>
                </w:tcPr>
                <w:p w14:paraId="1E1F9B7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54</w:t>
                  </w:r>
                </w:p>
              </w:tc>
              <w:tc>
                <w:tcPr>
                  <w:tcW w:w="869" w:type="dxa"/>
                  <w:tcBorders>
                    <w:top w:val="single" w:color="auto" w:sz="8" w:space="0"/>
                    <w:left w:val="single" w:color="auto" w:sz="8" w:space="0"/>
                    <w:bottom w:val="single" w:color="auto" w:sz="8" w:space="0"/>
                    <w:right w:val="nil"/>
                  </w:tcBorders>
                  <w:shd w:val="clear"/>
                  <w:vAlign w:val="center"/>
                </w:tcPr>
                <w:p w14:paraId="498AD3D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379809B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709D0ED5">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1626B774">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6BF34F5F">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39ECC5AB">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5E865D3D">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7AEDD3C6">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0EBC07B7">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3243DA9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3BC1690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21</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68ECDEC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49</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139C504B">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7335040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34</w:t>
                  </w:r>
                </w:p>
              </w:tc>
              <w:tc>
                <w:tcPr>
                  <w:tcW w:w="869" w:type="dxa"/>
                  <w:tcBorders>
                    <w:top w:val="single" w:color="auto" w:sz="8" w:space="0"/>
                    <w:left w:val="single" w:color="auto" w:sz="8" w:space="0"/>
                    <w:bottom w:val="single" w:color="auto" w:sz="8" w:space="0"/>
                    <w:right w:val="nil"/>
                  </w:tcBorders>
                  <w:shd w:val="clear"/>
                  <w:vAlign w:val="center"/>
                </w:tcPr>
                <w:p w14:paraId="61075A9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6E5C46D0">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5A1D373F">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6E854C90">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30C20F83">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1FB51A2D">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749B51C0">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152FC18E">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031300A8">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2987CA0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2E45084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34</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65D0A86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2A960817">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1BFBF65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29</w:t>
                  </w:r>
                </w:p>
              </w:tc>
              <w:tc>
                <w:tcPr>
                  <w:tcW w:w="869" w:type="dxa"/>
                  <w:tcBorders>
                    <w:top w:val="single" w:color="auto" w:sz="8" w:space="0"/>
                    <w:left w:val="single" w:color="auto" w:sz="8" w:space="0"/>
                    <w:bottom w:val="single" w:color="auto" w:sz="8" w:space="0"/>
                    <w:right w:val="nil"/>
                  </w:tcBorders>
                  <w:shd w:val="clear"/>
                  <w:vAlign w:val="center"/>
                </w:tcPr>
                <w:p w14:paraId="6258799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2B17EDFF">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15FF91C2">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7786AEAB">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250E2D9F">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765D24ED">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492F9006">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680324D5">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7DBBE6F1">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26E7ED5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3211597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53</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4F455A4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41</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0000CB0A">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0D8834D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26</w:t>
                  </w:r>
                </w:p>
              </w:tc>
              <w:tc>
                <w:tcPr>
                  <w:tcW w:w="869" w:type="dxa"/>
                  <w:tcBorders>
                    <w:top w:val="single" w:color="auto" w:sz="8" w:space="0"/>
                    <w:left w:val="single" w:color="auto" w:sz="8" w:space="0"/>
                    <w:bottom w:val="single" w:color="auto" w:sz="8" w:space="0"/>
                    <w:right w:val="nil"/>
                  </w:tcBorders>
                  <w:shd w:val="clear"/>
                  <w:vAlign w:val="center"/>
                </w:tcPr>
                <w:p w14:paraId="736398F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248F24CF">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vAlign w:val="center"/>
                </w:tcPr>
                <w:p w14:paraId="514915E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w:t>
                  </w:r>
                </w:p>
              </w:tc>
              <w:tc>
                <w:tcPr>
                  <w:tcW w:w="684" w:type="dxa"/>
                  <w:vMerge w:val="restart"/>
                  <w:tcBorders>
                    <w:top w:val="single" w:color="auto" w:sz="8" w:space="0"/>
                    <w:left w:val="single" w:color="auto" w:sz="8" w:space="0"/>
                    <w:bottom w:val="single" w:color="auto" w:sz="8" w:space="0"/>
                    <w:right w:val="single" w:color="auto" w:sz="8" w:space="0"/>
                  </w:tcBorders>
                  <w:shd w:val="clear"/>
                  <w:vAlign w:val="center"/>
                </w:tcPr>
                <w:p w14:paraId="228C974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高速模切机</w:t>
                  </w:r>
                  <w:r>
                    <w:rPr>
                      <w:rFonts w:hint="default" w:ascii="Times New Roman" w:hAnsi="Times New Roman" w:eastAsia="宋体" w:cs="Times New Roman"/>
                      <w:color w:val="000000"/>
                      <w:kern w:val="2"/>
                      <w:sz w:val="21"/>
                      <w:szCs w:val="21"/>
                      <w:bdr w:val="none" w:color="auto" w:sz="0" w:space="0"/>
                      <w:lang w:val="en-US" w:eastAsia="zh-CN" w:bidi="ar"/>
                    </w:rPr>
                    <w:t>2</w:t>
                  </w:r>
                </w:p>
              </w:tc>
              <w:tc>
                <w:tcPr>
                  <w:tcW w:w="532" w:type="dxa"/>
                  <w:vMerge w:val="restart"/>
                  <w:tcBorders>
                    <w:top w:val="single" w:color="auto" w:sz="8" w:space="0"/>
                    <w:left w:val="single" w:color="auto" w:sz="8" w:space="0"/>
                    <w:bottom w:val="single" w:color="auto" w:sz="8" w:space="0"/>
                    <w:right w:val="single" w:color="auto" w:sz="8" w:space="0"/>
                  </w:tcBorders>
                  <w:shd w:val="clear"/>
                  <w:vAlign w:val="center"/>
                </w:tcPr>
                <w:p w14:paraId="797341B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48EA824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75</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4D3D2DF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14</w:t>
                  </w:r>
                </w:p>
              </w:tc>
              <w:tc>
                <w:tcPr>
                  <w:tcW w:w="651" w:type="dxa"/>
                  <w:vMerge w:val="restart"/>
                  <w:tcBorders>
                    <w:top w:val="single" w:color="auto" w:sz="8" w:space="0"/>
                    <w:left w:val="single" w:color="auto" w:sz="8" w:space="0"/>
                    <w:bottom w:val="single" w:color="auto" w:sz="8" w:space="0"/>
                    <w:right w:val="single" w:color="auto" w:sz="8" w:space="0"/>
                  </w:tcBorders>
                  <w:shd w:val="clear"/>
                  <w:vAlign w:val="center"/>
                </w:tcPr>
                <w:p w14:paraId="1880921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-16</w:t>
                  </w:r>
                </w:p>
              </w:tc>
              <w:tc>
                <w:tcPr>
                  <w:tcW w:w="601" w:type="dxa"/>
                  <w:vMerge w:val="restart"/>
                  <w:tcBorders>
                    <w:top w:val="single" w:color="auto" w:sz="8" w:space="0"/>
                    <w:left w:val="single" w:color="auto" w:sz="8" w:space="0"/>
                    <w:bottom w:val="single" w:color="auto" w:sz="8" w:space="0"/>
                    <w:right w:val="single" w:color="auto" w:sz="8" w:space="0"/>
                  </w:tcBorders>
                  <w:shd w:val="clear"/>
                  <w:vAlign w:val="center"/>
                </w:tcPr>
                <w:p w14:paraId="52E320E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6.8</w:t>
                  </w:r>
                </w:p>
              </w:tc>
              <w:tc>
                <w:tcPr>
                  <w:tcW w:w="473" w:type="dxa"/>
                  <w:tcBorders>
                    <w:top w:val="single" w:color="auto" w:sz="8" w:space="0"/>
                    <w:left w:val="single" w:color="auto" w:sz="8" w:space="0"/>
                    <w:bottom w:val="single" w:color="auto" w:sz="8" w:space="0"/>
                    <w:right w:val="single" w:color="auto" w:sz="8" w:space="0"/>
                  </w:tcBorders>
                  <w:shd w:val="clear"/>
                  <w:vAlign w:val="center"/>
                </w:tcPr>
                <w:p w14:paraId="043A121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38EDAE9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5A319D8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63</w:t>
                  </w:r>
                </w:p>
              </w:tc>
              <w:tc>
                <w:tcPr>
                  <w:tcW w:w="660" w:type="dxa"/>
                  <w:vMerge w:val="restart"/>
                  <w:tcBorders>
                    <w:top w:val="single" w:color="auto" w:sz="8" w:space="0"/>
                    <w:left w:val="single" w:color="auto" w:sz="8" w:space="0"/>
                    <w:bottom w:val="single" w:color="auto" w:sz="8" w:space="0"/>
                    <w:right w:val="single" w:color="auto" w:sz="8" w:space="0"/>
                  </w:tcBorders>
                  <w:shd w:val="clear"/>
                  <w:vAlign w:val="center"/>
                </w:tcPr>
                <w:p w14:paraId="5F526CA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vAlign w:val="center"/>
                </w:tcPr>
                <w:p w14:paraId="68AAD7D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48</w:t>
                  </w:r>
                </w:p>
              </w:tc>
              <w:tc>
                <w:tcPr>
                  <w:tcW w:w="869" w:type="dxa"/>
                  <w:tcBorders>
                    <w:top w:val="single" w:color="auto" w:sz="8" w:space="0"/>
                    <w:left w:val="single" w:color="auto" w:sz="8" w:space="0"/>
                    <w:bottom w:val="single" w:color="auto" w:sz="8" w:space="0"/>
                    <w:right w:val="nil"/>
                  </w:tcBorders>
                  <w:shd w:val="clear"/>
                  <w:vAlign w:val="center"/>
                </w:tcPr>
                <w:p w14:paraId="736D1BD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7AD876D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43BAAC76">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0D032FEB">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4EAA6CC5">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293B3549">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4A70CFDB">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1191DB0C">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215A96F6">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146695E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095C54F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21</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3778076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49</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49EF9956">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291DFBC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34</w:t>
                  </w:r>
                </w:p>
              </w:tc>
              <w:tc>
                <w:tcPr>
                  <w:tcW w:w="869" w:type="dxa"/>
                  <w:tcBorders>
                    <w:top w:val="single" w:color="auto" w:sz="8" w:space="0"/>
                    <w:left w:val="single" w:color="auto" w:sz="8" w:space="0"/>
                    <w:bottom w:val="single" w:color="auto" w:sz="8" w:space="0"/>
                    <w:right w:val="nil"/>
                  </w:tcBorders>
                  <w:shd w:val="clear"/>
                  <w:vAlign w:val="center"/>
                </w:tcPr>
                <w:p w14:paraId="3DF1E48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058B766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148361EA">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72D0FF62">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43FA9224">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0C1B8476">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0A9E6968">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5014282F">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2BE5DB37">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305164C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6EFE633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32</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7BBA989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45</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0306D347">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3DE1306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30</w:t>
                  </w:r>
                </w:p>
              </w:tc>
              <w:tc>
                <w:tcPr>
                  <w:tcW w:w="869" w:type="dxa"/>
                  <w:tcBorders>
                    <w:top w:val="single" w:color="auto" w:sz="8" w:space="0"/>
                    <w:left w:val="single" w:color="auto" w:sz="8" w:space="0"/>
                    <w:bottom w:val="single" w:color="auto" w:sz="8" w:space="0"/>
                    <w:right w:val="nil"/>
                  </w:tcBorders>
                  <w:shd w:val="clear"/>
                  <w:vAlign w:val="center"/>
                </w:tcPr>
                <w:p w14:paraId="58A4B40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4376B81B">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1340B1A6">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50B6BEB5">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2A30FA08">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5D849235">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58867008">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29F528E8">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210F51B7">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70A8FCB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135E717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53</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6AFC161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41</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69FF9289">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5E0DCF9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26</w:t>
                  </w:r>
                </w:p>
              </w:tc>
              <w:tc>
                <w:tcPr>
                  <w:tcW w:w="869" w:type="dxa"/>
                  <w:tcBorders>
                    <w:top w:val="single" w:color="auto" w:sz="8" w:space="0"/>
                    <w:left w:val="single" w:color="auto" w:sz="8" w:space="0"/>
                    <w:bottom w:val="single" w:color="auto" w:sz="8" w:space="0"/>
                    <w:right w:val="nil"/>
                  </w:tcBorders>
                  <w:shd w:val="clear"/>
                  <w:vAlign w:val="center"/>
                </w:tcPr>
                <w:p w14:paraId="0844F9C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58C637A1">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vAlign w:val="center"/>
                </w:tcPr>
                <w:p w14:paraId="5E20B83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w:t>
                  </w:r>
                </w:p>
              </w:tc>
              <w:tc>
                <w:tcPr>
                  <w:tcW w:w="684" w:type="dxa"/>
                  <w:vMerge w:val="restart"/>
                  <w:tcBorders>
                    <w:top w:val="single" w:color="auto" w:sz="8" w:space="0"/>
                    <w:left w:val="single" w:color="auto" w:sz="8" w:space="0"/>
                    <w:bottom w:val="single" w:color="auto" w:sz="8" w:space="0"/>
                    <w:right w:val="single" w:color="auto" w:sz="8" w:space="0"/>
                  </w:tcBorders>
                  <w:shd w:val="clear"/>
                  <w:vAlign w:val="center"/>
                </w:tcPr>
                <w:p w14:paraId="68E664E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分切机</w:t>
                  </w:r>
                  <w:r>
                    <w:rPr>
                      <w:rFonts w:hint="default" w:ascii="Times New Roman" w:hAnsi="Times New Roman" w:eastAsia="宋体" w:cs="Times New Roman"/>
                      <w:color w:val="000000"/>
                      <w:kern w:val="2"/>
                      <w:sz w:val="21"/>
                      <w:szCs w:val="21"/>
                      <w:bdr w:val="none" w:color="auto" w:sz="0" w:space="0"/>
                      <w:lang w:val="en-US" w:eastAsia="zh-CN" w:bidi="ar"/>
                    </w:rPr>
                    <w:t>1</w:t>
                  </w:r>
                </w:p>
              </w:tc>
              <w:tc>
                <w:tcPr>
                  <w:tcW w:w="532" w:type="dxa"/>
                  <w:vMerge w:val="restart"/>
                  <w:tcBorders>
                    <w:top w:val="single" w:color="auto" w:sz="8" w:space="0"/>
                    <w:left w:val="single" w:color="auto" w:sz="8" w:space="0"/>
                    <w:bottom w:val="single" w:color="auto" w:sz="8" w:space="0"/>
                    <w:right w:val="single" w:color="auto" w:sz="8" w:space="0"/>
                  </w:tcBorders>
                  <w:shd w:val="clear"/>
                  <w:vAlign w:val="center"/>
                </w:tcPr>
                <w:p w14:paraId="4FFA3F9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55C49F1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70</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4F567D5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14</w:t>
                  </w:r>
                </w:p>
              </w:tc>
              <w:tc>
                <w:tcPr>
                  <w:tcW w:w="651" w:type="dxa"/>
                  <w:vMerge w:val="restart"/>
                  <w:tcBorders>
                    <w:top w:val="single" w:color="auto" w:sz="8" w:space="0"/>
                    <w:left w:val="single" w:color="auto" w:sz="8" w:space="0"/>
                    <w:bottom w:val="single" w:color="auto" w:sz="8" w:space="0"/>
                    <w:right w:val="single" w:color="auto" w:sz="8" w:space="0"/>
                  </w:tcBorders>
                  <w:shd w:val="clear"/>
                  <w:vAlign w:val="center"/>
                </w:tcPr>
                <w:p w14:paraId="13B3B97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w:t>
                  </w:r>
                </w:p>
              </w:tc>
              <w:tc>
                <w:tcPr>
                  <w:tcW w:w="601" w:type="dxa"/>
                  <w:vMerge w:val="restart"/>
                  <w:tcBorders>
                    <w:top w:val="single" w:color="auto" w:sz="8" w:space="0"/>
                    <w:left w:val="single" w:color="auto" w:sz="8" w:space="0"/>
                    <w:bottom w:val="single" w:color="auto" w:sz="8" w:space="0"/>
                    <w:right w:val="single" w:color="auto" w:sz="8" w:space="0"/>
                  </w:tcBorders>
                  <w:shd w:val="clear"/>
                  <w:vAlign w:val="center"/>
                </w:tcPr>
                <w:p w14:paraId="1F21E3B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6.8</w:t>
                  </w:r>
                </w:p>
              </w:tc>
              <w:tc>
                <w:tcPr>
                  <w:tcW w:w="473" w:type="dxa"/>
                  <w:tcBorders>
                    <w:top w:val="single" w:color="auto" w:sz="8" w:space="0"/>
                    <w:left w:val="single" w:color="auto" w:sz="8" w:space="0"/>
                    <w:bottom w:val="single" w:color="auto" w:sz="8" w:space="0"/>
                    <w:right w:val="single" w:color="auto" w:sz="8" w:space="0"/>
                  </w:tcBorders>
                  <w:shd w:val="clear"/>
                  <w:vAlign w:val="center"/>
                </w:tcPr>
                <w:p w14:paraId="1C1D5CE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6097FF0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3903885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58</w:t>
                  </w:r>
                </w:p>
              </w:tc>
              <w:tc>
                <w:tcPr>
                  <w:tcW w:w="660" w:type="dxa"/>
                  <w:vMerge w:val="restart"/>
                  <w:tcBorders>
                    <w:top w:val="single" w:color="auto" w:sz="8" w:space="0"/>
                    <w:left w:val="single" w:color="auto" w:sz="8" w:space="0"/>
                    <w:bottom w:val="single" w:color="auto" w:sz="8" w:space="0"/>
                    <w:right w:val="single" w:color="auto" w:sz="8" w:space="0"/>
                  </w:tcBorders>
                  <w:shd w:val="clear"/>
                  <w:vAlign w:val="center"/>
                </w:tcPr>
                <w:p w14:paraId="68115E1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vAlign w:val="center"/>
                </w:tcPr>
                <w:p w14:paraId="1717D5E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43</w:t>
                  </w:r>
                </w:p>
              </w:tc>
              <w:tc>
                <w:tcPr>
                  <w:tcW w:w="869" w:type="dxa"/>
                  <w:tcBorders>
                    <w:top w:val="single" w:color="auto" w:sz="8" w:space="0"/>
                    <w:left w:val="single" w:color="auto" w:sz="8" w:space="0"/>
                    <w:bottom w:val="single" w:color="auto" w:sz="8" w:space="0"/>
                    <w:right w:val="nil"/>
                  </w:tcBorders>
                  <w:shd w:val="clear"/>
                  <w:vAlign w:val="center"/>
                </w:tcPr>
                <w:p w14:paraId="4D2E6BC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17E73494">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3D6E9DB4">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4E7E52D5">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46D4C75C">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5290AF06">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43339650">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63A33BC5">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61F6B434">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437322F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69FD8CA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72F10B3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46</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1A30F6D2">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4FB42C8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31</w:t>
                  </w:r>
                </w:p>
              </w:tc>
              <w:tc>
                <w:tcPr>
                  <w:tcW w:w="869" w:type="dxa"/>
                  <w:tcBorders>
                    <w:top w:val="single" w:color="auto" w:sz="8" w:space="0"/>
                    <w:left w:val="single" w:color="auto" w:sz="8" w:space="0"/>
                    <w:bottom w:val="single" w:color="auto" w:sz="8" w:space="0"/>
                    <w:right w:val="nil"/>
                  </w:tcBorders>
                  <w:shd w:val="clear"/>
                  <w:vAlign w:val="center"/>
                </w:tcPr>
                <w:p w14:paraId="7997607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5D7480A9">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6AEA194B">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0CD48469">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41838631">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24AEA04B">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6DF7813E">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6E7AC386">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1230965C">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62E4131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78C1F20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32</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382B803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40</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29D61C9F">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25C9AA7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25</w:t>
                  </w:r>
                </w:p>
              </w:tc>
              <w:tc>
                <w:tcPr>
                  <w:tcW w:w="869" w:type="dxa"/>
                  <w:tcBorders>
                    <w:top w:val="single" w:color="auto" w:sz="8" w:space="0"/>
                    <w:left w:val="single" w:color="auto" w:sz="8" w:space="0"/>
                    <w:bottom w:val="single" w:color="auto" w:sz="8" w:space="0"/>
                    <w:right w:val="nil"/>
                  </w:tcBorders>
                  <w:shd w:val="clear"/>
                  <w:vAlign w:val="center"/>
                </w:tcPr>
                <w:p w14:paraId="69814CD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236ADD04">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7F63DC4A">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7DDB2C7F">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2104B1CA">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12251FFF">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3E6C8637">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1A65B2A2">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6ED666EF">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6AE4A8C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14E359D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21</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1FA1AC6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6E716DE8">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1C5D83A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29</w:t>
                  </w:r>
                </w:p>
              </w:tc>
              <w:tc>
                <w:tcPr>
                  <w:tcW w:w="869" w:type="dxa"/>
                  <w:tcBorders>
                    <w:top w:val="single" w:color="auto" w:sz="8" w:space="0"/>
                    <w:left w:val="single" w:color="auto" w:sz="8" w:space="0"/>
                    <w:bottom w:val="single" w:color="auto" w:sz="8" w:space="0"/>
                    <w:right w:val="nil"/>
                  </w:tcBorders>
                  <w:shd w:val="clear"/>
                  <w:vAlign w:val="center"/>
                </w:tcPr>
                <w:p w14:paraId="54D7AF5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7C755FC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vAlign w:val="center"/>
                </w:tcPr>
                <w:p w14:paraId="310FFB9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8</w:t>
                  </w:r>
                </w:p>
              </w:tc>
              <w:tc>
                <w:tcPr>
                  <w:tcW w:w="684" w:type="dxa"/>
                  <w:vMerge w:val="restart"/>
                  <w:tcBorders>
                    <w:top w:val="single" w:color="auto" w:sz="8" w:space="0"/>
                    <w:left w:val="single" w:color="auto" w:sz="8" w:space="0"/>
                    <w:bottom w:val="single" w:color="auto" w:sz="8" w:space="0"/>
                    <w:right w:val="single" w:color="auto" w:sz="8" w:space="0"/>
                  </w:tcBorders>
                  <w:shd w:val="clear"/>
                  <w:vAlign w:val="center"/>
                </w:tcPr>
                <w:p w14:paraId="02C85E9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分切机</w:t>
                  </w:r>
                  <w:r>
                    <w:rPr>
                      <w:rFonts w:hint="default" w:ascii="Times New Roman" w:hAnsi="Times New Roman" w:eastAsia="宋体" w:cs="Times New Roman"/>
                      <w:color w:val="000000"/>
                      <w:kern w:val="2"/>
                      <w:sz w:val="21"/>
                      <w:szCs w:val="21"/>
                      <w:bdr w:val="none" w:color="auto" w:sz="0" w:space="0"/>
                      <w:lang w:val="en-US" w:eastAsia="zh-CN" w:bidi="ar"/>
                    </w:rPr>
                    <w:t>2</w:t>
                  </w:r>
                </w:p>
              </w:tc>
              <w:tc>
                <w:tcPr>
                  <w:tcW w:w="532" w:type="dxa"/>
                  <w:vMerge w:val="restart"/>
                  <w:tcBorders>
                    <w:top w:val="single" w:color="auto" w:sz="8" w:space="0"/>
                    <w:left w:val="single" w:color="auto" w:sz="8" w:space="0"/>
                    <w:bottom w:val="single" w:color="auto" w:sz="8" w:space="0"/>
                    <w:right w:val="single" w:color="auto" w:sz="8" w:space="0"/>
                  </w:tcBorders>
                  <w:shd w:val="clear"/>
                  <w:vAlign w:val="center"/>
                </w:tcPr>
                <w:p w14:paraId="7345561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685D35E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70</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69ED57D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16</w:t>
                  </w:r>
                </w:p>
              </w:tc>
              <w:tc>
                <w:tcPr>
                  <w:tcW w:w="651" w:type="dxa"/>
                  <w:vMerge w:val="restart"/>
                  <w:tcBorders>
                    <w:top w:val="single" w:color="auto" w:sz="8" w:space="0"/>
                    <w:left w:val="single" w:color="auto" w:sz="8" w:space="0"/>
                    <w:bottom w:val="single" w:color="auto" w:sz="8" w:space="0"/>
                    <w:right w:val="single" w:color="auto" w:sz="8" w:space="0"/>
                  </w:tcBorders>
                  <w:shd w:val="clear"/>
                  <w:vAlign w:val="center"/>
                </w:tcPr>
                <w:p w14:paraId="4BFB9BB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w:t>
                  </w:r>
                </w:p>
              </w:tc>
              <w:tc>
                <w:tcPr>
                  <w:tcW w:w="601" w:type="dxa"/>
                  <w:vMerge w:val="restart"/>
                  <w:tcBorders>
                    <w:top w:val="single" w:color="auto" w:sz="8" w:space="0"/>
                    <w:left w:val="single" w:color="auto" w:sz="8" w:space="0"/>
                    <w:bottom w:val="single" w:color="auto" w:sz="8" w:space="0"/>
                    <w:right w:val="single" w:color="auto" w:sz="8" w:space="0"/>
                  </w:tcBorders>
                  <w:shd w:val="clear"/>
                  <w:vAlign w:val="center"/>
                </w:tcPr>
                <w:p w14:paraId="46B1988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6.8</w:t>
                  </w:r>
                </w:p>
              </w:tc>
              <w:tc>
                <w:tcPr>
                  <w:tcW w:w="473" w:type="dxa"/>
                  <w:tcBorders>
                    <w:top w:val="single" w:color="auto" w:sz="8" w:space="0"/>
                    <w:left w:val="single" w:color="auto" w:sz="8" w:space="0"/>
                    <w:bottom w:val="single" w:color="auto" w:sz="8" w:space="0"/>
                    <w:right w:val="single" w:color="auto" w:sz="8" w:space="0"/>
                  </w:tcBorders>
                  <w:shd w:val="clear"/>
                  <w:vAlign w:val="center"/>
                </w:tcPr>
                <w:p w14:paraId="334D27D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51E4961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3EFE84E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64</w:t>
                  </w:r>
                </w:p>
              </w:tc>
              <w:tc>
                <w:tcPr>
                  <w:tcW w:w="660" w:type="dxa"/>
                  <w:vMerge w:val="restart"/>
                  <w:tcBorders>
                    <w:top w:val="single" w:color="auto" w:sz="8" w:space="0"/>
                    <w:left w:val="single" w:color="auto" w:sz="8" w:space="0"/>
                    <w:bottom w:val="single" w:color="auto" w:sz="8" w:space="0"/>
                    <w:right w:val="single" w:color="auto" w:sz="8" w:space="0"/>
                  </w:tcBorders>
                  <w:shd w:val="clear"/>
                  <w:vAlign w:val="center"/>
                </w:tcPr>
                <w:p w14:paraId="460773D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vAlign w:val="center"/>
                </w:tcPr>
                <w:p w14:paraId="4A90321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49</w:t>
                  </w:r>
                </w:p>
              </w:tc>
              <w:tc>
                <w:tcPr>
                  <w:tcW w:w="869" w:type="dxa"/>
                  <w:tcBorders>
                    <w:top w:val="single" w:color="auto" w:sz="8" w:space="0"/>
                    <w:left w:val="single" w:color="auto" w:sz="8" w:space="0"/>
                    <w:bottom w:val="single" w:color="auto" w:sz="8" w:space="0"/>
                    <w:right w:val="nil"/>
                  </w:tcBorders>
                  <w:shd w:val="clear"/>
                  <w:vAlign w:val="center"/>
                </w:tcPr>
                <w:p w14:paraId="57EB3C2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737E15AA">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05A966D5">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6C046A0F">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33124FCE">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2D358636">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6A7E9DD2">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4B886293">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2950B485">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61EB987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3050A68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1E62B01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46</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454AB2F5">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3570C40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31</w:t>
                  </w:r>
                </w:p>
              </w:tc>
              <w:tc>
                <w:tcPr>
                  <w:tcW w:w="869" w:type="dxa"/>
                  <w:tcBorders>
                    <w:top w:val="single" w:color="auto" w:sz="8" w:space="0"/>
                    <w:left w:val="single" w:color="auto" w:sz="8" w:space="0"/>
                    <w:bottom w:val="single" w:color="auto" w:sz="8" w:space="0"/>
                    <w:right w:val="nil"/>
                  </w:tcBorders>
                  <w:shd w:val="clear"/>
                  <w:vAlign w:val="center"/>
                </w:tcPr>
                <w:p w14:paraId="2515257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599FE42C">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757177EE">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36A018EC">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7A43383C">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78EFB3C9">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28840EFB">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25D224DB">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385DFF5F">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44ECD93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4473599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34</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145B5A0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39</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0DABC0DB">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4FC1586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24</w:t>
                  </w:r>
                </w:p>
              </w:tc>
              <w:tc>
                <w:tcPr>
                  <w:tcW w:w="869" w:type="dxa"/>
                  <w:tcBorders>
                    <w:top w:val="single" w:color="auto" w:sz="8" w:space="0"/>
                    <w:left w:val="single" w:color="auto" w:sz="8" w:space="0"/>
                    <w:bottom w:val="single" w:color="auto" w:sz="8" w:space="0"/>
                    <w:right w:val="nil"/>
                  </w:tcBorders>
                  <w:shd w:val="clear"/>
                  <w:vAlign w:val="center"/>
                </w:tcPr>
                <w:p w14:paraId="7AD70C5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412A6C64">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53D5D8B1">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4B2C873E">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671ED07B">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2394D553">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12301428">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04752D9A">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0846A179">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038FBA1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439D522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21</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073504F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118B62C5">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7623B6E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29</w:t>
                  </w:r>
                </w:p>
              </w:tc>
              <w:tc>
                <w:tcPr>
                  <w:tcW w:w="869" w:type="dxa"/>
                  <w:tcBorders>
                    <w:top w:val="single" w:color="auto" w:sz="8" w:space="0"/>
                    <w:left w:val="single" w:color="auto" w:sz="8" w:space="0"/>
                    <w:bottom w:val="single" w:color="auto" w:sz="8" w:space="0"/>
                    <w:right w:val="nil"/>
                  </w:tcBorders>
                  <w:shd w:val="clear"/>
                  <w:vAlign w:val="center"/>
                </w:tcPr>
                <w:p w14:paraId="4F8CB21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55D6E16B">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vAlign w:val="center"/>
                </w:tcPr>
                <w:p w14:paraId="52B1348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9</w:t>
                  </w:r>
                </w:p>
              </w:tc>
              <w:tc>
                <w:tcPr>
                  <w:tcW w:w="684" w:type="dxa"/>
                  <w:vMerge w:val="restart"/>
                  <w:tcBorders>
                    <w:top w:val="single" w:color="auto" w:sz="8" w:space="0"/>
                    <w:left w:val="single" w:color="auto" w:sz="8" w:space="0"/>
                    <w:bottom w:val="single" w:color="auto" w:sz="8" w:space="0"/>
                    <w:right w:val="single" w:color="auto" w:sz="8" w:space="0"/>
                  </w:tcBorders>
                  <w:shd w:val="clear"/>
                  <w:vAlign w:val="center"/>
                </w:tcPr>
                <w:p w14:paraId="7485C67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压痕机</w:t>
                  </w:r>
                  <w:r>
                    <w:rPr>
                      <w:rFonts w:hint="default" w:ascii="Times New Roman" w:hAnsi="Times New Roman" w:eastAsia="宋体" w:cs="Times New Roman"/>
                      <w:color w:val="000000"/>
                      <w:kern w:val="2"/>
                      <w:sz w:val="21"/>
                      <w:szCs w:val="21"/>
                      <w:bdr w:val="none" w:color="auto" w:sz="0" w:space="0"/>
                      <w:lang w:val="en-US" w:eastAsia="zh-CN" w:bidi="ar"/>
                    </w:rPr>
                    <w:t>1</w:t>
                  </w:r>
                </w:p>
              </w:tc>
              <w:tc>
                <w:tcPr>
                  <w:tcW w:w="532" w:type="dxa"/>
                  <w:vMerge w:val="restart"/>
                  <w:tcBorders>
                    <w:top w:val="single" w:color="auto" w:sz="8" w:space="0"/>
                    <w:left w:val="single" w:color="auto" w:sz="8" w:space="0"/>
                    <w:bottom w:val="single" w:color="auto" w:sz="8" w:space="0"/>
                    <w:right w:val="single" w:color="auto" w:sz="8" w:space="0"/>
                  </w:tcBorders>
                  <w:shd w:val="clear"/>
                  <w:vAlign w:val="center"/>
                </w:tcPr>
                <w:p w14:paraId="292EA1E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02B1A54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70</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628E270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14</w:t>
                  </w:r>
                </w:p>
              </w:tc>
              <w:tc>
                <w:tcPr>
                  <w:tcW w:w="651" w:type="dxa"/>
                  <w:vMerge w:val="restart"/>
                  <w:tcBorders>
                    <w:top w:val="single" w:color="auto" w:sz="8" w:space="0"/>
                    <w:left w:val="single" w:color="auto" w:sz="8" w:space="0"/>
                    <w:bottom w:val="single" w:color="auto" w:sz="8" w:space="0"/>
                    <w:right w:val="single" w:color="auto" w:sz="8" w:space="0"/>
                  </w:tcBorders>
                  <w:shd w:val="clear"/>
                  <w:vAlign w:val="center"/>
                </w:tcPr>
                <w:p w14:paraId="79696A7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-30</w:t>
                  </w:r>
                </w:p>
              </w:tc>
              <w:tc>
                <w:tcPr>
                  <w:tcW w:w="601" w:type="dxa"/>
                  <w:vMerge w:val="restart"/>
                  <w:tcBorders>
                    <w:top w:val="single" w:color="auto" w:sz="8" w:space="0"/>
                    <w:left w:val="single" w:color="auto" w:sz="8" w:space="0"/>
                    <w:bottom w:val="single" w:color="auto" w:sz="8" w:space="0"/>
                    <w:right w:val="single" w:color="auto" w:sz="8" w:space="0"/>
                  </w:tcBorders>
                  <w:shd w:val="clear"/>
                  <w:vAlign w:val="center"/>
                </w:tcPr>
                <w:p w14:paraId="54EF186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0.8</w:t>
                  </w:r>
                </w:p>
              </w:tc>
              <w:tc>
                <w:tcPr>
                  <w:tcW w:w="473" w:type="dxa"/>
                  <w:tcBorders>
                    <w:top w:val="single" w:color="auto" w:sz="8" w:space="0"/>
                    <w:left w:val="single" w:color="auto" w:sz="8" w:space="0"/>
                    <w:bottom w:val="single" w:color="auto" w:sz="8" w:space="0"/>
                    <w:right w:val="single" w:color="auto" w:sz="8" w:space="0"/>
                  </w:tcBorders>
                  <w:shd w:val="clear"/>
                  <w:vAlign w:val="center"/>
                </w:tcPr>
                <w:p w14:paraId="3E3A25F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1DE0F62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32A8882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58</w:t>
                  </w:r>
                </w:p>
              </w:tc>
              <w:tc>
                <w:tcPr>
                  <w:tcW w:w="660" w:type="dxa"/>
                  <w:vMerge w:val="restart"/>
                  <w:tcBorders>
                    <w:top w:val="single" w:color="auto" w:sz="8" w:space="0"/>
                    <w:left w:val="single" w:color="auto" w:sz="8" w:space="0"/>
                    <w:bottom w:val="single" w:color="auto" w:sz="8" w:space="0"/>
                    <w:right w:val="single" w:color="auto" w:sz="8" w:space="0"/>
                  </w:tcBorders>
                  <w:shd w:val="clear"/>
                  <w:vAlign w:val="center"/>
                </w:tcPr>
                <w:p w14:paraId="03AA58A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vAlign w:val="center"/>
                </w:tcPr>
                <w:p w14:paraId="60AC860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43</w:t>
                  </w:r>
                </w:p>
              </w:tc>
              <w:tc>
                <w:tcPr>
                  <w:tcW w:w="869" w:type="dxa"/>
                  <w:tcBorders>
                    <w:top w:val="single" w:color="auto" w:sz="8" w:space="0"/>
                    <w:left w:val="single" w:color="auto" w:sz="8" w:space="0"/>
                    <w:bottom w:val="single" w:color="auto" w:sz="8" w:space="0"/>
                    <w:right w:val="nil"/>
                  </w:tcBorders>
                  <w:shd w:val="clear"/>
                  <w:vAlign w:val="center"/>
                </w:tcPr>
                <w:p w14:paraId="286E403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5B17C018">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5BF77F24">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796FA43F">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54FE5A1E">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3570BF08">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502506AE">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48F07897">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749A6FDE">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21545FA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608CD51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3856A7E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53</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5E9DDCEC">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33E72F0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38</w:t>
                  </w:r>
                </w:p>
              </w:tc>
              <w:tc>
                <w:tcPr>
                  <w:tcW w:w="869" w:type="dxa"/>
                  <w:tcBorders>
                    <w:top w:val="single" w:color="auto" w:sz="8" w:space="0"/>
                    <w:left w:val="single" w:color="auto" w:sz="8" w:space="0"/>
                    <w:bottom w:val="single" w:color="auto" w:sz="8" w:space="0"/>
                    <w:right w:val="nil"/>
                  </w:tcBorders>
                  <w:shd w:val="clear"/>
                  <w:vAlign w:val="center"/>
                </w:tcPr>
                <w:p w14:paraId="4C07F3B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5C0EA101">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04BD80BB">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27DCFF5A">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067F0D00">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12D0D2FD">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0112D102">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4D666606">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46AC5C01">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32487B8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06D3ECF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32</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69D58ED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40</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681AB3E1">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14BF445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25</w:t>
                  </w:r>
                </w:p>
              </w:tc>
              <w:tc>
                <w:tcPr>
                  <w:tcW w:w="869" w:type="dxa"/>
                  <w:tcBorders>
                    <w:top w:val="single" w:color="auto" w:sz="8" w:space="0"/>
                    <w:left w:val="single" w:color="auto" w:sz="8" w:space="0"/>
                    <w:bottom w:val="single" w:color="auto" w:sz="8" w:space="0"/>
                    <w:right w:val="nil"/>
                  </w:tcBorders>
                  <w:shd w:val="clear"/>
                  <w:vAlign w:val="center"/>
                </w:tcPr>
                <w:p w14:paraId="6045B5D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4F0E3400">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21FB3CC6">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0066805F">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48C5D01C">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3EEFDC61">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1616D0AD">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72C78398">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456D1641">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41D3829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52F9E2D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67</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2D2F25D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33</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19DFD3EA">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470D6A4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18</w:t>
                  </w:r>
                </w:p>
              </w:tc>
              <w:tc>
                <w:tcPr>
                  <w:tcW w:w="869" w:type="dxa"/>
                  <w:tcBorders>
                    <w:top w:val="single" w:color="auto" w:sz="8" w:space="0"/>
                    <w:left w:val="single" w:color="auto" w:sz="8" w:space="0"/>
                    <w:bottom w:val="single" w:color="auto" w:sz="8" w:space="0"/>
                    <w:right w:val="nil"/>
                  </w:tcBorders>
                  <w:shd w:val="clear"/>
                  <w:vAlign w:val="center"/>
                </w:tcPr>
                <w:p w14:paraId="466D047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2424B6A0">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vAlign w:val="center"/>
                </w:tcPr>
                <w:p w14:paraId="4151A6A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10</w:t>
                  </w:r>
                </w:p>
              </w:tc>
              <w:tc>
                <w:tcPr>
                  <w:tcW w:w="684" w:type="dxa"/>
                  <w:vMerge w:val="restart"/>
                  <w:tcBorders>
                    <w:top w:val="single" w:color="auto" w:sz="8" w:space="0"/>
                    <w:left w:val="single" w:color="auto" w:sz="8" w:space="0"/>
                    <w:bottom w:val="single" w:color="auto" w:sz="8" w:space="0"/>
                    <w:right w:val="single" w:color="auto" w:sz="8" w:space="0"/>
                  </w:tcBorders>
                  <w:shd w:val="clear"/>
                  <w:vAlign w:val="center"/>
                </w:tcPr>
                <w:p w14:paraId="6507464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压痕机</w:t>
                  </w:r>
                  <w:r>
                    <w:rPr>
                      <w:rFonts w:hint="default" w:ascii="Times New Roman" w:hAnsi="Times New Roman" w:eastAsia="宋体" w:cs="Times New Roman"/>
                      <w:color w:val="000000"/>
                      <w:kern w:val="2"/>
                      <w:sz w:val="21"/>
                      <w:szCs w:val="21"/>
                      <w:bdr w:val="none" w:color="auto" w:sz="0" w:space="0"/>
                      <w:lang w:val="en-US" w:eastAsia="zh-CN" w:bidi="ar"/>
                    </w:rPr>
                    <w:t>2</w:t>
                  </w:r>
                </w:p>
              </w:tc>
              <w:tc>
                <w:tcPr>
                  <w:tcW w:w="532" w:type="dxa"/>
                  <w:vMerge w:val="restart"/>
                  <w:tcBorders>
                    <w:top w:val="single" w:color="auto" w:sz="8" w:space="0"/>
                    <w:left w:val="single" w:color="auto" w:sz="8" w:space="0"/>
                    <w:bottom w:val="single" w:color="auto" w:sz="8" w:space="0"/>
                    <w:right w:val="single" w:color="auto" w:sz="8" w:space="0"/>
                  </w:tcBorders>
                  <w:shd w:val="clear"/>
                  <w:vAlign w:val="center"/>
                </w:tcPr>
                <w:p w14:paraId="12E6E73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6CE1B41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70</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6C4767B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12</w:t>
                  </w:r>
                </w:p>
              </w:tc>
              <w:tc>
                <w:tcPr>
                  <w:tcW w:w="651" w:type="dxa"/>
                  <w:vMerge w:val="restart"/>
                  <w:tcBorders>
                    <w:top w:val="single" w:color="auto" w:sz="8" w:space="0"/>
                    <w:left w:val="single" w:color="auto" w:sz="8" w:space="0"/>
                    <w:bottom w:val="single" w:color="auto" w:sz="8" w:space="0"/>
                    <w:right w:val="single" w:color="auto" w:sz="8" w:space="0"/>
                  </w:tcBorders>
                  <w:shd w:val="clear"/>
                  <w:vAlign w:val="center"/>
                </w:tcPr>
                <w:p w14:paraId="7541A8C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-30</w:t>
                  </w:r>
                </w:p>
              </w:tc>
              <w:tc>
                <w:tcPr>
                  <w:tcW w:w="601" w:type="dxa"/>
                  <w:vMerge w:val="restart"/>
                  <w:tcBorders>
                    <w:top w:val="single" w:color="auto" w:sz="8" w:space="0"/>
                    <w:left w:val="single" w:color="auto" w:sz="8" w:space="0"/>
                    <w:bottom w:val="single" w:color="auto" w:sz="8" w:space="0"/>
                    <w:right w:val="single" w:color="auto" w:sz="8" w:space="0"/>
                  </w:tcBorders>
                  <w:shd w:val="clear"/>
                  <w:vAlign w:val="center"/>
                </w:tcPr>
                <w:p w14:paraId="6DF301A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0.8</w:t>
                  </w:r>
                </w:p>
              </w:tc>
              <w:tc>
                <w:tcPr>
                  <w:tcW w:w="473" w:type="dxa"/>
                  <w:tcBorders>
                    <w:top w:val="single" w:color="auto" w:sz="8" w:space="0"/>
                    <w:left w:val="single" w:color="auto" w:sz="8" w:space="0"/>
                    <w:bottom w:val="single" w:color="auto" w:sz="8" w:space="0"/>
                    <w:right w:val="single" w:color="auto" w:sz="8" w:space="0"/>
                  </w:tcBorders>
                  <w:shd w:val="clear"/>
                  <w:vAlign w:val="center"/>
                </w:tcPr>
                <w:p w14:paraId="44C66B8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1B897D1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316CE74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54</w:t>
                  </w:r>
                </w:p>
              </w:tc>
              <w:tc>
                <w:tcPr>
                  <w:tcW w:w="660" w:type="dxa"/>
                  <w:vMerge w:val="restart"/>
                  <w:tcBorders>
                    <w:top w:val="single" w:color="auto" w:sz="8" w:space="0"/>
                    <w:left w:val="single" w:color="auto" w:sz="8" w:space="0"/>
                    <w:bottom w:val="single" w:color="auto" w:sz="8" w:space="0"/>
                    <w:right w:val="single" w:color="auto" w:sz="8" w:space="0"/>
                  </w:tcBorders>
                  <w:shd w:val="clear"/>
                  <w:vAlign w:val="center"/>
                </w:tcPr>
                <w:p w14:paraId="10BCDE1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vAlign w:val="center"/>
                </w:tcPr>
                <w:p w14:paraId="3B06FC1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39</w:t>
                  </w:r>
                </w:p>
              </w:tc>
              <w:tc>
                <w:tcPr>
                  <w:tcW w:w="869" w:type="dxa"/>
                  <w:tcBorders>
                    <w:top w:val="single" w:color="auto" w:sz="8" w:space="0"/>
                    <w:left w:val="single" w:color="auto" w:sz="8" w:space="0"/>
                    <w:bottom w:val="single" w:color="auto" w:sz="8" w:space="0"/>
                    <w:right w:val="nil"/>
                  </w:tcBorders>
                  <w:shd w:val="clear"/>
                  <w:vAlign w:val="center"/>
                </w:tcPr>
                <w:p w14:paraId="08EDF9A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07374A6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4B83746F">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36FC25F5">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78A72FFC">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4322BDA3">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468F3D0B">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30FDE2AD">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65C6FA30">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2F632F4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7725A0A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6982DC1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53</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314DFFD6">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5D2204E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38</w:t>
                  </w:r>
                </w:p>
              </w:tc>
              <w:tc>
                <w:tcPr>
                  <w:tcW w:w="869" w:type="dxa"/>
                  <w:tcBorders>
                    <w:top w:val="single" w:color="auto" w:sz="8" w:space="0"/>
                    <w:left w:val="single" w:color="auto" w:sz="8" w:space="0"/>
                    <w:bottom w:val="single" w:color="auto" w:sz="8" w:space="0"/>
                    <w:right w:val="nil"/>
                  </w:tcBorders>
                  <w:shd w:val="clear"/>
                  <w:vAlign w:val="center"/>
                </w:tcPr>
                <w:p w14:paraId="64574E0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0C9A4705">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0093C5B5">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7148C384">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7B4E846E">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2B5BA295">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3D7DA6EC">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4B57C593">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51BA0406">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5D81205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69A9141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30</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7188847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40</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604771DD">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2E30FC3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25</w:t>
                  </w:r>
                </w:p>
              </w:tc>
              <w:tc>
                <w:tcPr>
                  <w:tcW w:w="869" w:type="dxa"/>
                  <w:tcBorders>
                    <w:top w:val="single" w:color="auto" w:sz="8" w:space="0"/>
                    <w:left w:val="single" w:color="auto" w:sz="8" w:space="0"/>
                    <w:bottom w:val="single" w:color="auto" w:sz="8" w:space="0"/>
                    <w:right w:val="nil"/>
                  </w:tcBorders>
                  <w:shd w:val="clear"/>
                  <w:vAlign w:val="center"/>
                </w:tcPr>
                <w:p w14:paraId="1F0C580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7E3412BD">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1DA9D84A">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1F6ED61E">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34845F94">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5D54BE48">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15BC927C">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1EFB5706">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0BF19E7C">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3713EFA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32910D9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67</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696665D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33</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7893E4EF">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604895F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18</w:t>
                  </w:r>
                </w:p>
              </w:tc>
              <w:tc>
                <w:tcPr>
                  <w:tcW w:w="869" w:type="dxa"/>
                  <w:tcBorders>
                    <w:top w:val="single" w:color="auto" w:sz="8" w:space="0"/>
                    <w:left w:val="single" w:color="auto" w:sz="8" w:space="0"/>
                    <w:bottom w:val="single" w:color="auto" w:sz="8" w:space="0"/>
                    <w:right w:val="nil"/>
                  </w:tcBorders>
                  <w:shd w:val="clear"/>
                  <w:vAlign w:val="center"/>
                </w:tcPr>
                <w:p w14:paraId="548D2CD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4D572231">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vAlign w:val="center"/>
                </w:tcPr>
                <w:p w14:paraId="2050B71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11</w:t>
                  </w:r>
                </w:p>
              </w:tc>
              <w:tc>
                <w:tcPr>
                  <w:tcW w:w="684" w:type="dxa"/>
                  <w:vMerge w:val="restart"/>
                  <w:tcBorders>
                    <w:top w:val="single" w:color="auto" w:sz="8" w:space="0"/>
                    <w:left w:val="single" w:color="auto" w:sz="8" w:space="0"/>
                    <w:bottom w:val="single" w:color="auto" w:sz="8" w:space="0"/>
                    <w:right w:val="single" w:color="auto" w:sz="8" w:space="0"/>
                  </w:tcBorders>
                  <w:shd w:val="clear"/>
                  <w:vAlign w:val="center"/>
                </w:tcPr>
                <w:p w14:paraId="04E72EAE">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四柱全断机</w:t>
                  </w:r>
                  <w:r>
                    <w:rPr>
                      <w:rFonts w:hint="default" w:ascii="Times New Roman" w:hAnsi="Times New Roman" w:eastAsia="宋体" w:cs="Times New Roman"/>
                      <w:color w:val="000000"/>
                      <w:kern w:val="2"/>
                      <w:sz w:val="21"/>
                      <w:szCs w:val="21"/>
                      <w:bdr w:val="none" w:color="auto" w:sz="0" w:space="0"/>
                      <w:lang w:val="en-US" w:eastAsia="zh-CN" w:bidi="ar"/>
                    </w:rPr>
                    <w:t>1</w:t>
                  </w:r>
                </w:p>
              </w:tc>
              <w:tc>
                <w:tcPr>
                  <w:tcW w:w="532" w:type="dxa"/>
                  <w:vMerge w:val="restart"/>
                  <w:tcBorders>
                    <w:top w:val="single" w:color="auto" w:sz="8" w:space="0"/>
                    <w:left w:val="single" w:color="auto" w:sz="8" w:space="0"/>
                    <w:bottom w:val="single" w:color="auto" w:sz="8" w:space="0"/>
                    <w:right w:val="single" w:color="auto" w:sz="8" w:space="0"/>
                  </w:tcBorders>
                  <w:shd w:val="clear"/>
                  <w:vAlign w:val="center"/>
                </w:tcPr>
                <w:p w14:paraId="38FCA82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334A1DE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75</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5BB1FC2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16</w:t>
                  </w:r>
                </w:p>
              </w:tc>
              <w:tc>
                <w:tcPr>
                  <w:tcW w:w="651" w:type="dxa"/>
                  <w:vMerge w:val="restart"/>
                  <w:tcBorders>
                    <w:top w:val="single" w:color="auto" w:sz="8" w:space="0"/>
                    <w:left w:val="single" w:color="auto" w:sz="8" w:space="0"/>
                    <w:bottom w:val="single" w:color="auto" w:sz="8" w:space="0"/>
                    <w:right w:val="single" w:color="auto" w:sz="8" w:space="0"/>
                  </w:tcBorders>
                  <w:shd w:val="clear"/>
                  <w:vAlign w:val="center"/>
                </w:tcPr>
                <w:p w14:paraId="285F6C2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w:t>
                  </w:r>
                </w:p>
              </w:tc>
              <w:tc>
                <w:tcPr>
                  <w:tcW w:w="601" w:type="dxa"/>
                  <w:vMerge w:val="restart"/>
                  <w:tcBorders>
                    <w:top w:val="single" w:color="auto" w:sz="8" w:space="0"/>
                    <w:left w:val="single" w:color="auto" w:sz="8" w:space="0"/>
                    <w:bottom w:val="single" w:color="auto" w:sz="8" w:space="0"/>
                    <w:right w:val="single" w:color="auto" w:sz="8" w:space="0"/>
                  </w:tcBorders>
                  <w:shd w:val="clear"/>
                  <w:vAlign w:val="center"/>
                </w:tcPr>
                <w:p w14:paraId="36829BB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473" w:type="dxa"/>
                  <w:tcBorders>
                    <w:top w:val="single" w:color="auto" w:sz="8" w:space="0"/>
                    <w:left w:val="single" w:color="auto" w:sz="8" w:space="0"/>
                    <w:bottom w:val="single" w:color="auto" w:sz="8" w:space="0"/>
                    <w:right w:val="single" w:color="auto" w:sz="8" w:space="0"/>
                  </w:tcBorders>
                  <w:shd w:val="clear"/>
                  <w:vAlign w:val="center"/>
                </w:tcPr>
                <w:p w14:paraId="37F63B6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074FD71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5E33CEC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69</w:t>
                  </w:r>
                </w:p>
              </w:tc>
              <w:tc>
                <w:tcPr>
                  <w:tcW w:w="660" w:type="dxa"/>
                  <w:vMerge w:val="restart"/>
                  <w:tcBorders>
                    <w:top w:val="single" w:color="auto" w:sz="8" w:space="0"/>
                    <w:left w:val="single" w:color="auto" w:sz="8" w:space="0"/>
                    <w:bottom w:val="single" w:color="auto" w:sz="8" w:space="0"/>
                    <w:right w:val="single" w:color="auto" w:sz="8" w:space="0"/>
                  </w:tcBorders>
                  <w:shd w:val="clear"/>
                  <w:vAlign w:val="center"/>
                </w:tcPr>
                <w:p w14:paraId="304BB6F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vAlign w:val="center"/>
                </w:tcPr>
                <w:p w14:paraId="63F377F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54</w:t>
                  </w:r>
                </w:p>
              </w:tc>
              <w:tc>
                <w:tcPr>
                  <w:tcW w:w="869" w:type="dxa"/>
                  <w:tcBorders>
                    <w:top w:val="single" w:color="auto" w:sz="8" w:space="0"/>
                    <w:left w:val="single" w:color="auto" w:sz="8" w:space="0"/>
                    <w:bottom w:val="single" w:color="auto" w:sz="8" w:space="0"/>
                    <w:right w:val="nil"/>
                  </w:tcBorders>
                  <w:shd w:val="clear"/>
                  <w:vAlign w:val="center"/>
                </w:tcPr>
                <w:p w14:paraId="72A686D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04B36617">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79622BA7">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19CF6E92">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20A34F67">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51B6BB20">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70AAABAB">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2B39B63F">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184AE68D">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132DBEC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55A4935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18</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7BC7016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50</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548B844D">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52ED686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35</w:t>
                  </w:r>
                </w:p>
              </w:tc>
              <w:tc>
                <w:tcPr>
                  <w:tcW w:w="869" w:type="dxa"/>
                  <w:tcBorders>
                    <w:top w:val="single" w:color="auto" w:sz="8" w:space="0"/>
                    <w:left w:val="single" w:color="auto" w:sz="8" w:space="0"/>
                    <w:bottom w:val="single" w:color="auto" w:sz="8" w:space="0"/>
                    <w:right w:val="nil"/>
                  </w:tcBorders>
                  <w:shd w:val="clear"/>
                  <w:vAlign w:val="center"/>
                </w:tcPr>
                <w:p w14:paraId="523339E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746D014F">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659D5E0A">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1BE939DB">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52775059">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4245519B">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5E12CE47">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6423873B">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30BB7723">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01F6B03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4B6F239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34</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19B7F36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728371F1">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7886B29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29</w:t>
                  </w:r>
                </w:p>
              </w:tc>
              <w:tc>
                <w:tcPr>
                  <w:tcW w:w="869" w:type="dxa"/>
                  <w:tcBorders>
                    <w:top w:val="single" w:color="auto" w:sz="8" w:space="0"/>
                    <w:left w:val="single" w:color="auto" w:sz="8" w:space="0"/>
                    <w:bottom w:val="single" w:color="auto" w:sz="8" w:space="0"/>
                    <w:right w:val="nil"/>
                  </w:tcBorders>
                  <w:shd w:val="clear"/>
                  <w:vAlign w:val="center"/>
                </w:tcPr>
                <w:p w14:paraId="34805FA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29E159A4">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1D41F45E">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25A64E3F">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29577B58">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2B7A1A85">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4E66C1C5">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11DCC20F">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68B6E78F">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1FDE4E3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44C07DB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18</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5DF695D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50</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42E8A51F">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398542B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35</w:t>
                  </w:r>
                </w:p>
              </w:tc>
              <w:tc>
                <w:tcPr>
                  <w:tcW w:w="869" w:type="dxa"/>
                  <w:tcBorders>
                    <w:top w:val="single" w:color="auto" w:sz="8" w:space="0"/>
                    <w:left w:val="single" w:color="auto" w:sz="8" w:space="0"/>
                    <w:bottom w:val="single" w:color="auto" w:sz="8" w:space="0"/>
                    <w:right w:val="nil"/>
                  </w:tcBorders>
                  <w:shd w:val="clear"/>
                  <w:vAlign w:val="center"/>
                </w:tcPr>
                <w:p w14:paraId="5EB7A43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56B2D6B2">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vAlign w:val="center"/>
                </w:tcPr>
                <w:p w14:paraId="772CAEA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12</w:t>
                  </w:r>
                </w:p>
              </w:tc>
              <w:tc>
                <w:tcPr>
                  <w:tcW w:w="684" w:type="dxa"/>
                  <w:vMerge w:val="restart"/>
                  <w:tcBorders>
                    <w:top w:val="single" w:color="auto" w:sz="8" w:space="0"/>
                    <w:left w:val="single" w:color="auto" w:sz="8" w:space="0"/>
                    <w:bottom w:val="single" w:color="auto" w:sz="8" w:space="0"/>
                    <w:right w:val="single" w:color="auto" w:sz="8" w:space="0"/>
                  </w:tcBorders>
                  <w:shd w:val="clear"/>
                  <w:vAlign w:val="center"/>
                </w:tcPr>
                <w:p w14:paraId="64E7C157">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四柱全断机</w:t>
                  </w:r>
                  <w:r>
                    <w:rPr>
                      <w:rFonts w:hint="default" w:ascii="Times New Roman" w:hAnsi="Times New Roman" w:eastAsia="宋体" w:cs="Times New Roman"/>
                      <w:color w:val="000000"/>
                      <w:kern w:val="2"/>
                      <w:sz w:val="21"/>
                      <w:szCs w:val="21"/>
                      <w:bdr w:val="none" w:color="auto" w:sz="0" w:space="0"/>
                      <w:lang w:val="en-US" w:eastAsia="zh-CN" w:bidi="ar"/>
                    </w:rPr>
                    <w:t>2</w:t>
                  </w:r>
                </w:p>
              </w:tc>
              <w:tc>
                <w:tcPr>
                  <w:tcW w:w="532" w:type="dxa"/>
                  <w:vMerge w:val="restart"/>
                  <w:tcBorders>
                    <w:top w:val="single" w:color="auto" w:sz="8" w:space="0"/>
                    <w:left w:val="single" w:color="auto" w:sz="8" w:space="0"/>
                    <w:bottom w:val="single" w:color="auto" w:sz="8" w:space="0"/>
                    <w:right w:val="single" w:color="auto" w:sz="8" w:space="0"/>
                  </w:tcBorders>
                  <w:shd w:val="clear"/>
                  <w:vAlign w:val="center"/>
                </w:tcPr>
                <w:p w14:paraId="65054D1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696B106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75</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1F3EA06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16</w:t>
                  </w:r>
                </w:p>
              </w:tc>
              <w:tc>
                <w:tcPr>
                  <w:tcW w:w="651" w:type="dxa"/>
                  <w:vMerge w:val="restart"/>
                  <w:tcBorders>
                    <w:top w:val="single" w:color="auto" w:sz="8" w:space="0"/>
                    <w:left w:val="single" w:color="auto" w:sz="8" w:space="0"/>
                    <w:bottom w:val="single" w:color="auto" w:sz="8" w:space="0"/>
                    <w:right w:val="single" w:color="auto" w:sz="8" w:space="0"/>
                  </w:tcBorders>
                  <w:shd w:val="clear"/>
                  <w:vAlign w:val="center"/>
                </w:tcPr>
                <w:p w14:paraId="30D420F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w:t>
                  </w:r>
                </w:p>
              </w:tc>
              <w:tc>
                <w:tcPr>
                  <w:tcW w:w="601" w:type="dxa"/>
                  <w:vMerge w:val="restart"/>
                  <w:tcBorders>
                    <w:top w:val="single" w:color="auto" w:sz="8" w:space="0"/>
                    <w:left w:val="single" w:color="auto" w:sz="8" w:space="0"/>
                    <w:bottom w:val="single" w:color="auto" w:sz="8" w:space="0"/>
                    <w:right w:val="single" w:color="auto" w:sz="8" w:space="0"/>
                  </w:tcBorders>
                  <w:shd w:val="clear"/>
                  <w:vAlign w:val="center"/>
                </w:tcPr>
                <w:p w14:paraId="0B9AE8B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473" w:type="dxa"/>
                  <w:tcBorders>
                    <w:top w:val="single" w:color="auto" w:sz="8" w:space="0"/>
                    <w:left w:val="single" w:color="auto" w:sz="8" w:space="0"/>
                    <w:bottom w:val="single" w:color="auto" w:sz="8" w:space="0"/>
                    <w:right w:val="single" w:color="auto" w:sz="8" w:space="0"/>
                  </w:tcBorders>
                  <w:shd w:val="clear"/>
                  <w:vAlign w:val="center"/>
                </w:tcPr>
                <w:p w14:paraId="04FD27C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3375508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22B7B14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69</w:t>
                  </w:r>
                </w:p>
              </w:tc>
              <w:tc>
                <w:tcPr>
                  <w:tcW w:w="660" w:type="dxa"/>
                  <w:vMerge w:val="restart"/>
                  <w:tcBorders>
                    <w:top w:val="single" w:color="auto" w:sz="8" w:space="0"/>
                    <w:left w:val="single" w:color="auto" w:sz="8" w:space="0"/>
                    <w:bottom w:val="single" w:color="auto" w:sz="8" w:space="0"/>
                    <w:right w:val="single" w:color="auto" w:sz="8" w:space="0"/>
                  </w:tcBorders>
                  <w:shd w:val="clear"/>
                  <w:vAlign w:val="center"/>
                </w:tcPr>
                <w:p w14:paraId="145CC19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vAlign w:val="center"/>
                </w:tcPr>
                <w:p w14:paraId="31D3B14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54</w:t>
                  </w:r>
                </w:p>
              </w:tc>
              <w:tc>
                <w:tcPr>
                  <w:tcW w:w="869" w:type="dxa"/>
                  <w:tcBorders>
                    <w:top w:val="single" w:color="auto" w:sz="8" w:space="0"/>
                    <w:left w:val="single" w:color="auto" w:sz="8" w:space="0"/>
                    <w:bottom w:val="single" w:color="auto" w:sz="8" w:space="0"/>
                    <w:right w:val="nil"/>
                  </w:tcBorders>
                  <w:shd w:val="clear"/>
                  <w:vAlign w:val="center"/>
                </w:tcPr>
                <w:p w14:paraId="74E276B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10FAD2D1">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55AE9F97">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5AF7B353">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031B3D55">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4B6B4868">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4719D6BB">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4AA129E1">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346B8ABA">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21A4553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71D1BE3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31</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43026EF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45</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57586834">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226F987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30</w:t>
                  </w:r>
                </w:p>
              </w:tc>
              <w:tc>
                <w:tcPr>
                  <w:tcW w:w="869" w:type="dxa"/>
                  <w:tcBorders>
                    <w:top w:val="single" w:color="auto" w:sz="8" w:space="0"/>
                    <w:left w:val="single" w:color="auto" w:sz="8" w:space="0"/>
                    <w:bottom w:val="single" w:color="auto" w:sz="8" w:space="0"/>
                    <w:right w:val="nil"/>
                  </w:tcBorders>
                  <w:shd w:val="clear"/>
                  <w:vAlign w:val="center"/>
                </w:tcPr>
                <w:p w14:paraId="0A375BC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4E6BAFEA">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4306C27F">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6270BE53">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1B781E25">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634924F6">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299EEFCA">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3CB5BDF0">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6DA60DBB">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5167D67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36F43F2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34</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3C69F7B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561D1FEA">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3E0413A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29</w:t>
                  </w:r>
                </w:p>
              </w:tc>
              <w:tc>
                <w:tcPr>
                  <w:tcW w:w="869" w:type="dxa"/>
                  <w:tcBorders>
                    <w:top w:val="single" w:color="auto" w:sz="8" w:space="0"/>
                    <w:left w:val="single" w:color="auto" w:sz="8" w:space="0"/>
                    <w:bottom w:val="single" w:color="auto" w:sz="8" w:space="0"/>
                    <w:right w:val="nil"/>
                  </w:tcBorders>
                  <w:shd w:val="clear"/>
                  <w:vAlign w:val="center"/>
                </w:tcPr>
                <w:p w14:paraId="580F731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7459254E">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3AC56479">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3152B7B6">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27A47CA2">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63DF8DA6">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70175CF4">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40B5D8F1">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54E5A993">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59CD218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4E60885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42</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574E80A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43</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7F709E03">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621BCA1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28</w:t>
                  </w:r>
                </w:p>
              </w:tc>
              <w:tc>
                <w:tcPr>
                  <w:tcW w:w="869" w:type="dxa"/>
                  <w:tcBorders>
                    <w:top w:val="single" w:color="auto" w:sz="8" w:space="0"/>
                    <w:left w:val="single" w:color="auto" w:sz="8" w:space="0"/>
                    <w:bottom w:val="single" w:color="auto" w:sz="8" w:space="0"/>
                    <w:right w:val="nil"/>
                  </w:tcBorders>
                  <w:shd w:val="clear"/>
                  <w:vAlign w:val="center"/>
                </w:tcPr>
                <w:p w14:paraId="51CC50E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7D0BB180">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vAlign w:val="center"/>
                </w:tcPr>
                <w:p w14:paraId="01AFF91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13</w:t>
                  </w:r>
                </w:p>
              </w:tc>
              <w:tc>
                <w:tcPr>
                  <w:tcW w:w="684" w:type="dxa"/>
                  <w:vMerge w:val="restart"/>
                  <w:tcBorders>
                    <w:top w:val="single" w:color="auto" w:sz="8" w:space="0"/>
                    <w:left w:val="single" w:color="auto" w:sz="8" w:space="0"/>
                    <w:bottom w:val="single" w:color="auto" w:sz="8" w:space="0"/>
                    <w:right w:val="single" w:color="auto" w:sz="8" w:space="0"/>
                  </w:tcBorders>
                  <w:shd w:val="clear"/>
                  <w:vAlign w:val="center"/>
                </w:tcPr>
                <w:p w14:paraId="2F816594">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四柱全断机</w:t>
                  </w:r>
                  <w:r>
                    <w:rPr>
                      <w:rFonts w:hint="default" w:ascii="Times New Roman" w:hAnsi="Times New Roman" w:eastAsia="宋体" w:cs="Times New Roman"/>
                      <w:color w:val="000000"/>
                      <w:kern w:val="2"/>
                      <w:sz w:val="21"/>
                      <w:szCs w:val="21"/>
                      <w:bdr w:val="none" w:color="auto" w:sz="0" w:space="0"/>
                      <w:lang w:val="en-US" w:eastAsia="zh-CN" w:bidi="ar"/>
                    </w:rPr>
                    <w:t>3</w:t>
                  </w:r>
                </w:p>
              </w:tc>
              <w:tc>
                <w:tcPr>
                  <w:tcW w:w="532" w:type="dxa"/>
                  <w:vMerge w:val="restart"/>
                  <w:tcBorders>
                    <w:top w:val="single" w:color="auto" w:sz="8" w:space="0"/>
                    <w:left w:val="single" w:color="auto" w:sz="8" w:space="0"/>
                    <w:bottom w:val="single" w:color="auto" w:sz="8" w:space="0"/>
                    <w:right w:val="single" w:color="auto" w:sz="8" w:space="0"/>
                  </w:tcBorders>
                  <w:shd w:val="clear"/>
                  <w:vAlign w:val="center"/>
                </w:tcPr>
                <w:p w14:paraId="753ADCD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490C9A9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75</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114120B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16</w:t>
                  </w:r>
                </w:p>
              </w:tc>
              <w:tc>
                <w:tcPr>
                  <w:tcW w:w="651" w:type="dxa"/>
                  <w:vMerge w:val="restart"/>
                  <w:tcBorders>
                    <w:top w:val="single" w:color="auto" w:sz="8" w:space="0"/>
                    <w:left w:val="single" w:color="auto" w:sz="8" w:space="0"/>
                    <w:bottom w:val="single" w:color="auto" w:sz="8" w:space="0"/>
                    <w:right w:val="single" w:color="auto" w:sz="8" w:space="0"/>
                  </w:tcBorders>
                  <w:shd w:val="clear"/>
                  <w:vAlign w:val="center"/>
                </w:tcPr>
                <w:p w14:paraId="04128FD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-12</w:t>
                  </w:r>
                </w:p>
              </w:tc>
              <w:tc>
                <w:tcPr>
                  <w:tcW w:w="601" w:type="dxa"/>
                  <w:vMerge w:val="restart"/>
                  <w:tcBorders>
                    <w:top w:val="single" w:color="auto" w:sz="8" w:space="0"/>
                    <w:left w:val="single" w:color="auto" w:sz="8" w:space="0"/>
                    <w:bottom w:val="single" w:color="auto" w:sz="8" w:space="0"/>
                    <w:right w:val="single" w:color="auto" w:sz="8" w:space="0"/>
                  </w:tcBorders>
                  <w:shd w:val="clear"/>
                  <w:vAlign w:val="center"/>
                </w:tcPr>
                <w:p w14:paraId="35E02B3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473" w:type="dxa"/>
                  <w:tcBorders>
                    <w:top w:val="single" w:color="auto" w:sz="8" w:space="0"/>
                    <w:left w:val="single" w:color="auto" w:sz="8" w:space="0"/>
                    <w:bottom w:val="single" w:color="auto" w:sz="8" w:space="0"/>
                    <w:right w:val="single" w:color="auto" w:sz="8" w:space="0"/>
                  </w:tcBorders>
                  <w:shd w:val="clear"/>
                  <w:vAlign w:val="center"/>
                </w:tcPr>
                <w:p w14:paraId="305FA75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1EF116F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7D825A3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69</w:t>
                  </w:r>
                </w:p>
              </w:tc>
              <w:tc>
                <w:tcPr>
                  <w:tcW w:w="660" w:type="dxa"/>
                  <w:vMerge w:val="restart"/>
                  <w:tcBorders>
                    <w:top w:val="single" w:color="auto" w:sz="8" w:space="0"/>
                    <w:left w:val="single" w:color="auto" w:sz="8" w:space="0"/>
                    <w:bottom w:val="single" w:color="auto" w:sz="8" w:space="0"/>
                    <w:right w:val="single" w:color="auto" w:sz="8" w:space="0"/>
                  </w:tcBorders>
                  <w:shd w:val="clear"/>
                  <w:vAlign w:val="center"/>
                </w:tcPr>
                <w:p w14:paraId="150EA88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vAlign w:val="center"/>
                </w:tcPr>
                <w:p w14:paraId="4B6A59E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54</w:t>
                  </w:r>
                </w:p>
              </w:tc>
              <w:tc>
                <w:tcPr>
                  <w:tcW w:w="869" w:type="dxa"/>
                  <w:tcBorders>
                    <w:top w:val="single" w:color="auto" w:sz="8" w:space="0"/>
                    <w:left w:val="single" w:color="auto" w:sz="8" w:space="0"/>
                    <w:bottom w:val="single" w:color="auto" w:sz="8" w:space="0"/>
                    <w:right w:val="nil"/>
                  </w:tcBorders>
                  <w:shd w:val="clear"/>
                  <w:vAlign w:val="center"/>
                </w:tcPr>
                <w:p w14:paraId="297E031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3F69B09B">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4AF3B78B">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2E52B922">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7F040676">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2BD1AB02">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75AD9D1A">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4B971D31">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3574C37C">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4861B6E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5F9750E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25</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33E82DB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47</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563DC025">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2BF2043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32</w:t>
                  </w:r>
                </w:p>
              </w:tc>
              <w:tc>
                <w:tcPr>
                  <w:tcW w:w="869" w:type="dxa"/>
                  <w:tcBorders>
                    <w:top w:val="single" w:color="auto" w:sz="8" w:space="0"/>
                    <w:left w:val="single" w:color="auto" w:sz="8" w:space="0"/>
                    <w:bottom w:val="single" w:color="auto" w:sz="8" w:space="0"/>
                    <w:right w:val="nil"/>
                  </w:tcBorders>
                  <w:shd w:val="clear"/>
                  <w:vAlign w:val="center"/>
                </w:tcPr>
                <w:p w14:paraId="33C1CB5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42697A98">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142E3B57">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65BBEDFB">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4BB17505">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779D9AA3">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38CED791">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21E2C19F">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4881A98E">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634B592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3EBD5C8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34</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7435559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5C6E7AFA">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315467D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29</w:t>
                  </w:r>
                </w:p>
              </w:tc>
              <w:tc>
                <w:tcPr>
                  <w:tcW w:w="869" w:type="dxa"/>
                  <w:tcBorders>
                    <w:top w:val="single" w:color="auto" w:sz="8" w:space="0"/>
                    <w:left w:val="single" w:color="auto" w:sz="8" w:space="0"/>
                    <w:bottom w:val="single" w:color="auto" w:sz="8" w:space="0"/>
                    <w:right w:val="nil"/>
                  </w:tcBorders>
                  <w:shd w:val="clear"/>
                  <w:vAlign w:val="center"/>
                </w:tcPr>
                <w:p w14:paraId="6644304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3D1A7801">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52718150">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5A757BEB">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44A47892">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43663751">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2A7A3DAB">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496853B5">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1465F02B">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42337EE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73840C1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49</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15E4E13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41</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4673C18C">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1D2429F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26</w:t>
                  </w:r>
                </w:p>
              </w:tc>
              <w:tc>
                <w:tcPr>
                  <w:tcW w:w="869" w:type="dxa"/>
                  <w:tcBorders>
                    <w:top w:val="single" w:color="auto" w:sz="8" w:space="0"/>
                    <w:left w:val="single" w:color="auto" w:sz="8" w:space="0"/>
                    <w:bottom w:val="single" w:color="auto" w:sz="8" w:space="0"/>
                    <w:right w:val="nil"/>
                  </w:tcBorders>
                  <w:shd w:val="clear"/>
                  <w:vAlign w:val="center"/>
                </w:tcPr>
                <w:p w14:paraId="1E8A929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31F281B9">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vAlign w:val="center"/>
                </w:tcPr>
                <w:p w14:paraId="3D502F8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14</w:t>
                  </w:r>
                </w:p>
              </w:tc>
              <w:tc>
                <w:tcPr>
                  <w:tcW w:w="684" w:type="dxa"/>
                  <w:vMerge w:val="restart"/>
                  <w:tcBorders>
                    <w:top w:val="single" w:color="auto" w:sz="8" w:space="0"/>
                    <w:left w:val="single" w:color="auto" w:sz="8" w:space="0"/>
                    <w:bottom w:val="single" w:color="auto" w:sz="8" w:space="0"/>
                    <w:right w:val="single" w:color="auto" w:sz="8" w:space="0"/>
                  </w:tcBorders>
                  <w:shd w:val="clear"/>
                  <w:vAlign w:val="center"/>
                </w:tcPr>
                <w:p w14:paraId="1F058D7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自动四柱全断机</w:t>
                  </w:r>
                  <w:r>
                    <w:rPr>
                      <w:rFonts w:hint="default" w:ascii="Times New Roman" w:hAnsi="Times New Roman" w:eastAsia="宋体" w:cs="Times New Roman"/>
                      <w:color w:val="000000"/>
                      <w:kern w:val="2"/>
                      <w:sz w:val="21"/>
                      <w:szCs w:val="21"/>
                      <w:bdr w:val="none" w:color="auto" w:sz="0" w:space="0"/>
                      <w:lang w:val="en-US" w:eastAsia="zh-CN" w:bidi="ar"/>
                    </w:rPr>
                    <w:t>1</w:t>
                  </w:r>
                </w:p>
              </w:tc>
              <w:tc>
                <w:tcPr>
                  <w:tcW w:w="532" w:type="dxa"/>
                  <w:vMerge w:val="restart"/>
                  <w:tcBorders>
                    <w:top w:val="single" w:color="auto" w:sz="8" w:space="0"/>
                    <w:left w:val="single" w:color="auto" w:sz="8" w:space="0"/>
                    <w:bottom w:val="single" w:color="auto" w:sz="8" w:space="0"/>
                    <w:right w:val="single" w:color="auto" w:sz="8" w:space="0"/>
                  </w:tcBorders>
                  <w:shd w:val="clear"/>
                  <w:vAlign w:val="center"/>
                </w:tcPr>
                <w:p w14:paraId="262F278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65B44A3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75</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44A0C68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16</w:t>
                  </w:r>
                </w:p>
              </w:tc>
              <w:tc>
                <w:tcPr>
                  <w:tcW w:w="651" w:type="dxa"/>
                  <w:vMerge w:val="restart"/>
                  <w:tcBorders>
                    <w:top w:val="single" w:color="auto" w:sz="8" w:space="0"/>
                    <w:left w:val="single" w:color="auto" w:sz="8" w:space="0"/>
                    <w:bottom w:val="single" w:color="auto" w:sz="8" w:space="0"/>
                    <w:right w:val="single" w:color="auto" w:sz="8" w:space="0"/>
                  </w:tcBorders>
                  <w:shd w:val="clear"/>
                  <w:vAlign w:val="center"/>
                </w:tcPr>
                <w:p w14:paraId="0F2A49E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-17</w:t>
                  </w:r>
                </w:p>
              </w:tc>
              <w:tc>
                <w:tcPr>
                  <w:tcW w:w="601" w:type="dxa"/>
                  <w:vMerge w:val="restart"/>
                  <w:tcBorders>
                    <w:top w:val="single" w:color="auto" w:sz="8" w:space="0"/>
                    <w:left w:val="single" w:color="auto" w:sz="8" w:space="0"/>
                    <w:bottom w:val="single" w:color="auto" w:sz="8" w:space="0"/>
                    <w:right w:val="single" w:color="auto" w:sz="8" w:space="0"/>
                  </w:tcBorders>
                  <w:shd w:val="clear"/>
                  <w:vAlign w:val="center"/>
                </w:tcPr>
                <w:p w14:paraId="73343D5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473" w:type="dxa"/>
                  <w:tcBorders>
                    <w:top w:val="single" w:color="auto" w:sz="8" w:space="0"/>
                    <w:left w:val="single" w:color="auto" w:sz="8" w:space="0"/>
                    <w:bottom w:val="single" w:color="auto" w:sz="8" w:space="0"/>
                    <w:right w:val="single" w:color="auto" w:sz="8" w:space="0"/>
                  </w:tcBorders>
                  <w:shd w:val="clear"/>
                  <w:vAlign w:val="center"/>
                </w:tcPr>
                <w:p w14:paraId="5D91F37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6ACFAE5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283CF60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69</w:t>
                  </w:r>
                </w:p>
              </w:tc>
              <w:tc>
                <w:tcPr>
                  <w:tcW w:w="660" w:type="dxa"/>
                  <w:vMerge w:val="restart"/>
                  <w:tcBorders>
                    <w:top w:val="single" w:color="auto" w:sz="8" w:space="0"/>
                    <w:left w:val="single" w:color="auto" w:sz="8" w:space="0"/>
                    <w:bottom w:val="single" w:color="auto" w:sz="8" w:space="0"/>
                    <w:right w:val="single" w:color="auto" w:sz="8" w:space="0"/>
                  </w:tcBorders>
                  <w:shd w:val="clear"/>
                  <w:vAlign w:val="center"/>
                </w:tcPr>
                <w:p w14:paraId="0F5C1E8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vAlign w:val="center"/>
                </w:tcPr>
                <w:p w14:paraId="7AE2820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54</w:t>
                  </w:r>
                </w:p>
              </w:tc>
              <w:tc>
                <w:tcPr>
                  <w:tcW w:w="869" w:type="dxa"/>
                  <w:tcBorders>
                    <w:top w:val="single" w:color="auto" w:sz="8" w:space="0"/>
                    <w:left w:val="single" w:color="auto" w:sz="8" w:space="0"/>
                    <w:bottom w:val="single" w:color="auto" w:sz="8" w:space="0"/>
                    <w:right w:val="nil"/>
                  </w:tcBorders>
                  <w:shd w:val="clear"/>
                  <w:vAlign w:val="center"/>
                </w:tcPr>
                <w:p w14:paraId="4074A5D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28F7C95C">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50CD1CD2">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25CE3373">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07EB621B">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3648C3F5">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4AA5D15F">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6D94A918">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595F67CB">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096C499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29AD9F6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20</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77A7A5F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49</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409CAFA8">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33814F8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34</w:t>
                  </w:r>
                </w:p>
              </w:tc>
              <w:tc>
                <w:tcPr>
                  <w:tcW w:w="869" w:type="dxa"/>
                  <w:tcBorders>
                    <w:top w:val="single" w:color="auto" w:sz="8" w:space="0"/>
                    <w:left w:val="single" w:color="auto" w:sz="8" w:space="0"/>
                    <w:bottom w:val="single" w:color="auto" w:sz="8" w:space="0"/>
                    <w:right w:val="nil"/>
                  </w:tcBorders>
                  <w:shd w:val="clear"/>
                  <w:vAlign w:val="center"/>
                </w:tcPr>
                <w:p w14:paraId="5547A39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28AB50FA">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2FBA754A">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62D57B1A">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4136C96A">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3630CABE">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4A0A400A">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637818E0">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38152509">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07DD93B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01336BB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34</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2D60BE2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4ECEFCC0">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6FE2F59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29</w:t>
                  </w:r>
                </w:p>
              </w:tc>
              <w:tc>
                <w:tcPr>
                  <w:tcW w:w="869" w:type="dxa"/>
                  <w:tcBorders>
                    <w:top w:val="single" w:color="auto" w:sz="8" w:space="0"/>
                    <w:left w:val="single" w:color="auto" w:sz="8" w:space="0"/>
                    <w:bottom w:val="single" w:color="auto" w:sz="8" w:space="0"/>
                    <w:right w:val="nil"/>
                  </w:tcBorders>
                  <w:shd w:val="clear"/>
                  <w:vAlign w:val="center"/>
                </w:tcPr>
                <w:p w14:paraId="205702B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5EE27B6C">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27C87CEA">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02AE7170">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2BA79395">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395EC4D9">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610260AA">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66E74761">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59B70FA2">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4EFBA1F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119F026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54</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086A729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40</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593C82F7">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5E20E97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25</w:t>
                  </w:r>
                </w:p>
              </w:tc>
              <w:tc>
                <w:tcPr>
                  <w:tcW w:w="869" w:type="dxa"/>
                  <w:tcBorders>
                    <w:top w:val="single" w:color="auto" w:sz="8" w:space="0"/>
                    <w:left w:val="single" w:color="auto" w:sz="8" w:space="0"/>
                    <w:bottom w:val="single" w:color="auto" w:sz="8" w:space="0"/>
                    <w:right w:val="nil"/>
                  </w:tcBorders>
                  <w:shd w:val="clear"/>
                  <w:vAlign w:val="center"/>
                </w:tcPr>
                <w:p w14:paraId="53636E5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0CB89B5B">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vAlign w:val="center"/>
                </w:tcPr>
                <w:p w14:paraId="727710D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684" w:type="dxa"/>
                  <w:vMerge w:val="restart"/>
                  <w:tcBorders>
                    <w:top w:val="single" w:color="auto" w:sz="8" w:space="0"/>
                    <w:left w:val="single" w:color="auto" w:sz="8" w:space="0"/>
                    <w:bottom w:val="single" w:color="auto" w:sz="8" w:space="0"/>
                    <w:right w:val="single" w:color="auto" w:sz="8" w:space="0"/>
                  </w:tcBorders>
                  <w:shd w:val="clear"/>
                  <w:vAlign w:val="center"/>
                </w:tcPr>
                <w:p w14:paraId="6065197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自动四柱全断机</w:t>
                  </w:r>
                  <w:r>
                    <w:rPr>
                      <w:rFonts w:hint="default" w:ascii="Times New Roman" w:hAnsi="Times New Roman" w:eastAsia="宋体" w:cs="Times New Roman"/>
                      <w:color w:val="000000"/>
                      <w:kern w:val="2"/>
                      <w:sz w:val="21"/>
                      <w:szCs w:val="21"/>
                      <w:bdr w:val="none" w:color="auto" w:sz="0" w:space="0"/>
                      <w:lang w:val="en-US" w:eastAsia="zh-CN" w:bidi="ar"/>
                    </w:rPr>
                    <w:t>2</w:t>
                  </w:r>
                </w:p>
              </w:tc>
              <w:tc>
                <w:tcPr>
                  <w:tcW w:w="532" w:type="dxa"/>
                  <w:vMerge w:val="restart"/>
                  <w:tcBorders>
                    <w:top w:val="single" w:color="auto" w:sz="8" w:space="0"/>
                    <w:left w:val="single" w:color="auto" w:sz="8" w:space="0"/>
                    <w:bottom w:val="single" w:color="auto" w:sz="8" w:space="0"/>
                    <w:right w:val="single" w:color="auto" w:sz="8" w:space="0"/>
                  </w:tcBorders>
                  <w:shd w:val="clear"/>
                  <w:vAlign w:val="center"/>
                </w:tcPr>
                <w:p w14:paraId="660DFD3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4107893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75</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4D1DA37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16</w:t>
                  </w:r>
                </w:p>
              </w:tc>
              <w:tc>
                <w:tcPr>
                  <w:tcW w:w="651" w:type="dxa"/>
                  <w:vMerge w:val="restart"/>
                  <w:tcBorders>
                    <w:top w:val="single" w:color="auto" w:sz="8" w:space="0"/>
                    <w:left w:val="single" w:color="auto" w:sz="8" w:space="0"/>
                    <w:bottom w:val="single" w:color="auto" w:sz="8" w:space="0"/>
                    <w:right w:val="single" w:color="auto" w:sz="8" w:space="0"/>
                  </w:tcBorders>
                  <w:shd w:val="clear"/>
                  <w:vAlign w:val="center"/>
                </w:tcPr>
                <w:p w14:paraId="67C59A0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-23</w:t>
                  </w:r>
                </w:p>
              </w:tc>
              <w:tc>
                <w:tcPr>
                  <w:tcW w:w="601" w:type="dxa"/>
                  <w:vMerge w:val="restart"/>
                  <w:tcBorders>
                    <w:top w:val="single" w:color="auto" w:sz="8" w:space="0"/>
                    <w:left w:val="single" w:color="auto" w:sz="8" w:space="0"/>
                    <w:bottom w:val="single" w:color="auto" w:sz="8" w:space="0"/>
                    <w:right w:val="single" w:color="auto" w:sz="8" w:space="0"/>
                  </w:tcBorders>
                  <w:shd w:val="clear"/>
                  <w:vAlign w:val="center"/>
                </w:tcPr>
                <w:p w14:paraId="3C0FBA4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473" w:type="dxa"/>
                  <w:tcBorders>
                    <w:top w:val="single" w:color="auto" w:sz="8" w:space="0"/>
                    <w:left w:val="single" w:color="auto" w:sz="8" w:space="0"/>
                    <w:bottom w:val="single" w:color="auto" w:sz="8" w:space="0"/>
                    <w:right w:val="single" w:color="auto" w:sz="8" w:space="0"/>
                  </w:tcBorders>
                  <w:shd w:val="clear"/>
                  <w:vAlign w:val="center"/>
                </w:tcPr>
                <w:p w14:paraId="31BEB30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5F3B1F4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3AD4234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69</w:t>
                  </w:r>
                </w:p>
              </w:tc>
              <w:tc>
                <w:tcPr>
                  <w:tcW w:w="660" w:type="dxa"/>
                  <w:vMerge w:val="restart"/>
                  <w:tcBorders>
                    <w:top w:val="single" w:color="auto" w:sz="8" w:space="0"/>
                    <w:left w:val="single" w:color="auto" w:sz="8" w:space="0"/>
                    <w:bottom w:val="single" w:color="auto" w:sz="8" w:space="0"/>
                    <w:right w:val="single" w:color="auto" w:sz="8" w:space="0"/>
                  </w:tcBorders>
                  <w:shd w:val="clear"/>
                  <w:vAlign w:val="center"/>
                </w:tcPr>
                <w:p w14:paraId="2D5E96C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vAlign w:val="center"/>
                </w:tcPr>
                <w:p w14:paraId="5AC7161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54</w:t>
                  </w:r>
                </w:p>
              </w:tc>
              <w:tc>
                <w:tcPr>
                  <w:tcW w:w="869" w:type="dxa"/>
                  <w:tcBorders>
                    <w:top w:val="single" w:color="auto" w:sz="8" w:space="0"/>
                    <w:left w:val="single" w:color="auto" w:sz="8" w:space="0"/>
                    <w:bottom w:val="single" w:color="auto" w:sz="8" w:space="0"/>
                    <w:right w:val="nil"/>
                  </w:tcBorders>
                  <w:shd w:val="clear"/>
                  <w:vAlign w:val="center"/>
                </w:tcPr>
                <w:p w14:paraId="094ED96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671396AA">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6D2FFE27">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4E01A8F9">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498E7ACA">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55312DB3">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16DB7EA7">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6AF90F5F">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69AA3BB3">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738B0C7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5F7823A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14</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2A78D7D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52</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03C2D53B">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49FCD27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37</w:t>
                  </w:r>
                </w:p>
              </w:tc>
              <w:tc>
                <w:tcPr>
                  <w:tcW w:w="869" w:type="dxa"/>
                  <w:tcBorders>
                    <w:top w:val="single" w:color="auto" w:sz="8" w:space="0"/>
                    <w:left w:val="single" w:color="auto" w:sz="8" w:space="0"/>
                    <w:bottom w:val="single" w:color="auto" w:sz="8" w:space="0"/>
                    <w:right w:val="nil"/>
                  </w:tcBorders>
                  <w:shd w:val="clear"/>
                  <w:vAlign w:val="center"/>
                </w:tcPr>
                <w:p w14:paraId="47BBB85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4F720F3B">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69737798">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0CA64436">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40B5ED41">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4D9F3239">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2733E3CB">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11BD91EE">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7790E467">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73B0E4C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2DA2A7D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34</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21A8584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7D626859">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353E41B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29</w:t>
                  </w:r>
                </w:p>
              </w:tc>
              <w:tc>
                <w:tcPr>
                  <w:tcW w:w="869" w:type="dxa"/>
                  <w:tcBorders>
                    <w:top w:val="single" w:color="auto" w:sz="8" w:space="0"/>
                    <w:left w:val="single" w:color="auto" w:sz="8" w:space="0"/>
                    <w:bottom w:val="single" w:color="auto" w:sz="8" w:space="0"/>
                    <w:right w:val="nil"/>
                  </w:tcBorders>
                  <w:shd w:val="clear"/>
                  <w:vAlign w:val="center"/>
                </w:tcPr>
                <w:p w14:paraId="1C4F3DE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181053B4">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50DBD948">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6F9F5B37">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7C01E441">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23A58937">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7D91992B">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7DFC2C42">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71A6BC26">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58E7D6B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5CF6ED6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60</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54C2DCA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39</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44EBA9D1">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1D3F3E9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24</w:t>
                  </w:r>
                </w:p>
              </w:tc>
              <w:tc>
                <w:tcPr>
                  <w:tcW w:w="869" w:type="dxa"/>
                  <w:tcBorders>
                    <w:top w:val="single" w:color="auto" w:sz="8" w:space="0"/>
                    <w:left w:val="single" w:color="auto" w:sz="8" w:space="0"/>
                    <w:bottom w:val="single" w:color="auto" w:sz="8" w:space="0"/>
                    <w:right w:val="nil"/>
                  </w:tcBorders>
                  <w:shd w:val="clear"/>
                  <w:vAlign w:val="center"/>
                </w:tcPr>
                <w:p w14:paraId="1485475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3B300AD2">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vAlign w:val="center"/>
                </w:tcPr>
                <w:p w14:paraId="2A2D174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16</w:t>
                  </w:r>
                </w:p>
              </w:tc>
              <w:tc>
                <w:tcPr>
                  <w:tcW w:w="684" w:type="dxa"/>
                  <w:vMerge w:val="restart"/>
                  <w:tcBorders>
                    <w:top w:val="single" w:color="auto" w:sz="8" w:space="0"/>
                    <w:left w:val="single" w:color="auto" w:sz="8" w:space="0"/>
                    <w:bottom w:val="single" w:color="auto" w:sz="8" w:space="0"/>
                    <w:right w:val="single" w:color="auto" w:sz="8" w:space="0"/>
                  </w:tcBorders>
                  <w:shd w:val="clear"/>
                  <w:vAlign w:val="center"/>
                </w:tcPr>
                <w:p w14:paraId="1C8AF18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自动四柱全断机</w:t>
                  </w:r>
                  <w:r>
                    <w:rPr>
                      <w:rFonts w:hint="default" w:ascii="Times New Roman" w:hAnsi="Times New Roman" w:eastAsia="宋体" w:cs="Times New Roman"/>
                      <w:color w:val="000000"/>
                      <w:kern w:val="2"/>
                      <w:sz w:val="21"/>
                      <w:szCs w:val="21"/>
                      <w:bdr w:val="none" w:color="auto" w:sz="0" w:space="0"/>
                      <w:lang w:val="en-US" w:eastAsia="zh-CN" w:bidi="ar"/>
                    </w:rPr>
                    <w:t>3</w:t>
                  </w:r>
                </w:p>
              </w:tc>
              <w:tc>
                <w:tcPr>
                  <w:tcW w:w="532" w:type="dxa"/>
                  <w:vMerge w:val="restart"/>
                  <w:tcBorders>
                    <w:top w:val="single" w:color="auto" w:sz="8" w:space="0"/>
                    <w:left w:val="single" w:color="auto" w:sz="8" w:space="0"/>
                    <w:bottom w:val="single" w:color="auto" w:sz="8" w:space="0"/>
                    <w:right w:val="single" w:color="auto" w:sz="8" w:space="0"/>
                  </w:tcBorders>
                  <w:shd w:val="clear"/>
                  <w:vAlign w:val="center"/>
                </w:tcPr>
                <w:p w14:paraId="41ACCEC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16DB80C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75</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4406A35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16</w:t>
                  </w:r>
                </w:p>
              </w:tc>
              <w:tc>
                <w:tcPr>
                  <w:tcW w:w="651" w:type="dxa"/>
                  <w:vMerge w:val="restart"/>
                  <w:tcBorders>
                    <w:top w:val="single" w:color="auto" w:sz="8" w:space="0"/>
                    <w:left w:val="single" w:color="auto" w:sz="8" w:space="0"/>
                    <w:bottom w:val="single" w:color="auto" w:sz="8" w:space="0"/>
                    <w:right w:val="single" w:color="auto" w:sz="8" w:space="0"/>
                  </w:tcBorders>
                  <w:shd w:val="clear"/>
                  <w:vAlign w:val="center"/>
                </w:tcPr>
                <w:p w14:paraId="5EF01E7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-29</w:t>
                  </w:r>
                </w:p>
              </w:tc>
              <w:tc>
                <w:tcPr>
                  <w:tcW w:w="601" w:type="dxa"/>
                  <w:vMerge w:val="restart"/>
                  <w:tcBorders>
                    <w:top w:val="single" w:color="auto" w:sz="8" w:space="0"/>
                    <w:left w:val="single" w:color="auto" w:sz="8" w:space="0"/>
                    <w:bottom w:val="single" w:color="auto" w:sz="8" w:space="0"/>
                    <w:right w:val="single" w:color="auto" w:sz="8" w:space="0"/>
                  </w:tcBorders>
                  <w:shd w:val="clear"/>
                  <w:vAlign w:val="center"/>
                </w:tcPr>
                <w:p w14:paraId="51B2864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473" w:type="dxa"/>
                  <w:tcBorders>
                    <w:top w:val="single" w:color="auto" w:sz="8" w:space="0"/>
                    <w:left w:val="single" w:color="auto" w:sz="8" w:space="0"/>
                    <w:bottom w:val="single" w:color="auto" w:sz="8" w:space="0"/>
                    <w:right w:val="single" w:color="auto" w:sz="8" w:space="0"/>
                  </w:tcBorders>
                  <w:shd w:val="clear"/>
                  <w:vAlign w:val="center"/>
                </w:tcPr>
                <w:p w14:paraId="1E9D2FE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23ED2D9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18F5026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69</w:t>
                  </w:r>
                </w:p>
              </w:tc>
              <w:tc>
                <w:tcPr>
                  <w:tcW w:w="660" w:type="dxa"/>
                  <w:vMerge w:val="restart"/>
                  <w:tcBorders>
                    <w:top w:val="single" w:color="auto" w:sz="8" w:space="0"/>
                    <w:left w:val="single" w:color="auto" w:sz="8" w:space="0"/>
                    <w:bottom w:val="single" w:color="auto" w:sz="8" w:space="0"/>
                    <w:right w:val="single" w:color="auto" w:sz="8" w:space="0"/>
                  </w:tcBorders>
                  <w:shd w:val="clear"/>
                  <w:vAlign w:val="center"/>
                </w:tcPr>
                <w:p w14:paraId="2B5EAA6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vAlign w:val="center"/>
                </w:tcPr>
                <w:p w14:paraId="43DE35E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54</w:t>
                  </w:r>
                </w:p>
              </w:tc>
              <w:tc>
                <w:tcPr>
                  <w:tcW w:w="869" w:type="dxa"/>
                  <w:tcBorders>
                    <w:top w:val="single" w:color="auto" w:sz="8" w:space="0"/>
                    <w:left w:val="single" w:color="auto" w:sz="8" w:space="0"/>
                    <w:bottom w:val="single" w:color="auto" w:sz="8" w:space="0"/>
                    <w:right w:val="nil"/>
                  </w:tcBorders>
                  <w:shd w:val="clear"/>
                  <w:vAlign w:val="center"/>
                </w:tcPr>
                <w:p w14:paraId="4413CFF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36F979C8">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3AC72460">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7494359A">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637B35EC">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771A88E6">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072729F2">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44C11AE1">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36B3605F">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4F995D6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235969E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8</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7816F0B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57</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3B139D14">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5663E00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42</w:t>
                  </w:r>
                </w:p>
              </w:tc>
              <w:tc>
                <w:tcPr>
                  <w:tcW w:w="869" w:type="dxa"/>
                  <w:tcBorders>
                    <w:top w:val="single" w:color="auto" w:sz="8" w:space="0"/>
                    <w:left w:val="single" w:color="auto" w:sz="8" w:space="0"/>
                    <w:bottom w:val="single" w:color="auto" w:sz="8" w:space="0"/>
                    <w:right w:val="nil"/>
                  </w:tcBorders>
                  <w:shd w:val="clear"/>
                  <w:vAlign w:val="center"/>
                </w:tcPr>
                <w:p w14:paraId="6323F4D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4B26D2ED">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300DEC9C">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1A9F9DE7">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62E21B7C">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0BBDAC9A">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41A43129">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69509FE6">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36A312D3">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294743F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02BBE19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34</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04E0945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1C8BB8EA">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1432295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29</w:t>
                  </w:r>
                </w:p>
              </w:tc>
              <w:tc>
                <w:tcPr>
                  <w:tcW w:w="869" w:type="dxa"/>
                  <w:tcBorders>
                    <w:top w:val="single" w:color="auto" w:sz="8" w:space="0"/>
                    <w:left w:val="single" w:color="auto" w:sz="8" w:space="0"/>
                    <w:bottom w:val="single" w:color="auto" w:sz="8" w:space="0"/>
                    <w:right w:val="nil"/>
                  </w:tcBorders>
                  <w:shd w:val="clear"/>
                  <w:vAlign w:val="center"/>
                </w:tcPr>
                <w:p w14:paraId="506EFA0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74A8590A">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3A230DE4">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6586F3F2">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026B0D70">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2651622C">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2C01F2BA">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08451EF1">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11FB6E0C">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018FD42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0ABD318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66</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75F4B26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39</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37F46938">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42D69DB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24</w:t>
                  </w:r>
                </w:p>
              </w:tc>
              <w:tc>
                <w:tcPr>
                  <w:tcW w:w="869" w:type="dxa"/>
                  <w:tcBorders>
                    <w:top w:val="single" w:color="auto" w:sz="8" w:space="0"/>
                    <w:left w:val="single" w:color="auto" w:sz="8" w:space="0"/>
                    <w:bottom w:val="single" w:color="auto" w:sz="8" w:space="0"/>
                    <w:right w:val="nil"/>
                  </w:tcBorders>
                  <w:shd w:val="clear"/>
                  <w:vAlign w:val="center"/>
                </w:tcPr>
                <w:p w14:paraId="3460B9F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41CF0738">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vAlign w:val="center"/>
                </w:tcPr>
                <w:p w14:paraId="2B4CED4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17</w:t>
                  </w:r>
                </w:p>
              </w:tc>
              <w:tc>
                <w:tcPr>
                  <w:tcW w:w="684" w:type="dxa"/>
                  <w:vMerge w:val="restart"/>
                  <w:tcBorders>
                    <w:top w:val="single" w:color="auto" w:sz="8" w:space="0"/>
                    <w:left w:val="single" w:color="auto" w:sz="8" w:space="0"/>
                    <w:bottom w:val="single" w:color="auto" w:sz="8" w:space="0"/>
                    <w:right w:val="single" w:color="auto" w:sz="8" w:space="0"/>
                  </w:tcBorders>
                  <w:shd w:val="clear"/>
                  <w:vAlign w:val="center"/>
                </w:tcPr>
                <w:p w14:paraId="71A00AC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激光切割机</w:t>
                  </w:r>
                  <w:r>
                    <w:rPr>
                      <w:rFonts w:hint="default" w:ascii="Times New Roman" w:hAnsi="Times New Roman" w:eastAsia="宋体" w:cs="Times New Roman"/>
                      <w:color w:val="000000"/>
                      <w:kern w:val="2"/>
                      <w:sz w:val="21"/>
                      <w:szCs w:val="21"/>
                      <w:bdr w:val="none" w:color="auto" w:sz="0" w:space="0"/>
                      <w:lang w:val="en-US" w:eastAsia="zh-CN" w:bidi="ar"/>
                    </w:rPr>
                    <w:t>1</w:t>
                  </w:r>
                </w:p>
              </w:tc>
              <w:tc>
                <w:tcPr>
                  <w:tcW w:w="532" w:type="dxa"/>
                  <w:vMerge w:val="restart"/>
                  <w:tcBorders>
                    <w:top w:val="single" w:color="auto" w:sz="8" w:space="0"/>
                    <w:left w:val="single" w:color="auto" w:sz="8" w:space="0"/>
                    <w:bottom w:val="single" w:color="auto" w:sz="8" w:space="0"/>
                    <w:right w:val="single" w:color="auto" w:sz="8" w:space="0"/>
                  </w:tcBorders>
                  <w:shd w:val="clear"/>
                  <w:vAlign w:val="center"/>
                </w:tcPr>
                <w:p w14:paraId="66358E3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7BFB70E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75</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727958E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651" w:type="dxa"/>
                  <w:vMerge w:val="restart"/>
                  <w:tcBorders>
                    <w:top w:val="single" w:color="auto" w:sz="8" w:space="0"/>
                    <w:left w:val="single" w:color="auto" w:sz="8" w:space="0"/>
                    <w:bottom w:val="single" w:color="auto" w:sz="8" w:space="0"/>
                    <w:right w:val="single" w:color="auto" w:sz="8" w:space="0"/>
                  </w:tcBorders>
                  <w:shd w:val="clear"/>
                  <w:vAlign w:val="center"/>
                </w:tcPr>
                <w:p w14:paraId="5D605F4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-23</w:t>
                  </w:r>
                </w:p>
              </w:tc>
              <w:tc>
                <w:tcPr>
                  <w:tcW w:w="601" w:type="dxa"/>
                  <w:vMerge w:val="restart"/>
                  <w:tcBorders>
                    <w:top w:val="single" w:color="auto" w:sz="8" w:space="0"/>
                    <w:left w:val="single" w:color="auto" w:sz="8" w:space="0"/>
                    <w:bottom w:val="single" w:color="auto" w:sz="8" w:space="0"/>
                    <w:right w:val="single" w:color="auto" w:sz="8" w:space="0"/>
                  </w:tcBorders>
                  <w:shd w:val="clear"/>
                  <w:vAlign w:val="center"/>
                </w:tcPr>
                <w:p w14:paraId="1304995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0.8</w:t>
                  </w:r>
                </w:p>
              </w:tc>
              <w:tc>
                <w:tcPr>
                  <w:tcW w:w="473" w:type="dxa"/>
                  <w:tcBorders>
                    <w:top w:val="single" w:color="auto" w:sz="8" w:space="0"/>
                    <w:left w:val="single" w:color="auto" w:sz="8" w:space="0"/>
                    <w:bottom w:val="single" w:color="auto" w:sz="8" w:space="0"/>
                    <w:right w:val="single" w:color="auto" w:sz="8" w:space="0"/>
                  </w:tcBorders>
                  <w:shd w:val="clear"/>
                  <w:vAlign w:val="center"/>
                </w:tcPr>
                <w:p w14:paraId="55B5951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19E1AD2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17</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505B8AD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50</w:t>
                  </w:r>
                </w:p>
              </w:tc>
              <w:tc>
                <w:tcPr>
                  <w:tcW w:w="660" w:type="dxa"/>
                  <w:vMerge w:val="restart"/>
                  <w:tcBorders>
                    <w:top w:val="single" w:color="auto" w:sz="8" w:space="0"/>
                    <w:left w:val="single" w:color="auto" w:sz="8" w:space="0"/>
                    <w:bottom w:val="single" w:color="auto" w:sz="8" w:space="0"/>
                    <w:right w:val="single" w:color="auto" w:sz="8" w:space="0"/>
                  </w:tcBorders>
                  <w:shd w:val="clear"/>
                  <w:vAlign w:val="center"/>
                </w:tcPr>
                <w:p w14:paraId="68F6297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vAlign w:val="center"/>
                </w:tcPr>
                <w:p w14:paraId="47F491B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35</w:t>
                  </w:r>
                </w:p>
              </w:tc>
              <w:tc>
                <w:tcPr>
                  <w:tcW w:w="869" w:type="dxa"/>
                  <w:tcBorders>
                    <w:top w:val="single" w:color="auto" w:sz="8" w:space="0"/>
                    <w:left w:val="single" w:color="auto" w:sz="8" w:space="0"/>
                    <w:bottom w:val="single" w:color="auto" w:sz="8" w:space="0"/>
                    <w:right w:val="nil"/>
                  </w:tcBorders>
                  <w:shd w:val="clear"/>
                  <w:vAlign w:val="center"/>
                </w:tcPr>
                <w:p w14:paraId="6A1CECD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58B1EB6F">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25D6439E">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7F469EB2">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1E3C5CB3">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0B62D99B">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2AA37C12">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3859A54E">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52FF1F49">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6A2B752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454EE09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14</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5DDB0F2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52</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2B9F3201">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4492879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37</w:t>
                  </w:r>
                </w:p>
              </w:tc>
              <w:tc>
                <w:tcPr>
                  <w:tcW w:w="869" w:type="dxa"/>
                  <w:tcBorders>
                    <w:top w:val="single" w:color="auto" w:sz="8" w:space="0"/>
                    <w:left w:val="single" w:color="auto" w:sz="8" w:space="0"/>
                    <w:bottom w:val="single" w:color="auto" w:sz="8" w:space="0"/>
                    <w:right w:val="nil"/>
                  </w:tcBorders>
                  <w:shd w:val="clear"/>
                  <w:vAlign w:val="center"/>
                </w:tcPr>
                <w:p w14:paraId="4414623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47146C9A">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7B4A1345">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7DE616EA">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3AC12F1E">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3E379E69">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2AAC5EA7">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210E5471">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47EE9DFD">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4AAE5F5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4BA1870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19</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6F2FEC8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49</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4AE1DFAD">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32CD65C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34</w:t>
                  </w:r>
                </w:p>
              </w:tc>
              <w:tc>
                <w:tcPr>
                  <w:tcW w:w="869" w:type="dxa"/>
                  <w:tcBorders>
                    <w:top w:val="single" w:color="auto" w:sz="8" w:space="0"/>
                    <w:left w:val="single" w:color="auto" w:sz="8" w:space="0"/>
                    <w:bottom w:val="single" w:color="auto" w:sz="8" w:space="0"/>
                    <w:right w:val="nil"/>
                  </w:tcBorders>
                  <w:shd w:val="clear"/>
                  <w:vAlign w:val="center"/>
                </w:tcPr>
                <w:p w14:paraId="3525AC6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3B8B798D">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58E5BB89">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2EB2C8AA">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43F94B8C">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6C8BE601">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7CDDC6DE">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28ED7544">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1659A0A6">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75B925F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13921B6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60</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5EAE470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39</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3A83759C">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3AD53D4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24</w:t>
                  </w:r>
                </w:p>
              </w:tc>
              <w:tc>
                <w:tcPr>
                  <w:tcW w:w="869" w:type="dxa"/>
                  <w:tcBorders>
                    <w:top w:val="single" w:color="auto" w:sz="8" w:space="0"/>
                    <w:left w:val="single" w:color="auto" w:sz="8" w:space="0"/>
                    <w:bottom w:val="single" w:color="auto" w:sz="8" w:space="0"/>
                    <w:right w:val="nil"/>
                  </w:tcBorders>
                  <w:shd w:val="clear"/>
                  <w:vAlign w:val="center"/>
                </w:tcPr>
                <w:p w14:paraId="2A2A263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1A830F91">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vAlign w:val="center"/>
                </w:tcPr>
                <w:p w14:paraId="18D5E45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18</w:t>
                  </w:r>
                </w:p>
              </w:tc>
              <w:tc>
                <w:tcPr>
                  <w:tcW w:w="684" w:type="dxa"/>
                  <w:vMerge w:val="restart"/>
                  <w:tcBorders>
                    <w:top w:val="single" w:color="auto" w:sz="8" w:space="0"/>
                    <w:left w:val="single" w:color="auto" w:sz="8" w:space="0"/>
                    <w:bottom w:val="single" w:color="auto" w:sz="8" w:space="0"/>
                    <w:right w:val="single" w:color="auto" w:sz="8" w:space="0"/>
                  </w:tcBorders>
                  <w:shd w:val="clear"/>
                  <w:vAlign w:val="center"/>
                </w:tcPr>
                <w:p w14:paraId="6DD4102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激光切割机</w:t>
                  </w:r>
                  <w:r>
                    <w:rPr>
                      <w:rFonts w:hint="default" w:ascii="Times New Roman" w:hAnsi="Times New Roman" w:eastAsia="宋体" w:cs="Times New Roman"/>
                      <w:color w:val="000000"/>
                      <w:kern w:val="2"/>
                      <w:sz w:val="21"/>
                      <w:szCs w:val="21"/>
                      <w:bdr w:val="none" w:color="auto" w:sz="0" w:space="0"/>
                      <w:lang w:val="en-US" w:eastAsia="zh-CN" w:bidi="ar"/>
                    </w:rPr>
                    <w:t>2</w:t>
                  </w:r>
                </w:p>
              </w:tc>
              <w:tc>
                <w:tcPr>
                  <w:tcW w:w="532" w:type="dxa"/>
                  <w:vMerge w:val="restart"/>
                  <w:tcBorders>
                    <w:top w:val="single" w:color="auto" w:sz="8" w:space="0"/>
                    <w:left w:val="single" w:color="auto" w:sz="8" w:space="0"/>
                    <w:bottom w:val="single" w:color="auto" w:sz="8" w:space="0"/>
                    <w:right w:val="single" w:color="auto" w:sz="8" w:space="0"/>
                  </w:tcBorders>
                  <w:shd w:val="clear"/>
                  <w:vAlign w:val="center"/>
                </w:tcPr>
                <w:p w14:paraId="7CE364A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1CE6712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75</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0228860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651" w:type="dxa"/>
                  <w:vMerge w:val="restart"/>
                  <w:tcBorders>
                    <w:top w:val="single" w:color="auto" w:sz="8" w:space="0"/>
                    <w:left w:val="single" w:color="auto" w:sz="8" w:space="0"/>
                    <w:bottom w:val="single" w:color="auto" w:sz="8" w:space="0"/>
                    <w:right w:val="single" w:color="auto" w:sz="8" w:space="0"/>
                  </w:tcBorders>
                  <w:shd w:val="clear"/>
                  <w:vAlign w:val="center"/>
                </w:tcPr>
                <w:p w14:paraId="0C3A9CC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-26</w:t>
                  </w:r>
                </w:p>
              </w:tc>
              <w:tc>
                <w:tcPr>
                  <w:tcW w:w="601" w:type="dxa"/>
                  <w:vMerge w:val="restart"/>
                  <w:tcBorders>
                    <w:top w:val="single" w:color="auto" w:sz="8" w:space="0"/>
                    <w:left w:val="single" w:color="auto" w:sz="8" w:space="0"/>
                    <w:bottom w:val="single" w:color="auto" w:sz="8" w:space="0"/>
                    <w:right w:val="single" w:color="auto" w:sz="8" w:space="0"/>
                  </w:tcBorders>
                  <w:shd w:val="clear"/>
                  <w:vAlign w:val="center"/>
                </w:tcPr>
                <w:p w14:paraId="6DCDA39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0.8</w:t>
                  </w:r>
                </w:p>
              </w:tc>
              <w:tc>
                <w:tcPr>
                  <w:tcW w:w="473" w:type="dxa"/>
                  <w:tcBorders>
                    <w:top w:val="single" w:color="auto" w:sz="8" w:space="0"/>
                    <w:left w:val="single" w:color="auto" w:sz="8" w:space="0"/>
                    <w:bottom w:val="single" w:color="auto" w:sz="8" w:space="0"/>
                    <w:right w:val="single" w:color="auto" w:sz="8" w:space="0"/>
                  </w:tcBorders>
                  <w:shd w:val="clear"/>
                  <w:vAlign w:val="center"/>
                </w:tcPr>
                <w:p w14:paraId="51911BD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538B60A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17</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36CFC86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50</w:t>
                  </w:r>
                </w:p>
              </w:tc>
              <w:tc>
                <w:tcPr>
                  <w:tcW w:w="660" w:type="dxa"/>
                  <w:vMerge w:val="restart"/>
                  <w:tcBorders>
                    <w:top w:val="single" w:color="auto" w:sz="8" w:space="0"/>
                    <w:left w:val="single" w:color="auto" w:sz="8" w:space="0"/>
                    <w:bottom w:val="single" w:color="auto" w:sz="8" w:space="0"/>
                    <w:right w:val="single" w:color="auto" w:sz="8" w:space="0"/>
                  </w:tcBorders>
                  <w:shd w:val="clear"/>
                  <w:vAlign w:val="center"/>
                </w:tcPr>
                <w:p w14:paraId="21AA739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vAlign w:val="center"/>
                </w:tcPr>
                <w:p w14:paraId="424B8F6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35</w:t>
                  </w:r>
                </w:p>
              </w:tc>
              <w:tc>
                <w:tcPr>
                  <w:tcW w:w="869" w:type="dxa"/>
                  <w:tcBorders>
                    <w:top w:val="single" w:color="auto" w:sz="8" w:space="0"/>
                    <w:left w:val="single" w:color="auto" w:sz="8" w:space="0"/>
                    <w:bottom w:val="single" w:color="auto" w:sz="8" w:space="0"/>
                    <w:right w:val="nil"/>
                  </w:tcBorders>
                  <w:shd w:val="clear"/>
                  <w:vAlign w:val="center"/>
                </w:tcPr>
                <w:p w14:paraId="26838A7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505A51F3">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05AEE64F">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75F872F9">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325A3167">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7A2D05D1">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7348DB66">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7949BB09">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1E783D13">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2D734BA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209D8FC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11</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360352D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54</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59988A17">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4ED3E01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39</w:t>
                  </w:r>
                </w:p>
              </w:tc>
              <w:tc>
                <w:tcPr>
                  <w:tcW w:w="869" w:type="dxa"/>
                  <w:tcBorders>
                    <w:top w:val="single" w:color="auto" w:sz="8" w:space="0"/>
                    <w:left w:val="single" w:color="auto" w:sz="8" w:space="0"/>
                    <w:bottom w:val="single" w:color="auto" w:sz="8" w:space="0"/>
                    <w:right w:val="nil"/>
                  </w:tcBorders>
                  <w:shd w:val="clear"/>
                  <w:vAlign w:val="center"/>
                </w:tcPr>
                <w:p w14:paraId="6353D2B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0F331615">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07B7C0F6">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68485755">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5401DE3F">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5DBB72B5">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6FF1F417">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039DBB58">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249C73BF">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469DCDF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0756AD9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19</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1569F3B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49</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2FF444FF">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3C4973B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34</w:t>
                  </w:r>
                </w:p>
              </w:tc>
              <w:tc>
                <w:tcPr>
                  <w:tcW w:w="869" w:type="dxa"/>
                  <w:tcBorders>
                    <w:top w:val="single" w:color="auto" w:sz="8" w:space="0"/>
                    <w:left w:val="single" w:color="auto" w:sz="8" w:space="0"/>
                    <w:bottom w:val="single" w:color="auto" w:sz="8" w:space="0"/>
                    <w:right w:val="nil"/>
                  </w:tcBorders>
                  <w:shd w:val="clear"/>
                  <w:vAlign w:val="center"/>
                </w:tcPr>
                <w:p w14:paraId="0CBC089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13F2188E">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4E8D2805">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5A0F3226">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517B40E2">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01C329CF">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45F82C39">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623EF713">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0735E5C1">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02C6099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52A94D7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63</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023A3B4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39</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27CC3275">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5D344A3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24</w:t>
                  </w:r>
                </w:p>
              </w:tc>
              <w:tc>
                <w:tcPr>
                  <w:tcW w:w="869" w:type="dxa"/>
                  <w:tcBorders>
                    <w:top w:val="single" w:color="auto" w:sz="8" w:space="0"/>
                    <w:left w:val="single" w:color="auto" w:sz="8" w:space="0"/>
                    <w:bottom w:val="single" w:color="auto" w:sz="8" w:space="0"/>
                    <w:right w:val="nil"/>
                  </w:tcBorders>
                  <w:shd w:val="clear"/>
                  <w:vAlign w:val="center"/>
                </w:tcPr>
                <w:p w14:paraId="64A73FF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58CE3E85">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vAlign w:val="center"/>
                </w:tcPr>
                <w:p w14:paraId="7683926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19</w:t>
                  </w:r>
                </w:p>
              </w:tc>
              <w:tc>
                <w:tcPr>
                  <w:tcW w:w="684" w:type="dxa"/>
                  <w:vMerge w:val="restart"/>
                  <w:tcBorders>
                    <w:top w:val="single" w:color="auto" w:sz="8" w:space="0"/>
                    <w:left w:val="single" w:color="auto" w:sz="8" w:space="0"/>
                    <w:bottom w:val="single" w:color="auto" w:sz="8" w:space="0"/>
                    <w:right w:val="single" w:color="auto" w:sz="8" w:space="0"/>
                  </w:tcBorders>
                  <w:shd w:val="clear"/>
                  <w:vAlign w:val="center"/>
                </w:tcPr>
                <w:p w14:paraId="3F82750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雕刻机</w:t>
                  </w:r>
                </w:p>
              </w:tc>
              <w:tc>
                <w:tcPr>
                  <w:tcW w:w="532" w:type="dxa"/>
                  <w:vMerge w:val="restart"/>
                  <w:tcBorders>
                    <w:top w:val="single" w:color="auto" w:sz="8" w:space="0"/>
                    <w:left w:val="single" w:color="auto" w:sz="8" w:space="0"/>
                    <w:bottom w:val="single" w:color="auto" w:sz="8" w:space="0"/>
                    <w:right w:val="single" w:color="auto" w:sz="8" w:space="0"/>
                  </w:tcBorders>
                  <w:shd w:val="clear"/>
                  <w:vAlign w:val="center"/>
                </w:tcPr>
                <w:p w14:paraId="4553872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79277EA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70</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206F60A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651" w:type="dxa"/>
                  <w:vMerge w:val="restart"/>
                  <w:tcBorders>
                    <w:top w:val="single" w:color="auto" w:sz="8" w:space="0"/>
                    <w:left w:val="single" w:color="auto" w:sz="8" w:space="0"/>
                    <w:bottom w:val="single" w:color="auto" w:sz="8" w:space="0"/>
                    <w:right w:val="single" w:color="auto" w:sz="8" w:space="0"/>
                  </w:tcBorders>
                  <w:shd w:val="clear"/>
                  <w:vAlign w:val="center"/>
                </w:tcPr>
                <w:p w14:paraId="63C26B1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-35</w:t>
                  </w:r>
                </w:p>
              </w:tc>
              <w:tc>
                <w:tcPr>
                  <w:tcW w:w="601" w:type="dxa"/>
                  <w:vMerge w:val="restart"/>
                  <w:tcBorders>
                    <w:top w:val="single" w:color="auto" w:sz="8" w:space="0"/>
                    <w:left w:val="single" w:color="auto" w:sz="8" w:space="0"/>
                    <w:bottom w:val="single" w:color="auto" w:sz="8" w:space="0"/>
                    <w:right w:val="single" w:color="auto" w:sz="8" w:space="0"/>
                  </w:tcBorders>
                  <w:shd w:val="clear"/>
                  <w:vAlign w:val="center"/>
                </w:tcPr>
                <w:p w14:paraId="6C2DFE5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0.5</w:t>
                  </w:r>
                </w:p>
              </w:tc>
              <w:tc>
                <w:tcPr>
                  <w:tcW w:w="473" w:type="dxa"/>
                  <w:tcBorders>
                    <w:top w:val="single" w:color="auto" w:sz="8" w:space="0"/>
                    <w:left w:val="single" w:color="auto" w:sz="8" w:space="0"/>
                    <w:bottom w:val="single" w:color="auto" w:sz="8" w:space="0"/>
                    <w:right w:val="single" w:color="auto" w:sz="8" w:space="0"/>
                  </w:tcBorders>
                  <w:shd w:val="clear"/>
                  <w:vAlign w:val="center"/>
                </w:tcPr>
                <w:p w14:paraId="4CC5273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56283B7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17</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19339C5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45</w:t>
                  </w:r>
                </w:p>
              </w:tc>
              <w:tc>
                <w:tcPr>
                  <w:tcW w:w="660" w:type="dxa"/>
                  <w:vMerge w:val="restart"/>
                  <w:tcBorders>
                    <w:top w:val="single" w:color="auto" w:sz="8" w:space="0"/>
                    <w:left w:val="single" w:color="auto" w:sz="8" w:space="0"/>
                    <w:bottom w:val="single" w:color="auto" w:sz="8" w:space="0"/>
                    <w:right w:val="single" w:color="auto" w:sz="8" w:space="0"/>
                  </w:tcBorders>
                  <w:shd w:val="clear"/>
                  <w:vAlign w:val="center"/>
                </w:tcPr>
                <w:p w14:paraId="5DC28EA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vAlign w:val="center"/>
                </w:tcPr>
                <w:p w14:paraId="7345429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30</w:t>
                  </w:r>
                </w:p>
              </w:tc>
              <w:tc>
                <w:tcPr>
                  <w:tcW w:w="869" w:type="dxa"/>
                  <w:tcBorders>
                    <w:top w:val="single" w:color="auto" w:sz="8" w:space="0"/>
                    <w:left w:val="single" w:color="auto" w:sz="8" w:space="0"/>
                    <w:bottom w:val="single" w:color="auto" w:sz="8" w:space="0"/>
                    <w:right w:val="nil"/>
                  </w:tcBorders>
                  <w:shd w:val="clear"/>
                  <w:vAlign w:val="center"/>
                </w:tcPr>
                <w:p w14:paraId="3F599A8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4811D2AB">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52B57483">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6A06A2FB">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61FC924E">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66ABA52B">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5EECE3A2">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0F3FDC68">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518440C1">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6042B1C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152D2B1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70EF8DA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64</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0E2DF130">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086373C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49</w:t>
                  </w:r>
                </w:p>
              </w:tc>
              <w:tc>
                <w:tcPr>
                  <w:tcW w:w="869" w:type="dxa"/>
                  <w:tcBorders>
                    <w:top w:val="single" w:color="auto" w:sz="8" w:space="0"/>
                    <w:left w:val="single" w:color="auto" w:sz="8" w:space="0"/>
                    <w:bottom w:val="single" w:color="auto" w:sz="8" w:space="0"/>
                    <w:right w:val="nil"/>
                  </w:tcBorders>
                  <w:shd w:val="clear"/>
                  <w:vAlign w:val="center"/>
                </w:tcPr>
                <w:p w14:paraId="0AF3854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05C815AC">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24CD9039">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7E3F0518">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7AEB801D">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6CC869AD">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355FEE96">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61251F10">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4FF0187A">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4B56027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6B4C94E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19</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2767B2B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69FF577C">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672DA68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29</w:t>
                  </w:r>
                </w:p>
              </w:tc>
              <w:tc>
                <w:tcPr>
                  <w:tcW w:w="869" w:type="dxa"/>
                  <w:tcBorders>
                    <w:top w:val="single" w:color="auto" w:sz="8" w:space="0"/>
                    <w:left w:val="single" w:color="auto" w:sz="8" w:space="0"/>
                    <w:bottom w:val="single" w:color="auto" w:sz="8" w:space="0"/>
                    <w:right w:val="nil"/>
                  </w:tcBorders>
                  <w:shd w:val="clear"/>
                  <w:vAlign w:val="center"/>
                </w:tcPr>
                <w:p w14:paraId="1668BA4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3F253A81">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2A22AF43">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2E36A327">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7066E5BE">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2CDE205C">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3B3E2EDC">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251522C0">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113CCF1C">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57305D4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55AA5DF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72</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0C76D44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33</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1694DA54">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0C6C33A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18</w:t>
                  </w:r>
                </w:p>
              </w:tc>
              <w:tc>
                <w:tcPr>
                  <w:tcW w:w="869" w:type="dxa"/>
                  <w:tcBorders>
                    <w:top w:val="single" w:color="auto" w:sz="8" w:space="0"/>
                    <w:left w:val="single" w:color="auto" w:sz="8" w:space="0"/>
                    <w:bottom w:val="single" w:color="auto" w:sz="8" w:space="0"/>
                    <w:right w:val="nil"/>
                  </w:tcBorders>
                  <w:shd w:val="clear"/>
                  <w:vAlign w:val="center"/>
                </w:tcPr>
                <w:p w14:paraId="7C231C7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4FD03CA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vAlign w:val="center"/>
                </w:tcPr>
                <w:p w14:paraId="5B000E8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20</w:t>
                  </w:r>
                </w:p>
              </w:tc>
              <w:tc>
                <w:tcPr>
                  <w:tcW w:w="684" w:type="dxa"/>
                  <w:vMerge w:val="restart"/>
                  <w:tcBorders>
                    <w:top w:val="single" w:color="auto" w:sz="8" w:space="0"/>
                    <w:left w:val="single" w:color="auto" w:sz="8" w:space="0"/>
                    <w:bottom w:val="single" w:color="auto" w:sz="8" w:space="0"/>
                    <w:right w:val="single" w:color="auto" w:sz="8" w:space="0"/>
                  </w:tcBorders>
                  <w:shd w:val="clear"/>
                  <w:vAlign w:val="center"/>
                </w:tcPr>
                <w:p w14:paraId="571D7B9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打磨机</w:t>
                  </w:r>
                </w:p>
              </w:tc>
              <w:tc>
                <w:tcPr>
                  <w:tcW w:w="532" w:type="dxa"/>
                  <w:vMerge w:val="restart"/>
                  <w:tcBorders>
                    <w:top w:val="single" w:color="auto" w:sz="8" w:space="0"/>
                    <w:left w:val="single" w:color="auto" w:sz="8" w:space="0"/>
                    <w:bottom w:val="single" w:color="auto" w:sz="8" w:space="0"/>
                    <w:right w:val="single" w:color="auto" w:sz="8" w:space="0"/>
                  </w:tcBorders>
                  <w:shd w:val="clear"/>
                  <w:vAlign w:val="center"/>
                </w:tcPr>
                <w:p w14:paraId="10F3A18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1F4F7C7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70</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66DBCE4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651" w:type="dxa"/>
                  <w:vMerge w:val="restart"/>
                  <w:tcBorders>
                    <w:top w:val="single" w:color="auto" w:sz="8" w:space="0"/>
                    <w:left w:val="single" w:color="auto" w:sz="8" w:space="0"/>
                    <w:bottom w:val="single" w:color="auto" w:sz="8" w:space="0"/>
                    <w:right w:val="single" w:color="auto" w:sz="8" w:space="0"/>
                  </w:tcBorders>
                  <w:shd w:val="clear"/>
                  <w:vAlign w:val="center"/>
                </w:tcPr>
                <w:p w14:paraId="2ADD201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-33</w:t>
                  </w:r>
                </w:p>
              </w:tc>
              <w:tc>
                <w:tcPr>
                  <w:tcW w:w="601" w:type="dxa"/>
                  <w:vMerge w:val="restart"/>
                  <w:tcBorders>
                    <w:top w:val="single" w:color="auto" w:sz="8" w:space="0"/>
                    <w:left w:val="single" w:color="auto" w:sz="8" w:space="0"/>
                    <w:bottom w:val="single" w:color="auto" w:sz="8" w:space="0"/>
                    <w:right w:val="single" w:color="auto" w:sz="8" w:space="0"/>
                  </w:tcBorders>
                  <w:shd w:val="clear"/>
                  <w:vAlign w:val="center"/>
                </w:tcPr>
                <w:p w14:paraId="637F46F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0.8</w:t>
                  </w:r>
                </w:p>
              </w:tc>
              <w:tc>
                <w:tcPr>
                  <w:tcW w:w="473" w:type="dxa"/>
                  <w:tcBorders>
                    <w:top w:val="single" w:color="auto" w:sz="8" w:space="0"/>
                    <w:left w:val="single" w:color="auto" w:sz="8" w:space="0"/>
                    <w:bottom w:val="single" w:color="auto" w:sz="8" w:space="0"/>
                    <w:right w:val="single" w:color="auto" w:sz="8" w:space="0"/>
                  </w:tcBorders>
                  <w:shd w:val="clear"/>
                  <w:vAlign w:val="center"/>
                </w:tcPr>
                <w:p w14:paraId="6A52EC9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7CBED07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17</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4E81CA4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45</w:t>
                  </w:r>
                </w:p>
              </w:tc>
              <w:tc>
                <w:tcPr>
                  <w:tcW w:w="660" w:type="dxa"/>
                  <w:vMerge w:val="restart"/>
                  <w:tcBorders>
                    <w:top w:val="single" w:color="auto" w:sz="8" w:space="0"/>
                    <w:left w:val="single" w:color="auto" w:sz="8" w:space="0"/>
                    <w:bottom w:val="single" w:color="auto" w:sz="8" w:space="0"/>
                    <w:right w:val="single" w:color="auto" w:sz="8" w:space="0"/>
                  </w:tcBorders>
                  <w:shd w:val="clear"/>
                  <w:vAlign w:val="center"/>
                </w:tcPr>
                <w:p w14:paraId="31F767A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vAlign w:val="center"/>
                </w:tcPr>
                <w:p w14:paraId="7C50F1A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30</w:t>
                  </w:r>
                </w:p>
              </w:tc>
              <w:tc>
                <w:tcPr>
                  <w:tcW w:w="869" w:type="dxa"/>
                  <w:tcBorders>
                    <w:top w:val="single" w:color="auto" w:sz="8" w:space="0"/>
                    <w:left w:val="single" w:color="auto" w:sz="8" w:space="0"/>
                    <w:bottom w:val="single" w:color="auto" w:sz="8" w:space="0"/>
                    <w:right w:val="nil"/>
                  </w:tcBorders>
                  <w:shd w:val="clear"/>
                  <w:vAlign w:val="center"/>
                </w:tcPr>
                <w:p w14:paraId="6D06698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27DBB403">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0C47FB13">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73B072EA">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4FE000D2">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67FE032B">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62B6BA8C">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5A9292CC">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7115286B">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4841D3C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1D08369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47FF72B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58</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6B148863">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5D5B323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43</w:t>
                  </w:r>
                </w:p>
              </w:tc>
              <w:tc>
                <w:tcPr>
                  <w:tcW w:w="869" w:type="dxa"/>
                  <w:tcBorders>
                    <w:top w:val="single" w:color="auto" w:sz="8" w:space="0"/>
                    <w:left w:val="single" w:color="auto" w:sz="8" w:space="0"/>
                    <w:bottom w:val="single" w:color="auto" w:sz="8" w:space="0"/>
                    <w:right w:val="nil"/>
                  </w:tcBorders>
                  <w:shd w:val="clear"/>
                  <w:vAlign w:val="center"/>
                </w:tcPr>
                <w:p w14:paraId="2E59C88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23771D57">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02054399">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7DE29D84">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290AD04D">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5893D1D3">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59BAC104">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734C8022">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24C21704">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333353E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04CD6DF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19</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3D4E37C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6721B377">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581FB47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29</w:t>
                  </w:r>
                </w:p>
              </w:tc>
              <w:tc>
                <w:tcPr>
                  <w:tcW w:w="869" w:type="dxa"/>
                  <w:tcBorders>
                    <w:top w:val="single" w:color="auto" w:sz="8" w:space="0"/>
                    <w:left w:val="single" w:color="auto" w:sz="8" w:space="0"/>
                    <w:bottom w:val="single" w:color="auto" w:sz="8" w:space="0"/>
                    <w:right w:val="nil"/>
                  </w:tcBorders>
                  <w:shd w:val="clear"/>
                  <w:vAlign w:val="center"/>
                </w:tcPr>
                <w:p w14:paraId="73FB1E5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0221A7A8">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57D0937B">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451A2273">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383DCAFC">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3D682B61">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3D09D9A6">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6FB1D6C1">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2F6B68E7">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7245B8F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7ED5376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70</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61069E8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33</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2BB87F0F">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7F77C82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18</w:t>
                  </w:r>
                </w:p>
              </w:tc>
              <w:tc>
                <w:tcPr>
                  <w:tcW w:w="869" w:type="dxa"/>
                  <w:tcBorders>
                    <w:top w:val="single" w:color="auto" w:sz="8" w:space="0"/>
                    <w:left w:val="single" w:color="auto" w:sz="8" w:space="0"/>
                    <w:bottom w:val="single" w:color="auto" w:sz="8" w:space="0"/>
                    <w:right w:val="nil"/>
                  </w:tcBorders>
                  <w:shd w:val="clear"/>
                  <w:vAlign w:val="center"/>
                </w:tcPr>
                <w:p w14:paraId="3245256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6E3A4A1C">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vAlign w:val="center"/>
                </w:tcPr>
                <w:p w14:paraId="3DF005E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21</w:t>
                  </w:r>
                </w:p>
              </w:tc>
              <w:tc>
                <w:tcPr>
                  <w:tcW w:w="684" w:type="dxa"/>
                  <w:vMerge w:val="restart"/>
                  <w:tcBorders>
                    <w:top w:val="single" w:color="auto" w:sz="8" w:space="0"/>
                    <w:left w:val="single" w:color="auto" w:sz="8" w:space="0"/>
                    <w:bottom w:val="single" w:color="auto" w:sz="8" w:space="0"/>
                    <w:right w:val="single" w:color="auto" w:sz="8" w:space="0"/>
                  </w:tcBorders>
                  <w:shd w:val="clear"/>
                  <w:vAlign w:val="center"/>
                </w:tcPr>
                <w:p w14:paraId="0BEBF2B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圆刀机</w:t>
                  </w:r>
                </w:p>
              </w:tc>
              <w:tc>
                <w:tcPr>
                  <w:tcW w:w="532" w:type="dxa"/>
                  <w:vMerge w:val="restart"/>
                  <w:tcBorders>
                    <w:top w:val="single" w:color="auto" w:sz="8" w:space="0"/>
                    <w:left w:val="single" w:color="auto" w:sz="8" w:space="0"/>
                    <w:bottom w:val="single" w:color="auto" w:sz="8" w:space="0"/>
                    <w:right w:val="single" w:color="auto" w:sz="8" w:space="0"/>
                  </w:tcBorders>
                  <w:shd w:val="clear"/>
                  <w:vAlign w:val="center"/>
                </w:tcPr>
                <w:p w14:paraId="44DB4CB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3D398DD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75</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7DEEC91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16</w:t>
                  </w:r>
                </w:p>
              </w:tc>
              <w:tc>
                <w:tcPr>
                  <w:tcW w:w="651" w:type="dxa"/>
                  <w:vMerge w:val="restart"/>
                  <w:tcBorders>
                    <w:top w:val="single" w:color="auto" w:sz="8" w:space="0"/>
                    <w:left w:val="single" w:color="auto" w:sz="8" w:space="0"/>
                    <w:bottom w:val="single" w:color="auto" w:sz="8" w:space="0"/>
                    <w:right w:val="single" w:color="auto" w:sz="8" w:space="0"/>
                  </w:tcBorders>
                  <w:shd w:val="clear"/>
                  <w:vAlign w:val="center"/>
                </w:tcPr>
                <w:p w14:paraId="66EFD50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w:t>
                  </w:r>
                </w:p>
              </w:tc>
              <w:tc>
                <w:tcPr>
                  <w:tcW w:w="601" w:type="dxa"/>
                  <w:vMerge w:val="restart"/>
                  <w:tcBorders>
                    <w:top w:val="single" w:color="auto" w:sz="8" w:space="0"/>
                    <w:left w:val="single" w:color="auto" w:sz="8" w:space="0"/>
                    <w:bottom w:val="single" w:color="auto" w:sz="8" w:space="0"/>
                    <w:right w:val="single" w:color="auto" w:sz="8" w:space="0"/>
                  </w:tcBorders>
                  <w:shd w:val="clear"/>
                  <w:vAlign w:val="center"/>
                </w:tcPr>
                <w:p w14:paraId="5433C62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6.8</w:t>
                  </w:r>
                </w:p>
              </w:tc>
              <w:tc>
                <w:tcPr>
                  <w:tcW w:w="473" w:type="dxa"/>
                  <w:tcBorders>
                    <w:top w:val="single" w:color="auto" w:sz="8" w:space="0"/>
                    <w:left w:val="single" w:color="auto" w:sz="8" w:space="0"/>
                    <w:bottom w:val="single" w:color="auto" w:sz="8" w:space="0"/>
                    <w:right w:val="single" w:color="auto" w:sz="8" w:space="0"/>
                  </w:tcBorders>
                  <w:shd w:val="clear"/>
                  <w:vAlign w:val="center"/>
                </w:tcPr>
                <w:p w14:paraId="7E245F0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1D72C6E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4C56F6C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69</w:t>
                  </w:r>
                </w:p>
              </w:tc>
              <w:tc>
                <w:tcPr>
                  <w:tcW w:w="660" w:type="dxa"/>
                  <w:vMerge w:val="restart"/>
                  <w:tcBorders>
                    <w:top w:val="single" w:color="auto" w:sz="8" w:space="0"/>
                    <w:left w:val="single" w:color="auto" w:sz="8" w:space="0"/>
                    <w:bottom w:val="single" w:color="auto" w:sz="8" w:space="0"/>
                    <w:right w:val="single" w:color="auto" w:sz="8" w:space="0"/>
                  </w:tcBorders>
                  <w:shd w:val="clear"/>
                  <w:vAlign w:val="center"/>
                </w:tcPr>
                <w:p w14:paraId="6D47ABB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vAlign w:val="center"/>
                </w:tcPr>
                <w:p w14:paraId="2F14490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54</w:t>
                  </w:r>
                </w:p>
              </w:tc>
              <w:tc>
                <w:tcPr>
                  <w:tcW w:w="869" w:type="dxa"/>
                  <w:tcBorders>
                    <w:top w:val="single" w:color="auto" w:sz="8" w:space="0"/>
                    <w:left w:val="single" w:color="auto" w:sz="8" w:space="0"/>
                    <w:bottom w:val="single" w:color="auto" w:sz="8" w:space="0"/>
                    <w:right w:val="nil"/>
                  </w:tcBorders>
                  <w:shd w:val="clear"/>
                  <w:vAlign w:val="center"/>
                </w:tcPr>
                <w:p w14:paraId="71FA990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160A2BEC">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274B3D2A">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4680293D">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0AAD4CF1">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5EEBE733">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537B8BD5">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539B4D5D">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0629B4D0">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5846CD0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2B83902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37</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21049D0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10228FE4">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7129452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29</w:t>
                  </w:r>
                </w:p>
              </w:tc>
              <w:tc>
                <w:tcPr>
                  <w:tcW w:w="869" w:type="dxa"/>
                  <w:tcBorders>
                    <w:top w:val="single" w:color="auto" w:sz="8" w:space="0"/>
                    <w:left w:val="single" w:color="auto" w:sz="8" w:space="0"/>
                    <w:bottom w:val="single" w:color="auto" w:sz="8" w:space="0"/>
                    <w:right w:val="nil"/>
                  </w:tcBorders>
                  <w:shd w:val="clear"/>
                  <w:vAlign w:val="center"/>
                </w:tcPr>
                <w:p w14:paraId="590C4E2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76C63E94">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38483856">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34B16C44">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10EFB9EF">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33BDF5F4">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4E69EAB8">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5DBDEB5A">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0DBE71B5">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2DC11D2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0170C16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34</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1A23D16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45</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731BA102">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23BB246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30</w:t>
                  </w:r>
                </w:p>
              </w:tc>
              <w:tc>
                <w:tcPr>
                  <w:tcW w:w="869" w:type="dxa"/>
                  <w:tcBorders>
                    <w:top w:val="single" w:color="auto" w:sz="8" w:space="0"/>
                    <w:left w:val="single" w:color="auto" w:sz="8" w:space="0"/>
                    <w:bottom w:val="single" w:color="auto" w:sz="8" w:space="0"/>
                    <w:right w:val="nil"/>
                  </w:tcBorders>
                  <w:shd w:val="clear"/>
                  <w:vAlign w:val="center"/>
                </w:tcPr>
                <w:p w14:paraId="726959E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5B32219C">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3AB58B4B">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1F704171">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71FCCF6D">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365A30B3">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17EEA382">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5E282570">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0A9C350B">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768A87F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2BE42E6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37</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267B8E6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28CC6336">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7AFC4DF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29</w:t>
                  </w:r>
                </w:p>
              </w:tc>
              <w:tc>
                <w:tcPr>
                  <w:tcW w:w="869" w:type="dxa"/>
                  <w:tcBorders>
                    <w:top w:val="single" w:color="auto" w:sz="8" w:space="0"/>
                    <w:left w:val="single" w:color="auto" w:sz="8" w:space="0"/>
                    <w:bottom w:val="single" w:color="auto" w:sz="8" w:space="0"/>
                    <w:right w:val="nil"/>
                  </w:tcBorders>
                  <w:shd w:val="clear"/>
                  <w:vAlign w:val="center"/>
                </w:tcPr>
                <w:p w14:paraId="6E2CB6C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17E7FAF1">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vAlign w:val="center"/>
                </w:tcPr>
                <w:p w14:paraId="52DDC6C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22</w:t>
                  </w:r>
                </w:p>
              </w:tc>
              <w:tc>
                <w:tcPr>
                  <w:tcW w:w="684" w:type="dxa"/>
                  <w:vMerge w:val="restart"/>
                  <w:tcBorders>
                    <w:top w:val="single" w:color="auto" w:sz="8" w:space="0"/>
                    <w:left w:val="single" w:color="auto" w:sz="8" w:space="0"/>
                    <w:bottom w:val="single" w:color="auto" w:sz="8" w:space="0"/>
                    <w:right w:val="single" w:color="auto" w:sz="8" w:space="0"/>
                  </w:tcBorders>
                  <w:shd w:val="clear"/>
                  <w:vAlign w:val="center"/>
                </w:tcPr>
                <w:p w14:paraId="13F35CF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分条机</w:t>
                  </w:r>
                </w:p>
              </w:tc>
              <w:tc>
                <w:tcPr>
                  <w:tcW w:w="532" w:type="dxa"/>
                  <w:vMerge w:val="restart"/>
                  <w:tcBorders>
                    <w:top w:val="single" w:color="auto" w:sz="8" w:space="0"/>
                    <w:left w:val="single" w:color="auto" w:sz="8" w:space="0"/>
                    <w:bottom w:val="single" w:color="auto" w:sz="8" w:space="0"/>
                    <w:right w:val="single" w:color="auto" w:sz="8" w:space="0"/>
                  </w:tcBorders>
                  <w:shd w:val="clear"/>
                  <w:vAlign w:val="center"/>
                </w:tcPr>
                <w:p w14:paraId="4F5DFC2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2E48B78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70</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26F5DE1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10</w:t>
                  </w:r>
                </w:p>
              </w:tc>
              <w:tc>
                <w:tcPr>
                  <w:tcW w:w="651" w:type="dxa"/>
                  <w:vMerge w:val="restart"/>
                  <w:tcBorders>
                    <w:top w:val="single" w:color="auto" w:sz="8" w:space="0"/>
                    <w:left w:val="single" w:color="auto" w:sz="8" w:space="0"/>
                    <w:bottom w:val="single" w:color="auto" w:sz="8" w:space="0"/>
                    <w:right w:val="single" w:color="auto" w:sz="8" w:space="0"/>
                  </w:tcBorders>
                  <w:shd w:val="clear"/>
                  <w:vAlign w:val="center"/>
                </w:tcPr>
                <w:p w14:paraId="0F15975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22</w:t>
                  </w:r>
                </w:p>
              </w:tc>
              <w:tc>
                <w:tcPr>
                  <w:tcW w:w="601" w:type="dxa"/>
                  <w:vMerge w:val="restart"/>
                  <w:tcBorders>
                    <w:top w:val="single" w:color="auto" w:sz="8" w:space="0"/>
                    <w:left w:val="single" w:color="auto" w:sz="8" w:space="0"/>
                    <w:bottom w:val="single" w:color="auto" w:sz="8" w:space="0"/>
                    <w:right w:val="single" w:color="auto" w:sz="8" w:space="0"/>
                  </w:tcBorders>
                  <w:shd w:val="clear"/>
                  <w:vAlign w:val="center"/>
                </w:tcPr>
                <w:p w14:paraId="72D8EA4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6.8</w:t>
                  </w:r>
                </w:p>
              </w:tc>
              <w:tc>
                <w:tcPr>
                  <w:tcW w:w="473" w:type="dxa"/>
                  <w:tcBorders>
                    <w:top w:val="single" w:color="auto" w:sz="8" w:space="0"/>
                    <w:left w:val="single" w:color="auto" w:sz="8" w:space="0"/>
                    <w:bottom w:val="single" w:color="auto" w:sz="8" w:space="0"/>
                    <w:right w:val="single" w:color="auto" w:sz="8" w:space="0"/>
                  </w:tcBorders>
                  <w:shd w:val="clear"/>
                  <w:vAlign w:val="center"/>
                </w:tcPr>
                <w:p w14:paraId="48BCC03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47526B0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8</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1EA30B7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52</w:t>
                  </w:r>
                </w:p>
              </w:tc>
              <w:tc>
                <w:tcPr>
                  <w:tcW w:w="660" w:type="dxa"/>
                  <w:vMerge w:val="restart"/>
                  <w:tcBorders>
                    <w:top w:val="single" w:color="auto" w:sz="8" w:space="0"/>
                    <w:left w:val="single" w:color="auto" w:sz="8" w:space="0"/>
                    <w:bottom w:val="single" w:color="auto" w:sz="8" w:space="0"/>
                    <w:right w:val="single" w:color="auto" w:sz="8" w:space="0"/>
                  </w:tcBorders>
                  <w:shd w:val="clear"/>
                  <w:vAlign w:val="center"/>
                </w:tcPr>
                <w:p w14:paraId="13ECF53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vAlign w:val="center"/>
                </w:tcPr>
                <w:p w14:paraId="75E392E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37</w:t>
                  </w:r>
                </w:p>
              </w:tc>
              <w:tc>
                <w:tcPr>
                  <w:tcW w:w="869" w:type="dxa"/>
                  <w:tcBorders>
                    <w:top w:val="single" w:color="auto" w:sz="8" w:space="0"/>
                    <w:left w:val="single" w:color="auto" w:sz="8" w:space="0"/>
                    <w:bottom w:val="single" w:color="auto" w:sz="8" w:space="0"/>
                    <w:right w:val="nil"/>
                  </w:tcBorders>
                  <w:shd w:val="clear"/>
                  <w:vAlign w:val="center"/>
                </w:tcPr>
                <w:p w14:paraId="2E36A82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64F05674">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02A1F1BD">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5F069FD5">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47F586A5">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12BDF25B">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228408B4">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0679DC86">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4C5F3123">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654446B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07CFE3D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59</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6F484A6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35</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3BDD8AAA">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2BFD034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20</w:t>
                  </w:r>
                </w:p>
              </w:tc>
              <w:tc>
                <w:tcPr>
                  <w:tcW w:w="869" w:type="dxa"/>
                  <w:tcBorders>
                    <w:top w:val="single" w:color="auto" w:sz="8" w:space="0"/>
                    <w:left w:val="single" w:color="auto" w:sz="8" w:space="0"/>
                    <w:bottom w:val="single" w:color="auto" w:sz="8" w:space="0"/>
                    <w:right w:val="nil"/>
                  </w:tcBorders>
                  <w:shd w:val="clear"/>
                  <w:vAlign w:val="center"/>
                </w:tcPr>
                <w:p w14:paraId="0D0D775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01FE9827">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1C377EFD">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3A03F9BF">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19FEB16D">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24CE68B0">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1CA89495">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123F8AE8">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07945D10">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05FC1AD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142B954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28</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73DDFD6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41</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412FDA89">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0D8AF25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26</w:t>
                  </w:r>
                </w:p>
              </w:tc>
              <w:tc>
                <w:tcPr>
                  <w:tcW w:w="869" w:type="dxa"/>
                  <w:tcBorders>
                    <w:top w:val="single" w:color="auto" w:sz="8" w:space="0"/>
                    <w:left w:val="single" w:color="auto" w:sz="8" w:space="0"/>
                    <w:bottom w:val="single" w:color="auto" w:sz="8" w:space="0"/>
                    <w:right w:val="nil"/>
                  </w:tcBorders>
                  <w:shd w:val="clear"/>
                  <w:vAlign w:val="center"/>
                </w:tcPr>
                <w:p w14:paraId="193D0BE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30AB542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2110FE34">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17C76BF1">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28BA4151">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0CB66A8D">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7FEC5EB9">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05A56064">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65A1A3CC">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3CA81A2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164D980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32BD62A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46</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7F8F6702">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42985AE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31</w:t>
                  </w:r>
                </w:p>
              </w:tc>
              <w:tc>
                <w:tcPr>
                  <w:tcW w:w="869" w:type="dxa"/>
                  <w:tcBorders>
                    <w:top w:val="single" w:color="auto" w:sz="8" w:space="0"/>
                    <w:left w:val="single" w:color="auto" w:sz="8" w:space="0"/>
                    <w:bottom w:val="single" w:color="auto" w:sz="8" w:space="0"/>
                    <w:right w:val="nil"/>
                  </w:tcBorders>
                  <w:shd w:val="clear"/>
                  <w:vAlign w:val="center"/>
                </w:tcPr>
                <w:p w14:paraId="7BBDA53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540C4599">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vAlign w:val="center"/>
                </w:tcPr>
                <w:p w14:paraId="234CABD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23</w:t>
                  </w:r>
                </w:p>
              </w:tc>
              <w:tc>
                <w:tcPr>
                  <w:tcW w:w="684" w:type="dxa"/>
                  <w:vMerge w:val="restart"/>
                  <w:tcBorders>
                    <w:top w:val="single" w:color="auto" w:sz="8" w:space="0"/>
                    <w:left w:val="single" w:color="auto" w:sz="8" w:space="0"/>
                    <w:bottom w:val="single" w:color="auto" w:sz="8" w:space="0"/>
                    <w:right w:val="single" w:color="auto" w:sz="8" w:space="0"/>
                  </w:tcBorders>
                  <w:shd w:val="clear"/>
                  <w:vAlign w:val="center"/>
                </w:tcPr>
                <w:p w14:paraId="295ACE4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Times New Roman" w:hAnsi="Times New Roman" w:eastAsia="宋体" w:cs="宋体"/>
                      <w:color w:val="000000"/>
                      <w:kern w:val="2"/>
                      <w:sz w:val="21"/>
                      <w:szCs w:val="21"/>
                      <w:bdr w:val="none" w:color="auto" w:sz="0" w:space="0"/>
                      <w:lang w:val="en-US" w:eastAsia="zh-CN" w:bidi="ar"/>
                    </w:rPr>
                    <w:t>分条机</w:t>
                  </w:r>
                </w:p>
              </w:tc>
              <w:tc>
                <w:tcPr>
                  <w:tcW w:w="532" w:type="dxa"/>
                  <w:vMerge w:val="restart"/>
                  <w:tcBorders>
                    <w:top w:val="single" w:color="auto" w:sz="8" w:space="0"/>
                    <w:left w:val="single" w:color="auto" w:sz="8" w:space="0"/>
                    <w:bottom w:val="single" w:color="auto" w:sz="8" w:space="0"/>
                    <w:right w:val="single" w:color="auto" w:sz="8" w:space="0"/>
                  </w:tcBorders>
                  <w:shd w:val="clear"/>
                  <w:vAlign w:val="center"/>
                </w:tcPr>
                <w:p w14:paraId="388C429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1425569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70</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0637E5A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14</w:t>
                  </w:r>
                </w:p>
              </w:tc>
              <w:tc>
                <w:tcPr>
                  <w:tcW w:w="651" w:type="dxa"/>
                  <w:vMerge w:val="restart"/>
                  <w:tcBorders>
                    <w:top w:val="single" w:color="auto" w:sz="8" w:space="0"/>
                    <w:left w:val="single" w:color="auto" w:sz="8" w:space="0"/>
                    <w:bottom w:val="single" w:color="auto" w:sz="8" w:space="0"/>
                    <w:right w:val="single" w:color="auto" w:sz="8" w:space="0"/>
                  </w:tcBorders>
                  <w:shd w:val="clear"/>
                  <w:vAlign w:val="center"/>
                </w:tcPr>
                <w:p w14:paraId="6A952B9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w:t>
                  </w:r>
                </w:p>
              </w:tc>
              <w:tc>
                <w:tcPr>
                  <w:tcW w:w="601" w:type="dxa"/>
                  <w:vMerge w:val="restart"/>
                  <w:tcBorders>
                    <w:top w:val="single" w:color="auto" w:sz="8" w:space="0"/>
                    <w:left w:val="single" w:color="auto" w:sz="8" w:space="0"/>
                    <w:bottom w:val="single" w:color="auto" w:sz="8" w:space="0"/>
                    <w:right w:val="single" w:color="auto" w:sz="8" w:space="0"/>
                  </w:tcBorders>
                  <w:shd w:val="clear"/>
                  <w:vAlign w:val="center"/>
                </w:tcPr>
                <w:p w14:paraId="67B6C20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6.8</w:t>
                  </w:r>
                </w:p>
              </w:tc>
              <w:tc>
                <w:tcPr>
                  <w:tcW w:w="473" w:type="dxa"/>
                  <w:tcBorders>
                    <w:top w:val="single" w:color="auto" w:sz="8" w:space="0"/>
                    <w:left w:val="single" w:color="auto" w:sz="8" w:space="0"/>
                    <w:bottom w:val="single" w:color="auto" w:sz="8" w:space="0"/>
                    <w:right w:val="single" w:color="auto" w:sz="8" w:space="0"/>
                  </w:tcBorders>
                  <w:shd w:val="clear"/>
                  <w:vAlign w:val="center"/>
                </w:tcPr>
                <w:p w14:paraId="4D27D74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640ECEC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0929D6C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58</w:t>
                  </w:r>
                </w:p>
              </w:tc>
              <w:tc>
                <w:tcPr>
                  <w:tcW w:w="660" w:type="dxa"/>
                  <w:vMerge w:val="restart"/>
                  <w:tcBorders>
                    <w:top w:val="single" w:color="auto" w:sz="8" w:space="0"/>
                    <w:left w:val="single" w:color="auto" w:sz="8" w:space="0"/>
                    <w:bottom w:val="single" w:color="auto" w:sz="8" w:space="0"/>
                    <w:right w:val="single" w:color="auto" w:sz="8" w:space="0"/>
                  </w:tcBorders>
                  <w:shd w:val="clear"/>
                  <w:vAlign w:val="center"/>
                </w:tcPr>
                <w:p w14:paraId="7567F5C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vAlign w:val="center"/>
                </w:tcPr>
                <w:p w14:paraId="5DDF227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43</w:t>
                  </w:r>
                </w:p>
              </w:tc>
              <w:tc>
                <w:tcPr>
                  <w:tcW w:w="869" w:type="dxa"/>
                  <w:tcBorders>
                    <w:top w:val="single" w:color="auto" w:sz="8" w:space="0"/>
                    <w:left w:val="single" w:color="auto" w:sz="8" w:space="0"/>
                    <w:bottom w:val="single" w:color="auto" w:sz="8" w:space="0"/>
                    <w:right w:val="nil"/>
                  </w:tcBorders>
                  <w:shd w:val="clear"/>
                  <w:vAlign w:val="center"/>
                </w:tcPr>
                <w:p w14:paraId="28A4179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3EBA6923">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21A7DCEF">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5B3E8CDC">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4D82C95C">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3C422326">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2A1E528F">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166147CC">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4C3387D8">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2661EEA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118F3F1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37</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6A415D2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39</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3F7FF93E">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7CDAC35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24</w:t>
                  </w:r>
                </w:p>
              </w:tc>
              <w:tc>
                <w:tcPr>
                  <w:tcW w:w="869" w:type="dxa"/>
                  <w:tcBorders>
                    <w:top w:val="single" w:color="auto" w:sz="8" w:space="0"/>
                    <w:left w:val="single" w:color="auto" w:sz="8" w:space="0"/>
                    <w:bottom w:val="single" w:color="auto" w:sz="8" w:space="0"/>
                    <w:right w:val="nil"/>
                  </w:tcBorders>
                  <w:shd w:val="clear"/>
                  <w:vAlign w:val="center"/>
                </w:tcPr>
                <w:p w14:paraId="4540D5E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10ACEEF8">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0E974545">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595AE08C">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21DBE578">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756DA83F">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004AC914">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676D6069">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506BC15C">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7F23346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3DC48B6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32</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07C835D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40</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56EE6383">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52781FF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25</w:t>
                  </w:r>
                </w:p>
              </w:tc>
              <w:tc>
                <w:tcPr>
                  <w:tcW w:w="869" w:type="dxa"/>
                  <w:tcBorders>
                    <w:top w:val="single" w:color="auto" w:sz="8" w:space="0"/>
                    <w:left w:val="single" w:color="auto" w:sz="8" w:space="0"/>
                    <w:bottom w:val="single" w:color="auto" w:sz="8" w:space="0"/>
                    <w:right w:val="nil"/>
                  </w:tcBorders>
                  <w:shd w:val="clear"/>
                  <w:vAlign w:val="center"/>
                </w:tcPr>
                <w:p w14:paraId="564DE41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71394DF7">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7A6361FA">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19B377EB">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3BD63259">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4FDD3CC8">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0446AFB5">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28CF5D05">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466577AE">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5567068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71DD79F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37</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42D3754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39</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4D0DE54D">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242FC3E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24</w:t>
                  </w:r>
                </w:p>
              </w:tc>
              <w:tc>
                <w:tcPr>
                  <w:tcW w:w="869" w:type="dxa"/>
                  <w:tcBorders>
                    <w:top w:val="single" w:color="auto" w:sz="8" w:space="0"/>
                    <w:left w:val="single" w:color="auto" w:sz="8" w:space="0"/>
                    <w:bottom w:val="single" w:color="auto" w:sz="8" w:space="0"/>
                    <w:right w:val="nil"/>
                  </w:tcBorders>
                  <w:shd w:val="clear"/>
                  <w:vAlign w:val="center"/>
                </w:tcPr>
                <w:p w14:paraId="704FEA0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63498B75">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vAlign w:val="center"/>
                </w:tcPr>
                <w:p w14:paraId="21495E3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24</w:t>
                  </w:r>
                </w:p>
              </w:tc>
              <w:tc>
                <w:tcPr>
                  <w:tcW w:w="684" w:type="dxa"/>
                  <w:vMerge w:val="restart"/>
                  <w:tcBorders>
                    <w:top w:val="single" w:color="auto" w:sz="8" w:space="0"/>
                    <w:left w:val="single" w:color="auto" w:sz="8" w:space="0"/>
                    <w:bottom w:val="single" w:color="auto" w:sz="8" w:space="0"/>
                    <w:right w:val="single" w:color="auto" w:sz="8" w:space="0"/>
                  </w:tcBorders>
                  <w:shd w:val="clear"/>
                  <w:vAlign w:val="center"/>
                </w:tcPr>
                <w:p w14:paraId="07FBC4D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Calibri" w:hAnsi="宋体" w:eastAsia="宋体" w:cs="宋体"/>
                      <w:color w:val="000000"/>
                      <w:kern w:val="2"/>
                      <w:sz w:val="21"/>
                      <w:szCs w:val="21"/>
                      <w:bdr w:val="none" w:color="auto" w:sz="0" w:space="0"/>
                      <w:lang w:val="en-US" w:eastAsia="zh-CN" w:bidi="ar"/>
                    </w:rPr>
                    <w:t>空压机</w:t>
                  </w:r>
                </w:p>
              </w:tc>
              <w:tc>
                <w:tcPr>
                  <w:tcW w:w="532" w:type="dxa"/>
                  <w:vMerge w:val="restart"/>
                  <w:tcBorders>
                    <w:top w:val="single" w:color="auto" w:sz="8" w:space="0"/>
                    <w:left w:val="single" w:color="auto" w:sz="8" w:space="0"/>
                    <w:bottom w:val="single" w:color="auto" w:sz="8" w:space="0"/>
                    <w:right w:val="single" w:color="auto" w:sz="8" w:space="0"/>
                  </w:tcBorders>
                  <w:shd w:val="clear"/>
                  <w:vAlign w:val="center"/>
                </w:tcPr>
                <w:p w14:paraId="2CA0C31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3965418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75</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3EFB4B1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651" w:type="dxa"/>
                  <w:vMerge w:val="restart"/>
                  <w:tcBorders>
                    <w:top w:val="single" w:color="auto" w:sz="8" w:space="0"/>
                    <w:left w:val="single" w:color="auto" w:sz="8" w:space="0"/>
                    <w:bottom w:val="single" w:color="auto" w:sz="8" w:space="0"/>
                    <w:right w:val="single" w:color="auto" w:sz="8" w:space="0"/>
                  </w:tcBorders>
                  <w:shd w:val="clear"/>
                  <w:vAlign w:val="center"/>
                </w:tcPr>
                <w:p w14:paraId="60416C5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601" w:type="dxa"/>
                  <w:vMerge w:val="restart"/>
                  <w:tcBorders>
                    <w:top w:val="single" w:color="auto" w:sz="8" w:space="0"/>
                    <w:left w:val="single" w:color="auto" w:sz="8" w:space="0"/>
                    <w:bottom w:val="single" w:color="auto" w:sz="8" w:space="0"/>
                    <w:right w:val="single" w:color="auto" w:sz="8" w:space="0"/>
                  </w:tcBorders>
                  <w:shd w:val="clear"/>
                  <w:vAlign w:val="center"/>
                </w:tcPr>
                <w:p w14:paraId="783D040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0.5</w:t>
                  </w:r>
                </w:p>
              </w:tc>
              <w:tc>
                <w:tcPr>
                  <w:tcW w:w="473" w:type="dxa"/>
                  <w:tcBorders>
                    <w:top w:val="single" w:color="auto" w:sz="8" w:space="0"/>
                    <w:left w:val="single" w:color="auto" w:sz="8" w:space="0"/>
                    <w:bottom w:val="single" w:color="auto" w:sz="8" w:space="0"/>
                    <w:right w:val="single" w:color="auto" w:sz="8" w:space="0"/>
                  </w:tcBorders>
                  <w:shd w:val="clear"/>
                  <w:vAlign w:val="center"/>
                </w:tcPr>
                <w:p w14:paraId="18B11ED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3A4262F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169AEBB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65</w:t>
                  </w:r>
                </w:p>
              </w:tc>
              <w:tc>
                <w:tcPr>
                  <w:tcW w:w="660" w:type="dxa"/>
                  <w:vMerge w:val="restart"/>
                  <w:tcBorders>
                    <w:top w:val="single" w:color="auto" w:sz="8" w:space="0"/>
                    <w:left w:val="single" w:color="auto" w:sz="8" w:space="0"/>
                    <w:bottom w:val="single" w:color="auto" w:sz="8" w:space="0"/>
                    <w:right w:val="single" w:color="auto" w:sz="8" w:space="0"/>
                  </w:tcBorders>
                  <w:shd w:val="clear"/>
                  <w:vAlign w:val="center"/>
                </w:tcPr>
                <w:p w14:paraId="68443A5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vAlign w:val="center"/>
                </w:tcPr>
                <w:p w14:paraId="312BF25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50</w:t>
                  </w:r>
                </w:p>
              </w:tc>
              <w:tc>
                <w:tcPr>
                  <w:tcW w:w="869" w:type="dxa"/>
                  <w:tcBorders>
                    <w:top w:val="single" w:color="auto" w:sz="8" w:space="0"/>
                    <w:left w:val="single" w:color="auto" w:sz="8" w:space="0"/>
                    <w:bottom w:val="single" w:color="auto" w:sz="8" w:space="0"/>
                    <w:right w:val="nil"/>
                  </w:tcBorders>
                  <w:shd w:val="clear"/>
                  <w:vAlign w:val="center"/>
                </w:tcPr>
                <w:p w14:paraId="6072154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011B2C9A">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370B8636">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1440BA6A">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358DA888">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38A0E3E8">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0E29478A">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09E6FA25">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706B2C1B">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7F0632E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37939F7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38</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22D7D4F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43</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22F9A58F">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5E36F07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28</w:t>
                  </w:r>
                </w:p>
              </w:tc>
              <w:tc>
                <w:tcPr>
                  <w:tcW w:w="869" w:type="dxa"/>
                  <w:tcBorders>
                    <w:top w:val="single" w:color="auto" w:sz="8" w:space="0"/>
                    <w:left w:val="single" w:color="auto" w:sz="8" w:space="0"/>
                    <w:bottom w:val="single" w:color="auto" w:sz="8" w:space="0"/>
                    <w:right w:val="nil"/>
                  </w:tcBorders>
                  <w:shd w:val="clear"/>
                  <w:vAlign w:val="center"/>
                </w:tcPr>
                <w:p w14:paraId="7EF61AB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183BD990">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1A31CA2E">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3E44FC0E">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30B4AA37">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514626B3">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75B0ADE3">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2E685291">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7890D2F7">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4EA61C3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07CD2AE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19</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2C3974D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49</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4BB2D31B">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36BFF25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34</w:t>
                  </w:r>
                </w:p>
              </w:tc>
              <w:tc>
                <w:tcPr>
                  <w:tcW w:w="869" w:type="dxa"/>
                  <w:tcBorders>
                    <w:top w:val="single" w:color="auto" w:sz="8" w:space="0"/>
                    <w:left w:val="single" w:color="auto" w:sz="8" w:space="0"/>
                    <w:bottom w:val="single" w:color="auto" w:sz="8" w:space="0"/>
                    <w:right w:val="nil"/>
                  </w:tcBorders>
                  <w:shd w:val="clear"/>
                  <w:vAlign w:val="center"/>
                </w:tcPr>
                <w:p w14:paraId="3875B86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31EFDE43">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747A64E3">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3AD957B4">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60A68D14">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03F4E4DE">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737C8F8E">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547CC3DA">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5C67E61D">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620F01A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135DECA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36</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254D7B0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7729D374">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22E1E8A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29</w:t>
                  </w:r>
                </w:p>
              </w:tc>
              <w:tc>
                <w:tcPr>
                  <w:tcW w:w="869" w:type="dxa"/>
                  <w:tcBorders>
                    <w:top w:val="single" w:color="auto" w:sz="8" w:space="0"/>
                    <w:left w:val="single" w:color="auto" w:sz="8" w:space="0"/>
                    <w:bottom w:val="single" w:color="auto" w:sz="8" w:space="0"/>
                    <w:right w:val="nil"/>
                  </w:tcBorders>
                  <w:shd w:val="clear"/>
                  <w:vAlign w:val="center"/>
                </w:tcPr>
                <w:p w14:paraId="22C520F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6D0AA239">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vAlign w:val="center"/>
                </w:tcPr>
                <w:p w14:paraId="57BA60D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25</w:t>
                  </w:r>
                </w:p>
              </w:tc>
              <w:tc>
                <w:tcPr>
                  <w:tcW w:w="684" w:type="dxa"/>
                  <w:vMerge w:val="restart"/>
                  <w:tcBorders>
                    <w:top w:val="single" w:color="auto" w:sz="8" w:space="0"/>
                    <w:left w:val="single" w:color="auto" w:sz="8" w:space="0"/>
                    <w:bottom w:val="single" w:color="auto" w:sz="8" w:space="0"/>
                    <w:right w:val="single" w:color="auto" w:sz="8" w:space="0"/>
                  </w:tcBorders>
                  <w:shd w:val="clear"/>
                  <w:vAlign w:val="center"/>
                </w:tcPr>
                <w:p w14:paraId="198063F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eastAsia" w:ascii="Calibri" w:hAnsi="宋体" w:eastAsia="宋体" w:cs="宋体"/>
                      <w:color w:val="000000"/>
                      <w:kern w:val="2"/>
                      <w:sz w:val="21"/>
                      <w:szCs w:val="21"/>
                      <w:bdr w:val="none" w:color="auto" w:sz="0" w:space="0"/>
                      <w:lang w:val="en-US" w:eastAsia="zh-CN" w:bidi="ar"/>
                    </w:rPr>
                    <w:t>打包机</w:t>
                  </w:r>
                </w:p>
              </w:tc>
              <w:tc>
                <w:tcPr>
                  <w:tcW w:w="532" w:type="dxa"/>
                  <w:vMerge w:val="restart"/>
                  <w:tcBorders>
                    <w:top w:val="single" w:color="auto" w:sz="8" w:space="0"/>
                    <w:left w:val="single" w:color="auto" w:sz="8" w:space="0"/>
                    <w:bottom w:val="single" w:color="auto" w:sz="8" w:space="0"/>
                    <w:right w:val="single" w:color="auto" w:sz="8" w:space="0"/>
                  </w:tcBorders>
                  <w:shd w:val="clear"/>
                  <w:vAlign w:val="center"/>
                </w:tcPr>
                <w:p w14:paraId="186CA8F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503D8DD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65</w:t>
                  </w:r>
                </w:p>
              </w:tc>
              <w:tc>
                <w:tcPr>
                  <w:tcW w:w="533" w:type="dxa"/>
                  <w:vMerge w:val="restart"/>
                  <w:tcBorders>
                    <w:top w:val="single" w:color="auto" w:sz="8" w:space="0"/>
                    <w:left w:val="single" w:color="auto" w:sz="8" w:space="0"/>
                    <w:bottom w:val="single" w:color="auto" w:sz="8" w:space="0"/>
                    <w:right w:val="single" w:color="auto" w:sz="8" w:space="0"/>
                  </w:tcBorders>
                  <w:shd w:val="clear"/>
                  <w:vAlign w:val="center"/>
                </w:tcPr>
                <w:p w14:paraId="35B4389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w:t>
                  </w:r>
                </w:p>
              </w:tc>
              <w:tc>
                <w:tcPr>
                  <w:tcW w:w="651" w:type="dxa"/>
                  <w:vMerge w:val="restart"/>
                  <w:tcBorders>
                    <w:top w:val="single" w:color="auto" w:sz="8" w:space="0"/>
                    <w:left w:val="single" w:color="auto" w:sz="8" w:space="0"/>
                    <w:bottom w:val="single" w:color="auto" w:sz="8" w:space="0"/>
                    <w:right w:val="single" w:color="auto" w:sz="8" w:space="0"/>
                  </w:tcBorders>
                  <w:shd w:val="clear"/>
                  <w:vAlign w:val="center"/>
                </w:tcPr>
                <w:p w14:paraId="793F74B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w:t>
                  </w:r>
                </w:p>
              </w:tc>
              <w:tc>
                <w:tcPr>
                  <w:tcW w:w="601" w:type="dxa"/>
                  <w:vMerge w:val="restart"/>
                  <w:tcBorders>
                    <w:top w:val="single" w:color="auto" w:sz="8" w:space="0"/>
                    <w:left w:val="single" w:color="auto" w:sz="8" w:space="0"/>
                    <w:bottom w:val="single" w:color="auto" w:sz="8" w:space="0"/>
                    <w:right w:val="single" w:color="auto" w:sz="8" w:space="0"/>
                  </w:tcBorders>
                  <w:shd w:val="clear"/>
                  <w:vAlign w:val="center"/>
                </w:tcPr>
                <w:p w14:paraId="2E74635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473" w:type="dxa"/>
                  <w:tcBorders>
                    <w:top w:val="single" w:color="auto" w:sz="8" w:space="0"/>
                    <w:left w:val="single" w:color="auto" w:sz="8" w:space="0"/>
                    <w:bottom w:val="single" w:color="auto" w:sz="8" w:space="0"/>
                    <w:right w:val="single" w:color="auto" w:sz="8" w:space="0"/>
                  </w:tcBorders>
                  <w:shd w:val="clear"/>
                  <w:vAlign w:val="center"/>
                </w:tcPr>
                <w:p w14:paraId="00B5512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7D99F0D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20</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53CCDFA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39</w:t>
                  </w:r>
                </w:p>
              </w:tc>
              <w:tc>
                <w:tcPr>
                  <w:tcW w:w="660" w:type="dxa"/>
                  <w:vMerge w:val="restart"/>
                  <w:tcBorders>
                    <w:top w:val="single" w:color="auto" w:sz="8" w:space="0"/>
                    <w:left w:val="single" w:color="auto" w:sz="8" w:space="0"/>
                    <w:bottom w:val="single" w:color="auto" w:sz="8" w:space="0"/>
                    <w:right w:val="single" w:color="auto" w:sz="8" w:space="0"/>
                  </w:tcBorders>
                  <w:shd w:val="clear"/>
                  <w:vAlign w:val="center"/>
                </w:tcPr>
                <w:p w14:paraId="0BF38E1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vAlign w:val="center"/>
                </w:tcPr>
                <w:p w14:paraId="53DABAD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24</w:t>
                  </w:r>
                </w:p>
              </w:tc>
              <w:tc>
                <w:tcPr>
                  <w:tcW w:w="869" w:type="dxa"/>
                  <w:tcBorders>
                    <w:top w:val="single" w:color="auto" w:sz="8" w:space="0"/>
                    <w:left w:val="single" w:color="auto" w:sz="8" w:space="0"/>
                    <w:bottom w:val="single" w:color="auto" w:sz="8" w:space="0"/>
                    <w:right w:val="nil"/>
                  </w:tcBorders>
                  <w:shd w:val="clear"/>
                  <w:vAlign w:val="center"/>
                </w:tcPr>
                <w:p w14:paraId="4D28F44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7963546F">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7AADC527">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0D17908B">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5ABFD599">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7445B384">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14F22CA1">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01D82279">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4A15C280">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022ABD8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2828659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41</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7C05D34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33</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487DEA34">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5461485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18</w:t>
                  </w:r>
                </w:p>
              </w:tc>
              <w:tc>
                <w:tcPr>
                  <w:tcW w:w="869" w:type="dxa"/>
                  <w:tcBorders>
                    <w:top w:val="single" w:color="auto" w:sz="8" w:space="0"/>
                    <w:left w:val="single" w:color="auto" w:sz="8" w:space="0"/>
                    <w:bottom w:val="single" w:color="auto" w:sz="8" w:space="0"/>
                    <w:right w:val="nil"/>
                  </w:tcBorders>
                  <w:shd w:val="clear"/>
                  <w:vAlign w:val="center"/>
                </w:tcPr>
                <w:p w14:paraId="281C0EB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0081D8EC">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61E31376">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40A0448F">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2114C000">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1E8E1FF7">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4980BC91">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0C1F01FA">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3D2BD0D0">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6C013D6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14919E5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16</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2866857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41</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65DF2A8B">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1D25ADA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26</w:t>
                  </w:r>
                </w:p>
              </w:tc>
              <w:tc>
                <w:tcPr>
                  <w:tcW w:w="869" w:type="dxa"/>
                  <w:tcBorders>
                    <w:top w:val="single" w:color="auto" w:sz="8" w:space="0"/>
                    <w:left w:val="single" w:color="auto" w:sz="8" w:space="0"/>
                    <w:bottom w:val="single" w:color="auto" w:sz="8" w:space="0"/>
                    <w:right w:val="nil"/>
                  </w:tcBorders>
                  <w:shd w:val="clear"/>
                  <w:vAlign w:val="center"/>
                </w:tcPr>
                <w:p w14:paraId="62A24B2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1487360E">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vAlign w:val="center"/>
                </w:tcPr>
                <w:p w14:paraId="5DA6DAC6">
                  <w:pPr>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vAlign w:val="center"/>
                </w:tcPr>
                <w:p w14:paraId="38158CF7">
                  <w:pPr>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vAlign w:val="center"/>
                </w:tcPr>
                <w:p w14:paraId="03EF67DE">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2915759F">
                  <w:pPr>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vAlign w:val="center"/>
                </w:tcPr>
                <w:p w14:paraId="14E4DAC6">
                  <w:pPr>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vAlign w:val="center"/>
                </w:tcPr>
                <w:p w14:paraId="4E12E86C">
                  <w:pPr>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vAlign w:val="center"/>
                </w:tcPr>
                <w:p w14:paraId="0CD20D6D">
                  <w:pPr>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vAlign w:val="center"/>
                </w:tcPr>
                <w:p w14:paraId="49BE0A5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2162335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33</w:t>
                  </w:r>
                </w:p>
              </w:tc>
              <w:tc>
                <w:tcPr>
                  <w:tcW w:w="660" w:type="dxa"/>
                  <w:tcBorders>
                    <w:top w:val="single" w:color="auto" w:sz="8" w:space="0"/>
                    <w:left w:val="single" w:color="auto" w:sz="8" w:space="0"/>
                    <w:bottom w:val="single" w:color="auto" w:sz="8" w:space="0"/>
                    <w:right w:val="single" w:color="auto" w:sz="8" w:space="0"/>
                  </w:tcBorders>
                  <w:shd w:val="clear"/>
                  <w:vAlign w:val="center"/>
                </w:tcPr>
                <w:p w14:paraId="244BAFE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35</w:t>
                  </w:r>
                </w:p>
              </w:tc>
              <w:tc>
                <w:tcPr>
                  <w:tcW w:w="660" w:type="dxa"/>
                  <w:vMerge w:val="continue"/>
                  <w:tcBorders>
                    <w:top w:val="single" w:color="auto" w:sz="8" w:space="0"/>
                    <w:left w:val="single" w:color="auto" w:sz="8" w:space="0"/>
                    <w:bottom w:val="single" w:color="auto" w:sz="8" w:space="0"/>
                    <w:right w:val="single" w:color="auto" w:sz="8" w:space="0"/>
                  </w:tcBorders>
                  <w:shd w:val="clear"/>
                  <w:vAlign w:val="center"/>
                </w:tcPr>
                <w:p w14:paraId="0F984423">
                  <w:pPr>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vAlign w:val="center"/>
                </w:tcPr>
                <w:p w14:paraId="49CD84C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20</w:t>
                  </w:r>
                </w:p>
              </w:tc>
              <w:tc>
                <w:tcPr>
                  <w:tcW w:w="869" w:type="dxa"/>
                  <w:tcBorders>
                    <w:top w:val="single" w:color="auto" w:sz="8" w:space="0"/>
                    <w:left w:val="single" w:color="auto" w:sz="8" w:space="0"/>
                    <w:bottom w:val="single" w:color="auto" w:sz="8" w:space="0"/>
                    <w:right w:val="nil"/>
                  </w:tcBorders>
                  <w:shd w:val="clear"/>
                  <w:vAlign w:val="center"/>
                </w:tcPr>
                <w:p w14:paraId="1DD9FE8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r>
            <w:tr w14:paraId="00093194">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7946" w:type="dxa"/>
                  <w:gridSpan w:val="13"/>
                  <w:tcBorders>
                    <w:top w:val="single" w:color="auto" w:sz="8" w:space="0"/>
                    <w:left w:val="nil"/>
                    <w:bottom w:val="single" w:color="auto" w:sz="12" w:space="0"/>
                    <w:right w:val="nil"/>
                  </w:tcBorders>
                  <w:shd w:val="clear"/>
                  <w:vAlign w:val="center"/>
                </w:tcPr>
                <w:p w14:paraId="7D6C94F1">
                  <w:pPr>
                    <w:keepNext w:val="0"/>
                    <w:keepLines w:val="0"/>
                    <w:widowControl w:val="0"/>
                    <w:suppressLineNumbers w:val="0"/>
                    <w:adjustRightInd w:val="0"/>
                    <w:snapToGrid w:val="0"/>
                    <w:spacing w:before="0" w:beforeAutospacing="0" w:after="0" w:afterAutospacing="0" w:line="300" w:lineRule="exact"/>
                    <w:ind w:left="0" w:right="0"/>
                    <w:jc w:val="left"/>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注：</w:t>
                  </w:r>
                  <w:r>
                    <w:rPr>
                      <w:rFonts w:hint="default" w:ascii="Times New Roman" w:hAnsi="Times New Roman" w:eastAsia="宋体" w:cs="Times New Roman"/>
                      <w:color w:val="000000"/>
                      <w:kern w:val="0"/>
                      <w:sz w:val="21"/>
                      <w:szCs w:val="21"/>
                      <w:bdr w:val="none" w:color="auto" w:sz="0" w:space="0"/>
                      <w:lang w:val="en-US" w:eastAsia="zh-CN" w:bidi="ar"/>
                    </w:rPr>
                    <w:t>1</w:t>
                  </w:r>
                  <w:r>
                    <w:rPr>
                      <w:rFonts w:hint="eastAsia" w:ascii="Times New Roman" w:hAnsi="Times New Roman" w:eastAsia="宋体" w:cs="宋体"/>
                      <w:color w:val="000000"/>
                      <w:kern w:val="0"/>
                      <w:sz w:val="21"/>
                      <w:szCs w:val="21"/>
                      <w:bdr w:val="none" w:color="auto" w:sz="0" w:space="0"/>
                      <w:lang w:val="en-US" w:eastAsia="zh-CN" w:bidi="ar"/>
                    </w:rPr>
                    <w:t>、以厂房中心为原点，厂房</w:t>
                  </w:r>
                  <w:r>
                    <w:rPr>
                      <w:rFonts w:hint="default" w:ascii="Times New Roman" w:hAnsi="Times New Roman" w:eastAsia="宋体" w:cs="Times New Roman"/>
                      <w:color w:val="000000"/>
                      <w:kern w:val="0"/>
                      <w:sz w:val="21"/>
                      <w:szCs w:val="21"/>
                      <w:bdr w:val="none" w:color="auto" w:sz="0" w:space="0"/>
                      <w:lang w:val="en-US" w:eastAsia="zh-CN" w:bidi="ar"/>
                    </w:rPr>
                    <w:t>1F</w:t>
                  </w:r>
                  <w:r>
                    <w:rPr>
                      <w:rFonts w:hint="eastAsia" w:ascii="Times New Roman" w:hAnsi="Times New Roman" w:eastAsia="宋体" w:cs="宋体"/>
                      <w:color w:val="000000"/>
                      <w:kern w:val="0"/>
                      <w:sz w:val="21"/>
                      <w:szCs w:val="21"/>
                      <w:bdr w:val="none" w:color="auto" w:sz="0" w:space="0"/>
                      <w:lang w:val="en-US" w:eastAsia="zh-CN" w:bidi="ar"/>
                    </w:rPr>
                    <w:t>地坪为±</w:t>
                  </w:r>
                  <w:r>
                    <w:rPr>
                      <w:rFonts w:hint="default" w:ascii="Times New Roman" w:hAnsi="Times New Roman" w:eastAsia="宋体" w:cs="Times New Roman"/>
                      <w:color w:val="000000"/>
                      <w:kern w:val="0"/>
                      <w:sz w:val="21"/>
                      <w:szCs w:val="21"/>
                      <w:bdr w:val="none" w:color="auto" w:sz="0" w:space="0"/>
                      <w:lang w:val="en-US" w:eastAsia="zh-CN" w:bidi="ar"/>
                    </w:rPr>
                    <w:t>0.000</w:t>
                  </w:r>
                  <w:r>
                    <w:rPr>
                      <w:rFonts w:hint="eastAsia" w:ascii="Times New Roman" w:hAnsi="Times New Roman" w:eastAsia="宋体" w:cs="宋体"/>
                      <w:color w:val="000000"/>
                      <w:kern w:val="0"/>
                      <w:sz w:val="21"/>
                      <w:szCs w:val="21"/>
                      <w:bdr w:val="none" w:color="auto" w:sz="0" w:space="0"/>
                      <w:lang w:val="en-US" w:eastAsia="zh-CN" w:bidi="ar"/>
                    </w:rPr>
                    <w:t>。</w:t>
                  </w:r>
                </w:p>
                <w:p w14:paraId="0C747D49">
                  <w:pPr>
                    <w:keepNext w:val="0"/>
                    <w:keepLines w:val="0"/>
                    <w:widowControl w:val="0"/>
                    <w:suppressLineNumbers w:val="0"/>
                    <w:adjustRightInd w:val="0"/>
                    <w:snapToGrid w:val="0"/>
                    <w:spacing w:before="0" w:beforeAutospacing="0" w:after="0" w:afterAutospacing="0" w:line="300" w:lineRule="exact"/>
                    <w:ind w:left="0" w:right="0"/>
                    <w:jc w:val="left"/>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w:t>
                  </w:r>
                  <w:r>
                    <w:rPr>
                      <w:rFonts w:hint="eastAsia" w:ascii="Times New Roman" w:hAnsi="Times New Roman" w:eastAsia="宋体" w:cs="宋体"/>
                      <w:color w:val="000000"/>
                      <w:kern w:val="0"/>
                      <w:sz w:val="21"/>
                      <w:szCs w:val="21"/>
                      <w:bdr w:val="none" w:color="auto" w:sz="0" w:space="0"/>
                      <w:lang w:val="en-US" w:eastAsia="zh-CN" w:bidi="ar"/>
                    </w:rPr>
                    <w:t>、厂房墙体为混凝土砌块基层钢结构。厂房西侧设生产区大门；内外窗框采用彩钢门窗</w:t>
                  </w:r>
                  <w:r>
                    <w:rPr>
                      <w:rFonts w:hint="default" w:ascii="Times New Roman" w:hAnsi="Times New Roman" w:eastAsia="宋体" w:cs="Times New Roman"/>
                      <w:color w:val="000000"/>
                      <w:kern w:val="0"/>
                      <w:sz w:val="21"/>
                      <w:szCs w:val="21"/>
                      <w:bdr w:val="none" w:color="auto" w:sz="0" w:space="0"/>
                      <w:lang w:val="en-US" w:eastAsia="zh-CN" w:bidi="ar"/>
                    </w:rPr>
                    <w:t>+6mm</w:t>
                  </w:r>
                  <w:r>
                    <w:rPr>
                      <w:rFonts w:hint="eastAsia" w:ascii="Times New Roman" w:hAnsi="Times New Roman" w:eastAsia="宋体" w:cs="宋体"/>
                      <w:color w:val="000000"/>
                      <w:kern w:val="0"/>
                      <w:sz w:val="21"/>
                      <w:szCs w:val="21"/>
                      <w:bdr w:val="none" w:color="auto" w:sz="0" w:space="0"/>
                      <w:lang w:val="en-US" w:eastAsia="zh-CN" w:bidi="ar"/>
                    </w:rPr>
                    <w:t>白色透明玻璃，窗系可开采光窗、常闭。依据《工业企业噪声控制设计规范》（</w:t>
                  </w:r>
                  <w:r>
                    <w:rPr>
                      <w:rFonts w:hint="default" w:ascii="Times New Roman" w:hAnsi="Times New Roman" w:eastAsia="宋体" w:cs="Times New Roman"/>
                      <w:color w:val="000000"/>
                      <w:kern w:val="0"/>
                      <w:sz w:val="21"/>
                      <w:szCs w:val="21"/>
                      <w:bdr w:val="none" w:color="auto" w:sz="0" w:space="0"/>
                      <w:lang w:val="en-US" w:eastAsia="zh-CN" w:bidi="ar"/>
                    </w:rPr>
                    <w:t>GB/T50087-2013</w:t>
                  </w:r>
                  <w:r>
                    <w:rPr>
                      <w:rFonts w:hint="eastAsia" w:ascii="Times New Roman" w:hAnsi="Times New Roman" w:eastAsia="宋体" w:cs="宋体"/>
                      <w:color w:val="000000"/>
                      <w:kern w:val="0"/>
                      <w:sz w:val="21"/>
                      <w:szCs w:val="21"/>
                      <w:bdr w:val="none" w:color="auto" w:sz="0" w:space="0"/>
                      <w:lang w:val="en-US" w:eastAsia="zh-CN" w:bidi="ar"/>
                    </w:rPr>
                    <w:t>），采用墙体和门窗等隔声降噪措施后，插入损失可在</w:t>
                  </w:r>
                  <w:r>
                    <w:rPr>
                      <w:rFonts w:hint="default" w:ascii="Times New Roman" w:hAnsi="Times New Roman" w:eastAsia="宋体" w:cs="Times New Roman"/>
                      <w:color w:val="000000"/>
                      <w:kern w:val="0"/>
                      <w:sz w:val="21"/>
                      <w:szCs w:val="21"/>
                      <w:bdr w:val="none" w:color="auto" w:sz="0" w:space="0"/>
                      <w:lang w:val="en-US" w:eastAsia="zh-CN" w:bidi="ar"/>
                    </w:rPr>
                    <w:t>10~20dB</w:t>
                  </w:r>
                  <w:r>
                    <w:rPr>
                      <w:rFonts w:hint="eastAsia" w:ascii="Times New Roman" w:hAnsi="Times New Roman" w:eastAsia="宋体" w:cs="宋体"/>
                      <w:color w:val="000000"/>
                      <w:kern w:val="0"/>
                      <w:sz w:val="21"/>
                      <w:szCs w:val="21"/>
                      <w:bdr w:val="none" w:color="auto" w:sz="0" w:space="0"/>
                      <w:lang w:val="en-US" w:eastAsia="zh-CN" w:bidi="ar"/>
                    </w:rPr>
                    <w:t>（</w:t>
                  </w:r>
                  <w:r>
                    <w:rPr>
                      <w:rFonts w:hint="default" w:ascii="Times New Roman" w:hAnsi="Times New Roman" w:eastAsia="宋体" w:cs="Times New Roman"/>
                      <w:color w:val="000000"/>
                      <w:kern w:val="0"/>
                      <w:sz w:val="21"/>
                      <w:szCs w:val="21"/>
                      <w:bdr w:val="none" w:color="auto" w:sz="0" w:space="0"/>
                      <w:lang w:val="en-US" w:eastAsia="zh-CN" w:bidi="ar"/>
                    </w:rPr>
                    <w:t>A</w:t>
                  </w:r>
                  <w:r>
                    <w:rPr>
                      <w:rFonts w:hint="eastAsia" w:ascii="Times New Roman" w:hAnsi="Times New Roman" w:eastAsia="宋体" w:cs="宋体"/>
                      <w:color w:val="000000"/>
                      <w:kern w:val="0"/>
                      <w:sz w:val="21"/>
                      <w:szCs w:val="21"/>
                      <w:bdr w:val="none" w:color="auto" w:sz="0" w:space="0"/>
                      <w:lang w:val="en-US" w:eastAsia="zh-CN" w:bidi="ar"/>
                    </w:rPr>
                    <w:t>）范围内选取。本次环评生产厂房插入损失取值</w:t>
                  </w:r>
                  <w:r>
                    <w:rPr>
                      <w:rFonts w:hint="default" w:ascii="Times New Roman" w:hAnsi="Times New Roman" w:eastAsia="宋体" w:cs="Times New Roman"/>
                      <w:color w:val="000000"/>
                      <w:kern w:val="0"/>
                      <w:sz w:val="21"/>
                      <w:szCs w:val="21"/>
                      <w:bdr w:val="none" w:color="auto" w:sz="0" w:space="0"/>
                      <w:lang w:val="en-US" w:eastAsia="zh-CN" w:bidi="ar"/>
                    </w:rPr>
                    <w:t>15dB</w:t>
                  </w:r>
                  <w:r>
                    <w:rPr>
                      <w:rFonts w:hint="eastAsia" w:ascii="Times New Roman" w:hAnsi="Times New Roman" w:eastAsia="宋体" w:cs="宋体"/>
                      <w:color w:val="000000"/>
                      <w:kern w:val="0"/>
                      <w:sz w:val="21"/>
                      <w:szCs w:val="21"/>
                      <w:bdr w:val="none" w:color="auto" w:sz="0" w:space="0"/>
                      <w:lang w:val="en-US" w:eastAsia="zh-CN" w:bidi="ar"/>
                    </w:rPr>
                    <w:t>（</w:t>
                  </w:r>
                  <w:r>
                    <w:rPr>
                      <w:rFonts w:hint="default" w:ascii="Times New Roman" w:hAnsi="Times New Roman" w:eastAsia="宋体" w:cs="Times New Roman"/>
                      <w:color w:val="000000"/>
                      <w:kern w:val="0"/>
                      <w:sz w:val="21"/>
                      <w:szCs w:val="21"/>
                      <w:bdr w:val="none" w:color="auto" w:sz="0" w:space="0"/>
                      <w:lang w:val="en-US" w:eastAsia="zh-CN" w:bidi="ar"/>
                    </w:rPr>
                    <w:t>A</w:t>
                  </w:r>
                  <w:r>
                    <w:rPr>
                      <w:rFonts w:hint="eastAsia" w:ascii="Times New Roman" w:hAnsi="Times New Roman" w:eastAsia="宋体" w:cs="宋体"/>
                      <w:color w:val="000000"/>
                      <w:kern w:val="0"/>
                      <w:sz w:val="21"/>
                      <w:szCs w:val="21"/>
                      <w:bdr w:val="none" w:color="auto" w:sz="0" w:space="0"/>
                      <w:lang w:val="en-US" w:eastAsia="zh-CN" w:bidi="ar"/>
                    </w:rPr>
                    <w:t>）。</w:t>
                  </w:r>
                </w:p>
              </w:tc>
            </w:tr>
          </w:tbl>
          <w:p w14:paraId="07B53BBE">
            <w:pPr>
              <w:keepNext w:val="0"/>
              <w:keepLines w:val="0"/>
              <w:widowControl/>
              <w:suppressLineNumbers w:val="0"/>
              <w:spacing w:before="0" w:beforeAutospacing="0" w:after="0" w:afterAutospacing="0" w:line="440" w:lineRule="exact"/>
              <w:ind w:left="0" w:right="0" w:firstLine="480" w:firstLineChars="200"/>
              <w:jc w:val="center"/>
              <w:rPr>
                <w:rFonts w:hint="default" w:ascii="Times New Roman" w:hAnsi="Calibri" w:cs="Times New Roman"/>
                <w:bCs/>
                <w:color w:val="000000"/>
                <w:sz w:val="24"/>
                <w:szCs w:val="24"/>
                <w:bdr w:val="none" w:color="auto" w:sz="0" w:space="0"/>
                <w:lang w:val="en-US"/>
              </w:rPr>
            </w:pPr>
            <w:r>
              <w:rPr>
                <w:rFonts w:hint="eastAsia" w:ascii="Times New Roman" w:hAnsi="Calibri" w:eastAsia="宋体" w:cs="宋体"/>
                <w:bCs/>
                <w:color w:val="000000"/>
                <w:kern w:val="2"/>
                <w:sz w:val="24"/>
                <w:szCs w:val="24"/>
                <w:bdr w:val="none" w:color="auto" w:sz="0" w:space="0"/>
                <w:lang w:val="en-US" w:eastAsia="zh-CN" w:bidi="ar"/>
              </w:rPr>
              <w:t>表</w:t>
            </w:r>
            <w:r>
              <w:rPr>
                <w:rFonts w:hint="default" w:ascii="Times New Roman" w:hAnsi="Calibri" w:eastAsia="宋体" w:cs="Times New Roman"/>
                <w:bCs/>
                <w:color w:val="000000"/>
                <w:kern w:val="2"/>
                <w:sz w:val="24"/>
                <w:szCs w:val="24"/>
                <w:bdr w:val="none" w:color="auto" w:sz="0" w:space="0"/>
                <w:lang w:val="en-US" w:eastAsia="zh-CN" w:bidi="ar"/>
              </w:rPr>
              <w:t xml:space="preserve">4.4-2 </w:t>
            </w:r>
            <w:r>
              <w:rPr>
                <w:rFonts w:hint="eastAsia" w:ascii="Times New Roman" w:hAnsi="Calibri" w:eastAsia="宋体" w:cs="宋体"/>
                <w:bCs/>
                <w:color w:val="000000"/>
                <w:kern w:val="2"/>
                <w:sz w:val="24"/>
                <w:szCs w:val="24"/>
                <w:bdr w:val="none" w:color="auto" w:sz="0" w:space="0"/>
                <w:lang w:val="en-US" w:eastAsia="zh-CN" w:bidi="ar"/>
              </w:rPr>
              <w:t>工业企业噪声源强调查清单（室外声源）</w:t>
            </w:r>
          </w:p>
          <w:tbl>
            <w:tblPr>
              <w:tblStyle w:val="18"/>
              <w:tblpPr w:leftFromText="180" w:rightFromText="180" w:vertAnchor="text" w:tblpXSpec="center" w:tblpY="1"/>
              <w:tblOverlap w:val="never"/>
              <w:tblW w:w="5000" w:type="pct"/>
              <w:tblInd w:w="8" w:type="dxa"/>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tblLayout w:type="fixed"/>
              <w:tblCellMar>
                <w:top w:w="0" w:type="dxa"/>
                <w:left w:w="108" w:type="dxa"/>
                <w:bottom w:w="0" w:type="dxa"/>
                <w:right w:w="108" w:type="dxa"/>
              </w:tblCellMar>
            </w:tblPr>
            <w:tblGrid>
              <w:gridCol w:w="478"/>
              <w:gridCol w:w="1506"/>
              <w:gridCol w:w="709"/>
              <w:gridCol w:w="849"/>
              <w:gridCol w:w="711"/>
              <w:gridCol w:w="849"/>
              <w:gridCol w:w="1718"/>
              <w:gridCol w:w="1125"/>
            </w:tblGrid>
            <w:tr w14:paraId="2E1DEA51">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tblCellMar>
                  <w:top w:w="0" w:type="dxa"/>
                  <w:left w:w="108" w:type="dxa"/>
                  <w:bottom w:w="0" w:type="dxa"/>
                  <w:right w:w="108" w:type="dxa"/>
                </w:tblCellMar>
              </w:tblPrEx>
              <w:trPr>
                <w:trHeight w:val="66" w:hRule="atLeast"/>
              </w:trPr>
              <w:tc>
                <w:tcPr>
                  <w:tcW w:w="479" w:type="dxa"/>
                  <w:vMerge w:val="restart"/>
                  <w:tcBorders>
                    <w:top w:val="single" w:color="auto" w:sz="12" w:space="0"/>
                    <w:left w:val="nil"/>
                    <w:bottom w:val="single" w:color="auto" w:sz="8" w:space="0"/>
                    <w:right w:val="single" w:color="auto" w:sz="8" w:space="0"/>
                  </w:tcBorders>
                  <w:shd w:val="clear"/>
                  <w:vAlign w:val="center"/>
                </w:tcPr>
                <w:p w14:paraId="163AF3D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序号</w:t>
                  </w:r>
                </w:p>
              </w:tc>
              <w:tc>
                <w:tcPr>
                  <w:tcW w:w="1506" w:type="dxa"/>
                  <w:vMerge w:val="restart"/>
                  <w:tcBorders>
                    <w:top w:val="single" w:color="auto" w:sz="12" w:space="0"/>
                    <w:left w:val="single" w:color="auto" w:sz="8" w:space="0"/>
                    <w:bottom w:val="single" w:color="auto" w:sz="8" w:space="0"/>
                    <w:right w:val="single" w:color="auto" w:sz="8" w:space="0"/>
                  </w:tcBorders>
                  <w:shd w:val="clear"/>
                  <w:vAlign w:val="center"/>
                </w:tcPr>
                <w:p w14:paraId="55E94E8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设备名称</w:t>
                  </w:r>
                </w:p>
              </w:tc>
              <w:tc>
                <w:tcPr>
                  <w:tcW w:w="2270" w:type="dxa"/>
                  <w:gridSpan w:val="3"/>
                  <w:tcBorders>
                    <w:top w:val="single" w:color="auto" w:sz="12" w:space="0"/>
                    <w:left w:val="single" w:color="auto" w:sz="8" w:space="0"/>
                    <w:bottom w:val="single" w:color="auto" w:sz="8" w:space="0"/>
                    <w:right w:val="single" w:color="auto" w:sz="8" w:space="0"/>
                  </w:tcBorders>
                  <w:shd w:val="clear"/>
                  <w:vAlign w:val="center"/>
                </w:tcPr>
                <w:p w14:paraId="400E391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空间相对位置（</w:t>
                  </w:r>
                  <w:r>
                    <w:rPr>
                      <w:rFonts w:hint="default" w:ascii="Times New Roman" w:hAnsi="Calibri" w:eastAsia="宋体" w:cs="Times New Roman"/>
                      <w:color w:val="000000"/>
                      <w:kern w:val="0"/>
                      <w:sz w:val="21"/>
                      <w:szCs w:val="21"/>
                      <w:bdr w:val="none" w:color="auto" w:sz="0" w:space="0"/>
                      <w:lang w:val="en-US" w:eastAsia="zh-CN" w:bidi="ar"/>
                    </w:rPr>
                    <w:t>m</w:t>
                  </w:r>
                  <w:r>
                    <w:rPr>
                      <w:rFonts w:hint="eastAsia" w:ascii="Times New Roman" w:hAnsi="Calibri" w:eastAsia="宋体" w:cs="宋体"/>
                      <w:color w:val="000000"/>
                      <w:kern w:val="0"/>
                      <w:sz w:val="21"/>
                      <w:szCs w:val="21"/>
                      <w:bdr w:val="none" w:color="auto" w:sz="0" w:space="0"/>
                      <w:lang w:val="en-US" w:eastAsia="zh-CN" w:bidi="ar"/>
                    </w:rPr>
                    <w:t>）</w:t>
                  </w:r>
                </w:p>
              </w:tc>
              <w:tc>
                <w:tcPr>
                  <w:tcW w:w="850" w:type="dxa"/>
                  <w:vMerge w:val="restart"/>
                  <w:tcBorders>
                    <w:top w:val="single" w:color="auto" w:sz="12" w:space="0"/>
                    <w:left w:val="single" w:color="auto" w:sz="8" w:space="0"/>
                    <w:bottom w:val="single" w:color="auto" w:sz="8" w:space="0"/>
                    <w:right w:val="single" w:color="auto" w:sz="8" w:space="0"/>
                  </w:tcBorders>
                  <w:shd w:val="clear"/>
                  <w:vAlign w:val="center"/>
                </w:tcPr>
                <w:p w14:paraId="5834F2D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源强</w:t>
                  </w:r>
                  <w:r>
                    <w:rPr>
                      <w:rFonts w:hint="default" w:ascii="Times New Roman" w:hAnsi="Times New Roman" w:eastAsia="宋体" w:cs="Times New Roman"/>
                      <w:color w:val="000000"/>
                      <w:kern w:val="0"/>
                      <w:sz w:val="21"/>
                      <w:szCs w:val="21"/>
                      <w:bdr w:val="none" w:color="auto" w:sz="0" w:space="0"/>
                      <w:lang w:val="en-US" w:eastAsia="zh-CN" w:bidi="ar"/>
                    </w:rPr>
                    <w:t>dB(A)</w:t>
                  </w:r>
                </w:p>
              </w:tc>
              <w:tc>
                <w:tcPr>
                  <w:tcW w:w="1718" w:type="dxa"/>
                  <w:vMerge w:val="restart"/>
                  <w:tcBorders>
                    <w:top w:val="single" w:color="auto" w:sz="12" w:space="0"/>
                    <w:left w:val="single" w:color="auto" w:sz="8" w:space="0"/>
                    <w:bottom w:val="single" w:color="auto" w:sz="8" w:space="0"/>
                    <w:right w:val="single" w:color="auto" w:sz="8" w:space="0"/>
                  </w:tcBorders>
                  <w:shd w:val="clear"/>
                  <w:vAlign w:val="center"/>
                </w:tcPr>
                <w:p w14:paraId="5724122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措施</w:t>
                  </w:r>
                </w:p>
              </w:tc>
              <w:tc>
                <w:tcPr>
                  <w:tcW w:w="1125" w:type="dxa"/>
                  <w:vMerge w:val="restart"/>
                  <w:tcBorders>
                    <w:top w:val="single" w:color="auto" w:sz="12" w:space="0"/>
                    <w:left w:val="single" w:color="auto" w:sz="8" w:space="0"/>
                    <w:bottom w:val="single" w:color="auto" w:sz="8" w:space="0"/>
                    <w:right w:val="nil"/>
                  </w:tcBorders>
                  <w:shd w:val="clear"/>
                  <w:vAlign w:val="center"/>
                </w:tcPr>
                <w:p w14:paraId="16B8FF3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运行时段</w:t>
                  </w:r>
                </w:p>
              </w:tc>
            </w:tr>
            <w:tr w14:paraId="1C28AC62">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66" w:hRule="atLeast"/>
              </w:trPr>
              <w:tc>
                <w:tcPr>
                  <w:tcW w:w="479" w:type="dxa"/>
                  <w:vMerge w:val="continue"/>
                  <w:tcBorders>
                    <w:top w:val="single" w:color="auto" w:sz="12" w:space="0"/>
                    <w:left w:val="nil"/>
                    <w:bottom w:val="single" w:color="auto" w:sz="8" w:space="0"/>
                    <w:right w:val="single" w:color="auto" w:sz="8" w:space="0"/>
                  </w:tcBorders>
                  <w:shd w:val="clear"/>
                  <w:vAlign w:val="center"/>
                </w:tcPr>
                <w:p w14:paraId="0EDD0297">
                  <w:pPr>
                    <w:rPr>
                      <w:rFonts w:hint="default" w:ascii="Calibri" w:hAnsi="Calibri" w:cs="Calibri"/>
                      <w:sz w:val="20"/>
                      <w:szCs w:val="20"/>
                    </w:rPr>
                  </w:pPr>
                </w:p>
              </w:tc>
              <w:tc>
                <w:tcPr>
                  <w:tcW w:w="1506" w:type="dxa"/>
                  <w:vMerge w:val="continue"/>
                  <w:tcBorders>
                    <w:top w:val="single" w:color="auto" w:sz="12" w:space="0"/>
                    <w:left w:val="single" w:color="auto" w:sz="8" w:space="0"/>
                    <w:bottom w:val="single" w:color="auto" w:sz="8" w:space="0"/>
                    <w:right w:val="single" w:color="auto" w:sz="8" w:space="0"/>
                  </w:tcBorders>
                  <w:shd w:val="clear"/>
                  <w:vAlign w:val="center"/>
                </w:tcPr>
                <w:p w14:paraId="0921D402">
                  <w:pPr>
                    <w:rPr>
                      <w:rFonts w:hint="default" w:ascii="Calibri" w:hAnsi="Calibri" w:cs="Calibri"/>
                      <w:sz w:val="20"/>
                      <w:szCs w:val="20"/>
                    </w:rPr>
                  </w:pPr>
                </w:p>
              </w:tc>
              <w:tc>
                <w:tcPr>
                  <w:tcW w:w="709" w:type="dxa"/>
                  <w:tcBorders>
                    <w:top w:val="single" w:color="auto" w:sz="8" w:space="0"/>
                    <w:left w:val="single" w:color="auto" w:sz="8" w:space="0"/>
                    <w:bottom w:val="single" w:color="auto" w:sz="8" w:space="0"/>
                    <w:right w:val="single" w:color="auto" w:sz="8" w:space="0"/>
                  </w:tcBorders>
                  <w:shd w:val="clear"/>
                  <w:vAlign w:val="center"/>
                </w:tcPr>
                <w:p w14:paraId="63DD449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default" w:ascii="Times New Roman" w:hAnsi="Calibri" w:eastAsia="宋体" w:cs="Times New Roman"/>
                      <w:color w:val="000000"/>
                      <w:kern w:val="0"/>
                      <w:sz w:val="21"/>
                      <w:szCs w:val="21"/>
                      <w:bdr w:val="none" w:color="auto" w:sz="0" w:space="0"/>
                      <w:lang w:val="en-US" w:eastAsia="zh-CN" w:bidi="ar"/>
                    </w:rPr>
                    <w:t>X</w:t>
                  </w:r>
                </w:p>
              </w:tc>
              <w:tc>
                <w:tcPr>
                  <w:tcW w:w="850" w:type="dxa"/>
                  <w:tcBorders>
                    <w:top w:val="single" w:color="auto" w:sz="8" w:space="0"/>
                    <w:left w:val="single" w:color="auto" w:sz="8" w:space="0"/>
                    <w:bottom w:val="single" w:color="auto" w:sz="8" w:space="0"/>
                    <w:right w:val="single" w:color="auto" w:sz="8" w:space="0"/>
                  </w:tcBorders>
                  <w:shd w:val="clear"/>
                  <w:vAlign w:val="center"/>
                </w:tcPr>
                <w:p w14:paraId="6677336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default" w:ascii="Times New Roman" w:hAnsi="Calibri" w:eastAsia="宋体" w:cs="Times New Roman"/>
                      <w:color w:val="000000"/>
                      <w:kern w:val="0"/>
                      <w:sz w:val="21"/>
                      <w:szCs w:val="21"/>
                      <w:bdr w:val="none" w:color="auto" w:sz="0" w:space="0"/>
                      <w:lang w:val="en-US" w:eastAsia="zh-CN" w:bidi="ar"/>
                    </w:rPr>
                    <w:t>Y</w:t>
                  </w:r>
                </w:p>
              </w:tc>
              <w:tc>
                <w:tcPr>
                  <w:tcW w:w="709" w:type="dxa"/>
                  <w:tcBorders>
                    <w:top w:val="single" w:color="auto" w:sz="8" w:space="0"/>
                    <w:left w:val="single" w:color="auto" w:sz="8" w:space="0"/>
                    <w:bottom w:val="single" w:color="auto" w:sz="8" w:space="0"/>
                    <w:right w:val="single" w:color="auto" w:sz="8" w:space="0"/>
                  </w:tcBorders>
                  <w:shd w:val="clear"/>
                  <w:vAlign w:val="center"/>
                </w:tcPr>
                <w:p w14:paraId="6E171E0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default" w:ascii="Times New Roman" w:hAnsi="Calibri" w:eastAsia="宋体" w:cs="Times New Roman"/>
                      <w:color w:val="000000"/>
                      <w:kern w:val="0"/>
                      <w:sz w:val="21"/>
                      <w:szCs w:val="21"/>
                      <w:bdr w:val="none" w:color="auto" w:sz="0" w:space="0"/>
                      <w:lang w:val="en-US" w:eastAsia="zh-CN" w:bidi="ar"/>
                    </w:rPr>
                    <w:t>Z</w:t>
                  </w:r>
                </w:p>
              </w:tc>
              <w:tc>
                <w:tcPr>
                  <w:tcW w:w="850" w:type="dxa"/>
                  <w:vMerge w:val="continue"/>
                  <w:tcBorders>
                    <w:top w:val="single" w:color="auto" w:sz="12" w:space="0"/>
                    <w:left w:val="single" w:color="auto" w:sz="8" w:space="0"/>
                    <w:bottom w:val="single" w:color="auto" w:sz="8" w:space="0"/>
                    <w:right w:val="single" w:color="auto" w:sz="8" w:space="0"/>
                  </w:tcBorders>
                  <w:shd w:val="clear"/>
                  <w:vAlign w:val="center"/>
                </w:tcPr>
                <w:p w14:paraId="0B85CACE">
                  <w:pPr>
                    <w:rPr>
                      <w:rFonts w:hint="default" w:ascii="Calibri" w:hAnsi="Calibri" w:cs="Calibri"/>
                      <w:sz w:val="20"/>
                      <w:szCs w:val="20"/>
                    </w:rPr>
                  </w:pPr>
                </w:p>
              </w:tc>
              <w:tc>
                <w:tcPr>
                  <w:tcW w:w="1718" w:type="dxa"/>
                  <w:vMerge w:val="continue"/>
                  <w:tcBorders>
                    <w:top w:val="single" w:color="auto" w:sz="12" w:space="0"/>
                    <w:left w:val="single" w:color="auto" w:sz="8" w:space="0"/>
                    <w:bottom w:val="single" w:color="auto" w:sz="8" w:space="0"/>
                    <w:right w:val="single" w:color="auto" w:sz="8" w:space="0"/>
                  </w:tcBorders>
                  <w:shd w:val="clear"/>
                  <w:vAlign w:val="center"/>
                </w:tcPr>
                <w:p w14:paraId="3ADFDFD8">
                  <w:pPr>
                    <w:rPr>
                      <w:rFonts w:hint="default" w:ascii="Calibri" w:hAnsi="Calibri" w:cs="Calibri"/>
                      <w:sz w:val="20"/>
                      <w:szCs w:val="20"/>
                    </w:rPr>
                  </w:pPr>
                </w:p>
              </w:tc>
              <w:tc>
                <w:tcPr>
                  <w:tcW w:w="1125" w:type="dxa"/>
                  <w:vMerge w:val="continue"/>
                  <w:tcBorders>
                    <w:top w:val="single" w:color="auto" w:sz="12" w:space="0"/>
                    <w:left w:val="single" w:color="auto" w:sz="8" w:space="0"/>
                    <w:bottom w:val="single" w:color="auto" w:sz="8" w:space="0"/>
                    <w:right w:val="nil"/>
                  </w:tcBorders>
                  <w:shd w:val="clear"/>
                  <w:vAlign w:val="center"/>
                </w:tcPr>
                <w:p w14:paraId="428193CA">
                  <w:pPr>
                    <w:rPr>
                      <w:rFonts w:hint="default" w:ascii="Calibri" w:hAnsi="Calibri" w:cs="Calibri"/>
                      <w:sz w:val="20"/>
                      <w:szCs w:val="20"/>
                    </w:rPr>
                  </w:pPr>
                </w:p>
              </w:tc>
            </w:tr>
            <w:tr w14:paraId="5A54F569">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74" w:hRule="atLeast"/>
              </w:trPr>
              <w:tc>
                <w:tcPr>
                  <w:tcW w:w="479" w:type="dxa"/>
                  <w:tcBorders>
                    <w:top w:val="single" w:color="auto" w:sz="8" w:space="0"/>
                    <w:left w:val="nil"/>
                    <w:bottom w:val="single" w:color="auto" w:sz="8" w:space="0"/>
                    <w:right w:val="single" w:color="auto" w:sz="8" w:space="0"/>
                  </w:tcBorders>
                  <w:shd w:val="clear"/>
                  <w:vAlign w:val="center"/>
                </w:tcPr>
                <w:p w14:paraId="68841D3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1506" w:type="dxa"/>
                  <w:tcBorders>
                    <w:top w:val="single" w:color="auto" w:sz="8" w:space="0"/>
                    <w:left w:val="single" w:color="auto" w:sz="8" w:space="0"/>
                    <w:bottom w:val="single" w:color="auto" w:sz="8" w:space="0"/>
                    <w:right w:val="single" w:color="auto" w:sz="8" w:space="0"/>
                  </w:tcBorders>
                  <w:shd w:val="clear"/>
                  <w:vAlign w:val="center"/>
                </w:tcPr>
                <w:p w14:paraId="76474F93">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DA001</w:t>
                  </w:r>
                  <w:r>
                    <w:rPr>
                      <w:rFonts w:hint="eastAsia" w:ascii="Times New Roman" w:hAnsi="Times New Roman" w:eastAsia="宋体" w:cs="宋体"/>
                      <w:color w:val="000000"/>
                      <w:kern w:val="2"/>
                      <w:sz w:val="21"/>
                      <w:szCs w:val="21"/>
                      <w:bdr w:val="none" w:color="auto" w:sz="0" w:space="0"/>
                      <w:lang w:val="en-US" w:eastAsia="zh-CN" w:bidi="ar"/>
                    </w:rPr>
                    <w:t>排气筒配套引风机</w:t>
                  </w:r>
                </w:p>
              </w:tc>
              <w:tc>
                <w:tcPr>
                  <w:tcW w:w="709" w:type="dxa"/>
                  <w:tcBorders>
                    <w:top w:val="single" w:color="auto" w:sz="8" w:space="0"/>
                    <w:left w:val="single" w:color="auto" w:sz="8" w:space="0"/>
                    <w:bottom w:val="single" w:color="auto" w:sz="8" w:space="0"/>
                    <w:right w:val="single" w:color="auto" w:sz="8" w:space="0"/>
                  </w:tcBorders>
                  <w:shd w:val="clear"/>
                  <w:vAlign w:val="center"/>
                </w:tcPr>
                <w:p w14:paraId="1E806A4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17</w:t>
                  </w:r>
                </w:p>
              </w:tc>
              <w:tc>
                <w:tcPr>
                  <w:tcW w:w="850" w:type="dxa"/>
                  <w:tcBorders>
                    <w:top w:val="single" w:color="auto" w:sz="8" w:space="0"/>
                    <w:left w:val="single" w:color="auto" w:sz="8" w:space="0"/>
                    <w:bottom w:val="single" w:color="auto" w:sz="8" w:space="0"/>
                    <w:right w:val="single" w:color="auto" w:sz="8" w:space="0"/>
                  </w:tcBorders>
                  <w:shd w:val="clear"/>
                  <w:vAlign w:val="center"/>
                </w:tcPr>
                <w:p w14:paraId="765B640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-15</w:t>
                  </w:r>
                </w:p>
              </w:tc>
              <w:tc>
                <w:tcPr>
                  <w:tcW w:w="709" w:type="dxa"/>
                  <w:tcBorders>
                    <w:top w:val="single" w:color="auto" w:sz="8" w:space="0"/>
                    <w:left w:val="single" w:color="auto" w:sz="8" w:space="0"/>
                    <w:bottom w:val="single" w:color="auto" w:sz="8" w:space="0"/>
                    <w:right w:val="single" w:color="auto" w:sz="8" w:space="0"/>
                  </w:tcBorders>
                  <w:shd w:val="clear"/>
                  <w:vAlign w:val="center"/>
                </w:tcPr>
                <w:p w14:paraId="6834439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13</w:t>
                  </w:r>
                </w:p>
              </w:tc>
              <w:tc>
                <w:tcPr>
                  <w:tcW w:w="850" w:type="dxa"/>
                  <w:tcBorders>
                    <w:top w:val="single" w:color="auto" w:sz="8" w:space="0"/>
                    <w:left w:val="single" w:color="auto" w:sz="8" w:space="0"/>
                    <w:bottom w:val="single" w:color="auto" w:sz="8" w:space="0"/>
                    <w:right w:val="single" w:color="auto" w:sz="8" w:space="0"/>
                  </w:tcBorders>
                  <w:shd w:val="clear"/>
                  <w:vAlign w:val="center"/>
                </w:tcPr>
                <w:p w14:paraId="5D72AE6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75</w:t>
                  </w:r>
                </w:p>
              </w:tc>
              <w:tc>
                <w:tcPr>
                  <w:tcW w:w="1718" w:type="dxa"/>
                  <w:vMerge w:val="restart"/>
                  <w:tcBorders>
                    <w:top w:val="single" w:color="auto" w:sz="8" w:space="0"/>
                    <w:left w:val="single" w:color="auto" w:sz="8" w:space="0"/>
                    <w:bottom w:val="single" w:color="auto" w:sz="8" w:space="0"/>
                    <w:right w:val="single" w:color="auto" w:sz="8" w:space="0"/>
                  </w:tcBorders>
                  <w:shd w:val="clear"/>
                  <w:vAlign w:val="center"/>
                </w:tcPr>
                <w:p w14:paraId="3780F4A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bookmarkStart w:id="47" w:name="OLE_LINK3"/>
                  <w:bookmarkStart w:id="48" w:name="OLE_LINK4"/>
                  <w:r>
                    <w:rPr>
                      <w:rFonts w:hint="eastAsia" w:ascii="Times New Roman" w:hAnsi="Calibri" w:eastAsia="宋体" w:cs="宋体"/>
                      <w:color w:val="000000"/>
                      <w:kern w:val="0"/>
                      <w:sz w:val="21"/>
                      <w:szCs w:val="21"/>
                      <w:bdr w:val="none" w:color="auto" w:sz="0" w:space="0"/>
                      <w:lang w:val="en-US" w:eastAsia="zh-CN" w:bidi="ar"/>
                    </w:rPr>
                    <w:t>选用低噪声设备；采取基础隔振、减震</w:t>
                  </w:r>
                  <w:bookmarkEnd w:id="47"/>
                  <w:bookmarkEnd w:id="48"/>
                  <w:r>
                    <w:rPr>
                      <w:rFonts w:hint="eastAsia" w:ascii="Times New Roman" w:hAnsi="Calibri" w:eastAsia="宋体" w:cs="宋体"/>
                      <w:color w:val="000000"/>
                      <w:kern w:val="0"/>
                      <w:sz w:val="21"/>
                      <w:szCs w:val="21"/>
                      <w:bdr w:val="none" w:color="auto" w:sz="0" w:space="0"/>
                      <w:lang w:val="en-US" w:eastAsia="zh-CN" w:bidi="ar"/>
                    </w:rPr>
                    <w:t>措施</w:t>
                  </w:r>
                </w:p>
              </w:tc>
              <w:tc>
                <w:tcPr>
                  <w:tcW w:w="1125" w:type="dxa"/>
                  <w:vMerge w:val="restart"/>
                  <w:tcBorders>
                    <w:top w:val="single" w:color="auto" w:sz="8" w:space="0"/>
                    <w:left w:val="single" w:color="auto" w:sz="8" w:space="0"/>
                    <w:bottom w:val="single" w:color="auto" w:sz="8" w:space="0"/>
                    <w:right w:val="nil"/>
                  </w:tcBorders>
                  <w:shd w:val="clear"/>
                  <w:vAlign w:val="center"/>
                </w:tcPr>
                <w:p w14:paraId="4210364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bookmarkStart w:id="49" w:name="OLE_LINK5"/>
                  <w:bookmarkStart w:id="50" w:name="OLE_LINK6"/>
                  <w:r>
                    <w:rPr>
                      <w:rFonts w:hint="eastAsia" w:ascii="Times New Roman" w:hAnsi="Times New Roman" w:eastAsia="宋体" w:cs="宋体"/>
                      <w:color w:val="000000"/>
                      <w:kern w:val="0"/>
                      <w:sz w:val="21"/>
                      <w:szCs w:val="21"/>
                      <w:bdr w:val="none" w:color="auto" w:sz="0" w:space="0"/>
                      <w:lang w:val="en-US" w:eastAsia="zh-CN" w:bidi="ar"/>
                    </w:rPr>
                    <w:t>昼</w:t>
                  </w:r>
                  <w:bookmarkEnd w:id="49"/>
                  <w:bookmarkEnd w:id="50"/>
                  <w:r>
                    <w:rPr>
                      <w:rFonts w:hint="eastAsia" w:ascii="Times New Roman" w:hAnsi="Times New Roman" w:eastAsia="宋体" w:cs="宋体"/>
                      <w:color w:val="000000"/>
                      <w:kern w:val="0"/>
                      <w:sz w:val="21"/>
                      <w:szCs w:val="21"/>
                      <w:bdr w:val="none" w:color="auto" w:sz="0" w:space="0"/>
                      <w:lang w:val="en-US" w:eastAsia="zh-CN" w:bidi="ar"/>
                    </w:rPr>
                    <w:t>、夜</w:t>
                  </w:r>
                </w:p>
              </w:tc>
            </w:tr>
            <w:tr w14:paraId="5EF4CCF1">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74" w:hRule="atLeast"/>
              </w:trPr>
              <w:tc>
                <w:tcPr>
                  <w:tcW w:w="479" w:type="dxa"/>
                  <w:tcBorders>
                    <w:top w:val="single" w:color="auto" w:sz="8" w:space="0"/>
                    <w:left w:val="nil"/>
                    <w:bottom w:val="single" w:color="auto" w:sz="8" w:space="0"/>
                    <w:right w:val="single" w:color="auto" w:sz="8" w:space="0"/>
                  </w:tcBorders>
                  <w:shd w:val="clear"/>
                  <w:vAlign w:val="center"/>
                </w:tcPr>
                <w:p w14:paraId="5EF063D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w:t>
                  </w:r>
                </w:p>
              </w:tc>
              <w:tc>
                <w:tcPr>
                  <w:tcW w:w="1506" w:type="dxa"/>
                  <w:tcBorders>
                    <w:top w:val="single" w:color="auto" w:sz="8" w:space="0"/>
                    <w:left w:val="single" w:color="auto" w:sz="8" w:space="0"/>
                    <w:bottom w:val="single" w:color="auto" w:sz="8" w:space="0"/>
                    <w:right w:val="single" w:color="auto" w:sz="8" w:space="0"/>
                  </w:tcBorders>
                  <w:shd w:val="clear"/>
                  <w:vAlign w:val="center"/>
                </w:tcPr>
                <w:p w14:paraId="2EFDC66D">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DA002</w:t>
                  </w:r>
                  <w:r>
                    <w:rPr>
                      <w:rFonts w:hint="eastAsia" w:ascii="Times New Roman" w:hAnsi="Times New Roman" w:eastAsia="宋体" w:cs="宋体"/>
                      <w:color w:val="000000"/>
                      <w:kern w:val="2"/>
                      <w:sz w:val="21"/>
                      <w:szCs w:val="21"/>
                      <w:bdr w:val="none" w:color="auto" w:sz="0" w:space="0"/>
                      <w:lang w:val="en-US" w:eastAsia="zh-CN" w:bidi="ar"/>
                    </w:rPr>
                    <w:t>排气筒配套引风机</w:t>
                  </w:r>
                </w:p>
              </w:tc>
              <w:tc>
                <w:tcPr>
                  <w:tcW w:w="709" w:type="dxa"/>
                  <w:tcBorders>
                    <w:top w:val="single" w:color="auto" w:sz="8" w:space="0"/>
                    <w:left w:val="single" w:color="auto" w:sz="8" w:space="0"/>
                    <w:bottom w:val="single" w:color="auto" w:sz="8" w:space="0"/>
                    <w:right w:val="single" w:color="auto" w:sz="8" w:space="0"/>
                  </w:tcBorders>
                  <w:shd w:val="clear"/>
                  <w:vAlign w:val="center"/>
                </w:tcPr>
                <w:p w14:paraId="21CECB2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16</w:t>
                  </w:r>
                </w:p>
              </w:tc>
              <w:tc>
                <w:tcPr>
                  <w:tcW w:w="850" w:type="dxa"/>
                  <w:tcBorders>
                    <w:top w:val="single" w:color="auto" w:sz="8" w:space="0"/>
                    <w:left w:val="single" w:color="auto" w:sz="8" w:space="0"/>
                    <w:bottom w:val="single" w:color="auto" w:sz="8" w:space="0"/>
                    <w:right w:val="single" w:color="auto" w:sz="8" w:space="0"/>
                  </w:tcBorders>
                  <w:shd w:val="clear"/>
                  <w:vAlign w:val="center"/>
                </w:tcPr>
                <w:p w14:paraId="2538B5C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-16</w:t>
                  </w:r>
                </w:p>
              </w:tc>
              <w:tc>
                <w:tcPr>
                  <w:tcW w:w="709" w:type="dxa"/>
                  <w:tcBorders>
                    <w:top w:val="single" w:color="auto" w:sz="8" w:space="0"/>
                    <w:left w:val="single" w:color="auto" w:sz="8" w:space="0"/>
                    <w:bottom w:val="single" w:color="auto" w:sz="8" w:space="0"/>
                    <w:right w:val="single" w:color="auto" w:sz="8" w:space="0"/>
                  </w:tcBorders>
                  <w:shd w:val="clear"/>
                  <w:vAlign w:val="center"/>
                </w:tcPr>
                <w:p w14:paraId="769F2F1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13</w:t>
                  </w:r>
                </w:p>
              </w:tc>
              <w:tc>
                <w:tcPr>
                  <w:tcW w:w="850" w:type="dxa"/>
                  <w:tcBorders>
                    <w:top w:val="single" w:color="auto" w:sz="8" w:space="0"/>
                    <w:left w:val="single" w:color="auto" w:sz="8" w:space="0"/>
                    <w:bottom w:val="single" w:color="auto" w:sz="8" w:space="0"/>
                    <w:right w:val="single" w:color="auto" w:sz="8" w:space="0"/>
                  </w:tcBorders>
                  <w:shd w:val="clear"/>
                  <w:vAlign w:val="center"/>
                </w:tcPr>
                <w:p w14:paraId="04D8821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75</w:t>
                  </w:r>
                </w:p>
              </w:tc>
              <w:tc>
                <w:tcPr>
                  <w:tcW w:w="1718" w:type="dxa"/>
                  <w:vMerge w:val="continue"/>
                  <w:tcBorders>
                    <w:top w:val="single" w:color="auto" w:sz="8" w:space="0"/>
                    <w:left w:val="single" w:color="auto" w:sz="8" w:space="0"/>
                    <w:bottom w:val="single" w:color="auto" w:sz="8" w:space="0"/>
                    <w:right w:val="single" w:color="auto" w:sz="8" w:space="0"/>
                  </w:tcBorders>
                  <w:shd w:val="clear"/>
                  <w:vAlign w:val="center"/>
                </w:tcPr>
                <w:p w14:paraId="3AB72CB7">
                  <w:pPr>
                    <w:rPr>
                      <w:rFonts w:hint="default" w:ascii="Calibri" w:hAnsi="Calibri" w:cs="Calibri"/>
                      <w:sz w:val="20"/>
                      <w:szCs w:val="20"/>
                    </w:rPr>
                  </w:pPr>
                </w:p>
              </w:tc>
              <w:tc>
                <w:tcPr>
                  <w:tcW w:w="1125" w:type="dxa"/>
                  <w:vMerge w:val="continue"/>
                  <w:tcBorders>
                    <w:top w:val="single" w:color="auto" w:sz="8" w:space="0"/>
                    <w:left w:val="single" w:color="auto" w:sz="8" w:space="0"/>
                    <w:bottom w:val="single" w:color="auto" w:sz="8" w:space="0"/>
                    <w:right w:val="nil"/>
                  </w:tcBorders>
                  <w:shd w:val="clear"/>
                  <w:vAlign w:val="center"/>
                </w:tcPr>
                <w:p w14:paraId="31CE6C45">
                  <w:pPr>
                    <w:rPr>
                      <w:rFonts w:hint="default" w:ascii="Calibri" w:hAnsi="Calibri" w:cs="Calibri"/>
                      <w:sz w:val="20"/>
                      <w:szCs w:val="20"/>
                    </w:rPr>
                  </w:pPr>
                </w:p>
              </w:tc>
            </w:tr>
            <w:tr w14:paraId="478A41FD">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74" w:hRule="atLeast"/>
              </w:trPr>
              <w:tc>
                <w:tcPr>
                  <w:tcW w:w="7946" w:type="dxa"/>
                  <w:gridSpan w:val="8"/>
                  <w:tcBorders>
                    <w:top w:val="single" w:color="auto" w:sz="8" w:space="0"/>
                    <w:left w:val="nil"/>
                    <w:bottom w:val="single" w:color="auto" w:sz="12" w:space="0"/>
                    <w:right w:val="nil"/>
                  </w:tcBorders>
                  <w:shd w:val="clear"/>
                  <w:vAlign w:val="center"/>
                </w:tcPr>
                <w:p w14:paraId="10C7D25C">
                  <w:pPr>
                    <w:keepNext w:val="0"/>
                    <w:keepLines w:val="0"/>
                    <w:widowControl w:val="0"/>
                    <w:suppressLineNumbers w:val="0"/>
                    <w:adjustRightInd w:val="0"/>
                    <w:snapToGrid w:val="0"/>
                    <w:spacing w:before="0" w:beforeAutospacing="0" w:after="0" w:afterAutospacing="0" w:line="300" w:lineRule="exact"/>
                    <w:ind w:left="0" w:right="0"/>
                    <w:jc w:val="left"/>
                    <w:rPr>
                      <w:rFonts w:hint="default" w:ascii="Times New Roman" w:hAnsi="Times New Roman" w:cs="Times New Roman"/>
                      <w:color w:val="000000"/>
                      <w:kern w:val="0"/>
                      <w:szCs w:val="21"/>
                      <w:bdr w:val="none" w:color="auto" w:sz="0" w:space="0"/>
                      <w:lang w:val="en-US"/>
                    </w:rPr>
                  </w:pPr>
                  <w:bookmarkStart w:id="51" w:name="OLE_LINK39"/>
                  <w:bookmarkStart w:id="52" w:name="OLE_LINK38"/>
                  <w:r>
                    <w:rPr>
                      <w:rFonts w:hint="eastAsia" w:ascii="Times New Roman" w:hAnsi="Times New Roman" w:eastAsia="宋体" w:cs="宋体"/>
                      <w:color w:val="000000"/>
                      <w:kern w:val="0"/>
                      <w:sz w:val="21"/>
                      <w:szCs w:val="21"/>
                      <w:bdr w:val="none" w:color="auto" w:sz="0" w:space="0"/>
                      <w:lang w:val="en-US" w:eastAsia="zh-CN" w:bidi="ar"/>
                    </w:rPr>
                    <w:t>注：以厂房中心为原点，厂房</w:t>
                  </w:r>
                  <w:r>
                    <w:rPr>
                      <w:rFonts w:hint="default" w:ascii="Times New Roman" w:hAnsi="Times New Roman" w:eastAsia="宋体" w:cs="Times New Roman"/>
                      <w:color w:val="000000"/>
                      <w:kern w:val="0"/>
                      <w:sz w:val="21"/>
                      <w:szCs w:val="21"/>
                      <w:bdr w:val="none" w:color="auto" w:sz="0" w:space="0"/>
                      <w:lang w:val="en-US" w:eastAsia="zh-CN" w:bidi="ar"/>
                    </w:rPr>
                    <w:t>1F</w:t>
                  </w:r>
                  <w:r>
                    <w:rPr>
                      <w:rFonts w:hint="eastAsia" w:ascii="Times New Roman" w:hAnsi="Times New Roman" w:eastAsia="宋体" w:cs="宋体"/>
                      <w:color w:val="000000"/>
                      <w:kern w:val="0"/>
                      <w:sz w:val="21"/>
                      <w:szCs w:val="21"/>
                      <w:bdr w:val="none" w:color="auto" w:sz="0" w:space="0"/>
                      <w:lang w:val="en-US" w:eastAsia="zh-CN" w:bidi="ar"/>
                    </w:rPr>
                    <w:t>地坪为±</w:t>
                  </w:r>
                  <w:r>
                    <w:rPr>
                      <w:rFonts w:hint="default" w:ascii="Times New Roman" w:hAnsi="Times New Roman" w:eastAsia="宋体" w:cs="Times New Roman"/>
                      <w:color w:val="000000"/>
                      <w:kern w:val="0"/>
                      <w:sz w:val="21"/>
                      <w:szCs w:val="21"/>
                      <w:bdr w:val="none" w:color="auto" w:sz="0" w:space="0"/>
                      <w:lang w:val="en-US" w:eastAsia="zh-CN" w:bidi="ar"/>
                    </w:rPr>
                    <w:t>0.000</w:t>
                  </w:r>
                  <w:r>
                    <w:rPr>
                      <w:rFonts w:hint="eastAsia" w:ascii="Times New Roman" w:hAnsi="Times New Roman" w:eastAsia="宋体" w:cs="宋体"/>
                      <w:color w:val="000000"/>
                      <w:kern w:val="0"/>
                      <w:sz w:val="21"/>
                      <w:szCs w:val="21"/>
                      <w:bdr w:val="none" w:color="auto" w:sz="0" w:space="0"/>
                      <w:lang w:val="en-US" w:eastAsia="zh-CN" w:bidi="ar"/>
                    </w:rPr>
                    <w:t>。</w:t>
                  </w:r>
                  <w:bookmarkEnd w:id="51"/>
                  <w:bookmarkEnd w:id="52"/>
                </w:p>
              </w:tc>
            </w:tr>
          </w:tbl>
          <w:p w14:paraId="3D9706EA">
            <w:pPr>
              <w:keepNext w:val="0"/>
              <w:keepLines w:val="0"/>
              <w:widowControl w:val="0"/>
              <w:suppressLineNumbers w:val="0"/>
              <w:adjustRightInd w:val="0"/>
              <w:snapToGrid w:val="0"/>
              <w:spacing w:before="0" w:beforeAutospacing="0" w:after="0" w:afterAutospacing="0" w:line="440" w:lineRule="exact"/>
              <w:ind w:left="0" w:right="0"/>
              <w:jc w:val="left"/>
              <w:outlineLvl w:val="2"/>
              <w:rPr>
                <w:rFonts w:hint="default" w:ascii="Times New Roman" w:hAnsi="宋体" w:cs="Times New Roman"/>
                <w:b/>
                <w:bCs/>
                <w:color w:val="000000"/>
                <w:spacing w:val="-10"/>
                <w:sz w:val="24"/>
                <w:szCs w:val="24"/>
                <w:bdr w:val="none" w:color="auto" w:sz="0" w:space="0"/>
                <w:lang w:val="en-US"/>
              </w:rPr>
            </w:pPr>
            <w:r>
              <w:rPr>
                <w:rFonts w:hint="default" w:ascii="Times New Roman" w:hAnsi="宋体" w:eastAsia="宋体" w:cs="Times New Roman"/>
                <w:b/>
                <w:bCs/>
                <w:color w:val="000000"/>
                <w:spacing w:val="-10"/>
                <w:kern w:val="2"/>
                <w:sz w:val="24"/>
                <w:szCs w:val="24"/>
                <w:bdr w:val="none" w:color="auto" w:sz="0" w:space="0"/>
                <w:lang w:val="en-US" w:eastAsia="zh-CN" w:bidi="ar"/>
              </w:rPr>
              <w:t xml:space="preserve">4.4.2 </w:t>
            </w:r>
            <w:r>
              <w:rPr>
                <w:rFonts w:hint="eastAsia" w:ascii="Times New Roman" w:hAnsi="宋体" w:eastAsia="宋体" w:cs="宋体"/>
                <w:b/>
                <w:bCs/>
                <w:color w:val="000000"/>
                <w:spacing w:val="-10"/>
                <w:kern w:val="2"/>
                <w:sz w:val="24"/>
                <w:szCs w:val="24"/>
                <w:bdr w:val="none" w:color="auto" w:sz="0" w:space="0"/>
                <w:lang w:val="en-US" w:eastAsia="zh-CN" w:bidi="ar"/>
              </w:rPr>
              <w:t>达标分析及污染防治措施</w:t>
            </w:r>
          </w:p>
          <w:p w14:paraId="71F827E5">
            <w:pPr>
              <w:keepNext w:val="0"/>
              <w:keepLines w:val="0"/>
              <w:widowControl w:val="0"/>
              <w:suppressLineNumbers w:val="0"/>
              <w:spacing w:before="0" w:beforeAutospacing="0" w:after="0" w:afterAutospacing="0" w:line="440" w:lineRule="exact"/>
              <w:ind w:left="0" w:right="0" w:firstLine="480"/>
              <w:jc w:val="both"/>
              <w:rPr>
                <w:rFonts w:hint="eastAsia" w:ascii="宋体" w:hAnsi="宋体" w:eastAsia="宋体" w:cs="宋体"/>
                <w:color w:val="000000"/>
                <w:kern w:val="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本评价在进行预测时不考虑大气吸收、地面效应、屏障屏蔽、其他多方面效应引起的噪声衰减，仅考虑几何发散衰减。按照《环境影响评价技术导则—声环境》（</w:t>
            </w:r>
            <w:r>
              <w:rPr>
                <w:rFonts w:hint="default" w:ascii="Times New Roman" w:hAnsi="Times New Roman" w:eastAsia="宋体" w:cs="Times New Roman"/>
                <w:color w:val="000000"/>
                <w:kern w:val="2"/>
                <w:sz w:val="24"/>
                <w:szCs w:val="24"/>
                <w:bdr w:val="none" w:color="auto" w:sz="0" w:space="0"/>
                <w:lang w:val="en-US" w:eastAsia="zh-CN" w:bidi="ar"/>
              </w:rPr>
              <w:t>HJ2.4-2021</w:t>
            </w:r>
            <w:r>
              <w:rPr>
                <w:rFonts w:hint="eastAsia" w:ascii="Times New Roman" w:hAnsi="Times New Roman" w:eastAsia="宋体" w:cs="宋体"/>
                <w:color w:val="000000"/>
                <w:kern w:val="2"/>
                <w:sz w:val="24"/>
                <w:szCs w:val="24"/>
                <w:bdr w:val="none" w:color="auto" w:sz="0" w:space="0"/>
                <w:lang w:val="en-US" w:eastAsia="zh-CN" w:bidi="ar"/>
              </w:rPr>
              <w:t>）</w:t>
            </w:r>
            <w:r>
              <w:rPr>
                <w:rFonts w:hint="eastAsia" w:ascii="宋体" w:hAnsi="宋体" w:eastAsia="宋体" w:cs="宋体"/>
                <w:color w:val="000000"/>
                <w:kern w:val="0"/>
                <w:sz w:val="24"/>
                <w:szCs w:val="24"/>
                <w:bdr w:val="none" w:color="auto" w:sz="0" w:space="0"/>
                <w:lang w:val="en-US" w:eastAsia="zh-CN" w:bidi="ar"/>
              </w:rPr>
              <w:t>噪声预测模型进行预测。</w:t>
            </w:r>
          </w:p>
          <w:p w14:paraId="562972DC">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1</w:t>
            </w:r>
            <w:r>
              <w:rPr>
                <w:rFonts w:hint="eastAsia" w:ascii="Times New Roman" w:hAnsi="Times New Roman" w:eastAsia="宋体" w:cs="宋体"/>
                <w:color w:val="000000"/>
                <w:kern w:val="2"/>
                <w:sz w:val="24"/>
                <w:szCs w:val="24"/>
                <w:bdr w:val="none" w:color="auto" w:sz="0" w:space="0"/>
                <w:lang w:val="en-US" w:eastAsia="zh-CN" w:bidi="ar"/>
              </w:rPr>
              <w:t>、</w:t>
            </w:r>
            <w:r>
              <w:rPr>
                <w:rFonts w:hint="eastAsia" w:ascii="Times New Roman" w:hAnsi="Calibri" w:eastAsia="宋体" w:cs="宋体"/>
                <w:color w:val="000000"/>
                <w:kern w:val="2"/>
                <w:sz w:val="24"/>
                <w:szCs w:val="24"/>
                <w:bdr w:val="none" w:color="auto" w:sz="0" w:space="0"/>
                <w:lang w:val="en-US" w:eastAsia="zh-CN" w:bidi="ar"/>
              </w:rPr>
              <w:t>室内声源等效室外声源声功率级计算方法：</w:t>
            </w:r>
          </w:p>
          <w:p w14:paraId="10A3EDCB">
            <w:pPr>
              <w:keepNext w:val="0"/>
              <w:keepLines w:val="0"/>
              <w:widowControl w:val="0"/>
              <w:suppressLineNumbers w:val="0"/>
              <w:spacing w:before="0" w:beforeAutospacing="0" w:after="0" w:afterAutospacing="0" w:line="440" w:lineRule="exact"/>
              <w:ind w:left="420" w:leftChars="200" w:right="0"/>
              <w:jc w:val="both"/>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A</w:t>
            </w:r>
            <w:r>
              <w:rPr>
                <w:rFonts w:hint="eastAsia" w:ascii="Times New Roman" w:hAnsi="Times New Roman" w:eastAsia="宋体" w:cs="宋体"/>
                <w:color w:val="000000"/>
                <w:kern w:val="2"/>
                <w:sz w:val="24"/>
                <w:szCs w:val="24"/>
                <w:bdr w:val="none" w:color="auto" w:sz="0" w:space="0"/>
                <w:lang w:val="en-US" w:eastAsia="zh-CN" w:bidi="ar"/>
              </w:rPr>
              <w:t>、某一室内声源靠近围护结构处的倍频带声压级或</w:t>
            </w:r>
            <w:r>
              <w:rPr>
                <w:rFonts w:hint="default" w:ascii="Times New Roman" w:hAnsi="Times New Roman" w:eastAsia="宋体" w:cs="Times New Roman"/>
                <w:color w:val="000000"/>
                <w:kern w:val="2"/>
                <w:sz w:val="24"/>
                <w:szCs w:val="24"/>
                <w:bdr w:val="none" w:color="auto" w:sz="0" w:space="0"/>
                <w:lang w:val="en-US" w:eastAsia="zh-CN" w:bidi="ar"/>
              </w:rPr>
              <w:t>A</w:t>
            </w:r>
            <w:r>
              <w:rPr>
                <w:rFonts w:hint="eastAsia" w:ascii="Times New Roman" w:hAnsi="Times New Roman" w:eastAsia="宋体" w:cs="宋体"/>
                <w:color w:val="000000"/>
                <w:kern w:val="2"/>
                <w:sz w:val="24"/>
                <w:szCs w:val="24"/>
                <w:bdr w:val="none" w:color="auto" w:sz="0" w:space="0"/>
                <w:lang w:val="en-US" w:eastAsia="zh-CN" w:bidi="ar"/>
              </w:rPr>
              <w:t>声级</w:t>
            </w:r>
            <w:r>
              <w:rPr>
                <w:rFonts w:hint="default" w:ascii="Times New Roman" w:hAnsi="Times New Roman" w:eastAsia="宋体" w:cs="Times New Roman"/>
                <w:color w:val="000000"/>
                <w:kern w:val="2"/>
                <w:sz w:val="24"/>
                <w:szCs w:val="24"/>
                <w:bdr w:val="none" w:color="auto" w:sz="0" w:space="0"/>
                <w:lang w:val="en-US" w:eastAsia="zh-CN" w:bidi="ar"/>
              </w:rPr>
              <w:t xml:space="preserve">   </w:t>
            </w:r>
          </w:p>
          <w:p w14:paraId="6C7E8A7C">
            <w:pPr>
              <w:keepNext w:val="0"/>
              <w:keepLines w:val="0"/>
              <w:widowControl w:val="0"/>
              <w:suppressLineNumbers w:val="0"/>
              <w:spacing w:before="0" w:beforeAutospacing="0" w:after="0" w:afterAutospacing="0" w:line="440" w:lineRule="exact"/>
              <w:ind w:left="420" w:leftChars="200" w:right="0"/>
              <w:jc w:val="both"/>
              <w:rPr>
                <w:rFonts w:hint="default" w:ascii="Times New Roman" w:hAnsi="Times New Roman" w:cs="Times New Roman"/>
                <w:color w:val="000000"/>
                <w:sz w:val="24"/>
                <w:szCs w:val="24"/>
                <w:bdr w:val="none" w:color="auto" w:sz="0" w:space="0"/>
                <w:lang w:val="en-US"/>
              </w:rPr>
            </w:pPr>
            <w:r>
              <w:rPr>
                <w:rFonts w:hint="default" w:ascii="Calibri" w:hAnsi="Calibri" w:eastAsia="宋体" w:cs="Times New Roman"/>
                <w:kern w:val="2"/>
                <w:sz w:val="21"/>
                <w:szCs w:val="24"/>
                <w:bdr w:val="none" w:color="auto" w:sz="0" w:space="0"/>
                <w:lang w:val="en-US" w:eastAsia="zh-CN" w:bidi="ar"/>
              </w:rPr>
              <w:drawing>
                <wp:anchor distT="0" distB="0" distL="114300" distR="114300" simplePos="0" relativeHeight="251659264" behindDoc="0" locked="0" layoutInCell="1" allowOverlap="1">
                  <wp:simplePos x="0" y="0"/>
                  <wp:positionH relativeFrom="column">
                    <wp:posOffset>1358265</wp:posOffset>
                  </wp:positionH>
                  <wp:positionV relativeFrom="paragraph">
                    <wp:posOffset>26035</wp:posOffset>
                  </wp:positionV>
                  <wp:extent cx="2019300" cy="483870"/>
                  <wp:effectExtent l="0" t="0" r="0" b="11430"/>
                  <wp:wrapNone/>
                  <wp:docPr id="1" name="图片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31"/>
                          <pic:cNvPicPr>
                            <a:picLocks noChangeAspect="1"/>
                          </pic:cNvPicPr>
                        </pic:nvPicPr>
                        <pic:blipFill>
                          <a:blip r:embed="rId22"/>
                          <a:stretch>
                            <a:fillRect/>
                          </a:stretch>
                        </pic:blipFill>
                        <pic:spPr>
                          <a:xfrm>
                            <a:off x="0" y="0"/>
                            <a:ext cx="2019300" cy="483870"/>
                          </a:xfrm>
                          <a:prstGeom prst="rect">
                            <a:avLst/>
                          </a:prstGeom>
                          <a:noFill/>
                          <a:ln>
                            <a:noFill/>
                          </a:ln>
                        </pic:spPr>
                      </pic:pic>
                    </a:graphicData>
                  </a:graphic>
                </wp:anchor>
              </w:drawing>
            </w:r>
          </w:p>
          <w:p w14:paraId="1D600FCB">
            <w:pPr>
              <w:keepNext w:val="0"/>
              <w:keepLines w:val="0"/>
              <w:widowControl w:val="0"/>
              <w:suppressLineNumbers w:val="0"/>
              <w:spacing w:before="0" w:beforeAutospacing="0" w:after="0" w:afterAutospacing="0" w:line="440" w:lineRule="exact"/>
              <w:ind w:left="420" w:leftChars="200" w:right="0"/>
              <w:jc w:val="both"/>
              <w:rPr>
                <w:rFonts w:hint="default" w:ascii="Times New Roman" w:hAnsi="Times New Roman" w:cs="Times New Roman"/>
                <w:color w:val="000000"/>
                <w:sz w:val="24"/>
                <w:szCs w:val="24"/>
                <w:bdr w:val="none" w:color="auto" w:sz="0" w:space="0"/>
                <w:lang w:val="en-US"/>
              </w:rPr>
            </w:pPr>
          </w:p>
          <w:p w14:paraId="40DBA355">
            <w:pPr>
              <w:keepNext w:val="0"/>
              <w:keepLines w:val="0"/>
              <w:widowControl w:val="0"/>
              <w:suppressLineNumbers w:val="0"/>
              <w:spacing w:before="0" w:beforeAutospacing="0" w:after="0" w:afterAutospacing="0" w:line="440" w:lineRule="exact"/>
              <w:ind w:left="420" w:leftChars="200" w:right="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式中：</w:t>
            </w:r>
            <w:r>
              <w:rPr>
                <w:rFonts w:hint="default" w:ascii="Times New Roman" w:hAnsi="Times New Roman" w:eastAsia="宋体" w:cs="Times New Roman"/>
                <w:color w:val="000000"/>
                <w:kern w:val="2"/>
                <w:sz w:val="24"/>
                <w:szCs w:val="24"/>
                <w:bdr w:val="none" w:color="auto" w:sz="0" w:space="0"/>
                <w:lang w:val="en-US" w:eastAsia="zh-CN" w:bidi="ar"/>
              </w:rPr>
              <w:t>L</w:t>
            </w:r>
            <w:r>
              <w:rPr>
                <w:rFonts w:hint="default" w:ascii="Times New Roman" w:hAnsi="Times New Roman" w:eastAsia="宋体" w:cs="Times New Roman"/>
                <w:color w:val="000000"/>
                <w:kern w:val="2"/>
                <w:sz w:val="24"/>
                <w:szCs w:val="24"/>
                <w:bdr w:val="none" w:color="auto" w:sz="0" w:space="0"/>
                <w:vertAlign w:val="subscript"/>
                <w:lang w:val="en-US" w:eastAsia="zh-CN" w:bidi="ar"/>
              </w:rPr>
              <w:t>p1</w:t>
            </w:r>
            <w:r>
              <w:rPr>
                <w:rFonts w:hint="default" w:ascii="Times New Roman" w:hAnsi="Times New Roman" w:eastAsia="宋体" w:cs="Times New Roman"/>
                <w:color w:val="000000"/>
                <w:kern w:val="2"/>
                <w:sz w:val="24"/>
                <w:szCs w:val="24"/>
                <w:bdr w:val="none" w:color="auto" w:sz="0" w:space="0"/>
                <w:lang w:val="en-US" w:eastAsia="zh-CN" w:bidi="ar"/>
              </w:rPr>
              <w:t>—</w:t>
            </w:r>
            <w:r>
              <w:rPr>
                <w:rFonts w:hint="eastAsia" w:ascii="Times New Roman" w:hAnsi="Times New Roman" w:eastAsia="宋体" w:cs="宋体"/>
                <w:color w:val="000000"/>
                <w:kern w:val="2"/>
                <w:sz w:val="24"/>
                <w:szCs w:val="24"/>
                <w:bdr w:val="none" w:color="auto" w:sz="0" w:space="0"/>
                <w:lang w:val="en-US" w:eastAsia="zh-CN" w:bidi="ar"/>
              </w:rPr>
              <w:t>靠近开口处（或窗户）室内某倍频带的声压级或</w:t>
            </w:r>
            <w:r>
              <w:rPr>
                <w:rFonts w:hint="default" w:ascii="Times New Roman" w:hAnsi="Times New Roman" w:eastAsia="宋体" w:cs="Times New Roman"/>
                <w:color w:val="000000"/>
                <w:kern w:val="2"/>
                <w:sz w:val="24"/>
                <w:szCs w:val="24"/>
                <w:bdr w:val="none" w:color="auto" w:sz="0" w:space="0"/>
                <w:lang w:val="en-US" w:eastAsia="zh-CN" w:bidi="ar"/>
              </w:rPr>
              <w:t>A</w:t>
            </w:r>
            <w:r>
              <w:rPr>
                <w:rFonts w:hint="eastAsia" w:ascii="Times New Roman" w:hAnsi="Times New Roman" w:eastAsia="宋体" w:cs="宋体"/>
                <w:color w:val="000000"/>
                <w:kern w:val="2"/>
                <w:sz w:val="24"/>
                <w:szCs w:val="24"/>
                <w:bdr w:val="none" w:color="auto" w:sz="0" w:space="0"/>
                <w:lang w:val="en-US" w:eastAsia="zh-CN" w:bidi="ar"/>
              </w:rPr>
              <w:t>声级，</w:t>
            </w:r>
            <w:r>
              <w:rPr>
                <w:rFonts w:hint="default" w:ascii="Times New Roman" w:hAnsi="Times New Roman" w:eastAsia="宋体" w:cs="Times New Roman"/>
                <w:color w:val="000000"/>
                <w:kern w:val="2"/>
                <w:sz w:val="24"/>
                <w:szCs w:val="24"/>
                <w:bdr w:val="none" w:color="auto" w:sz="0" w:space="0"/>
                <w:lang w:val="en-US" w:eastAsia="zh-CN" w:bidi="ar"/>
              </w:rPr>
              <w:t>dB</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 xml:space="preserve"> </w:t>
            </w:r>
          </w:p>
          <w:p w14:paraId="3D3028F0">
            <w:pPr>
              <w:keepNext w:val="0"/>
              <w:keepLines w:val="0"/>
              <w:widowControl w:val="0"/>
              <w:suppressLineNumbers w:val="0"/>
              <w:spacing w:before="0" w:beforeAutospacing="0" w:after="0" w:afterAutospacing="0" w:line="440" w:lineRule="exact"/>
              <w:ind w:left="420" w:leftChars="200" w:right="0"/>
              <w:jc w:val="both"/>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 xml:space="preserve">      L</w:t>
            </w:r>
            <w:r>
              <w:rPr>
                <w:rFonts w:hint="default" w:ascii="Times New Roman" w:hAnsi="Times New Roman" w:eastAsia="宋体" w:cs="Times New Roman"/>
                <w:color w:val="000000"/>
                <w:kern w:val="2"/>
                <w:sz w:val="24"/>
                <w:szCs w:val="24"/>
                <w:bdr w:val="none" w:color="auto" w:sz="0" w:space="0"/>
                <w:vertAlign w:val="subscript"/>
                <w:lang w:val="en-US" w:eastAsia="zh-CN" w:bidi="ar"/>
              </w:rPr>
              <w:t>W</w:t>
            </w:r>
            <w:r>
              <w:rPr>
                <w:rFonts w:hint="default" w:ascii="Times New Roman" w:hAnsi="Times New Roman" w:eastAsia="宋体" w:cs="Times New Roman"/>
                <w:color w:val="000000"/>
                <w:kern w:val="2"/>
                <w:sz w:val="24"/>
                <w:szCs w:val="24"/>
                <w:bdr w:val="none" w:color="auto" w:sz="0" w:space="0"/>
                <w:lang w:val="en-US" w:eastAsia="zh-CN" w:bidi="ar"/>
              </w:rPr>
              <w:t>—</w:t>
            </w:r>
            <w:r>
              <w:rPr>
                <w:rFonts w:hint="eastAsia" w:ascii="Times New Roman" w:hAnsi="Times New Roman" w:eastAsia="宋体" w:cs="宋体"/>
                <w:color w:val="000000"/>
                <w:kern w:val="2"/>
                <w:sz w:val="24"/>
                <w:szCs w:val="24"/>
                <w:bdr w:val="none" w:color="auto" w:sz="0" w:space="0"/>
                <w:lang w:val="en-US" w:eastAsia="zh-CN" w:bidi="ar"/>
              </w:rPr>
              <w:t>点声源声功率级（</w:t>
            </w:r>
            <w:r>
              <w:rPr>
                <w:rFonts w:hint="default" w:ascii="Times New Roman" w:hAnsi="Times New Roman" w:eastAsia="宋体" w:cs="Times New Roman"/>
                <w:color w:val="000000"/>
                <w:kern w:val="2"/>
                <w:sz w:val="24"/>
                <w:szCs w:val="24"/>
                <w:bdr w:val="none" w:color="auto" w:sz="0" w:space="0"/>
                <w:lang w:val="en-US" w:eastAsia="zh-CN" w:bidi="ar"/>
              </w:rPr>
              <w:t>A</w:t>
            </w:r>
            <w:r>
              <w:rPr>
                <w:rFonts w:hint="eastAsia" w:ascii="Times New Roman" w:hAnsi="Times New Roman" w:eastAsia="宋体" w:cs="宋体"/>
                <w:color w:val="000000"/>
                <w:kern w:val="2"/>
                <w:sz w:val="24"/>
                <w:szCs w:val="24"/>
                <w:bdr w:val="none" w:color="auto" w:sz="0" w:space="0"/>
                <w:lang w:val="en-US" w:eastAsia="zh-CN" w:bidi="ar"/>
              </w:rPr>
              <w:t>计权或倍频带），</w:t>
            </w:r>
            <w:r>
              <w:rPr>
                <w:rFonts w:hint="default" w:ascii="Times New Roman" w:hAnsi="Times New Roman" w:eastAsia="宋体" w:cs="Times New Roman"/>
                <w:color w:val="000000"/>
                <w:kern w:val="2"/>
                <w:sz w:val="24"/>
                <w:szCs w:val="24"/>
                <w:bdr w:val="none" w:color="auto" w:sz="0" w:space="0"/>
                <w:lang w:val="en-US" w:eastAsia="zh-CN" w:bidi="ar"/>
              </w:rPr>
              <w:t>dB</w:t>
            </w:r>
            <w:r>
              <w:rPr>
                <w:rFonts w:hint="eastAsia" w:ascii="Times New Roman" w:hAnsi="Times New Roman" w:eastAsia="宋体" w:cs="宋体"/>
                <w:color w:val="000000"/>
                <w:kern w:val="2"/>
                <w:sz w:val="24"/>
                <w:szCs w:val="24"/>
                <w:bdr w:val="none" w:color="auto" w:sz="0" w:space="0"/>
                <w:lang w:val="en-US" w:eastAsia="zh-CN" w:bidi="ar"/>
              </w:rPr>
              <w:t>；</w:t>
            </w:r>
          </w:p>
          <w:p w14:paraId="52F34385">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 xml:space="preserve">     Q—</w:t>
            </w:r>
            <w:r>
              <w:rPr>
                <w:rFonts w:hint="eastAsia" w:ascii="Times New Roman" w:hAnsi="Times New Roman" w:eastAsia="宋体" w:cs="宋体"/>
                <w:color w:val="000000"/>
                <w:kern w:val="2"/>
                <w:sz w:val="24"/>
                <w:szCs w:val="24"/>
                <w:bdr w:val="none" w:color="auto" w:sz="0" w:space="0"/>
                <w:lang w:val="en-US" w:eastAsia="zh-CN" w:bidi="ar"/>
              </w:rPr>
              <w:t>指向性因数：通常对无指向性声源，当声源放在房间中心时，</w:t>
            </w:r>
            <w:r>
              <w:rPr>
                <w:rFonts w:hint="default" w:ascii="Times New Roman" w:hAnsi="Times New Roman" w:eastAsia="宋体" w:cs="Times New Roman"/>
                <w:color w:val="000000"/>
                <w:kern w:val="2"/>
                <w:sz w:val="24"/>
                <w:szCs w:val="24"/>
                <w:bdr w:val="none" w:color="auto" w:sz="0" w:space="0"/>
                <w:lang w:val="en-US" w:eastAsia="zh-CN" w:bidi="ar"/>
              </w:rPr>
              <w:t>Q=1</w:t>
            </w:r>
            <w:r>
              <w:rPr>
                <w:rFonts w:hint="eastAsia" w:ascii="Times New Roman" w:hAnsi="Times New Roman" w:eastAsia="宋体" w:cs="宋体"/>
                <w:color w:val="000000"/>
                <w:kern w:val="2"/>
                <w:sz w:val="24"/>
                <w:szCs w:val="24"/>
                <w:bdr w:val="none" w:color="auto" w:sz="0" w:space="0"/>
                <w:lang w:val="en-US" w:eastAsia="zh-CN" w:bidi="ar"/>
              </w:rPr>
              <w:t>；当放在一面墙的中心时，</w:t>
            </w:r>
            <w:r>
              <w:rPr>
                <w:rFonts w:hint="default" w:ascii="Times New Roman" w:hAnsi="Times New Roman" w:eastAsia="宋体" w:cs="Times New Roman"/>
                <w:color w:val="000000"/>
                <w:kern w:val="2"/>
                <w:sz w:val="24"/>
                <w:szCs w:val="24"/>
                <w:bdr w:val="none" w:color="auto" w:sz="0" w:space="0"/>
                <w:lang w:val="en-US" w:eastAsia="zh-CN" w:bidi="ar"/>
              </w:rPr>
              <w:t>Q=2</w:t>
            </w:r>
            <w:r>
              <w:rPr>
                <w:rFonts w:hint="eastAsia" w:ascii="Times New Roman" w:hAnsi="Times New Roman" w:eastAsia="宋体" w:cs="宋体"/>
                <w:color w:val="000000"/>
                <w:kern w:val="2"/>
                <w:sz w:val="24"/>
                <w:szCs w:val="24"/>
                <w:bdr w:val="none" w:color="auto" w:sz="0" w:space="0"/>
                <w:lang w:val="en-US" w:eastAsia="zh-CN" w:bidi="ar"/>
              </w:rPr>
              <w:t>；当放在两面墙夹角处时，</w:t>
            </w:r>
            <w:r>
              <w:rPr>
                <w:rFonts w:hint="default" w:ascii="Times New Roman" w:hAnsi="Times New Roman" w:eastAsia="宋体" w:cs="Times New Roman"/>
                <w:color w:val="000000"/>
                <w:kern w:val="2"/>
                <w:sz w:val="24"/>
                <w:szCs w:val="24"/>
                <w:bdr w:val="none" w:color="auto" w:sz="0" w:space="0"/>
                <w:lang w:val="en-US" w:eastAsia="zh-CN" w:bidi="ar"/>
              </w:rPr>
              <w:t>Q=4</w:t>
            </w:r>
            <w:r>
              <w:rPr>
                <w:rFonts w:hint="eastAsia" w:ascii="Times New Roman" w:hAnsi="Times New Roman" w:eastAsia="宋体" w:cs="宋体"/>
                <w:color w:val="000000"/>
                <w:kern w:val="2"/>
                <w:sz w:val="24"/>
                <w:szCs w:val="24"/>
                <w:bdr w:val="none" w:color="auto" w:sz="0" w:space="0"/>
                <w:lang w:val="en-US" w:eastAsia="zh-CN" w:bidi="ar"/>
              </w:rPr>
              <w:t>；当放在三面墙夹角处时，</w:t>
            </w:r>
            <w:r>
              <w:rPr>
                <w:rFonts w:hint="default" w:ascii="Times New Roman" w:hAnsi="Times New Roman" w:eastAsia="宋体" w:cs="Times New Roman"/>
                <w:color w:val="000000"/>
                <w:kern w:val="2"/>
                <w:sz w:val="24"/>
                <w:szCs w:val="24"/>
                <w:bdr w:val="none" w:color="auto" w:sz="0" w:space="0"/>
                <w:lang w:val="en-US" w:eastAsia="zh-CN" w:bidi="ar"/>
              </w:rPr>
              <w:t>Q=8</w:t>
            </w:r>
            <w:r>
              <w:rPr>
                <w:rFonts w:hint="eastAsia" w:ascii="Times New Roman" w:hAnsi="Times New Roman" w:eastAsia="宋体" w:cs="宋体"/>
                <w:color w:val="000000"/>
                <w:kern w:val="2"/>
                <w:sz w:val="24"/>
                <w:szCs w:val="24"/>
                <w:bdr w:val="none" w:color="auto" w:sz="0" w:space="0"/>
                <w:lang w:val="en-US" w:eastAsia="zh-CN" w:bidi="ar"/>
              </w:rPr>
              <w:t>；</w:t>
            </w:r>
          </w:p>
          <w:p w14:paraId="6AD7FA54">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 xml:space="preserve">     R—</w:t>
            </w:r>
            <w:r>
              <w:rPr>
                <w:rFonts w:hint="eastAsia" w:ascii="Times New Roman" w:hAnsi="Times New Roman" w:eastAsia="宋体" w:cs="宋体"/>
                <w:color w:val="000000"/>
                <w:kern w:val="2"/>
                <w:sz w:val="24"/>
                <w:szCs w:val="24"/>
                <w:bdr w:val="none" w:color="auto" w:sz="0" w:space="0"/>
                <w:lang w:val="en-US" w:eastAsia="zh-CN" w:bidi="ar"/>
              </w:rPr>
              <w:t>房间常数，</w:t>
            </w:r>
            <w:r>
              <w:rPr>
                <w:rFonts w:hint="default" w:ascii="Times New Roman" w:hAnsi="Times New Roman" w:eastAsia="宋体" w:cs="Times New Roman"/>
                <w:color w:val="000000"/>
                <w:kern w:val="2"/>
                <w:sz w:val="24"/>
                <w:szCs w:val="24"/>
                <w:bdr w:val="none" w:color="auto" w:sz="0" w:space="0"/>
                <w:lang w:val="en-US" w:eastAsia="zh-CN" w:bidi="ar"/>
              </w:rPr>
              <w:t>R=Sα/</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1-α</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S</w:t>
            </w:r>
            <w:r>
              <w:rPr>
                <w:rFonts w:hint="eastAsia" w:ascii="Times New Roman" w:hAnsi="Times New Roman" w:eastAsia="宋体" w:cs="宋体"/>
                <w:color w:val="000000"/>
                <w:kern w:val="2"/>
                <w:sz w:val="24"/>
                <w:szCs w:val="24"/>
                <w:bdr w:val="none" w:color="auto" w:sz="0" w:space="0"/>
                <w:lang w:val="en-US" w:eastAsia="zh-CN" w:bidi="ar"/>
              </w:rPr>
              <w:t>为房间内表面面积，</w:t>
            </w:r>
            <w:r>
              <w:rPr>
                <w:rFonts w:hint="default" w:ascii="Times New Roman" w:hAnsi="Times New Roman" w:eastAsia="宋体" w:cs="Times New Roman"/>
                <w:color w:val="000000"/>
                <w:kern w:val="2"/>
                <w:sz w:val="24"/>
                <w:szCs w:val="24"/>
                <w:bdr w:val="none" w:color="auto" w:sz="0" w:space="0"/>
                <w:lang w:val="en-US" w:eastAsia="zh-CN" w:bidi="ar"/>
              </w:rPr>
              <w:t>m</w:t>
            </w:r>
            <w:r>
              <w:rPr>
                <w:rFonts w:hint="default" w:ascii="Times New Roman" w:hAnsi="Times New Roman" w:eastAsia="宋体" w:cs="Times New Roman"/>
                <w:color w:val="000000"/>
                <w:kern w:val="2"/>
                <w:sz w:val="24"/>
                <w:szCs w:val="24"/>
                <w:bdr w:val="none" w:color="auto" w:sz="0" w:space="0"/>
                <w:vertAlign w:val="superscript"/>
                <w:lang w:val="en-US" w:eastAsia="zh-CN" w:bidi="ar"/>
              </w:rPr>
              <w:t>2</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α</w:t>
            </w:r>
            <w:r>
              <w:rPr>
                <w:rFonts w:hint="eastAsia" w:ascii="Times New Roman" w:hAnsi="Times New Roman" w:eastAsia="宋体" w:cs="宋体"/>
                <w:color w:val="000000"/>
                <w:kern w:val="2"/>
                <w:sz w:val="24"/>
                <w:szCs w:val="24"/>
                <w:bdr w:val="none" w:color="auto" w:sz="0" w:space="0"/>
                <w:lang w:val="en-US" w:eastAsia="zh-CN" w:bidi="ar"/>
              </w:rPr>
              <w:t>为平均吸声系数；</w:t>
            </w:r>
          </w:p>
          <w:p w14:paraId="028A2C77">
            <w:pPr>
              <w:keepNext w:val="0"/>
              <w:keepLines w:val="0"/>
              <w:widowControl w:val="0"/>
              <w:suppressLineNumbers w:val="0"/>
              <w:spacing w:before="0" w:beforeAutospacing="0" w:after="0" w:afterAutospacing="0" w:line="440" w:lineRule="exact"/>
              <w:ind w:left="420" w:leftChars="200" w:right="0"/>
              <w:jc w:val="both"/>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 xml:space="preserve">      r</w:t>
            </w:r>
            <w:r>
              <w:rPr>
                <w:rFonts w:hint="eastAsia" w:ascii="Times New Roman" w:hAnsi="Times New Roman" w:eastAsia="宋体" w:cs="宋体"/>
                <w:color w:val="000000"/>
                <w:kern w:val="2"/>
                <w:sz w:val="24"/>
                <w:szCs w:val="24"/>
                <w:bdr w:val="none" w:color="auto" w:sz="0" w:space="0"/>
                <w:lang w:val="en-US" w:eastAsia="zh-CN" w:bidi="ar"/>
              </w:rPr>
              <w:t>—声源到靠近围护结构某点处的距离，</w:t>
            </w:r>
            <w:r>
              <w:rPr>
                <w:rFonts w:hint="default" w:ascii="Times New Roman" w:hAnsi="Times New Roman" w:eastAsia="宋体" w:cs="Times New Roman"/>
                <w:color w:val="000000"/>
                <w:kern w:val="2"/>
                <w:sz w:val="24"/>
                <w:szCs w:val="24"/>
                <w:bdr w:val="none" w:color="auto" w:sz="0" w:space="0"/>
                <w:lang w:val="en-US" w:eastAsia="zh-CN" w:bidi="ar"/>
              </w:rPr>
              <w:t>m</w:t>
            </w:r>
            <w:r>
              <w:rPr>
                <w:rFonts w:hint="eastAsia" w:ascii="Times New Roman" w:hAnsi="Times New Roman" w:eastAsia="宋体" w:cs="宋体"/>
                <w:color w:val="000000"/>
                <w:kern w:val="2"/>
                <w:sz w:val="24"/>
                <w:szCs w:val="24"/>
                <w:bdr w:val="none" w:color="auto" w:sz="0" w:space="0"/>
                <w:lang w:val="en-US" w:eastAsia="zh-CN" w:bidi="ar"/>
              </w:rPr>
              <w:t>。</w:t>
            </w:r>
          </w:p>
          <w:p w14:paraId="42708D5B">
            <w:pPr>
              <w:keepNext w:val="0"/>
              <w:keepLines w:val="0"/>
              <w:widowControl w:val="0"/>
              <w:suppressLineNumbers w:val="0"/>
              <w:spacing w:before="0" w:beforeAutospacing="0" w:after="0" w:afterAutospacing="0" w:line="440" w:lineRule="exact"/>
              <w:ind w:left="420" w:leftChars="200" w:right="0"/>
              <w:jc w:val="both"/>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B</w:t>
            </w:r>
            <w:r>
              <w:rPr>
                <w:rFonts w:hint="eastAsia" w:ascii="Times New Roman" w:hAnsi="Times New Roman" w:eastAsia="宋体" w:cs="宋体"/>
                <w:color w:val="000000"/>
                <w:kern w:val="2"/>
                <w:sz w:val="24"/>
                <w:szCs w:val="24"/>
                <w:bdr w:val="none" w:color="auto" w:sz="0" w:space="0"/>
                <w:lang w:val="en-US" w:eastAsia="zh-CN" w:bidi="ar"/>
              </w:rPr>
              <w:t>、所有室内声源在围护结构处产生的</w:t>
            </w:r>
            <w:r>
              <w:rPr>
                <w:rFonts w:hint="default" w:ascii="Times New Roman" w:hAnsi="Times New Roman" w:eastAsia="宋体" w:cs="Times New Roman"/>
                <w:color w:val="000000"/>
                <w:kern w:val="2"/>
                <w:sz w:val="24"/>
                <w:szCs w:val="24"/>
                <w:bdr w:val="none" w:color="auto" w:sz="0" w:space="0"/>
                <w:lang w:val="en-US" w:eastAsia="zh-CN" w:bidi="ar"/>
              </w:rPr>
              <w:t xml:space="preserve"> i </w:t>
            </w:r>
            <w:r>
              <w:rPr>
                <w:rFonts w:hint="eastAsia" w:ascii="Times New Roman" w:hAnsi="Times New Roman" w:eastAsia="宋体" w:cs="宋体"/>
                <w:color w:val="000000"/>
                <w:kern w:val="2"/>
                <w:sz w:val="24"/>
                <w:szCs w:val="24"/>
                <w:bdr w:val="none" w:color="auto" w:sz="0" w:space="0"/>
                <w:lang w:val="en-US" w:eastAsia="zh-CN" w:bidi="ar"/>
              </w:rPr>
              <w:t>倍频带叠加声压级</w:t>
            </w:r>
          </w:p>
          <w:p w14:paraId="750F7AE5">
            <w:pPr>
              <w:keepNext w:val="0"/>
              <w:keepLines w:val="0"/>
              <w:widowControl w:val="0"/>
              <w:suppressLineNumbers w:val="0"/>
              <w:spacing w:before="0" w:beforeAutospacing="0" w:after="0" w:afterAutospacing="0" w:line="440" w:lineRule="exact"/>
              <w:ind w:left="420" w:leftChars="200" w:right="0"/>
              <w:jc w:val="both"/>
              <w:rPr>
                <w:rFonts w:hint="default" w:ascii="Times New Roman" w:hAnsi="Times New Roman" w:cs="Times New Roman"/>
                <w:color w:val="000000"/>
                <w:sz w:val="24"/>
                <w:szCs w:val="24"/>
                <w:bdr w:val="none" w:color="auto" w:sz="0" w:space="0"/>
                <w:lang w:val="en-US"/>
              </w:rPr>
            </w:pPr>
            <w:r>
              <w:rPr>
                <w:rFonts w:hint="default" w:ascii="Calibri" w:hAnsi="Calibri" w:eastAsia="宋体" w:cs="Times New Roman"/>
                <w:kern w:val="2"/>
                <w:sz w:val="21"/>
                <w:szCs w:val="24"/>
                <w:bdr w:val="none" w:color="auto" w:sz="0" w:space="0"/>
                <w:lang w:val="en-US" w:eastAsia="zh-CN" w:bidi="ar"/>
              </w:rPr>
              <w:drawing>
                <wp:anchor distT="0" distB="0" distL="114300" distR="114300" simplePos="0" relativeHeight="251660288" behindDoc="0" locked="0" layoutInCell="1" allowOverlap="1">
                  <wp:simplePos x="0" y="0"/>
                  <wp:positionH relativeFrom="column">
                    <wp:posOffset>1405890</wp:posOffset>
                  </wp:positionH>
                  <wp:positionV relativeFrom="paragraph">
                    <wp:posOffset>96520</wp:posOffset>
                  </wp:positionV>
                  <wp:extent cx="1800225" cy="413385"/>
                  <wp:effectExtent l="0" t="0" r="9525" b="5715"/>
                  <wp:wrapNone/>
                  <wp:docPr id="2" name="图片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32"/>
                          <pic:cNvPicPr>
                            <a:picLocks noChangeAspect="1"/>
                          </pic:cNvPicPr>
                        </pic:nvPicPr>
                        <pic:blipFill>
                          <a:blip r:embed="rId23"/>
                          <a:stretch>
                            <a:fillRect/>
                          </a:stretch>
                        </pic:blipFill>
                        <pic:spPr>
                          <a:xfrm>
                            <a:off x="0" y="0"/>
                            <a:ext cx="1800225" cy="413385"/>
                          </a:xfrm>
                          <a:prstGeom prst="rect">
                            <a:avLst/>
                          </a:prstGeom>
                          <a:noFill/>
                          <a:ln>
                            <a:noFill/>
                          </a:ln>
                        </pic:spPr>
                      </pic:pic>
                    </a:graphicData>
                  </a:graphic>
                </wp:anchor>
              </w:drawing>
            </w:r>
          </w:p>
          <w:p w14:paraId="0F1B5A87">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bdr w:val="none" w:color="auto" w:sz="0" w:space="0"/>
                <w:lang w:val="en-US"/>
              </w:rPr>
            </w:pPr>
          </w:p>
          <w:p w14:paraId="5BD5BE91">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式中：</w:t>
            </w:r>
            <w:r>
              <w:rPr>
                <w:rFonts w:hint="default" w:ascii="Times New Roman" w:hAnsi="Times New Roman" w:eastAsia="宋体" w:cs="Times New Roman"/>
                <w:color w:val="000000"/>
                <w:kern w:val="2"/>
                <w:sz w:val="24"/>
                <w:szCs w:val="24"/>
                <w:bdr w:val="none" w:color="auto" w:sz="0" w:space="0"/>
                <w:lang w:val="en-US" w:eastAsia="zh-CN" w:bidi="ar"/>
              </w:rPr>
              <w:t>L</w:t>
            </w:r>
            <w:r>
              <w:rPr>
                <w:rFonts w:hint="default" w:ascii="Times New Roman" w:hAnsi="Times New Roman" w:eastAsia="宋体" w:cs="Times New Roman"/>
                <w:color w:val="000000"/>
                <w:kern w:val="2"/>
                <w:sz w:val="24"/>
                <w:szCs w:val="24"/>
                <w:bdr w:val="none" w:color="auto" w:sz="0" w:space="0"/>
                <w:vertAlign w:val="subscript"/>
                <w:lang w:val="en-US" w:eastAsia="zh-CN" w:bidi="ar"/>
              </w:rPr>
              <w:t>p1i</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T</w:t>
            </w:r>
            <w:r>
              <w:rPr>
                <w:rFonts w:hint="eastAsia" w:ascii="Times New Roman" w:hAnsi="Times New Roman" w:eastAsia="宋体" w:cs="宋体"/>
                <w:color w:val="000000"/>
                <w:kern w:val="2"/>
                <w:sz w:val="24"/>
                <w:szCs w:val="24"/>
                <w:bdr w:val="none" w:color="auto" w:sz="0" w:space="0"/>
                <w:lang w:val="en-US" w:eastAsia="zh-CN" w:bidi="ar"/>
              </w:rPr>
              <w:t>）—靠近围护结构处室内</w:t>
            </w:r>
            <w:r>
              <w:rPr>
                <w:rFonts w:hint="default" w:ascii="Times New Roman" w:hAnsi="Times New Roman" w:eastAsia="宋体" w:cs="Times New Roman"/>
                <w:color w:val="000000"/>
                <w:kern w:val="2"/>
                <w:sz w:val="24"/>
                <w:szCs w:val="24"/>
                <w:bdr w:val="none" w:color="auto" w:sz="0" w:space="0"/>
                <w:lang w:val="en-US" w:eastAsia="zh-CN" w:bidi="ar"/>
              </w:rPr>
              <w:t>N</w:t>
            </w:r>
            <w:r>
              <w:rPr>
                <w:rFonts w:hint="eastAsia" w:ascii="Times New Roman" w:hAnsi="Times New Roman" w:eastAsia="宋体" w:cs="宋体"/>
                <w:color w:val="000000"/>
                <w:kern w:val="2"/>
                <w:sz w:val="24"/>
                <w:szCs w:val="24"/>
                <w:bdr w:val="none" w:color="auto" w:sz="0" w:space="0"/>
                <w:lang w:val="en-US" w:eastAsia="zh-CN" w:bidi="ar"/>
              </w:rPr>
              <w:t>个声源</w:t>
            </w:r>
            <w:r>
              <w:rPr>
                <w:rFonts w:hint="default" w:ascii="Times New Roman" w:hAnsi="Times New Roman" w:eastAsia="宋体" w:cs="Times New Roman"/>
                <w:color w:val="000000"/>
                <w:kern w:val="2"/>
                <w:sz w:val="24"/>
                <w:szCs w:val="24"/>
                <w:bdr w:val="none" w:color="auto" w:sz="0" w:space="0"/>
                <w:lang w:val="en-US" w:eastAsia="zh-CN" w:bidi="ar"/>
              </w:rPr>
              <w:t>i</w:t>
            </w:r>
            <w:r>
              <w:rPr>
                <w:rFonts w:hint="eastAsia" w:ascii="Times New Roman" w:hAnsi="Times New Roman" w:eastAsia="宋体" w:cs="宋体"/>
                <w:color w:val="000000"/>
                <w:kern w:val="2"/>
                <w:sz w:val="24"/>
                <w:szCs w:val="24"/>
                <w:bdr w:val="none" w:color="auto" w:sz="0" w:space="0"/>
                <w:lang w:val="en-US" w:eastAsia="zh-CN" w:bidi="ar"/>
              </w:rPr>
              <w:t>倍频带的叠加声压级，</w:t>
            </w:r>
            <w:r>
              <w:rPr>
                <w:rFonts w:hint="default" w:ascii="Times New Roman" w:hAnsi="Times New Roman" w:eastAsia="宋体" w:cs="Times New Roman"/>
                <w:color w:val="000000"/>
                <w:kern w:val="2"/>
                <w:sz w:val="24"/>
                <w:szCs w:val="24"/>
                <w:bdr w:val="none" w:color="auto" w:sz="0" w:space="0"/>
                <w:lang w:val="en-US" w:eastAsia="zh-CN" w:bidi="ar"/>
              </w:rPr>
              <w:t>dB</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 xml:space="preserve"> </w:t>
            </w:r>
          </w:p>
          <w:p w14:paraId="5ED56E67">
            <w:pPr>
              <w:keepNext w:val="0"/>
              <w:keepLines w:val="0"/>
              <w:widowControl w:val="0"/>
              <w:suppressLineNumbers w:val="0"/>
              <w:spacing w:before="0" w:beforeAutospacing="0" w:after="0" w:afterAutospacing="0" w:line="440" w:lineRule="exact"/>
              <w:ind w:left="420" w:leftChars="200" w:right="0"/>
              <w:jc w:val="both"/>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 xml:space="preserve">       Lp</w:t>
            </w:r>
            <w:r>
              <w:rPr>
                <w:rFonts w:hint="default" w:ascii="Times New Roman" w:hAnsi="Times New Roman" w:eastAsia="宋体" w:cs="Times New Roman"/>
                <w:color w:val="000000"/>
                <w:kern w:val="2"/>
                <w:sz w:val="24"/>
                <w:szCs w:val="24"/>
                <w:bdr w:val="none" w:color="auto" w:sz="0" w:space="0"/>
                <w:vertAlign w:val="subscript"/>
                <w:lang w:val="en-US" w:eastAsia="zh-CN" w:bidi="ar"/>
              </w:rPr>
              <w:t>1ij</w:t>
            </w:r>
            <w:r>
              <w:rPr>
                <w:rFonts w:hint="eastAsia" w:ascii="Times New Roman" w:hAnsi="Times New Roman" w:eastAsia="宋体" w:cs="宋体"/>
                <w:color w:val="000000"/>
                <w:kern w:val="2"/>
                <w:sz w:val="24"/>
                <w:szCs w:val="24"/>
                <w:bdr w:val="none" w:color="auto" w:sz="0" w:space="0"/>
                <w:lang w:val="en-US" w:eastAsia="zh-CN" w:bidi="ar"/>
              </w:rPr>
              <w:t>—室内</w:t>
            </w:r>
            <w:r>
              <w:rPr>
                <w:rFonts w:hint="default" w:ascii="Times New Roman" w:hAnsi="Times New Roman" w:eastAsia="宋体" w:cs="Times New Roman"/>
                <w:color w:val="000000"/>
                <w:kern w:val="2"/>
                <w:sz w:val="24"/>
                <w:szCs w:val="24"/>
                <w:bdr w:val="none" w:color="auto" w:sz="0" w:space="0"/>
                <w:lang w:val="en-US" w:eastAsia="zh-CN" w:bidi="ar"/>
              </w:rPr>
              <w:t>j</w:t>
            </w:r>
            <w:r>
              <w:rPr>
                <w:rFonts w:hint="eastAsia" w:ascii="Times New Roman" w:hAnsi="Times New Roman" w:eastAsia="宋体" w:cs="宋体"/>
                <w:color w:val="000000"/>
                <w:kern w:val="2"/>
                <w:sz w:val="24"/>
                <w:szCs w:val="24"/>
                <w:bdr w:val="none" w:color="auto" w:sz="0" w:space="0"/>
                <w:lang w:val="en-US" w:eastAsia="zh-CN" w:bidi="ar"/>
              </w:rPr>
              <w:t>声源</w:t>
            </w:r>
            <w:r>
              <w:rPr>
                <w:rFonts w:hint="default" w:ascii="Times New Roman" w:hAnsi="Times New Roman" w:eastAsia="宋体" w:cs="Times New Roman"/>
                <w:color w:val="000000"/>
                <w:kern w:val="2"/>
                <w:sz w:val="24"/>
                <w:szCs w:val="24"/>
                <w:bdr w:val="none" w:color="auto" w:sz="0" w:space="0"/>
                <w:lang w:val="en-US" w:eastAsia="zh-CN" w:bidi="ar"/>
              </w:rPr>
              <w:t>i</w:t>
            </w:r>
            <w:r>
              <w:rPr>
                <w:rFonts w:hint="eastAsia" w:ascii="Times New Roman" w:hAnsi="Times New Roman" w:eastAsia="宋体" w:cs="宋体"/>
                <w:color w:val="000000"/>
                <w:kern w:val="2"/>
                <w:sz w:val="24"/>
                <w:szCs w:val="24"/>
                <w:bdr w:val="none" w:color="auto" w:sz="0" w:space="0"/>
                <w:lang w:val="en-US" w:eastAsia="zh-CN" w:bidi="ar"/>
              </w:rPr>
              <w:t>倍频带的声压级，</w:t>
            </w:r>
            <w:r>
              <w:rPr>
                <w:rFonts w:hint="default" w:ascii="Times New Roman" w:hAnsi="Times New Roman" w:eastAsia="宋体" w:cs="Times New Roman"/>
                <w:color w:val="000000"/>
                <w:kern w:val="2"/>
                <w:sz w:val="24"/>
                <w:szCs w:val="24"/>
                <w:bdr w:val="none" w:color="auto" w:sz="0" w:space="0"/>
                <w:lang w:val="en-US" w:eastAsia="zh-CN" w:bidi="ar"/>
              </w:rPr>
              <w:t>dB</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 xml:space="preserve"> </w:t>
            </w:r>
          </w:p>
          <w:p w14:paraId="427B462A">
            <w:pPr>
              <w:keepNext w:val="0"/>
              <w:keepLines w:val="0"/>
              <w:widowControl w:val="0"/>
              <w:suppressLineNumbers w:val="0"/>
              <w:spacing w:before="0" w:beforeAutospacing="0" w:after="0" w:afterAutospacing="0" w:line="440" w:lineRule="exact"/>
              <w:ind w:left="420" w:leftChars="200" w:right="0"/>
              <w:jc w:val="both"/>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 xml:space="preserve">       N</w:t>
            </w:r>
            <w:r>
              <w:rPr>
                <w:rFonts w:hint="eastAsia" w:ascii="Times New Roman" w:hAnsi="Times New Roman" w:eastAsia="宋体" w:cs="宋体"/>
                <w:color w:val="000000"/>
                <w:kern w:val="2"/>
                <w:sz w:val="24"/>
                <w:szCs w:val="24"/>
                <w:bdr w:val="none" w:color="auto" w:sz="0" w:space="0"/>
                <w:lang w:val="en-US" w:eastAsia="zh-CN" w:bidi="ar"/>
              </w:rPr>
              <w:t>—室内声源总数。</w:t>
            </w:r>
          </w:p>
          <w:p w14:paraId="32DAF766">
            <w:pPr>
              <w:keepNext w:val="0"/>
              <w:keepLines w:val="0"/>
              <w:widowControl w:val="0"/>
              <w:suppressLineNumbers w:val="0"/>
              <w:spacing w:before="0" w:beforeAutospacing="0" w:after="0" w:afterAutospacing="0" w:line="440" w:lineRule="exact"/>
              <w:ind w:left="420" w:leftChars="200" w:right="0"/>
              <w:jc w:val="both"/>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C</w:t>
            </w:r>
            <w:r>
              <w:rPr>
                <w:rFonts w:hint="eastAsia" w:ascii="Times New Roman" w:hAnsi="Times New Roman" w:eastAsia="宋体" w:cs="宋体"/>
                <w:color w:val="000000"/>
                <w:kern w:val="2"/>
                <w:sz w:val="24"/>
                <w:szCs w:val="24"/>
                <w:bdr w:val="none" w:color="auto" w:sz="0" w:space="0"/>
                <w:lang w:val="en-US" w:eastAsia="zh-CN" w:bidi="ar"/>
              </w:rPr>
              <w:t>、按下式计算出靠近室外围护结构处的声压级</w:t>
            </w:r>
          </w:p>
          <w:p w14:paraId="2CDEC305">
            <w:pPr>
              <w:keepNext w:val="0"/>
              <w:keepLines w:val="0"/>
              <w:widowControl w:val="0"/>
              <w:suppressLineNumbers w:val="0"/>
              <w:spacing w:before="0" w:beforeAutospacing="0" w:after="0" w:afterAutospacing="0" w:line="440" w:lineRule="exact"/>
              <w:ind w:left="420" w:leftChars="200" w:right="0"/>
              <w:jc w:val="both"/>
              <w:rPr>
                <w:rFonts w:hint="default" w:ascii="Times New Roman" w:hAnsi="Times New Roman" w:cs="Times New Roman"/>
                <w:color w:val="000000"/>
                <w:sz w:val="24"/>
                <w:szCs w:val="24"/>
                <w:bdr w:val="none" w:color="auto" w:sz="0" w:space="0"/>
                <w:lang w:val="en-US"/>
              </w:rPr>
            </w:pPr>
            <w:r>
              <w:rPr>
                <w:rFonts w:hint="default" w:ascii="Calibri" w:hAnsi="Calibri" w:eastAsia="宋体" w:cs="Times New Roman"/>
                <w:kern w:val="2"/>
                <w:sz w:val="21"/>
                <w:szCs w:val="24"/>
                <w:bdr w:val="none" w:color="auto" w:sz="0" w:space="0"/>
                <w:lang w:val="en-US" w:eastAsia="zh-CN" w:bidi="ar"/>
              </w:rPr>
              <w:drawing>
                <wp:anchor distT="0" distB="0" distL="114300" distR="114300" simplePos="0" relativeHeight="251661312" behindDoc="0" locked="0" layoutInCell="1" allowOverlap="1">
                  <wp:simplePos x="0" y="0"/>
                  <wp:positionH relativeFrom="column">
                    <wp:posOffset>1577340</wp:posOffset>
                  </wp:positionH>
                  <wp:positionV relativeFrom="paragraph">
                    <wp:posOffset>48260</wp:posOffset>
                  </wp:positionV>
                  <wp:extent cx="1914525" cy="361950"/>
                  <wp:effectExtent l="0" t="0" r="9525" b="0"/>
                  <wp:wrapNone/>
                  <wp:docPr id="3" name="图片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33"/>
                          <pic:cNvPicPr>
                            <a:picLocks noChangeAspect="1"/>
                          </pic:cNvPicPr>
                        </pic:nvPicPr>
                        <pic:blipFill>
                          <a:blip r:embed="rId24"/>
                          <a:stretch>
                            <a:fillRect/>
                          </a:stretch>
                        </pic:blipFill>
                        <pic:spPr>
                          <a:xfrm>
                            <a:off x="0" y="0"/>
                            <a:ext cx="1914525" cy="361950"/>
                          </a:xfrm>
                          <a:prstGeom prst="rect">
                            <a:avLst/>
                          </a:prstGeom>
                          <a:noFill/>
                          <a:ln>
                            <a:noFill/>
                          </a:ln>
                        </pic:spPr>
                      </pic:pic>
                    </a:graphicData>
                  </a:graphic>
                </wp:anchor>
              </w:drawing>
            </w:r>
          </w:p>
          <w:p w14:paraId="71299CC6">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szCs w:val="24"/>
                <w:bdr w:val="none" w:color="auto" w:sz="0" w:space="0"/>
                <w:lang w:val="en-US"/>
              </w:rPr>
            </w:pPr>
          </w:p>
          <w:p w14:paraId="271B8864">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式中：</w:t>
            </w:r>
            <w:r>
              <w:rPr>
                <w:rFonts w:hint="default" w:ascii="Times New Roman" w:hAnsi="Times New Roman" w:eastAsia="宋体" w:cs="Times New Roman"/>
                <w:color w:val="000000"/>
                <w:kern w:val="2"/>
                <w:sz w:val="24"/>
                <w:szCs w:val="24"/>
                <w:bdr w:val="none" w:color="auto" w:sz="0" w:space="0"/>
                <w:lang w:val="en-US" w:eastAsia="zh-CN" w:bidi="ar"/>
              </w:rPr>
              <w:t>L</w:t>
            </w:r>
            <w:r>
              <w:rPr>
                <w:rFonts w:hint="default" w:ascii="Times New Roman" w:hAnsi="Times New Roman" w:eastAsia="宋体" w:cs="Times New Roman"/>
                <w:color w:val="000000"/>
                <w:kern w:val="2"/>
                <w:sz w:val="24"/>
                <w:szCs w:val="24"/>
                <w:bdr w:val="none" w:color="auto" w:sz="0" w:space="0"/>
                <w:vertAlign w:val="subscript"/>
                <w:lang w:val="en-US" w:eastAsia="zh-CN" w:bidi="ar"/>
              </w:rPr>
              <w:t>p2i</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T</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w:t>
            </w:r>
            <w:r>
              <w:rPr>
                <w:rFonts w:hint="eastAsia" w:ascii="Times New Roman" w:hAnsi="Times New Roman" w:eastAsia="宋体" w:cs="宋体"/>
                <w:color w:val="000000"/>
                <w:kern w:val="2"/>
                <w:sz w:val="24"/>
                <w:szCs w:val="24"/>
                <w:bdr w:val="none" w:color="auto" w:sz="0" w:space="0"/>
                <w:lang w:val="en-US" w:eastAsia="zh-CN" w:bidi="ar"/>
              </w:rPr>
              <w:t>靠近围护结构处室外</w:t>
            </w:r>
            <w:r>
              <w:rPr>
                <w:rFonts w:hint="default" w:ascii="Times New Roman" w:hAnsi="Times New Roman" w:eastAsia="宋体" w:cs="Times New Roman"/>
                <w:color w:val="000000"/>
                <w:kern w:val="2"/>
                <w:sz w:val="24"/>
                <w:szCs w:val="24"/>
                <w:bdr w:val="none" w:color="auto" w:sz="0" w:space="0"/>
                <w:lang w:val="en-US" w:eastAsia="zh-CN" w:bidi="ar"/>
              </w:rPr>
              <w:t>N</w:t>
            </w:r>
            <w:r>
              <w:rPr>
                <w:rFonts w:hint="eastAsia" w:ascii="Times New Roman" w:hAnsi="Times New Roman" w:eastAsia="宋体" w:cs="宋体"/>
                <w:color w:val="000000"/>
                <w:kern w:val="2"/>
                <w:sz w:val="24"/>
                <w:szCs w:val="24"/>
                <w:bdr w:val="none" w:color="auto" w:sz="0" w:space="0"/>
                <w:lang w:val="en-US" w:eastAsia="zh-CN" w:bidi="ar"/>
              </w:rPr>
              <w:t>个声源</w:t>
            </w:r>
            <w:r>
              <w:rPr>
                <w:rFonts w:hint="default" w:ascii="Times New Roman" w:hAnsi="Times New Roman" w:eastAsia="宋体" w:cs="Times New Roman"/>
                <w:color w:val="000000"/>
                <w:kern w:val="2"/>
                <w:sz w:val="24"/>
                <w:szCs w:val="24"/>
                <w:bdr w:val="none" w:color="auto" w:sz="0" w:space="0"/>
                <w:lang w:val="en-US" w:eastAsia="zh-CN" w:bidi="ar"/>
              </w:rPr>
              <w:t>i</w:t>
            </w:r>
            <w:r>
              <w:rPr>
                <w:rFonts w:hint="eastAsia" w:ascii="Times New Roman" w:hAnsi="Times New Roman" w:eastAsia="宋体" w:cs="宋体"/>
                <w:color w:val="000000"/>
                <w:kern w:val="2"/>
                <w:sz w:val="24"/>
                <w:szCs w:val="24"/>
                <w:bdr w:val="none" w:color="auto" w:sz="0" w:space="0"/>
                <w:lang w:val="en-US" w:eastAsia="zh-CN" w:bidi="ar"/>
              </w:rPr>
              <w:t>倍频带的叠加声压级，</w:t>
            </w:r>
            <w:r>
              <w:rPr>
                <w:rFonts w:hint="default" w:ascii="Times New Roman" w:hAnsi="Times New Roman" w:eastAsia="宋体" w:cs="Times New Roman"/>
                <w:color w:val="000000"/>
                <w:kern w:val="2"/>
                <w:sz w:val="24"/>
                <w:szCs w:val="24"/>
                <w:bdr w:val="none" w:color="auto" w:sz="0" w:space="0"/>
                <w:lang w:val="en-US" w:eastAsia="zh-CN" w:bidi="ar"/>
              </w:rPr>
              <w:t>dB</w:t>
            </w:r>
            <w:r>
              <w:rPr>
                <w:rFonts w:hint="eastAsia" w:ascii="Times New Roman" w:hAnsi="Times New Roman" w:eastAsia="宋体" w:cs="宋体"/>
                <w:color w:val="000000"/>
                <w:kern w:val="2"/>
                <w:sz w:val="24"/>
                <w:szCs w:val="24"/>
                <w:bdr w:val="none" w:color="auto" w:sz="0" w:space="0"/>
                <w:lang w:val="en-US" w:eastAsia="zh-CN" w:bidi="ar"/>
              </w:rPr>
              <w:t>；</w:t>
            </w:r>
          </w:p>
          <w:p w14:paraId="2A615A84">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 xml:space="preserve">      L</w:t>
            </w:r>
            <w:r>
              <w:rPr>
                <w:rFonts w:hint="default" w:ascii="Times New Roman" w:hAnsi="Times New Roman" w:eastAsia="宋体" w:cs="Times New Roman"/>
                <w:color w:val="000000"/>
                <w:kern w:val="2"/>
                <w:sz w:val="24"/>
                <w:szCs w:val="24"/>
                <w:bdr w:val="none" w:color="auto" w:sz="0" w:space="0"/>
                <w:vertAlign w:val="subscript"/>
                <w:lang w:val="en-US" w:eastAsia="zh-CN" w:bidi="ar"/>
              </w:rPr>
              <w:t>p1 i</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T</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w:t>
            </w:r>
            <w:r>
              <w:rPr>
                <w:rFonts w:hint="eastAsia" w:ascii="Times New Roman" w:hAnsi="Times New Roman" w:eastAsia="宋体" w:cs="宋体"/>
                <w:color w:val="000000"/>
                <w:kern w:val="2"/>
                <w:sz w:val="24"/>
                <w:szCs w:val="24"/>
                <w:bdr w:val="none" w:color="auto" w:sz="0" w:space="0"/>
                <w:lang w:val="en-US" w:eastAsia="zh-CN" w:bidi="ar"/>
              </w:rPr>
              <w:t>靠近围护结构处室内</w:t>
            </w:r>
            <w:r>
              <w:rPr>
                <w:rFonts w:hint="default" w:ascii="Times New Roman" w:hAnsi="Times New Roman" w:eastAsia="宋体" w:cs="Times New Roman"/>
                <w:color w:val="000000"/>
                <w:kern w:val="2"/>
                <w:sz w:val="24"/>
                <w:szCs w:val="24"/>
                <w:bdr w:val="none" w:color="auto" w:sz="0" w:space="0"/>
                <w:lang w:val="en-US" w:eastAsia="zh-CN" w:bidi="ar"/>
              </w:rPr>
              <w:t>N</w:t>
            </w:r>
            <w:r>
              <w:rPr>
                <w:rFonts w:hint="eastAsia" w:ascii="Times New Roman" w:hAnsi="Times New Roman" w:eastAsia="宋体" w:cs="宋体"/>
                <w:color w:val="000000"/>
                <w:kern w:val="2"/>
                <w:sz w:val="24"/>
                <w:szCs w:val="24"/>
                <w:bdr w:val="none" w:color="auto" w:sz="0" w:space="0"/>
                <w:lang w:val="en-US" w:eastAsia="zh-CN" w:bidi="ar"/>
              </w:rPr>
              <w:t>个声源</w:t>
            </w:r>
            <w:r>
              <w:rPr>
                <w:rFonts w:hint="default" w:ascii="Times New Roman" w:hAnsi="Times New Roman" w:eastAsia="宋体" w:cs="Times New Roman"/>
                <w:color w:val="000000"/>
                <w:kern w:val="2"/>
                <w:sz w:val="24"/>
                <w:szCs w:val="24"/>
                <w:bdr w:val="none" w:color="auto" w:sz="0" w:space="0"/>
                <w:lang w:val="en-US" w:eastAsia="zh-CN" w:bidi="ar"/>
              </w:rPr>
              <w:t>i</w:t>
            </w:r>
            <w:r>
              <w:rPr>
                <w:rFonts w:hint="eastAsia" w:ascii="Times New Roman" w:hAnsi="Times New Roman" w:eastAsia="宋体" w:cs="宋体"/>
                <w:color w:val="000000"/>
                <w:kern w:val="2"/>
                <w:sz w:val="24"/>
                <w:szCs w:val="24"/>
                <w:bdr w:val="none" w:color="auto" w:sz="0" w:space="0"/>
                <w:lang w:val="en-US" w:eastAsia="zh-CN" w:bidi="ar"/>
              </w:rPr>
              <w:t>倍频带的叠加声压级，</w:t>
            </w:r>
            <w:r>
              <w:rPr>
                <w:rFonts w:hint="default" w:ascii="Times New Roman" w:hAnsi="Times New Roman" w:eastAsia="宋体" w:cs="Times New Roman"/>
                <w:color w:val="000000"/>
                <w:kern w:val="2"/>
                <w:sz w:val="24"/>
                <w:szCs w:val="24"/>
                <w:bdr w:val="none" w:color="auto" w:sz="0" w:space="0"/>
                <w:lang w:val="en-US" w:eastAsia="zh-CN" w:bidi="ar"/>
              </w:rPr>
              <w:t>dB</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 xml:space="preserve"> </w:t>
            </w:r>
          </w:p>
          <w:p w14:paraId="53D75097">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 xml:space="preserve">      TLi—</w:t>
            </w:r>
            <w:r>
              <w:rPr>
                <w:rFonts w:hint="eastAsia" w:ascii="Times New Roman" w:hAnsi="Times New Roman" w:eastAsia="宋体" w:cs="宋体"/>
                <w:color w:val="000000"/>
                <w:kern w:val="2"/>
                <w:sz w:val="24"/>
                <w:szCs w:val="24"/>
                <w:bdr w:val="none" w:color="auto" w:sz="0" w:space="0"/>
                <w:lang w:val="en-US" w:eastAsia="zh-CN" w:bidi="ar"/>
              </w:rPr>
              <w:t>围护结构</w:t>
            </w:r>
            <w:r>
              <w:rPr>
                <w:rFonts w:hint="default" w:ascii="Times New Roman" w:hAnsi="Times New Roman" w:eastAsia="宋体" w:cs="Times New Roman"/>
                <w:color w:val="000000"/>
                <w:kern w:val="2"/>
                <w:sz w:val="24"/>
                <w:szCs w:val="24"/>
                <w:bdr w:val="none" w:color="auto" w:sz="0" w:space="0"/>
                <w:lang w:val="en-US" w:eastAsia="zh-CN" w:bidi="ar"/>
              </w:rPr>
              <w:t>i</w:t>
            </w:r>
            <w:r>
              <w:rPr>
                <w:rFonts w:hint="eastAsia" w:ascii="Times New Roman" w:hAnsi="Times New Roman" w:eastAsia="宋体" w:cs="宋体"/>
                <w:color w:val="000000"/>
                <w:kern w:val="2"/>
                <w:sz w:val="24"/>
                <w:szCs w:val="24"/>
                <w:bdr w:val="none" w:color="auto" w:sz="0" w:space="0"/>
                <w:lang w:val="en-US" w:eastAsia="zh-CN" w:bidi="ar"/>
              </w:rPr>
              <w:t>倍频带的隔声量，</w:t>
            </w:r>
            <w:r>
              <w:rPr>
                <w:rFonts w:hint="default" w:ascii="Times New Roman" w:hAnsi="Times New Roman" w:eastAsia="宋体" w:cs="Times New Roman"/>
                <w:color w:val="000000"/>
                <w:kern w:val="2"/>
                <w:sz w:val="24"/>
                <w:szCs w:val="24"/>
                <w:bdr w:val="none" w:color="auto" w:sz="0" w:space="0"/>
                <w:lang w:val="en-US" w:eastAsia="zh-CN" w:bidi="ar"/>
              </w:rPr>
              <w:t>dB</w:t>
            </w:r>
            <w:r>
              <w:rPr>
                <w:rFonts w:hint="eastAsia" w:ascii="Times New Roman" w:hAnsi="Times New Roman" w:eastAsia="宋体" w:cs="宋体"/>
                <w:color w:val="000000"/>
                <w:kern w:val="2"/>
                <w:sz w:val="24"/>
                <w:szCs w:val="24"/>
                <w:bdr w:val="none" w:color="auto" w:sz="0" w:space="0"/>
                <w:lang w:val="en-US" w:eastAsia="zh-CN" w:bidi="ar"/>
              </w:rPr>
              <w:t>。</w:t>
            </w:r>
          </w:p>
          <w:p w14:paraId="3D765E64">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D</w:t>
            </w:r>
            <w:r>
              <w:rPr>
                <w:rFonts w:hint="eastAsia" w:ascii="Times New Roman" w:hAnsi="Times New Roman" w:eastAsia="宋体" w:cs="宋体"/>
                <w:color w:val="000000"/>
                <w:kern w:val="2"/>
                <w:sz w:val="24"/>
                <w:szCs w:val="24"/>
                <w:bdr w:val="none" w:color="auto" w:sz="0" w:space="0"/>
                <w:lang w:val="en-US" w:eastAsia="zh-CN" w:bidi="ar"/>
              </w:rPr>
              <w:t>、按下式将室外声源的声压级和透过面积换算成等效的室外声源，计算出中心位置位于透声面积（</w:t>
            </w:r>
            <w:r>
              <w:rPr>
                <w:rFonts w:hint="default" w:ascii="Times New Roman" w:hAnsi="Times New Roman" w:eastAsia="宋体" w:cs="Times New Roman"/>
                <w:color w:val="000000"/>
                <w:kern w:val="2"/>
                <w:sz w:val="24"/>
                <w:szCs w:val="24"/>
                <w:bdr w:val="none" w:color="auto" w:sz="0" w:space="0"/>
                <w:lang w:val="en-US" w:eastAsia="zh-CN" w:bidi="ar"/>
              </w:rPr>
              <w:t>S</w:t>
            </w:r>
            <w:r>
              <w:rPr>
                <w:rFonts w:hint="eastAsia" w:ascii="Times New Roman" w:hAnsi="Times New Roman" w:eastAsia="宋体" w:cs="宋体"/>
                <w:color w:val="000000"/>
                <w:kern w:val="2"/>
                <w:sz w:val="24"/>
                <w:szCs w:val="24"/>
                <w:bdr w:val="none" w:color="auto" w:sz="0" w:space="0"/>
                <w:lang w:val="en-US" w:eastAsia="zh-CN" w:bidi="ar"/>
              </w:rPr>
              <w:t>）处的等效声源的倍频带声功率级</w:t>
            </w:r>
          </w:p>
          <w:p w14:paraId="0FD65A21">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bdr w:val="none" w:color="auto" w:sz="0" w:space="0"/>
                <w:lang w:val="en-US"/>
              </w:rPr>
            </w:pPr>
            <w:r>
              <w:rPr>
                <w:rFonts w:hint="default" w:ascii="Calibri" w:hAnsi="Calibri" w:eastAsia="宋体" w:cs="Times New Roman"/>
                <w:kern w:val="2"/>
                <w:sz w:val="21"/>
                <w:szCs w:val="24"/>
                <w:bdr w:val="none" w:color="auto" w:sz="0" w:space="0"/>
                <w:lang w:val="en-US" w:eastAsia="zh-CN" w:bidi="ar"/>
              </w:rPr>
              <w:drawing>
                <wp:anchor distT="0" distB="0" distL="114300" distR="114300" simplePos="0" relativeHeight="251662336" behindDoc="0" locked="0" layoutInCell="1" allowOverlap="1">
                  <wp:simplePos x="0" y="0"/>
                  <wp:positionH relativeFrom="column">
                    <wp:posOffset>1863090</wp:posOffset>
                  </wp:positionH>
                  <wp:positionV relativeFrom="paragraph">
                    <wp:posOffset>35560</wp:posOffset>
                  </wp:positionV>
                  <wp:extent cx="1504950" cy="342900"/>
                  <wp:effectExtent l="0" t="0" r="0" b="0"/>
                  <wp:wrapNone/>
                  <wp:docPr id="4" name="图片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34"/>
                          <pic:cNvPicPr>
                            <a:picLocks noChangeAspect="1"/>
                          </pic:cNvPicPr>
                        </pic:nvPicPr>
                        <pic:blipFill>
                          <a:blip r:embed="rId25"/>
                          <a:stretch>
                            <a:fillRect/>
                          </a:stretch>
                        </pic:blipFill>
                        <pic:spPr>
                          <a:xfrm>
                            <a:off x="0" y="0"/>
                            <a:ext cx="1504950" cy="342900"/>
                          </a:xfrm>
                          <a:prstGeom prst="rect">
                            <a:avLst/>
                          </a:prstGeom>
                          <a:noFill/>
                          <a:ln>
                            <a:noFill/>
                          </a:ln>
                        </pic:spPr>
                      </pic:pic>
                    </a:graphicData>
                  </a:graphic>
                </wp:anchor>
              </w:drawing>
            </w:r>
          </w:p>
          <w:p w14:paraId="204D0990">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式中：</w:t>
            </w:r>
            <w:r>
              <w:rPr>
                <w:rFonts w:hint="default" w:ascii="Times New Roman" w:hAnsi="Times New Roman" w:eastAsia="宋体" w:cs="Times New Roman"/>
                <w:color w:val="000000"/>
                <w:kern w:val="2"/>
                <w:sz w:val="24"/>
                <w:szCs w:val="24"/>
                <w:bdr w:val="none" w:color="auto" w:sz="0" w:space="0"/>
                <w:lang w:val="en-US" w:eastAsia="zh-CN" w:bidi="ar"/>
              </w:rPr>
              <w:t>Lw—</w:t>
            </w:r>
            <w:r>
              <w:rPr>
                <w:rFonts w:hint="eastAsia" w:ascii="Times New Roman" w:hAnsi="Times New Roman" w:eastAsia="宋体" w:cs="宋体"/>
                <w:color w:val="000000"/>
                <w:kern w:val="2"/>
                <w:sz w:val="24"/>
                <w:szCs w:val="24"/>
                <w:bdr w:val="none" w:color="auto" w:sz="0" w:space="0"/>
                <w:lang w:val="en-US" w:eastAsia="zh-CN" w:bidi="ar"/>
              </w:rPr>
              <w:t>中心位置位于透声面积（</w:t>
            </w:r>
            <w:r>
              <w:rPr>
                <w:rFonts w:hint="default" w:ascii="Times New Roman" w:hAnsi="Times New Roman" w:eastAsia="宋体" w:cs="Times New Roman"/>
                <w:color w:val="000000"/>
                <w:kern w:val="2"/>
                <w:sz w:val="24"/>
                <w:szCs w:val="24"/>
                <w:bdr w:val="none" w:color="auto" w:sz="0" w:space="0"/>
                <w:lang w:val="en-US" w:eastAsia="zh-CN" w:bidi="ar"/>
              </w:rPr>
              <w:t>S</w:t>
            </w:r>
            <w:r>
              <w:rPr>
                <w:rFonts w:hint="eastAsia" w:ascii="Times New Roman" w:hAnsi="Times New Roman" w:eastAsia="宋体" w:cs="宋体"/>
                <w:color w:val="000000"/>
                <w:kern w:val="2"/>
                <w:sz w:val="24"/>
                <w:szCs w:val="24"/>
                <w:bdr w:val="none" w:color="auto" w:sz="0" w:space="0"/>
                <w:lang w:val="en-US" w:eastAsia="zh-CN" w:bidi="ar"/>
              </w:rPr>
              <w:t>）处的等效声源的倍频带声功率级，</w:t>
            </w:r>
            <w:r>
              <w:rPr>
                <w:rFonts w:hint="default" w:ascii="Times New Roman" w:hAnsi="Times New Roman" w:eastAsia="宋体" w:cs="Times New Roman"/>
                <w:color w:val="000000"/>
                <w:kern w:val="2"/>
                <w:sz w:val="24"/>
                <w:szCs w:val="24"/>
                <w:bdr w:val="none" w:color="auto" w:sz="0" w:space="0"/>
                <w:lang w:val="en-US" w:eastAsia="zh-CN" w:bidi="ar"/>
              </w:rPr>
              <w:t>dB</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 xml:space="preserve"> </w:t>
            </w:r>
          </w:p>
          <w:p w14:paraId="1470FFA7">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 xml:space="preserve">      L</w:t>
            </w:r>
            <w:r>
              <w:rPr>
                <w:rFonts w:hint="default" w:ascii="Times New Roman" w:hAnsi="Times New Roman" w:eastAsia="宋体" w:cs="Times New Roman"/>
                <w:color w:val="000000"/>
                <w:kern w:val="2"/>
                <w:sz w:val="24"/>
                <w:szCs w:val="24"/>
                <w:bdr w:val="none" w:color="auto" w:sz="0" w:space="0"/>
                <w:vertAlign w:val="subscript"/>
                <w:lang w:val="en-US" w:eastAsia="zh-CN" w:bidi="ar"/>
              </w:rPr>
              <w:t>p2</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T</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w:t>
            </w:r>
            <w:r>
              <w:rPr>
                <w:rFonts w:hint="eastAsia" w:ascii="Times New Roman" w:hAnsi="Times New Roman" w:eastAsia="宋体" w:cs="宋体"/>
                <w:color w:val="000000"/>
                <w:kern w:val="2"/>
                <w:sz w:val="24"/>
                <w:szCs w:val="24"/>
                <w:bdr w:val="none" w:color="auto" w:sz="0" w:space="0"/>
                <w:lang w:val="en-US" w:eastAsia="zh-CN" w:bidi="ar"/>
              </w:rPr>
              <w:t>靠近围护结构处室外声源的声压级，</w:t>
            </w:r>
            <w:r>
              <w:rPr>
                <w:rFonts w:hint="default" w:ascii="Times New Roman" w:hAnsi="Times New Roman" w:eastAsia="宋体" w:cs="Times New Roman"/>
                <w:color w:val="000000"/>
                <w:kern w:val="2"/>
                <w:sz w:val="24"/>
                <w:szCs w:val="24"/>
                <w:bdr w:val="none" w:color="auto" w:sz="0" w:space="0"/>
                <w:lang w:val="en-US" w:eastAsia="zh-CN" w:bidi="ar"/>
              </w:rPr>
              <w:t>dB</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 xml:space="preserve"> </w:t>
            </w:r>
          </w:p>
          <w:p w14:paraId="0F950146">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 xml:space="preserve">      S—</w:t>
            </w:r>
            <w:r>
              <w:rPr>
                <w:rFonts w:hint="eastAsia" w:ascii="Times New Roman" w:hAnsi="Times New Roman" w:eastAsia="宋体" w:cs="宋体"/>
                <w:color w:val="000000"/>
                <w:kern w:val="2"/>
                <w:sz w:val="24"/>
                <w:szCs w:val="24"/>
                <w:bdr w:val="none" w:color="auto" w:sz="0" w:space="0"/>
                <w:lang w:val="en-US" w:eastAsia="zh-CN" w:bidi="ar"/>
              </w:rPr>
              <w:t>透声面积，</w:t>
            </w:r>
            <w:r>
              <w:rPr>
                <w:rFonts w:hint="default" w:ascii="Times New Roman" w:hAnsi="Times New Roman" w:eastAsia="宋体" w:cs="Times New Roman"/>
                <w:color w:val="000000"/>
                <w:kern w:val="2"/>
                <w:sz w:val="24"/>
                <w:szCs w:val="24"/>
                <w:bdr w:val="none" w:color="auto" w:sz="0" w:space="0"/>
                <w:lang w:val="en-US" w:eastAsia="zh-CN" w:bidi="ar"/>
              </w:rPr>
              <w:t>m</w:t>
            </w:r>
            <w:r>
              <w:rPr>
                <w:rFonts w:hint="default" w:ascii="Times New Roman" w:hAnsi="Times New Roman" w:eastAsia="宋体" w:cs="Times New Roman"/>
                <w:color w:val="000000"/>
                <w:kern w:val="2"/>
                <w:sz w:val="24"/>
                <w:szCs w:val="24"/>
                <w:bdr w:val="none" w:color="auto" w:sz="0" w:space="0"/>
                <w:vertAlign w:val="superscript"/>
                <w:lang w:val="en-US" w:eastAsia="zh-CN" w:bidi="ar"/>
              </w:rPr>
              <w:t>2</w:t>
            </w:r>
            <w:r>
              <w:rPr>
                <w:rFonts w:hint="eastAsia" w:ascii="Times New Roman" w:hAnsi="Times New Roman" w:eastAsia="宋体" w:cs="宋体"/>
                <w:color w:val="000000"/>
                <w:kern w:val="2"/>
                <w:sz w:val="24"/>
                <w:szCs w:val="24"/>
                <w:bdr w:val="none" w:color="auto" w:sz="0" w:space="0"/>
                <w:lang w:val="en-US" w:eastAsia="zh-CN" w:bidi="ar"/>
              </w:rPr>
              <w:t>。</w:t>
            </w:r>
          </w:p>
          <w:p w14:paraId="3736C3CD">
            <w:pPr>
              <w:keepNext w:val="0"/>
              <w:keepLines w:val="0"/>
              <w:widowControl w:val="0"/>
              <w:suppressLineNumbers w:val="0"/>
              <w:spacing w:before="0" w:beforeAutospacing="0" w:after="0" w:afterAutospacing="0" w:line="440" w:lineRule="exact"/>
              <w:ind w:left="420" w:leftChars="200" w:right="0"/>
              <w:jc w:val="both"/>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2</w:t>
            </w:r>
            <w:r>
              <w:rPr>
                <w:rFonts w:hint="eastAsia" w:ascii="Times New Roman" w:hAnsi="Times New Roman" w:eastAsia="宋体" w:cs="宋体"/>
                <w:color w:val="000000"/>
                <w:kern w:val="2"/>
                <w:sz w:val="24"/>
                <w:szCs w:val="24"/>
                <w:bdr w:val="none" w:color="auto" w:sz="0" w:space="0"/>
                <w:lang w:val="en-US" w:eastAsia="zh-CN" w:bidi="ar"/>
              </w:rPr>
              <w:t>、室外声源预测模式</w:t>
            </w:r>
          </w:p>
          <w:p w14:paraId="71AD17FE">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结合项目平面布置情况和外环境关系，本次噪声预测只考虑几何发散衰减，其室外声源预测方法计算预测点处的</w:t>
            </w:r>
            <w:r>
              <w:rPr>
                <w:rFonts w:hint="default" w:ascii="Times New Roman" w:hAnsi="Times New Roman" w:eastAsia="宋体" w:cs="Times New Roman"/>
                <w:color w:val="000000"/>
                <w:kern w:val="2"/>
                <w:sz w:val="24"/>
                <w:szCs w:val="24"/>
                <w:bdr w:val="none" w:color="auto" w:sz="0" w:space="0"/>
                <w:lang w:val="en-US" w:eastAsia="zh-CN" w:bidi="ar"/>
              </w:rPr>
              <w:t>A</w:t>
            </w:r>
            <w:r>
              <w:rPr>
                <w:rFonts w:hint="eastAsia" w:ascii="Times New Roman" w:hAnsi="Times New Roman" w:eastAsia="宋体" w:cs="宋体"/>
                <w:color w:val="000000"/>
                <w:kern w:val="2"/>
                <w:sz w:val="24"/>
                <w:szCs w:val="24"/>
                <w:bdr w:val="none" w:color="auto" w:sz="0" w:space="0"/>
                <w:lang w:val="en-US" w:eastAsia="zh-CN" w:bidi="ar"/>
              </w:rPr>
              <w:t>声级如下所示：</w:t>
            </w:r>
          </w:p>
          <w:p w14:paraId="40F4224C">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bdr w:val="none" w:color="auto" w:sz="0" w:space="0"/>
                <w:lang w:val="en-US"/>
              </w:rPr>
            </w:pPr>
            <w:r>
              <w:rPr>
                <w:rFonts w:hint="default" w:ascii="Calibri" w:hAnsi="Calibri" w:eastAsia="宋体" w:cs="Times New Roman"/>
                <w:kern w:val="2"/>
                <w:sz w:val="21"/>
                <w:szCs w:val="24"/>
                <w:bdr w:val="none" w:color="auto" w:sz="0" w:space="0"/>
                <w:lang w:val="en-US" w:eastAsia="zh-CN" w:bidi="ar"/>
              </w:rPr>
              <w:drawing>
                <wp:anchor distT="0" distB="0" distL="114300" distR="114300" simplePos="0" relativeHeight="251663360" behindDoc="0" locked="0" layoutInCell="1" allowOverlap="1">
                  <wp:simplePos x="0" y="0"/>
                  <wp:positionH relativeFrom="column">
                    <wp:posOffset>1872615</wp:posOffset>
                  </wp:positionH>
                  <wp:positionV relativeFrom="paragraph">
                    <wp:posOffset>19050</wp:posOffset>
                  </wp:positionV>
                  <wp:extent cx="1495425" cy="361950"/>
                  <wp:effectExtent l="0" t="0" r="9525" b="0"/>
                  <wp:wrapNone/>
                  <wp:docPr id="5"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35"/>
                          <pic:cNvPicPr>
                            <a:picLocks noChangeAspect="1"/>
                          </pic:cNvPicPr>
                        </pic:nvPicPr>
                        <pic:blipFill>
                          <a:blip r:embed="rId26"/>
                          <a:stretch>
                            <a:fillRect/>
                          </a:stretch>
                        </pic:blipFill>
                        <pic:spPr>
                          <a:xfrm>
                            <a:off x="0" y="0"/>
                            <a:ext cx="1495425" cy="361950"/>
                          </a:xfrm>
                          <a:prstGeom prst="rect">
                            <a:avLst/>
                          </a:prstGeom>
                          <a:noFill/>
                          <a:ln>
                            <a:noFill/>
                          </a:ln>
                        </pic:spPr>
                      </pic:pic>
                    </a:graphicData>
                  </a:graphic>
                </wp:anchor>
              </w:drawing>
            </w:r>
          </w:p>
          <w:p w14:paraId="7F67644B">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式中：</w:t>
            </w:r>
            <w:r>
              <w:rPr>
                <w:rFonts w:hint="default" w:ascii="Times New Roman" w:hAnsi="Times New Roman" w:eastAsia="宋体" w:cs="Times New Roman"/>
                <w:color w:val="000000"/>
                <w:kern w:val="2"/>
                <w:sz w:val="24"/>
                <w:szCs w:val="24"/>
                <w:bdr w:val="none" w:color="auto" w:sz="0" w:space="0"/>
                <w:lang w:val="en-US" w:eastAsia="zh-CN" w:bidi="ar"/>
              </w:rPr>
              <w:t>L</w:t>
            </w:r>
            <w:r>
              <w:rPr>
                <w:rFonts w:hint="default" w:ascii="Times New Roman" w:hAnsi="Times New Roman" w:eastAsia="宋体" w:cs="Times New Roman"/>
                <w:color w:val="000000"/>
                <w:kern w:val="2"/>
                <w:sz w:val="24"/>
                <w:szCs w:val="24"/>
                <w:bdr w:val="none" w:color="auto" w:sz="0" w:space="0"/>
                <w:vertAlign w:val="subscript"/>
                <w:lang w:val="en-US" w:eastAsia="zh-CN" w:bidi="ar"/>
              </w:rPr>
              <w:t>A</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r</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w:t>
            </w:r>
            <w:r>
              <w:rPr>
                <w:rFonts w:hint="eastAsia" w:ascii="Times New Roman" w:hAnsi="Times New Roman" w:eastAsia="宋体" w:cs="宋体"/>
                <w:color w:val="000000"/>
                <w:kern w:val="2"/>
                <w:sz w:val="24"/>
                <w:szCs w:val="24"/>
                <w:bdr w:val="none" w:color="auto" w:sz="0" w:space="0"/>
                <w:lang w:val="en-US" w:eastAsia="zh-CN" w:bidi="ar"/>
              </w:rPr>
              <w:t>距离声源</w:t>
            </w:r>
            <w:r>
              <w:rPr>
                <w:rFonts w:hint="default" w:ascii="Times New Roman" w:hAnsi="Times New Roman" w:eastAsia="宋体" w:cs="Times New Roman"/>
                <w:color w:val="000000"/>
                <w:kern w:val="2"/>
                <w:sz w:val="24"/>
                <w:szCs w:val="24"/>
                <w:bdr w:val="none" w:color="auto" w:sz="0" w:space="0"/>
                <w:lang w:val="en-US" w:eastAsia="zh-CN" w:bidi="ar"/>
              </w:rPr>
              <w:t>r</w:t>
            </w:r>
            <w:r>
              <w:rPr>
                <w:rFonts w:hint="eastAsia" w:ascii="Times New Roman" w:hAnsi="Times New Roman" w:eastAsia="宋体" w:cs="宋体"/>
                <w:color w:val="000000"/>
                <w:kern w:val="2"/>
                <w:sz w:val="24"/>
                <w:szCs w:val="24"/>
                <w:bdr w:val="none" w:color="auto" w:sz="0" w:space="0"/>
                <w:lang w:val="en-US" w:eastAsia="zh-CN" w:bidi="ar"/>
              </w:rPr>
              <w:t>处的</w:t>
            </w:r>
            <w:r>
              <w:rPr>
                <w:rFonts w:hint="default" w:ascii="Times New Roman" w:hAnsi="Times New Roman" w:eastAsia="宋体" w:cs="Times New Roman"/>
                <w:color w:val="000000"/>
                <w:kern w:val="2"/>
                <w:sz w:val="24"/>
                <w:szCs w:val="24"/>
                <w:bdr w:val="none" w:color="auto" w:sz="0" w:space="0"/>
                <w:lang w:val="en-US" w:eastAsia="zh-CN" w:bidi="ar"/>
              </w:rPr>
              <w:t>A</w:t>
            </w:r>
            <w:r>
              <w:rPr>
                <w:rFonts w:hint="eastAsia" w:ascii="Times New Roman" w:hAnsi="Times New Roman" w:eastAsia="宋体" w:cs="宋体"/>
                <w:color w:val="000000"/>
                <w:kern w:val="2"/>
                <w:sz w:val="24"/>
                <w:szCs w:val="24"/>
                <w:bdr w:val="none" w:color="auto" w:sz="0" w:space="0"/>
                <w:lang w:val="en-US" w:eastAsia="zh-CN" w:bidi="ar"/>
              </w:rPr>
              <w:t>声级，</w:t>
            </w:r>
            <w:r>
              <w:rPr>
                <w:rFonts w:hint="default" w:ascii="Times New Roman" w:hAnsi="Times New Roman" w:eastAsia="宋体" w:cs="Times New Roman"/>
                <w:color w:val="000000"/>
                <w:kern w:val="2"/>
                <w:sz w:val="24"/>
                <w:szCs w:val="24"/>
                <w:bdr w:val="none" w:color="auto" w:sz="0" w:space="0"/>
                <w:lang w:val="en-US" w:eastAsia="zh-CN" w:bidi="ar"/>
              </w:rPr>
              <w:t>dB</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A</w:t>
            </w:r>
            <w:r>
              <w:rPr>
                <w:rFonts w:hint="eastAsia" w:ascii="Times New Roman" w:hAnsi="Times New Roman" w:eastAsia="宋体" w:cs="宋体"/>
                <w:color w:val="000000"/>
                <w:kern w:val="2"/>
                <w:sz w:val="24"/>
                <w:szCs w:val="24"/>
                <w:bdr w:val="none" w:color="auto" w:sz="0" w:space="0"/>
                <w:lang w:val="en-US" w:eastAsia="zh-CN" w:bidi="ar"/>
              </w:rPr>
              <w:t>）；</w:t>
            </w:r>
          </w:p>
          <w:p w14:paraId="02932F14">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 xml:space="preserve">      L</w:t>
            </w:r>
            <w:r>
              <w:rPr>
                <w:rFonts w:hint="default" w:ascii="Times New Roman" w:hAnsi="Times New Roman" w:eastAsia="宋体" w:cs="Times New Roman"/>
                <w:color w:val="000000"/>
                <w:kern w:val="2"/>
                <w:sz w:val="24"/>
                <w:szCs w:val="24"/>
                <w:bdr w:val="none" w:color="auto" w:sz="0" w:space="0"/>
                <w:vertAlign w:val="subscript"/>
                <w:lang w:val="en-US" w:eastAsia="zh-CN" w:bidi="ar"/>
              </w:rPr>
              <w:t>A</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r</w:t>
            </w:r>
            <w:r>
              <w:rPr>
                <w:rFonts w:hint="default" w:ascii="Times New Roman" w:hAnsi="Times New Roman" w:eastAsia="宋体" w:cs="Times New Roman"/>
                <w:color w:val="000000"/>
                <w:kern w:val="2"/>
                <w:sz w:val="24"/>
                <w:szCs w:val="24"/>
                <w:bdr w:val="none" w:color="auto" w:sz="0" w:space="0"/>
                <w:vertAlign w:val="subscript"/>
                <w:lang w:val="en-US" w:eastAsia="zh-CN" w:bidi="ar"/>
              </w:rPr>
              <w:t>0</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w:t>
            </w:r>
            <w:r>
              <w:rPr>
                <w:rFonts w:hint="eastAsia" w:ascii="Times New Roman" w:hAnsi="Times New Roman" w:eastAsia="宋体" w:cs="宋体"/>
                <w:color w:val="000000"/>
                <w:kern w:val="2"/>
                <w:sz w:val="24"/>
                <w:szCs w:val="24"/>
                <w:bdr w:val="none" w:color="auto" w:sz="0" w:space="0"/>
                <w:lang w:val="en-US" w:eastAsia="zh-CN" w:bidi="ar"/>
              </w:rPr>
              <w:t>距离声源</w:t>
            </w:r>
            <w:r>
              <w:rPr>
                <w:rFonts w:hint="default" w:ascii="Times New Roman" w:hAnsi="Times New Roman" w:eastAsia="宋体" w:cs="Times New Roman"/>
                <w:color w:val="000000"/>
                <w:kern w:val="2"/>
                <w:sz w:val="24"/>
                <w:szCs w:val="24"/>
                <w:bdr w:val="none" w:color="auto" w:sz="0" w:space="0"/>
                <w:lang w:val="en-US" w:eastAsia="zh-CN" w:bidi="ar"/>
              </w:rPr>
              <w:t>r</w:t>
            </w:r>
            <w:r>
              <w:rPr>
                <w:rFonts w:hint="default" w:ascii="Times New Roman" w:hAnsi="Times New Roman" w:eastAsia="宋体" w:cs="Times New Roman"/>
                <w:color w:val="000000"/>
                <w:kern w:val="2"/>
                <w:sz w:val="24"/>
                <w:szCs w:val="24"/>
                <w:bdr w:val="none" w:color="auto" w:sz="0" w:space="0"/>
                <w:vertAlign w:val="subscript"/>
                <w:lang w:val="en-US" w:eastAsia="zh-CN" w:bidi="ar"/>
              </w:rPr>
              <w:t>0</w:t>
            </w:r>
            <w:r>
              <w:rPr>
                <w:rFonts w:hint="eastAsia" w:ascii="Times New Roman" w:hAnsi="Times New Roman" w:eastAsia="宋体" w:cs="宋体"/>
                <w:color w:val="000000"/>
                <w:kern w:val="2"/>
                <w:sz w:val="24"/>
                <w:szCs w:val="24"/>
                <w:bdr w:val="none" w:color="auto" w:sz="0" w:space="0"/>
                <w:lang w:val="en-US" w:eastAsia="zh-CN" w:bidi="ar"/>
              </w:rPr>
              <w:t>处的</w:t>
            </w:r>
            <w:r>
              <w:rPr>
                <w:rFonts w:hint="default" w:ascii="Times New Roman" w:hAnsi="Times New Roman" w:eastAsia="宋体" w:cs="Times New Roman"/>
                <w:color w:val="000000"/>
                <w:kern w:val="2"/>
                <w:sz w:val="24"/>
                <w:szCs w:val="24"/>
                <w:bdr w:val="none" w:color="auto" w:sz="0" w:space="0"/>
                <w:lang w:val="en-US" w:eastAsia="zh-CN" w:bidi="ar"/>
              </w:rPr>
              <w:t>A</w:t>
            </w:r>
            <w:r>
              <w:rPr>
                <w:rFonts w:hint="eastAsia" w:ascii="Times New Roman" w:hAnsi="Times New Roman" w:eastAsia="宋体" w:cs="宋体"/>
                <w:color w:val="000000"/>
                <w:kern w:val="2"/>
                <w:sz w:val="24"/>
                <w:szCs w:val="24"/>
                <w:bdr w:val="none" w:color="auto" w:sz="0" w:space="0"/>
                <w:lang w:val="en-US" w:eastAsia="zh-CN" w:bidi="ar"/>
              </w:rPr>
              <w:t>声级，</w:t>
            </w:r>
            <w:r>
              <w:rPr>
                <w:rFonts w:hint="default" w:ascii="Times New Roman" w:hAnsi="Times New Roman" w:eastAsia="宋体" w:cs="Times New Roman"/>
                <w:color w:val="000000"/>
                <w:kern w:val="2"/>
                <w:sz w:val="24"/>
                <w:szCs w:val="24"/>
                <w:bdr w:val="none" w:color="auto" w:sz="0" w:space="0"/>
                <w:lang w:val="en-US" w:eastAsia="zh-CN" w:bidi="ar"/>
              </w:rPr>
              <w:t>dB</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A</w:t>
            </w:r>
            <w:r>
              <w:rPr>
                <w:rFonts w:hint="eastAsia" w:ascii="Times New Roman" w:hAnsi="Times New Roman" w:eastAsia="宋体" w:cs="宋体"/>
                <w:color w:val="000000"/>
                <w:kern w:val="2"/>
                <w:sz w:val="24"/>
                <w:szCs w:val="24"/>
                <w:bdr w:val="none" w:color="auto" w:sz="0" w:space="0"/>
                <w:lang w:val="en-US" w:eastAsia="zh-CN" w:bidi="ar"/>
              </w:rPr>
              <w:t>）；</w:t>
            </w:r>
          </w:p>
          <w:p w14:paraId="22CF68FA">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 xml:space="preserve">      A</w:t>
            </w:r>
            <w:r>
              <w:rPr>
                <w:rFonts w:hint="default" w:ascii="Times New Roman" w:hAnsi="Times New Roman" w:eastAsia="宋体" w:cs="Times New Roman"/>
                <w:color w:val="000000"/>
                <w:kern w:val="2"/>
                <w:sz w:val="24"/>
                <w:szCs w:val="24"/>
                <w:bdr w:val="none" w:color="auto" w:sz="0" w:space="0"/>
                <w:vertAlign w:val="subscript"/>
                <w:lang w:val="en-US" w:eastAsia="zh-CN" w:bidi="ar"/>
              </w:rPr>
              <w:t>div</w:t>
            </w:r>
            <w:r>
              <w:rPr>
                <w:rFonts w:hint="default" w:ascii="Times New Roman" w:hAnsi="Times New Roman" w:eastAsia="宋体" w:cs="Times New Roman"/>
                <w:color w:val="000000"/>
                <w:kern w:val="2"/>
                <w:sz w:val="24"/>
                <w:szCs w:val="24"/>
                <w:bdr w:val="none" w:color="auto" w:sz="0" w:space="0"/>
                <w:lang w:val="en-US" w:eastAsia="zh-CN" w:bidi="ar"/>
              </w:rPr>
              <w:t>—</w:t>
            </w:r>
            <w:r>
              <w:rPr>
                <w:rFonts w:hint="eastAsia" w:ascii="Times New Roman" w:hAnsi="Times New Roman" w:eastAsia="宋体" w:cs="宋体"/>
                <w:color w:val="000000"/>
                <w:kern w:val="2"/>
                <w:sz w:val="24"/>
                <w:szCs w:val="24"/>
                <w:bdr w:val="none" w:color="auto" w:sz="0" w:space="0"/>
                <w:lang w:val="en-US" w:eastAsia="zh-CN" w:bidi="ar"/>
              </w:rPr>
              <w:t>几何发散引起的倍频带衰减，</w:t>
            </w:r>
            <w:r>
              <w:rPr>
                <w:rFonts w:hint="default" w:ascii="Times New Roman" w:hAnsi="Times New Roman" w:eastAsia="宋体" w:cs="Times New Roman"/>
                <w:color w:val="000000"/>
                <w:kern w:val="2"/>
                <w:sz w:val="24"/>
                <w:szCs w:val="24"/>
                <w:bdr w:val="none" w:color="auto" w:sz="0" w:space="0"/>
                <w:lang w:val="en-US" w:eastAsia="zh-CN" w:bidi="ar"/>
              </w:rPr>
              <w:t>dB</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A</w:t>
            </w:r>
            <w:r>
              <w:rPr>
                <w:rFonts w:hint="default" w:ascii="Times New Roman" w:hAnsi="Times New Roman" w:eastAsia="宋体" w:cs="Times New Roman"/>
                <w:color w:val="000000"/>
                <w:kern w:val="2"/>
                <w:sz w:val="24"/>
                <w:szCs w:val="24"/>
                <w:bdr w:val="none" w:color="auto" w:sz="0" w:space="0"/>
                <w:vertAlign w:val="subscript"/>
                <w:lang w:val="en-US" w:eastAsia="zh-CN" w:bidi="ar"/>
              </w:rPr>
              <w:t>div</w:t>
            </w:r>
            <w:r>
              <w:rPr>
                <w:rFonts w:hint="default" w:ascii="Times New Roman" w:hAnsi="Times New Roman" w:eastAsia="宋体" w:cs="Times New Roman"/>
                <w:color w:val="000000"/>
                <w:kern w:val="2"/>
                <w:sz w:val="24"/>
                <w:szCs w:val="24"/>
                <w:bdr w:val="none" w:color="auto" w:sz="0" w:space="0"/>
                <w:lang w:val="en-US" w:eastAsia="zh-CN" w:bidi="ar"/>
              </w:rPr>
              <w:t>=20lg</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r/r</w:t>
            </w:r>
            <w:r>
              <w:rPr>
                <w:rFonts w:hint="default" w:ascii="Times New Roman" w:hAnsi="Times New Roman" w:eastAsia="宋体" w:cs="Times New Roman"/>
                <w:color w:val="000000"/>
                <w:kern w:val="2"/>
                <w:sz w:val="24"/>
                <w:szCs w:val="24"/>
                <w:bdr w:val="none" w:color="auto" w:sz="0" w:space="0"/>
                <w:vertAlign w:val="subscript"/>
                <w:lang w:val="en-US" w:eastAsia="zh-CN" w:bidi="ar"/>
              </w:rPr>
              <w:t>o</w:t>
            </w:r>
            <w:r>
              <w:rPr>
                <w:rFonts w:hint="eastAsia" w:ascii="Times New Roman" w:hAnsi="Times New Roman" w:eastAsia="宋体" w:cs="宋体"/>
                <w:color w:val="000000"/>
                <w:kern w:val="2"/>
                <w:sz w:val="24"/>
                <w:szCs w:val="24"/>
                <w:bdr w:val="none" w:color="auto" w:sz="0" w:space="0"/>
                <w:lang w:val="en-US" w:eastAsia="zh-CN" w:bidi="ar"/>
              </w:rPr>
              <w:t>）；</w:t>
            </w:r>
          </w:p>
          <w:p w14:paraId="3D8CC165">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多个室外声源对预测点的贡献值（</w:t>
            </w:r>
            <w:r>
              <w:rPr>
                <w:rFonts w:hint="default" w:ascii="Times New Roman" w:hAnsi="Times New Roman" w:eastAsia="宋体" w:cs="Times New Roman"/>
                <w:color w:val="000000"/>
                <w:kern w:val="2"/>
                <w:sz w:val="24"/>
                <w:szCs w:val="24"/>
                <w:bdr w:val="none" w:color="auto" w:sz="0" w:space="0"/>
                <w:lang w:val="en-US" w:eastAsia="zh-CN" w:bidi="ar"/>
              </w:rPr>
              <w:t>L</w:t>
            </w:r>
            <w:r>
              <w:rPr>
                <w:rFonts w:hint="default" w:ascii="Times New Roman" w:hAnsi="Times New Roman" w:eastAsia="宋体" w:cs="Times New Roman"/>
                <w:color w:val="000000"/>
                <w:kern w:val="2"/>
                <w:sz w:val="24"/>
                <w:szCs w:val="24"/>
                <w:bdr w:val="none" w:color="auto" w:sz="0" w:space="0"/>
                <w:vertAlign w:val="subscript"/>
                <w:lang w:val="en-US" w:eastAsia="zh-CN" w:bidi="ar"/>
              </w:rPr>
              <w:t>eqg</w:t>
            </w:r>
            <w:r>
              <w:rPr>
                <w:rFonts w:hint="eastAsia" w:ascii="Times New Roman" w:hAnsi="Times New Roman" w:eastAsia="宋体" w:cs="宋体"/>
                <w:color w:val="000000"/>
                <w:kern w:val="2"/>
                <w:sz w:val="24"/>
                <w:szCs w:val="24"/>
                <w:bdr w:val="none" w:color="auto" w:sz="0" w:space="0"/>
                <w:lang w:val="en-US" w:eastAsia="zh-CN" w:bidi="ar"/>
              </w:rPr>
              <w:t>）：</w:t>
            </w:r>
          </w:p>
          <w:p w14:paraId="5C287A4C">
            <w:pPr>
              <w:keepNext w:val="0"/>
              <w:keepLines w:val="0"/>
              <w:widowControl/>
              <w:suppressLineNumbers w:val="0"/>
              <w:spacing w:before="0" w:beforeAutospacing="0" w:after="0" w:afterAutospacing="0"/>
              <w:ind w:left="0" w:right="0"/>
              <w:jc w:val="left"/>
              <w:rPr>
                <w:rFonts w:hint="default" w:ascii="Times New Roman" w:hAnsi="宋体" w:cs="Times New Roman"/>
                <w:color w:val="000000"/>
                <w:kern w:val="0"/>
                <w:sz w:val="24"/>
                <w:szCs w:val="24"/>
                <w:bdr w:val="none" w:color="auto" w:sz="0" w:space="0"/>
                <w:lang w:val="en-US"/>
              </w:rPr>
            </w:pPr>
          </w:p>
          <w:p w14:paraId="2EBB7B05">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bdr w:val="none" w:color="auto" w:sz="0" w:space="0"/>
                <w:lang w:val="en-US"/>
              </w:rPr>
            </w:pPr>
            <w:r>
              <w:rPr>
                <w:rFonts w:hint="default" w:ascii="Calibri" w:hAnsi="Calibri" w:eastAsia="宋体" w:cs="Times New Roman"/>
                <w:kern w:val="2"/>
                <w:sz w:val="21"/>
                <w:szCs w:val="24"/>
                <w:bdr w:val="none" w:color="auto" w:sz="0" w:space="0"/>
                <w:lang w:val="en-US" w:eastAsia="zh-CN" w:bidi="ar"/>
              </w:rPr>
              <w:drawing>
                <wp:anchor distT="0" distB="0" distL="114300" distR="114300" simplePos="0" relativeHeight="251664384" behindDoc="0" locked="0" layoutInCell="1" allowOverlap="1">
                  <wp:simplePos x="0" y="0"/>
                  <wp:positionH relativeFrom="column">
                    <wp:posOffset>1082040</wp:posOffset>
                  </wp:positionH>
                  <wp:positionV relativeFrom="paragraph">
                    <wp:posOffset>-3175</wp:posOffset>
                  </wp:positionV>
                  <wp:extent cx="2714625" cy="523875"/>
                  <wp:effectExtent l="0" t="0" r="9525" b="9525"/>
                  <wp:wrapNone/>
                  <wp:docPr id="6" name="图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36"/>
                          <pic:cNvPicPr>
                            <a:picLocks noChangeAspect="1"/>
                          </pic:cNvPicPr>
                        </pic:nvPicPr>
                        <pic:blipFill>
                          <a:blip r:embed="rId27"/>
                          <a:stretch>
                            <a:fillRect/>
                          </a:stretch>
                        </pic:blipFill>
                        <pic:spPr>
                          <a:xfrm>
                            <a:off x="0" y="0"/>
                            <a:ext cx="2714625" cy="523875"/>
                          </a:xfrm>
                          <a:prstGeom prst="rect">
                            <a:avLst/>
                          </a:prstGeom>
                          <a:noFill/>
                          <a:ln>
                            <a:noFill/>
                          </a:ln>
                        </pic:spPr>
                      </pic:pic>
                    </a:graphicData>
                  </a:graphic>
                </wp:anchor>
              </w:drawing>
            </w:r>
          </w:p>
          <w:p w14:paraId="0E6BBB80">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bdr w:val="none" w:color="auto" w:sz="0" w:space="0"/>
                <w:lang w:val="en-US"/>
              </w:rPr>
            </w:pPr>
          </w:p>
          <w:p w14:paraId="185CAE27">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式中：</w:t>
            </w:r>
            <w:r>
              <w:rPr>
                <w:rFonts w:hint="default" w:ascii="Times New Roman" w:hAnsi="Times New Roman" w:eastAsia="宋体" w:cs="Times New Roman"/>
                <w:color w:val="000000"/>
                <w:kern w:val="2"/>
                <w:sz w:val="24"/>
                <w:szCs w:val="24"/>
                <w:bdr w:val="none" w:color="auto" w:sz="0" w:space="0"/>
                <w:lang w:val="en-US" w:eastAsia="zh-CN" w:bidi="ar"/>
              </w:rPr>
              <w:t>L</w:t>
            </w:r>
            <w:r>
              <w:rPr>
                <w:rFonts w:hint="default" w:ascii="Times New Roman" w:hAnsi="Times New Roman" w:eastAsia="宋体" w:cs="Times New Roman"/>
                <w:color w:val="000000"/>
                <w:kern w:val="2"/>
                <w:sz w:val="24"/>
                <w:szCs w:val="24"/>
                <w:bdr w:val="none" w:color="auto" w:sz="0" w:space="0"/>
                <w:vertAlign w:val="subscript"/>
                <w:lang w:val="en-US" w:eastAsia="zh-CN" w:bidi="ar"/>
              </w:rPr>
              <w:t>eqg</w:t>
            </w:r>
            <w:r>
              <w:rPr>
                <w:rFonts w:hint="default" w:ascii="Times New Roman" w:hAnsi="Times New Roman" w:eastAsia="宋体" w:cs="Times New Roman"/>
                <w:color w:val="000000"/>
                <w:kern w:val="2"/>
                <w:sz w:val="24"/>
                <w:szCs w:val="24"/>
                <w:bdr w:val="none" w:color="auto" w:sz="0" w:space="0"/>
                <w:lang w:val="en-US" w:eastAsia="zh-CN" w:bidi="ar"/>
              </w:rPr>
              <w:t>—</w:t>
            </w:r>
            <w:r>
              <w:rPr>
                <w:rFonts w:hint="eastAsia" w:ascii="Times New Roman" w:hAnsi="Times New Roman" w:eastAsia="宋体" w:cs="宋体"/>
                <w:color w:val="000000"/>
                <w:kern w:val="2"/>
                <w:sz w:val="24"/>
                <w:szCs w:val="24"/>
                <w:bdr w:val="none" w:color="auto" w:sz="0" w:space="0"/>
                <w:lang w:val="en-US" w:eastAsia="zh-CN" w:bidi="ar"/>
              </w:rPr>
              <w:t>建设项目声源在预测点产生的噪声贡献值，</w:t>
            </w:r>
            <w:r>
              <w:rPr>
                <w:rFonts w:hint="default" w:ascii="Times New Roman" w:hAnsi="Times New Roman" w:eastAsia="宋体" w:cs="Times New Roman"/>
                <w:color w:val="000000"/>
                <w:kern w:val="2"/>
                <w:sz w:val="24"/>
                <w:szCs w:val="24"/>
                <w:bdr w:val="none" w:color="auto" w:sz="0" w:space="0"/>
                <w:lang w:val="en-US" w:eastAsia="zh-CN" w:bidi="ar"/>
              </w:rPr>
              <w:t>dB</w:t>
            </w:r>
            <w:r>
              <w:rPr>
                <w:rFonts w:hint="eastAsia" w:ascii="Times New Roman" w:hAnsi="Times New Roman" w:eastAsia="宋体" w:cs="宋体"/>
                <w:color w:val="000000"/>
                <w:kern w:val="2"/>
                <w:sz w:val="24"/>
                <w:szCs w:val="24"/>
                <w:bdr w:val="none" w:color="auto" w:sz="0" w:space="0"/>
                <w:lang w:val="en-US" w:eastAsia="zh-CN" w:bidi="ar"/>
              </w:rPr>
              <w:t>；</w:t>
            </w:r>
          </w:p>
          <w:p w14:paraId="3C9EF984">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 xml:space="preserve">       t</w:t>
            </w:r>
            <w:r>
              <w:rPr>
                <w:rFonts w:hint="default" w:ascii="Times New Roman" w:hAnsi="Times New Roman" w:eastAsia="宋体" w:cs="Times New Roman"/>
                <w:color w:val="000000"/>
                <w:kern w:val="2"/>
                <w:sz w:val="24"/>
                <w:szCs w:val="24"/>
                <w:bdr w:val="none" w:color="auto" w:sz="0" w:space="0"/>
                <w:vertAlign w:val="subscript"/>
                <w:lang w:val="en-US" w:eastAsia="zh-CN" w:bidi="ar"/>
              </w:rPr>
              <w:t xml:space="preserve"> j </w:t>
            </w:r>
            <w:r>
              <w:rPr>
                <w:rFonts w:hint="default" w:ascii="Times New Roman" w:hAnsi="Times New Roman" w:eastAsia="宋体" w:cs="Times New Roman"/>
                <w:color w:val="000000"/>
                <w:kern w:val="2"/>
                <w:sz w:val="24"/>
                <w:szCs w:val="24"/>
                <w:bdr w:val="none" w:color="auto" w:sz="0" w:space="0"/>
                <w:lang w:val="en-US" w:eastAsia="zh-CN" w:bidi="ar"/>
              </w:rPr>
              <w:t>—</w:t>
            </w:r>
            <w:r>
              <w:rPr>
                <w:rFonts w:hint="eastAsia" w:ascii="Times New Roman" w:hAnsi="Times New Roman" w:eastAsia="宋体" w:cs="宋体"/>
                <w:color w:val="000000"/>
                <w:kern w:val="2"/>
                <w:sz w:val="24"/>
                <w:szCs w:val="24"/>
                <w:bdr w:val="none" w:color="auto" w:sz="0" w:space="0"/>
                <w:lang w:val="en-US" w:eastAsia="zh-CN" w:bidi="ar"/>
              </w:rPr>
              <w:t>在</w:t>
            </w:r>
            <w:r>
              <w:rPr>
                <w:rFonts w:hint="default" w:ascii="Times New Roman" w:hAnsi="Times New Roman" w:eastAsia="宋体" w:cs="Times New Roman"/>
                <w:color w:val="000000"/>
                <w:kern w:val="2"/>
                <w:sz w:val="24"/>
                <w:szCs w:val="24"/>
                <w:bdr w:val="none" w:color="auto" w:sz="0" w:space="0"/>
                <w:lang w:val="en-US" w:eastAsia="zh-CN" w:bidi="ar"/>
              </w:rPr>
              <w:t>T</w:t>
            </w:r>
            <w:r>
              <w:rPr>
                <w:rFonts w:hint="eastAsia" w:ascii="Times New Roman" w:hAnsi="Times New Roman" w:eastAsia="宋体" w:cs="宋体"/>
                <w:color w:val="000000"/>
                <w:kern w:val="2"/>
                <w:sz w:val="24"/>
                <w:szCs w:val="24"/>
                <w:bdr w:val="none" w:color="auto" w:sz="0" w:space="0"/>
                <w:lang w:val="en-US" w:eastAsia="zh-CN" w:bidi="ar"/>
              </w:rPr>
              <w:t>时间内</w:t>
            </w:r>
            <w:r>
              <w:rPr>
                <w:rFonts w:hint="default" w:ascii="Times New Roman" w:hAnsi="Times New Roman" w:eastAsia="宋体" w:cs="Times New Roman"/>
                <w:color w:val="000000"/>
                <w:kern w:val="2"/>
                <w:sz w:val="24"/>
                <w:szCs w:val="24"/>
                <w:bdr w:val="none" w:color="auto" w:sz="0" w:space="0"/>
                <w:lang w:val="en-US" w:eastAsia="zh-CN" w:bidi="ar"/>
              </w:rPr>
              <w:t>j</w:t>
            </w:r>
            <w:r>
              <w:rPr>
                <w:rFonts w:hint="eastAsia" w:ascii="Times New Roman" w:hAnsi="Times New Roman" w:eastAsia="宋体" w:cs="宋体"/>
                <w:color w:val="000000"/>
                <w:kern w:val="2"/>
                <w:sz w:val="24"/>
                <w:szCs w:val="24"/>
                <w:bdr w:val="none" w:color="auto" w:sz="0" w:space="0"/>
                <w:lang w:val="en-US" w:eastAsia="zh-CN" w:bidi="ar"/>
              </w:rPr>
              <w:t>声源工作时间，</w:t>
            </w:r>
            <w:r>
              <w:rPr>
                <w:rFonts w:hint="default" w:ascii="Times New Roman" w:hAnsi="Times New Roman" w:eastAsia="宋体" w:cs="Times New Roman"/>
                <w:color w:val="000000"/>
                <w:kern w:val="2"/>
                <w:sz w:val="24"/>
                <w:szCs w:val="24"/>
                <w:bdr w:val="none" w:color="auto" w:sz="0" w:space="0"/>
                <w:lang w:val="en-US" w:eastAsia="zh-CN" w:bidi="ar"/>
              </w:rPr>
              <w:t>s</w:t>
            </w:r>
            <w:r>
              <w:rPr>
                <w:rFonts w:hint="eastAsia" w:ascii="Times New Roman" w:hAnsi="Times New Roman" w:eastAsia="宋体" w:cs="宋体"/>
                <w:color w:val="000000"/>
                <w:kern w:val="2"/>
                <w:sz w:val="24"/>
                <w:szCs w:val="24"/>
                <w:bdr w:val="none" w:color="auto" w:sz="0" w:space="0"/>
                <w:lang w:val="en-US" w:eastAsia="zh-CN" w:bidi="ar"/>
              </w:rPr>
              <w:t>；</w:t>
            </w:r>
          </w:p>
          <w:p w14:paraId="151F7E04">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 xml:space="preserve">       t</w:t>
            </w:r>
            <w:r>
              <w:rPr>
                <w:rFonts w:hint="default" w:ascii="Times New Roman" w:hAnsi="Times New Roman" w:eastAsia="宋体" w:cs="Times New Roman"/>
                <w:color w:val="000000"/>
                <w:kern w:val="2"/>
                <w:sz w:val="24"/>
                <w:szCs w:val="24"/>
                <w:bdr w:val="none" w:color="auto" w:sz="0" w:space="0"/>
                <w:vertAlign w:val="subscript"/>
                <w:lang w:val="en-US" w:eastAsia="zh-CN" w:bidi="ar"/>
              </w:rPr>
              <w:t>i</w:t>
            </w:r>
            <w:r>
              <w:rPr>
                <w:rFonts w:hint="default" w:ascii="Times New Roman" w:hAnsi="Times New Roman" w:eastAsia="宋体" w:cs="Times New Roman"/>
                <w:color w:val="000000"/>
                <w:kern w:val="2"/>
                <w:sz w:val="24"/>
                <w:szCs w:val="24"/>
                <w:bdr w:val="none" w:color="auto" w:sz="0" w:space="0"/>
                <w:lang w:val="en-US" w:eastAsia="zh-CN" w:bidi="ar"/>
              </w:rPr>
              <w:t xml:space="preserve"> —</w:t>
            </w:r>
            <w:r>
              <w:rPr>
                <w:rFonts w:hint="eastAsia" w:ascii="Times New Roman" w:hAnsi="Times New Roman" w:eastAsia="宋体" w:cs="宋体"/>
                <w:color w:val="000000"/>
                <w:kern w:val="2"/>
                <w:sz w:val="24"/>
                <w:szCs w:val="24"/>
                <w:bdr w:val="none" w:color="auto" w:sz="0" w:space="0"/>
                <w:lang w:val="en-US" w:eastAsia="zh-CN" w:bidi="ar"/>
              </w:rPr>
              <w:t>在</w:t>
            </w:r>
            <w:r>
              <w:rPr>
                <w:rFonts w:hint="default" w:ascii="Times New Roman" w:hAnsi="Times New Roman" w:eastAsia="宋体" w:cs="Times New Roman"/>
                <w:color w:val="000000"/>
                <w:kern w:val="2"/>
                <w:sz w:val="24"/>
                <w:szCs w:val="24"/>
                <w:bdr w:val="none" w:color="auto" w:sz="0" w:space="0"/>
                <w:lang w:val="en-US" w:eastAsia="zh-CN" w:bidi="ar"/>
              </w:rPr>
              <w:t>T</w:t>
            </w:r>
            <w:r>
              <w:rPr>
                <w:rFonts w:hint="eastAsia" w:ascii="Times New Roman" w:hAnsi="Times New Roman" w:eastAsia="宋体" w:cs="宋体"/>
                <w:color w:val="000000"/>
                <w:kern w:val="2"/>
                <w:sz w:val="24"/>
                <w:szCs w:val="24"/>
                <w:bdr w:val="none" w:color="auto" w:sz="0" w:space="0"/>
                <w:lang w:val="en-US" w:eastAsia="zh-CN" w:bidi="ar"/>
              </w:rPr>
              <w:t>时间内</w:t>
            </w:r>
            <w:r>
              <w:rPr>
                <w:rFonts w:hint="default" w:ascii="Times New Roman" w:hAnsi="Times New Roman" w:eastAsia="宋体" w:cs="Times New Roman"/>
                <w:color w:val="000000"/>
                <w:kern w:val="2"/>
                <w:sz w:val="24"/>
                <w:szCs w:val="24"/>
                <w:bdr w:val="none" w:color="auto" w:sz="0" w:space="0"/>
                <w:lang w:val="en-US" w:eastAsia="zh-CN" w:bidi="ar"/>
              </w:rPr>
              <w:t>i</w:t>
            </w:r>
            <w:r>
              <w:rPr>
                <w:rFonts w:hint="eastAsia" w:ascii="Times New Roman" w:hAnsi="Times New Roman" w:eastAsia="宋体" w:cs="宋体"/>
                <w:color w:val="000000"/>
                <w:kern w:val="2"/>
                <w:sz w:val="24"/>
                <w:szCs w:val="24"/>
                <w:bdr w:val="none" w:color="auto" w:sz="0" w:space="0"/>
                <w:lang w:val="en-US" w:eastAsia="zh-CN" w:bidi="ar"/>
              </w:rPr>
              <w:t>声源工作时间，</w:t>
            </w:r>
            <w:r>
              <w:rPr>
                <w:rFonts w:hint="default" w:ascii="Times New Roman" w:hAnsi="Times New Roman" w:eastAsia="宋体" w:cs="Times New Roman"/>
                <w:color w:val="000000"/>
                <w:kern w:val="2"/>
                <w:sz w:val="24"/>
                <w:szCs w:val="24"/>
                <w:bdr w:val="none" w:color="auto" w:sz="0" w:space="0"/>
                <w:lang w:val="en-US" w:eastAsia="zh-CN" w:bidi="ar"/>
              </w:rPr>
              <w:t>s</w:t>
            </w:r>
            <w:r>
              <w:rPr>
                <w:rFonts w:hint="eastAsia" w:ascii="Times New Roman" w:hAnsi="Times New Roman" w:eastAsia="宋体" w:cs="宋体"/>
                <w:color w:val="000000"/>
                <w:kern w:val="2"/>
                <w:sz w:val="24"/>
                <w:szCs w:val="24"/>
                <w:bdr w:val="none" w:color="auto" w:sz="0" w:space="0"/>
                <w:lang w:val="en-US" w:eastAsia="zh-CN" w:bidi="ar"/>
              </w:rPr>
              <w:t>；</w:t>
            </w:r>
          </w:p>
          <w:p w14:paraId="7B2DB5AB">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 xml:space="preserve">       T—</w:t>
            </w:r>
            <w:r>
              <w:rPr>
                <w:rFonts w:hint="eastAsia" w:ascii="Times New Roman" w:hAnsi="Times New Roman" w:eastAsia="宋体" w:cs="宋体"/>
                <w:color w:val="000000"/>
                <w:kern w:val="2"/>
                <w:sz w:val="24"/>
                <w:szCs w:val="24"/>
                <w:bdr w:val="none" w:color="auto" w:sz="0" w:space="0"/>
                <w:lang w:val="en-US" w:eastAsia="zh-CN" w:bidi="ar"/>
              </w:rPr>
              <w:t>用于计算等效声级的时间，</w:t>
            </w:r>
            <w:r>
              <w:rPr>
                <w:rFonts w:hint="default" w:ascii="Times New Roman" w:hAnsi="Times New Roman" w:eastAsia="宋体" w:cs="Times New Roman"/>
                <w:color w:val="000000"/>
                <w:kern w:val="2"/>
                <w:sz w:val="24"/>
                <w:szCs w:val="24"/>
                <w:bdr w:val="none" w:color="auto" w:sz="0" w:space="0"/>
                <w:lang w:val="en-US" w:eastAsia="zh-CN" w:bidi="ar"/>
              </w:rPr>
              <w:t>s</w:t>
            </w:r>
            <w:r>
              <w:rPr>
                <w:rFonts w:hint="eastAsia" w:ascii="Times New Roman" w:hAnsi="Times New Roman" w:eastAsia="宋体" w:cs="宋体"/>
                <w:color w:val="000000"/>
                <w:kern w:val="2"/>
                <w:sz w:val="24"/>
                <w:szCs w:val="24"/>
                <w:bdr w:val="none" w:color="auto" w:sz="0" w:space="0"/>
                <w:lang w:val="en-US" w:eastAsia="zh-CN" w:bidi="ar"/>
              </w:rPr>
              <w:t>；</w:t>
            </w:r>
          </w:p>
          <w:p w14:paraId="056F93BB">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 xml:space="preserve">       N—</w:t>
            </w:r>
            <w:r>
              <w:rPr>
                <w:rFonts w:hint="eastAsia" w:ascii="Times New Roman" w:hAnsi="Times New Roman" w:eastAsia="宋体" w:cs="宋体"/>
                <w:color w:val="000000"/>
                <w:kern w:val="2"/>
                <w:sz w:val="24"/>
                <w:szCs w:val="24"/>
                <w:bdr w:val="none" w:color="auto" w:sz="0" w:space="0"/>
                <w:lang w:val="en-US" w:eastAsia="zh-CN" w:bidi="ar"/>
              </w:rPr>
              <w:t>室外声源个数；</w:t>
            </w:r>
          </w:p>
          <w:p w14:paraId="0E7382C3">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 xml:space="preserve">       M—</w:t>
            </w:r>
            <w:r>
              <w:rPr>
                <w:rFonts w:hint="eastAsia" w:ascii="Times New Roman" w:hAnsi="Times New Roman" w:eastAsia="宋体" w:cs="宋体"/>
                <w:color w:val="000000"/>
                <w:kern w:val="2"/>
                <w:sz w:val="24"/>
                <w:szCs w:val="24"/>
                <w:bdr w:val="none" w:color="auto" w:sz="0" w:space="0"/>
                <w:lang w:val="en-US" w:eastAsia="zh-CN" w:bidi="ar"/>
              </w:rPr>
              <w:t>等效室外声源个数。</w:t>
            </w:r>
          </w:p>
          <w:p w14:paraId="7FCDF4EB">
            <w:pPr>
              <w:keepNext w:val="0"/>
              <w:keepLines w:val="0"/>
              <w:widowControl w:val="0"/>
              <w:suppressLineNumbers w:val="0"/>
              <w:spacing w:before="0" w:beforeAutospacing="0" w:after="0" w:afterAutospacing="0" w:line="440" w:lineRule="exact"/>
              <w:ind w:left="0" w:right="0" w:firstLine="482"/>
              <w:jc w:val="both"/>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3</w:t>
            </w:r>
            <w:r>
              <w:rPr>
                <w:rFonts w:hint="eastAsia" w:ascii="Times New Roman" w:hAnsi="Times New Roman" w:eastAsia="宋体" w:cs="宋体"/>
                <w:color w:val="000000"/>
                <w:kern w:val="2"/>
                <w:sz w:val="24"/>
                <w:szCs w:val="24"/>
                <w:bdr w:val="none" w:color="auto" w:sz="0" w:space="0"/>
                <w:lang w:val="en-US" w:eastAsia="zh-CN" w:bidi="ar"/>
              </w:rPr>
              <w:t>、声环境影响预测结果</w:t>
            </w:r>
          </w:p>
          <w:p w14:paraId="05EAE4EC">
            <w:pPr>
              <w:keepNext w:val="0"/>
              <w:keepLines w:val="0"/>
              <w:widowControl/>
              <w:suppressLineNumbers w:val="0"/>
              <w:spacing w:before="0" w:beforeAutospacing="0" w:after="0" w:afterAutospacing="0" w:line="440" w:lineRule="exact"/>
              <w:ind w:left="0" w:right="0" w:firstLine="482"/>
              <w:jc w:val="both"/>
              <w:rPr>
                <w:color w:val="000000"/>
                <w:sz w:val="24"/>
                <w:szCs w:val="24"/>
                <w:bdr w:val="none" w:color="auto" w:sz="0" w:space="0"/>
                <w:lang w:val="en-US"/>
              </w:rPr>
            </w:pPr>
            <w:r>
              <w:rPr>
                <w:rFonts w:hint="eastAsia" w:ascii="Calibri" w:hAnsi="Calibri" w:eastAsia="宋体" w:cs="宋体"/>
                <w:color w:val="000000"/>
                <w:kern w:val="2"/>
                <w:sz w:val="24"/>
                <w:szCs w:val="24"/>
                <w:bdr w:val="none" w:color="auto" w:sz="0" w:space="0"/>
                <w:lang w:val="en-US" w:eastAsia="zh-CN" w:bidi="ar"/>
              </w:rPr>
              <w:t>由于扩建项目新增设备数量，导致原有设备的位置布局发生一定变化，故本次根据扩建后的全厂平面布局情况重新对厂界噪声进行预测，噪声预测结果见下表。</w:t>
            </w:r>
          </w:p>
          <w:p w14:paraId="2EDBD67E">
            <w:pPr>
              <w:keepNext w:val="0"/>
              <w:keepLines w:val="0"/>
              <w:widowControl w:val="0"/>
              <w:suppressLineNumbers w:val="0"/>
              <w:snapToGrid w:val="0"/>
              <w:spacing w:before="0" w:beforeAutospacing="0" w:after="0" w:afterAutospacing="0" w:line="440" w:lineRule="exact"/>
              <w:ind w:left="0" w:right="0" w:firstLine="480"/>
              <w:jc w:val="center"/>
              <w:rPr>
                <w:rFonts w:hint="default" w:ascii="Times New Roman" w:hAnsi="Times New Roman" w:cs="Times New Roman"/>
                <w:bCs/>
                <w:color w:val="000000"/>
                <w:sz w:val="24"/>
                <w:szCs w:val="24"/>
                <w:bdr w:val="none" w:color="auto" w:sz="0" w:space="0"/>
                <w:lang w:val="en-US"/>
              </w:rPr>
            </w:pPr>
            <w:r>
              <w:rPr>
                <w:rFonts w:hint="eastAsia" w:ascii="Times New Roman" w:hAnsi="Calibri" w:eastAsia="宋体" w:cs="宋体"/>
                <w:bCs/>
                <w:color w:val="000000"/>
                <w:kern w:val="2"/>
                <w:sz w:val="24"/>
                <w:szCs w:val="24"/>
                <w:bdr w:val="none" w:color="auto" w:sz="0" w:space="0"/>
                <w:lang w:val="en-US" w:eastAsia="zh-CN" w:bidi="ar"/>
              </w:rPr>
              <w:t>表</w:t>
            </w:r>
            <w:r>
              <w:rPr>
                <w:rFonts w:hint="default" w:ascii="Times New Roman" w:hAnsi="Times New Roman" w:eastAsia="宋体" w:cs="Times New Roman"/>
                <w:bCs/>
                <w:color w:val="000000"/>
                <w:kern w:val="2"/>
                <w:sz w:val="24"/>
                <w:szCs w:val="24"/>
                <w:bdr w:val="none" w:color="auto" w:sz="0" w:space="0"/>
                <w:lang w:val="en-US" w:eastAsia="zh-CN" w:bidi="ar"/>
              </w:rPr>
              <w:t xml:space="preserve">4.4-3 </w:t>
            </w:r>
            <w:r>
              <w:rPr>
                <w:rFonts w:hint="eastAsia" w:ascii="Times New Roman" w:hAnsi="Calibri" w:eastAsia="宋体" w:cs="宋体"/>
                <w:bCs/>
                <w:color w:val="000000"/>
                <w:kern w:val="2"/>
                <w:sz w:val="24"/>
                <w:szCs w:val="24"/>
                <w:bdr w:val="none" w:color="auto" w:sz="0" w:space="0"/>
                <w:lang w:val="en-US" w:eastAsia="zh-CN" w:bidi="ar"/>
              </w:rPr>
              <w:t>厂界噪声预测结果</w:t>
            </w:r>
            <w:r>
              <w:rPr>
                <w:rFonts w:hint="default" w:ascii="Times New Roman" w:hAnsi="Times New Roman" w:eastAsia="宋体" w:cs="Times New Roman"/>
                <w:bCs/>
                <w:color w:val="000000"/>
                <w:kern w:val="2"/>
                <w:sz w:val="24"/>
                <w:szCs w:val="24"/>
                <w:bdr w:val="none" w:color="auto" w:sz="0" w:space="0"/>
                <w:lang w:val="en-US" w:eastAsia="zh-CN" w:bidi="ar"/>
              </w:rPr>
              <w:t xml:space="preserve">   </w:t>
            </w:r>
            <w:r>
              <w:rPr>
                <w:rFonts w:hint="eastAsia" w:ascii="Times New Roman" w:hAnsi="Calibri" w:eastAsia="宋体" w:cs="宋体"/>
                <w:bCs/>
                <w:color w:val="000000"/>
                <w:kern w:val="2"/>
                <w:sz w:val="24"/>
                <w:szCs w:val="24"/>
                <w:bdr w:val="none" w:color="auto" w:sz="0" w:space="0"/>
                <w:lang w:val="en-US" w:eastAsia="zh-CN" w:bidi="ar"/>
              </w:rPr>
              <w:t>单位：</w:t>
            </w:r>
            <w:r>
              <w:rPr>
                <w:rFonts w:hint="default" w:ascii="Times New Roman" w:hAnsi="Times New Roman" w:eastAsia="宋体" w:cs="Times New Roman"/>
                <w:bCs/>
                <w:color w:val="000000"/>
                <w:kern w:val="2"/>
                <w:sz w:val="24"/>
                <w:szCs w:val="24"/>
                <w:bdr w:val="none" w:color="auto" w:sz="0" w:space="0"/>
                <w:lang w:val="en-US" w:eastAsia="zh-CN" w:bidi="ar"/>
              </w:rPr>
              <w:t>dB(A)</w:t>
            </w:r>
          </w:p>
          <w:tbl>
            <w:tblPr>
              <w:tblStyle w:val="18"/>
              <w:tblpPr w:leftFromText="180" w:rightFromText="180" w:vertAnchor="text" w:tblpXSpec="center" w:tblpY="1"/>
              <w:tblOverlap w:val="never"/>
              <w:tblW w:w="5000" w:type="pct"/>
              <w:tblInd w:w="8"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Layout w:type="fixed"/>
              <w:tblCellMar>
                <w:top w:w="0" w:type="dxa"/>
                <w:left w:w="108" w:type="dxa"/>
                <w:bottom w:w="0" w:type="dxa"/>
                <w:right w:w="108" w:type="dxa"/>
              </w:tblCellMar>
            </w:tblPr>
            <w:tblGrid>
              <w:gridCol w:w="1692"/>
              <w:gridCol w:w="1569"/>
              <w:gridCol w:w="1685"/>
              <w:gridCol w:w="1349"/>
              <w:gridCol w:w="1652"/>
            </w:tblGrid>
            <w:tr w14:paraId="693437C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CellMar>
                  <w:top w:w="0" w:type="dxa"/>
                  <w:left w:w="108" w:type="dxa"/>
                  <w:bottom w:w="0" w:type="dxa"/>
                  <w:right w:w="108" w:type="dxa"/>
                </w:tblCellMar>
              </w:tblPrEx>
              <w:trPr>
                <w:trHeight w:val="210" w:hRule="atLeast"/>
              </w:trPr>
              <w:tc>
                <w:tcPr>
                  <w:tcW w:w="1065" w:type="pct"/>
                  <w:tcBorders>
                    <w:top w:val="single" w:color="auto" w:sz="12" w:space="0"/>
                    <w:left w:val="nil"/>
                    <w:bottom w:val="single" w:color="auto" w:sz="4" w:space="0"/>
                    <w:right w:val="single" w:color="auto" w:sz="4" w:space="0"/>
                  </w:tcBorders>
                  <w:shd w:val="clear"/>
                  <w:vAlign w:val="center"/>
                </w:tcPr>
                <w:p w14:paraId="13D1A2E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eastAsia" w:ascii="Times New Roman" w:hAnsi="宋体" w:eastAsia="宋体" w:cs="宋体"/>
                      <w:color w:val="000000"/>
                      <w:kern w:val="2"/>
                      <w:sz w:val="21"/>
                      <w:szCs w:val="24"/>
                      <w:bdr w:val="none" w:color="auto" w:sz="0" w:space="0"/>
                      <w:lang w:val="en-US" w:eastAsia="zh-CN" w:bidi="ar"/>
                    </w:rPr>
                    <w:t>预测点位置</w:t>
                  </w:r>
                </w:p>
              </w:tc>
              <w:tc>
                <w:tcPr>
                  <w:tcW w:w="987" w:type="pct"/>
                  <w:tcBorders>
                    <w:top w:val="single" w:color="auto" w:sz="12" w:space="0"/>
                    <w:left w:val="single" w:color="auto" w:sz="4" w:space="0"/>
                    <w:bottom w:val="single" w:color="auto" w:sz="4" w:space="0"/>
                    <w:right w:val="single" w:color="auto" w:sz="4" w:space="0"/>
                  </w:tcBorders>
                  <w:shd w:val="clear"/>
                  <w:vAlign w:val="center"/>
                </w:tcPr>
                <w:p w14:paraId="2AD06D2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bdr w:val="none" w:color="auto" w:sz="0" w:space="0"/>
                      <w:lang w:val="en-US"/>
                    </w:rPr>
                  </w:pPr>
                  <w:r>
                    <w:rPr>
                      <w:rFonts w:hint="eastAsia" w:ascii="Times New Roman" w:hAnsi="宋体" w:eastAsia="宋体" w:cs="宋体"/>
                      <w:color w:val="000000"/>
                      <w:kern w:val="2"/>
                      <w:sz w:val="21"/>
                      <w:szCs w:val="24"/>
                      <w:bdr w:val="none" w:color="auto" w:sz="0" w:space="0"/>
                      <w:lang w:val="en-US" w:eastAsia="zh-CN" w:bidi="ar"/>
                    </w:rPr>
                    <w:t>距离</w:t>
                  </w:r>
                </w:p>
              </w:tc>
              <w:tc>
                <w:tcPr>
                  <w:tcW w:w="1060" w:type="pct"/>
                  <w:tcBorders>
                    <w:top w:val="single" w:color="auto" w:sz="12" w:space="0"/>
                    <w:left w:val="single" w:color="auto" w:sz="4" w:space="0"/>
                    <w:bottom w:val="single" w:color="auto" w:sz="4" w:space="0"/>
                    <w:right w:val="single" w:color="auto" w:sz="4" w:space="0"/>
                  </w:tcBorders>
                  <w:shd w:val="clear"/>
                  <w:vAlign w:val="center"/>
                </w:tcPr>
                <w:p w14:paraId="31E0A28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bdr w:val="none" w:color="auto" w:sz="0" w:space="0"/>
                      <w:lang w:val="en-US"/>
                    </w:rPr>
                  </w:pPr>
                  <w:r>
                    <w:rPr>
                      <w:rFonts w:hint="eastAsia" w:ascii="Times New Roman" w:hAnsi="宋体" w:eastAsia="宋体" w:cs="宋体"/>
                      <w:color w:val="000000"/>
                      <w:kern w:val="2"/>
                      <w:sz w:val="21"/>
                      <w:szCs w:val="24"/>
                      <w:bdr w:val="none" w:color="auto" w:sz="0" w:space="0"/>
                      <w:lang w:val="en-US" w:eastAsia="zh-CN" w:bidi="ar"/>
                    </w:rPr>
                    <w:t>预测贡献值</w:t>
                  </w:r>
                </w:p>
              </w:tc>
              <w:tc>
                <w:tcPr>
                  <w:tcW w:w="849" w:type="pct"/>
                  <w:tcBorders>
                    <w:top w:val="single" w:color="auto" w:sz="12" w:space="0"/>
                    <w:left w:val="single" w:color="auto" w:sz="4" w:space="0"/>
                    <w:bottom w:val="single" w:color="auto" w:sz="4" w:space="0"/>
                    <w:right w:val="single" w:color="auto" w:sz="4" w:space="0"/>
                  </w:tcBorders>
                  <w:shd w:val="clear"/>
                  <w:vAlign w:val="center"/>
                </w:tcPr>
                <w:p w14:paraId="79FC573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eastAsia" w:ascii="Times New Roman" w:hAnsi="宋体" w:eastAsia="宋体" w:cs="宋体"/>
                      <w:color w:val="000000"/>
                      <w:kern w:val="2"/>
                      <w:sz w:val="21"/>
                      <w:szCs w:val="24"/>
                      <w:bdr w:val="none" w:color="auto" w:sz="0" w:space="0"/>
                      <w:lang w:val="en-US" w:eastAsia="zh-CN" w:bidi="ar"/>
                    </w:rPr>
                    <w:t>标准值</w:t>
                  </w:r>
                </w:p>
              </w:tc>
              <w:tc>
                <w:tcPr>
                  <w:tcW w:w="1039" w:type="pct"/>
                  <w:tcBorders>
                    <w:top w:val="single" w:color="auto" w:sz="12" w:space="0"/>
                    <w:left w:val="single" w:color="auto" w:sz="4" w:space="0"/>
                    <w:bottom w:val="single" w:color="auto" w:sz="4" w:space="0"/>
                    <w:right w:val="nil"/>
                  </w:tcBorders>
                  <w:shd w:val="clear"/>
                  <w:vAlign w:val="center"/>
                </w:tcPr>
                <w:p w14:paraId="3797D97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eastAsia" w:ascii="Times New Roman" w:hAnsi="宋体" w:eastAsia="宋体" w:cs="宋体"/>
                      <w:color w:val="000000"/>
                      <w:kern w:val="2"/>
                      <w:sz w:val="21"/>
                      <w:szCs w:val="24"/>
                      <w:bdr w:val="none" w:color="auto" w:sz="0" w:space="0"/>
                      <w:lang w:val="en-US" w:eastAsia="zh-CN" w:bidi="ar"/>
                    </w:rPr>
                    <w:t>达标情况</w:t>
                  </w:r>
                </w:p>
              </w:tc>
            </w:tr>
            <w:tr w14:paraId="3DD5AFD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065" w:type="pct"/>
                  <w:tcBorders>
                    <w:top w:val="single" w:color="auto" w:sz="4" w:space="0"/>
                    <w:left w:val="nil"/>
                    <w:bottom w:val="single" w:color="auto" w:sz="4" w:space="0"/>
                    <w:right w:val="single" w:color="auto" w:sz="4" w:space="0"/>
                  </w:tcBorders>
                  <w:shd w:val="clear"/>
                  <w:vAlign w:val="center"/>
                </w:tcPr>
                <w:p w14:paraId="03920C7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eastAsia" w:ascii="Times New Roman" w:hAnsi="宋体" w:eastAsia="宋体" w:cs="宋体"/>
                      <w:color w:val="000000"/>
                      <w:kern w:val="2"/>
                      <w:sz w:val="21"/>
                      <w:szCs w:val="24"/>
                      <w:bdr w:val="none" w:color="auto" w:sz="0" w:space="0"/>
                      <w:lang w:val="en-US" w:eastAsia="zh-CN" w:bidi="ar"/>
                    </w:rPr>
                    <w:t>东厂界</w:t>
                  </w:r>
                </w:p>
              </w:tc>
              <w:tc>
                <w:tcPr>
                  <w:tcW w:w="987" w:type="pct"/>
                  <w:tcBorders>
                    <w:top w:val="single" w:color="auto" w:sz="4" w:space="0"/>
                    <w:left w:val="single" w:color="auto" w:sz="4" w:space="0"/>
                    <w:bottom w:val="single" w:color="auto" w:sz="4" w:space="0"/>
                    <w:right w:val="single" w:color="auto" w:sz="4" w:space="0"/>
                  </w:tcBorders>
                  <w:shd w:val="clear"/>
                  <w:vAlign w:val="center"/>
                </w:tcPr>
                <w:p w14:paraId="2F391C0C">
                  <w:pPr>
                    <w:pStyle w:val="89"/>
                    <w:widowControl/>
                    <w:spacing w:line="300" w:lineRule="exact"/>
                    <w:rPr>
                      <w:color w:val="000000"/>
                      <w:bdr w:val="none" w:color="auto" w:sz="0" w:space="0"/>
                      <w:lang w:val="en-US"/>
                    </w:rPr>
                  </w:pPr>
                  <w:r>
                    <w:rPr>
                      <w:color w:val="000000"/>
                      <w:bdr w:val="none" w:color="auto" w:sz="0" w:space="0"/>
                      <w:lang w:val="en-US"/>
                    </w:rPr>
                    <w:t>3m</w:t>
                  </w:r>
                </w:p>
              </w:tc>
              <w:tc>
                <w:tcPr>
                  <w:tcW w:w="1060" w:type="pct"/>
                  <w:tcBorders>
                    <w:top w:val="single" w:color="auto" w:sz="4" w:space="0"/>
                    <w:left w:val="single" w:color="auto" w:sz="4" w:space="0"/>
                    <w:bottom w:val="single" w:color="auto" w:sz="4" w:space="0"/>
                    <w:right w:val="single" w:color="auto" w:sz="4" w:space="0"/>
                  </w:tcBorders>
                  <w:shd w:val="clear"/>
                  <w:vAlign w:val="center"/>
                </w:tcPr>
                <w:p w14:paraId="76BC312E">
                  <w:pPr>
                    <w:pStyle w:val="89"/>
                    <w:widowControl/>
                    <w:spacing w:line="300" w:lineRule="exact"/>
                    <w:rPr>
                      <w:color w:val="000000"/>
                      <w:bdr w:val="none" w:color="auto" w:sz="0" w:space="0"/>
                      <w:lang w:val="en-US"/>
                    </w:rPr>
                  </w:pPr>
                  <w:r>
                    <w:rPr>
                      <w:color w:val="000000"/>
                      <w:bdr w:val="none" w:color="auto" w:sz="0" w:space="0"/>
                      <w:lang w:val="en-US"/>
                    </w:rPr>
                    <w:t>53</w:t>
                  </w:r>
                </w:p>
              </w:tc>
              <w:tc>
                <w:tcPr>
                  <w:tcW w:w="849" w:type="pct"/>
                  <w:vMerge w:val="restart"/>
                  <w:tcBorders>
                    <w:top w:val="single" w:color="auto" w:sz="4" w:space="0"/>
                    <w:left w:val="single" w:color="auto" w:sz="4" w:space="0"/>
                    <w:bottom w:val="single" w:color="auto" w:sz="12" w:space="0"/>
                    <w:right w:val="single" w:color="auto" w:sz="4" w:space="0"/>
                  </w:tcBorders>
                  <w:shd w:val="clear"/>
                  <w:vAlign w:val="center"/>
                </w:tcPr>
                <w:p w14:paraId="1800FF2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eastAsia" w:ascii="Times New Roman" w:hAnsi="Times New Roman" w:eastAsia="宋体" w:cs="宋体"/>
                      <w:color w:val="000000"/>
                      <w:kern w:val="2"/>
                      <w:sz w:val="21"/>
                      <w:szCs w:val="24"/>
                      <w:bdr w:val="none" w:color="auto" w:sz="0" w:space="0"/>
                      <w:lang w:val="en-US" w:eastAsia="zh-CN" w:bidi="ar"/>
                    </w:rPr>
                    <w:t>昼间</w:t>
                  </w:r>
                  <w:r>
                    <w:rPr>
                      <w:rFonts w:hint="default" w:ascii="Times New Roman" w:hAnsi="Times New Roman" w:eastAsia="宋体" w:cs="Times New Roman"/>
                      <w:color w:val="000000"/>
                      <w:kern w:val="2"/>
                      <w:sz w:val="21"/>
                      <w:szCs w:val="24"/>
                      <w:bdr w:val="none" w:color="auto" w:sz="0" w:space="0"/>
                      <w:lang w:val="en-US" w:eastAsia="zh-CN" w:bidi="ar"/>
                    </w:rPr>
                    <w:t>65</w:t>
                  </w:r>
                </w:p>
                <w:p w14:paraId="5E230A5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eastAsia" w:ascii="Times New Roman" w:hAnsi="Times New Roman" w:eastAsia="宋体" w:cs="宋体"/>
                      <w:color w:val="000000"/>
                      <w:kern w:val="2"/>
                      <w:sz w:val="21"/>
                      <w:szCs w:val="24"/>
                      <w:bdr w:val="none" w:color="auto" w:sz="0" w:space="0"/>
                      <w:lang w:val="en-US" w:eastAsia="zh-CN" w:bidi="ar"/>
                    </w:rPr>
                    <w:t>夜间</w:t>
                  </w:r>
                  <w:r>
                    <w:rPr>
                      <w:rFonts w:hint="default" w:ascii="Times New Roman" w:hAnsi="Times New Roman" w:eastAsia="宋体" w:cs="Times New Roman"/>
                      <w:color w:val="000000"/>
                      <w:kern w:val="2"/>
                      <w:sz w:val="21"/>
                      <w:szCs w:val="24"/>
                      <w:bdr w:val="none" w:color="auto" w:sz="0" w:space="0"/>
                      <w:lang w:val="en-US" w:eastAsia="zh-CN" w:bidi="ar"/>
                    </w:rPr>
                    <w:t>55</w:t>
                  </w:r>
                </w:p>
              </w:tc>
              <w:tc>
                <w:tcPr>
                  <w:tcW w:w="1039" w:type="pct"/>
                  <w:tcBorders>
                    <w:top w:val="single" w:color="auto" w:sz="4" w:space="0"/>
                    <w:left w:val="single" w:color="auto" w:sz="4" w:space="0"/>
                    <w:bottom w:val="single" w:color="auto" w:sz="4" w:space="0"/>
                    <w:right w:val="nil"/>
                  </w:tcBorders>
                  <w:shd w:val="clear"/>
                  <w:vAlign w:val="center"/>
                </w:tcPr>
                <w:p w14:paraId="17B6068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eastAsia" w:ascii="Times New Roman" w:hAnsi="宋体" w:eastAsia="宋体" w:cs="宋体"/>
                      <w:color w:val="000000"/>
                      <w:kern w:val="2"/>
                      <w:sz w:val="21"/>
                      <w:szCs w:val="24"/>
                      <w:bdr w:val="none" w:color="auto" w:sz="0" w:space="0"/>
                      <w:lang w:val="en-US" w:eastAsia="zh-CN" w:bidi="ar"/>
                    </w:rPr>
                    <w:t>达标</w:t>
                  </w:r>
                </w:p>
              </w:tc>
            </w:tr>
            <w:tr w14:paraId="4E32532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065" w:type="pct"/>
                  <w:tcBorders>
                    <w:top w:val="single" w:color="auto" w:sz="4" w:space="0"/>
                    <w:left w:val="nil"/>
                    <w:bottom w:val="single" w:color="auto" w:sz="4" w:space="0"/>
                    <w:right w:val="single" w:color="auto" w:sz="4" w:space="0"/>
                  </w:tcBorders>
                  <w:shd w:val="clear"/>
                  <w:vAlign w:val="center"/>
                </w:tcPr>
                <w:p w14:paraId="4CB040F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eastAsia" w:ascii="Times New Roman" w:hAnsi="宋体" w:eastAsia="宋体" w:cs="宋体"/>
                      <w:color w:val="000000"/>
                      <w:kern w:val="2"/>
                      <w:sz w:val="21"/>
                      <w:szCs w:val="24"/>
                      <w:bdr w:val="none" w:color="auto" w:sz="0" w:space="0"/>
                      <w:lang w:val="en-US" w:eastAsia="zh-CN" w:bidi="ar"/>
                    </w:rPr>
                    <w:t>南厂界</w:t>
                  </w:r>
                </w:p>
              </w:tc>
              <w:tc>
                <w:tcPr>
                  <w:tcW w:w="987" w:type="pct"/>
                  <w:tcBorders>
                    <w:top w:val="single" w:color="auto" w:sz="4" w:space="0"/>
                    <w:left w:val="single" w:color="auto" w:sz="4" w:space="0"/>
                    <w:bottom w:val="single" w:color="auto" w:sz="4" w:space="0"/>
                    <w:right w:val="single" w:color="auto" w:sz="4" w:space="0"/>
                  </w:tcBorders>
                  <w:shd w:val="clear"/>
                  <w:vAlign w:val="center"/>
                </w:tcPr>
                <w:p w14:paraId="4DCB81AC">
                  <w:pPr>
                    <w:pStyle w:val="89"/>
                    <w:widowControl/>
                    <w:spacing w:line="300" w:lineRule="exact"/>
                    <w:rPr>
                      <w:color w:val="000000"/>
                      <w:bdr w:val="none" w:color="auto" w:sz="0" w:space="0"/>
                      <w:lang w:val="en-US"/>
                    </w:rPr>
                  </w:pPr>
                  <w:r>
                    <w:rPr>
                      <w:color w:val="000000"/>
                      <w:bdr w:val="none" w:color="auto" w:sz="0" w:space="0"/>
                      <w:lang w:val="en-US"/>
                    </w:rPr>
                    <w:t>2m</w:t>
                  </w:r>
                </w:p>
              </w:tc>
              <w:tc>
                <w:tcPr>
                  <w:tcW w:w="1060" w:type="pct"/>
                  <w:tcBorders>
                    <w:top w:val="single" w:color="auto" w:sz="4" w:space="0"/>
                    <w:left w:val="single" w:color="auto" w:sz="4" w:space="0"/>
                    <w:bottom w:val="single" w:color="auto" w:sz="4" w:space="0"/>
                    <w:right w:val="single" w:color="auto" w:sz="4" w:space="0"/>
                  </w:tcBorders>
                  <w:shd w:val="clear"/>
                  <w:vAlign w:val="center"/>
                </w:tcPr>
                <w:p w14:paraId="49BE38C3">
                  <w:pPr>
                    <w:pStyle w:val="89"/>
                    <w:widowControl/>
                    <w:spacing w:line="300" w:lineRule="exact"/>
                    <w:rPr>
                      <w:color w:val="000000"/>
                      <w:bdr w:val="none" w:color="auto" w:sz="0" w:space="0"/>
                      <w:lang w:val="en-US"/>
                    </w:rPr>
                  </w:pPr>
                  <w:r>
                    <w:rPr>
                      <w:color w:val="000000"/>
                      <w:bdr w:val="none" w:color="auto" w:sz="0" w:space="0"/>
                      <w:lang w:val="en-US"/>
                    </w:rPr>
                    <w:t>48</w:t>
                  </w:r>
                </w:p>
              </w:tc>
              <w:tc>
                <w:tcPr>
                  <w:tcW w:w="849" w:type="pct"/>
                  <w:vMerge w:val="continue"/>
                  <w:tcBorders>
                    <w:top w:val="single" w:color="auto" w:sz="4" w:space="0"/>
                    <w:left w:val="single" w:color="auto" w:sz="4" w:space="0"/>
                    <w:bottom w:val="single" w:color="auto" w:sz="12" w:space="0"/>
                    <w:right w:val="single" w:color="auto" w:sz="4" w:space="0"/>
                  </w:tcBorders>
                  <w:shd w:val="clear"/>
                  <w:vAlign w:val="center"/>
                </w:tcPr>
                <w:p w14:paraId="34B01A75">
                  <w:pPr>
                    <w:rPr>
                      <w:rFonts w:hint="default" w:ascii="Calibri" w:hAnsi="Calibri" w:cs="Calibri"/>
                      <w:sz w:val="20"/>
                      <w:szCs w:val="20"/>
                    </w:rPr>
                  </w:pPr>
                </w:p>
              </w:tc>
              <w:tc>
                <w:tcPr>
                  <w:tcW w:w="1039" w:type="pct"/>
                  <w:tcBorders>
                    <w:top w:val="single" w:color="auto" w:sz="4" w:space="0"/>
                    <w:left w:val="single" w:color="auto" w:sz="4" w:space="0"/>
                    <w:bottom w:val="single" w:color="auto" w:sz="4" w:space="0"/>
                    <w:right w:val="nil"/>
                  </w:tcBorders>
                  <w:shd w:val="clear"/>
                  <w:vAlign w:val="center"/>
                </w:tcPr>
                <w:p w14:paraId="57D5C3C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eastAsia" w:ascii="Times New Roman" w:hAnsi="宋体" w:eastAsia="宋体" w:cs="宋体"/>
                      <w:color w:val="000000"/>
                      <w:kern w:val="2"/>
                      <w:sz w:val="21"/>
                      <w:szCs w:val="24"/>
                      <w:bdr w:val="none" w:color="auto" w:sz="0" w:space="0"/>
                      <w:lang w:val="en-US" w:eastAsia="zh-CN" w:bidi="ar"/>
                    </w:rPr>
                    <w:t>达标</w:t>
                  </w:r>
                </w:p>
              </w:tc>
            </w:tr>
            <w:tr w14:paraId="1426D4E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1065" w:type="pct"/>
                  <w:tcBorders>
                    <w:top w:val="single" w:color="auto" w:sz="4" w:space="0"/>
                    <w:left w:val="nil"/>
                    <w:bottom w:val="single" w:color="auto" w:sz="4" w:space="0"/>
                    <w:right w:val="single" w:color="auto" w:sz="4" w:space="0"/>
                  </w:tcBorders>
                  <w:shd w:val="clear"/>
                  <w:vAlign w:val="center"/>
                </w:tcPr>
                <w:p w14:paraId="00CB4D3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eastAsia" w:ascii="Times New Roman" w:hAnsi="宋体" w:eastAsia="宋体" w:cs="宋体"/>
                      <w:color w:val="000000"/>
                      <w:kern w:val="2"/>
                      <w:sz w:val="21"/>
                      <w:szCs w:val="24"/>
                      <w:bdr w:val="none" w:color="auto" w:sz="0" w:space="0"/>
                      <w:lang w:val="en-US" w:eastAsia="zh-CN" w:bidi="ar"/>
                    </w:rPr>
                    <w:t>西厂界</w:t>
                  </w:r>
                </w:p>
              </w:tc>
              <w:tc>
                <w:tcPr>
                  <w:tcW w:w="987" w:type="pct"/>
                  <w:tcBorders>
                    <w:top w:val="single" w:color="auto" w:sz="4" w:space="0"/>
                    <w:left w:val="single" w:color="auto" w:sz="4" w:space="0"/>
                    <w:bottom w:val="single" w:color="auto" w:sz="4" w:space="0"/>
                    <w:right w:val="single" w:color="auto" w:sz="4" w:space="0"/>
                  </w:tcBorders>
                  <w:shd w:val="clear"/>
                  <w:vAlign w:val="center"/>
                </w:tcPr>
                <w:p w14:paraId="21A6C77F">
                  <w:pPr>
                    <w:pStyle w:val="89"/>
                    <w:widowControl/>
                    <w:spacing w:line="300" w:lineRule="exact"/>
                    <w:rPr>
                      <w:color w:val="000000"/>
                      <w:bdr w:val="none" w:color="auto" w:sz="0" w:space="0"/>
                      <w:lang w:val="en-US"/>
                    </w:rPr>
                  </w:pPr>
                  <w:r>
                    <w:rPr>
                      <w:color w:val="000000"/>
                      <w:bdr w:val="none" w:color="auto" w:sz="0" w:space="0"/>
                      <w:lang w:val="en-US"/>
                    </w:rPr>
                    <w:t>1m</w:t>
                  </w:r>
                </w:p>
              </w:tc>
              <w:tc>
                <w:tcPr>
                  <w:tcW w:w="1060" w:type="pct"/>
                  <w:tcBorders>
                    <w:top w:val="single" w:color="auto" w:sz="4" w:space="0"/>
                    <w:left w:val="single" w:color="auto" w:sz="4" w:space="0"/>
                    <w:bottom w:val="single" w:color="auto" w:sz="4" w:space="0"/>
                    <w:right w:val="single" w:color="auto" w:sz="4" w:space="0"/>
                  </w:tcBorders>
                  <w:shd w:val="clear"/>
                  <w:vAlign w:val="center"/>
                </w:tcPr>
                <w:p w14:paraId="58CF280E">
                  <w:pPr>
                    <w:pStyle w:val="89"/>
                    <w:widowControl/>
                    <w:spacing w:line="300" w:lineRule="exact"/>
                    <w:rPr>
                      <w:color w:val="000000"/>
                      <w:bdr w:val="none" w:color="auto" w:sz="0" w:space="0"/>
                      <w:lang w:val="en-US"/>
                    </w:rPr>
                  </w:pPr>
                  <w:r>
                    <w:rPr>
                      <w:color w:val="000000"/>
                      <w:bdr w:val="none" w:color="auto" w:sz="0" w:space="0"/>
                      <w:lang w:val="en-US"/>
                    </w:rPr>
                    <w:t>43</w:t>
                  </w:r>
                </w:p>
              </w:tc>
              <w:tc>
                <w:tcPr>
                  <w:tcW w:w="849" w:type="pct"/>
                  <w:vMerge w:val="continue"/>
                  <w:tcBorders>
                    <w:top w:val="single" w:color="auto" w:sz="4" w:space="0"/>
                    <w:left w:val="single" w:color="auto" w:sz="4" w:space="0"/>
                    <w:bottom w:val="single" w:color="auto" w:sz="12" w:space="0"/>
                    <w:right w:val="single" w:color="auto" w:sz="4" w:space="0"/>
                  </w:tcBorders>
                  <w:shd w:val="clear"/>
                  <w:vAlign w:val="center"/>
                </w:tcPr>
                <w:p w14:paraId="4B07EEA9">
                  <w:pPr>
                    <w:rPr>
                      <w:rFonts w:hint="default" w:ascii="Calibri" w:hAnsi="Calibri" w:cs="Calibri"/>
                      <w:sz w:val="20"/>
                      <w:szCs w:val="20"/>
                    </w:rPr>
                  </w:pPr>
                </w:p>
              </w:tc>
              <w:tc>
                <w:tcPr>
                  <w:tcW w:w="1039" w:type="pct"/>
                  <w:tcBorders>
                    <w:top w:val="single" w:color="auto" w:sz="4" w:space="0"/>
                    <w:left w:val="single" w:color="auto" w:sz="4" w:space="0"/>
                    <w:bottom w:val="single" w:color="auto" w:sz="4" w:space="0"/>
                    <w:right w:val="nil"/>
                  </w:tcBorders>
                  <w:shd w:val="clear"/>
                  <w:vAlign w:val="center"/>
                </w:tcPr>
                <w:p w14:paraId="021BC7C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eastAsia" w:ascii="Times New Roman" w:hAnsi="宋体" w:eastAsia="宋体" w:cs="宋体"/>
                      <w:color w:val="000000"/>
                      <w:kern w:val="2"/>
                      <w:sz w:val="21"/>
                      <w:szCs w:val="24"/>
                      <w:bdr w:val="none" w:color="auto" w:sz="0" w:space="0"/>
                      <w:lang w:val="en-US" w:eastAsia="zh-CN" w:bidi="ar"/>
                    </w:rPr>
                    <w:t>达标</w:t>
                  </w:r>
                </w:p>
              </w:tc>
            </w:tr>
            <w:tr w14:paraId="2EBC3D0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065" w:type="pct"/>
                  <w:tcBorders>
                    <w:top w:val="single" w:color="auto" w:sz="4" w:space="0"/>
                    <w:left w:val="nil"/>
                    <w:bottom w:val="single" w:color="auto" w:sz="12" w:space="0"/>
                    <w:right w:val="single" w:color="auto" w:sz="4" w:space="0"/>
                  </w:tcBorders>
                  <w:shd w:val="clear"/>
                  <w:vAlign w:val="center"/>
                </w:tcPr>
                <w:p w14:paraId="782C965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eastAsia" w:ascii="Times New Roman" w:hAnsi="宋体" w:eastAsia="宋体" w:cs="宋体"/>
                      <w:color w:val="000000"/>
                      <w:kern w:val="2"/>
                      <w:sz w:val="21"/>
                      <w:szCs w:val="24"/>
                      <w:bdr w:val="none" w:color="auto" w:sz="0" w:space="0"/>
                      <w:lang w:val="en-US" w:eastAsia="zh-CN" w:bidi="ar"/>
                    </w:rPr>
                    <w:t>北厂界</w:t>
                  </w:r>
                </w:p>
              </w:tc>
              <w:tc>
                <w:tcPr>
                  <w:tcW w:w="987" w:type="pct"/>
                  <w:tcBorders>
                    <w:top w:val="single" w:color="auto" w:sz="4" w:space="0"/>
                    <w:left w:val="single" w:color="auto" w:sz="4" w:space="0"/>
                    <w:bottom w:val="single" w:color="auto" w:sz="12" w:space="0"/>
                    <w:right w:val="single" w:color="auto" w:sz="4" w:space="0"/>
                  </w:tcBorders>
                  <w:shd w:val="clear"/>
                  <w:vAlign w:val="center"/>
                </w:tcPr>
                <w:p w14:paraId="55D8B3AA">
                  <w:pPr>
                    <w:pStyle w:val="89"/>
                    <w:widowControl/>
                    <w:spacing w:line="300" w:lineRule="exact"/>
                    <w:rPr>
                      <w:color w:val="000000"/>
                      <w:bdr w:val="none" w:color="auto" w:sz="0" w:space="0"/>
                      <w:lang w:val="en-US"/>
                    </w:rPr>
                  </w:pPr>
                  <w:r>
                    <w:rPr>
                      <w:color w:val="000000"/>
                      <w:bdr w:val="none" w:color="auto" w:sz="0" w:space="0"/>
                      <w:lang w:val="en-US"/>
                    </w:rPr>
                    <w:t>1m</w:t>
                  </w:r>
                </w:p>
              </w:tc>
              <w:tc>
                <w:tcPr>
                  <w:tcW w:w="1060" w:type="pct"/>
                  <w:tcBorders>
                    <w:top w:val="single" w:color="auto" w:sz="4" w:space="0"/>
                    <w:left w:val="single" w:color="auto" w:sz="4" w:space="0"/>
                    <w:bottom w:val="single" w:color="auto" w:sz="12" w:space="0"/>
                    <w:right w:val="single" w:color="auto" w:sz="4" w:space="0"/>
                  </w:tcBorders>
                  <w:shd w:val="clear"/>
                  <w:vAlign w:val="center"/>
                </w:tcPr>
                <w:p w14:paraId="6F86C6C7">
                  <w:pPr>
                    <w:pStyle w:val="89"/>
                    <w:widowControl/>
                    <w:spacing w:line="300" w:lineRule="exact"/>
                    <w:rPr>
                      <w:color w:val="000000"/>
                      <w:bdr w:val="none" w:color="auto" w:sz="0" w:space="0"/>
                      <w:lang w:val="en-US"/>
                    </w:rPr>
                  </w:pPr>
                  <w:r>
                    <w:rPr>
                      <w:color w:val="000000"/>
                      <w:bdr w:val="none" w:color="auto" w:sz="0" w:space="0"/>
                      <w:lang w:val="en-US"/>
                    </w:rPr>
                    <w:t>41</w:t>
                  </w:r>
                </w:p>
              </w:tc>
              <w:tc>
                <w:tcPr>
                  <w:tcW w:w="849" w:type="pct"/>
                  <w:vMerge w:val="continue"/>
                  <w:tcBorders>
                    <w:top w:val="single" w:color="auto" w:sz="4" w:space="0"/>
                    <w:left w:val="single" w:color="auto" w:sz="4" w:space="0"/>
                    <w:bottom w:val="single" w:color="auto" w:sz="12" w:space="0"/>
                    <w:right w:val="single" w:color="auto" w:sz="4" w:space="0"/>
                  </w:tcBorders>
                  <w:shd w:val="clear"/>
                  <w:vAlign w:val="center"/>
                </w:tcPr>
                <w:p w14:paraId="0C16D9F5">
                  <w:pPr>
                    <w:rPr>
                      <w:rFonts w:hint="default" w:ascii="Calibri" w:hAnsi="Calibri" w:cs="Calibri"/>
                      <w:sz w:val="20"/>
                      <w:szCs w:val="20"/>
                    </w:rPr>
                  </w:pPr>
                </w:p>
              </w:tc>
              <w:tc>
                <w:tcPr>
                  <w:tcW w:w="1039" w:type="pct"/>
                  <w:tcBorders>
                    <w:top w:val="single" w:color="auto" w:sz="4" w:space="0"/>
                    <w:left w:val="single" w:color="auto" w:sz="4" w:space="0"/>
                    <w:bottom w:val="single" w:color="auto" w:sz="12" w:space="0"/>
                    <w:right w:val="nil"/>
                  </w:tcBorders>
                  <w:shd w:val="clear"/>
                  <w:vAlign w:val="center"/>
                </w:tcPr>
                <w:p w14:paraId="4586592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eastAsia" w:ascii="Times New Roman" w:hAnsi="宋体" w:eastAsia="宋体" w:cs="宋体"/>
                      <w:color w:val="000000"/>
                      <w:kern w:val="2"/>
                      <w:sz w:val="21"/>
                      <w:szCs w:val="24"/>
                      <w:bdr w:val="none" w:color="auto" w:sz="0" w:space="0"/>
                      <w:lang w:val="en-US" w:eastAsia="zh-CN" w:bidi="ar"/>
                    </w:rPr>
                    <w:t>达标</w:t>
                  </w:r>
                </w:p>
              </w:tc>
            </w:tr>
          </w:tbl>
          <w:p w14:paraId="05B1A095">
            <w:pPr>
              <w:keepNext w:val="0"/>
              <w:keepLines w:val="0"/>
              <w:widowControl w:val="0"/>
              <w:suppressLineNumbers w:val="0"/>
              <w:snapToGrid w:val="0"/>
              <w:spacing w:before="0" w:beforeAutospacing="0" w:after="0" w:afterAutospacing="0" w:line="440" w:lineRule="exact"/>
              <w:ind w:left="0" w:right="0" w:firstLine="480"/>
              <w:jc w:val="center"/>
              <w:rPr>
                <w:rFonts w:hint="default" w:ascii="Times New Roman" w:hAnsi="Times New Roman" w:cs="Times New Roman"/>
                <w:bCs/>
                <w:color w:val="000000"/>
                <w:sz w:val="24"/>
                <w:szCs w:val="24"/>
                <w:bdr w:val="none" w:color="auto" w:sz="0" w:space="0"/>
                <w:lang w:val="en-US"/>
              </w:rPr>
            </w:pPr>
            <w:r>
              <w:rPr>
                <w:rFonts w:hint="eastAsia" w:ascii="Times New Roman" w:hAnsi="Calibri" w:eastAsia="宋体" w:cs="宋体"/>
                <w:bCs/>
                <w:color w:val="000000"/>
                <w:kern w:val="2"/>
                <w:sz w:val="24"/>
                <w:szCs w:val="24"/>
                <w:bdr w:val="none" w:color="auto" w:sz="0" w:space="0"/>
                <w:lang w:val="en-US" w:eastAsia="zh-CN" w:bidi="ar"/>
              </w:rPr>
              <w:t>表</w:t>
            </w:r>
            <w:r>
              <w:rPr>
                <w:rFonts w:hint="default" w:ascii="Times New Roman" w:hAnsi="Times New Roman" w:eastAsia="宋体" w:cs="Times New Roman"/>
                <w:bCs/>
                <w:color w:val="000000"/>
                <w:kern w:val="2"/>
                <w:sz w:val="24"/>
                <w:szCs w:val="24"/>
                <w:bdr w:val="none" w:color="auto" w:sz="0" w:space="0"/>
                <w:lang w:val="en-US" w:eastAsia="zh-CN" w:bidi="ar"/>
              </w:rPr>
              <w:t xml:space="preserve">4.4-4 </w:t>
            </w:r>
            <w:r>
              <w:rPr>
                <w:rFonts w:hint="eastAsia" w:ascii="Times New Roman" w:hAnsi="Calibri" w:eastAsia="宋体" w:cs="宋体"/>
                <w:bCs/>
                <w:color w:val="000000"/>
                <w:kern w:val="2"/>
                <w:sz w:val="24"/>
                <w:szCs w:val="24"/>
                <w:bdr w:val="none" w:color="auto" w:sz="0" w:space="0"/>
                <w:lang w:val="en-US" w:eastAsia="zh-CN" w:bidi="ar"/>
              </w:rPr>
              <w:t>环境保护目标噪声预测结果</w:t>
            </w:r>
            <w:r>
              <w:rPr>
                <w:rFonts w:hint="default" w:ascii="Times New Roman" w:hAnsi="Times New Roman" w:eastAsia="宋体" w:cs="Times New Roman"/>
                <w:bCs/>
                <w:color w:val="000000"/>
                <w:kern w:val="2"/>
                <w:sz w:val="24"/>
                <w:szCs w:val="24"/>
                <w:bdr w:val="none" w:color="auto" w:sz="0" w:space="0"/>
                <w:lang w:val="en-US" w:eastAsia="zh-CN" w:bidi="ar"/>
              </w:rPr>
              <w:t xml:space="preserve">   </w:t>
            </w:r>
            <w:r>
              <w:rPr>
                <w:rFonts w:hint="eastAsia" w:ascii="Times New Roman" w:hAnsi="Calibri" w:eastAsia="宋体" w:cs="宋体"/>
                <w:bCs/>
                <w:color w:val="000000"/>
                <w:kern w:val="2"/>
                <w:sz w:val="24"/>
                <w:szCs w:val="24"/>
                <w:bdr w:val="none" w:color="auto" w:sz="0" w:space="0"/>
                <w:lang w:val="en-US" w:eastAsia="zh-CN" w:bidi="ar"/>
              </w:rPr>
              <w:t>单位：</w:t>
            </w:r>
            <w:r>
              <w:rPr>
                <w:rFonts w:hint="default" w:ascii="Times New Roman" w:hAnsi="Times New Roman" w:eastAsia="宋体" w:cs="Times New Roman"/>
                <w:bCs/>
                <w:color w:val="000000"/>
                <w:kern w:val="2"/>
                <w:sz w:val="24"/>
                <w:szCs w:val="24"/>
                <w:bdr w:val="none" w:color="auto" w:sz="0" w:space="0"/>
                <w:lang w:val="en-US" w:eastAsia="zh-CN" w:bidi="ar"/>
              </w:rPr>
              <w:t>dB(A)</w:t>
            </w:r>
          </w:p>
          <w:tbl>
            <w:tblPr>
              <w:tblStyle w:val="18"/>
              <w:tblpPr w:leftFromText="180" w:rightFromText="180" w:vertAnchor="text" w:tblpXSpec="center" w:tblpY="1"/>
              <w:tblOverlap w:val="never"/>
              <w:tblW w:w="5000" w:type="pct"/>
              <w:tblInd w:w="8"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Layout w:type="fixed"/>
              <w:tblCellMar>
                <w:top w:w="0" w:type="dxa"/>
                <w:left w:w="108" w:type="dxa"/>
                <w:bottom w:w="0" w:type="dxa"/>
                <w:right w:w="108" w:type="dxa"/>
              </w:tblCellMar>
            </w:tblPr>
            <w:tblGrid>
              <w:gridCol w:w="1135"/>
              <w:gridCol w:w="566"/>
              <w:gridCol w:w="993"/>
              <w:gridCol w:w="709"/>
              <w:gridCol w:w="710"/>
              <w:gridCol w:w="710"/>
              <w:gridCol w:w="709"/>
              <w:gridCol w:w="709"/>
              <w:gridCol w:w="992"/>
              <w:gridCol w:w="713"/>
            </w:tblGrid>
            <w:tr w14:paraId="5D4C286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CellMar>
                  <w:top w:w="0" w:type="dxa"/>
                  <w:left w:w="108" w:type="dxa"/>
                  <w:bottom w:w="0" w:type="dxa"/>
                  <w:right w:w="108" w:type="dxa"/>
                </w:tblCellMar>
              </w:tblPrEx>
              <w:trPr>
                <w:trHeight w:val="254" w:hRule="atLeast"/>
              </w:trPr>
              <w:tc>
                <w:tcPr>
                  <w:tcW w:w="713" w:type="pct"/>
                  <w:vMerge w:val="restart"/>
                  <w:tcBorders>
                    <w:top w:val="single" w:color="auto" w:sz="12" w:space="0"/>
                    <w:left w:val="nil"/>
                    <w:bottom w:val="single" w:color="auto" w:sz="4" w:space="0"/>
                    <w:right w:val="single" w:color="auto" w:sz="4" w:space="0"/>
                  </w:tcBorders>
                  <w:shd w:val="clear"/>
                  <w:vAlign w:val="center"/>
                </w:tcPr>
                <w:p w14:paraId="346460B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bdr w:val="none" w:color="auto" w:sz="0" w:space="0"/>
                      <w:lang w:val="en-US"/>
                    </w:rPr>
                  </w:pPr>
                  <w:r>
                    <w:rPr>
                      <w:rFonts w:hint="eastAsia" w:ascii="Times New Roman" w:hAnsi="宋体" w:eastAsia="宋体" w:cs="宋体"/>
                      <w:color w:val="000000"/>
                      <w:kern w:val="2"/>
                      <w:sz w:val="21"/>
                      <w:szCs w:val="24"/>
                      <w:bdr w:val="none" w:color="auto" w:sz="0" w:space="0"/>
                      <w:lang w:val="en-US" w:eastAsia="zh-CN" w:bidi="ar"/>
                    </w:rPr>
                    <w:t>预测位置</w:t>
                  </w:r>
                </w:p>
              </w:tc>
              <w:tc>
                <w:tcPr>
                  <w:tcW w:w="356" w:type="pct"/>
                  <w:vMerge w:val="restart"/>
                  <w:tcBorders>
                    <w:top w:val="single" w:color="auto" w:sz="12" w:space="0"/>
                    <w:left w:val="single" w:color="auto" w:sz="4" w:space="0"/>
                    <w:bottom w:val="single" w:color="auto" w:sz="4" w:space="0"/>
                    <w:right w:val="single" w:color="auto" w:sz="4" w:space="0"/>
                  </w:tcBorders>
                  <w:shd w:val="clear"/>
                  <w:vAlign w:val="center"/>
                </w:tcPr>
                <w:p w14:paraId="5B79077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bdr w:val="none" w:color="auto" w:sz="0" w:space="0"/>
                      <w:lang w:val="en-US"/>
                    </w:rPr>
                  </w:pPr>
                  <w:r>
                    <w:rPr>
                      <w:rFonts w:hint="eastAsia" w:ascii="Times New Roman" w:hAnsi="宋体" w:eastAsia="宋体" w:cs="宋体"/>
                      <w:color w:val="000000"/>
                      <w:kern w:val="2"/>
                      <w:sz w:val="21"/>
                      <w:szCs w:val="24"/>
                      <w:bdr w:val="none" w:color="auto" w:sz="0" w:space="0"/>
                      <w:lang w:val="en-US" w:eastAsia="zh-CN" w:bidi="ar"/>
                    </w:rPr>
                    <w:t>方位</w:t>
                  </w:r>
                </w:p>
              </w:tc>
              <w:tc>
                <w:tcPr>
                  <w:tcW w:w="625" w:type="pct"/>
                  <w:vMerge w:val="restart"/>
                  <w:tcBorders>
                    <w:top w:val="single" w:color="auto" w:sz="12" w:space="0"/>
                    <w:left w:val="single" w:color="auto" w:sz="4" w:space="0"/>
                    <w:bottom w:val="single" w:color="auto" w:sz="4" w:space="0"/>
                    <w:right w:val="single" w:color="auto" w:sz="4" w:space="0"/>
                  </w:tcBorders>
                  <w:shd w:val="clear"/>
                  <w:vAlign w:val="center"/>
                </w:tcPr>
                <w:p w14:paraId="56E3B94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bdr w:val="none" w:color="auto" w:sz="0" w:space="0"/>
                      <w:lang w:val="en-US"/>
                    </w:rPr>
                  </w:pPr>
                  <w:r>
                    <w:rPr>
                      <w:rFonts w:hint="eastAsia" w:ascii="Times New Roman" w:hAnsi="宋体" w:eastAsia="宋体" w:cs="宋体"/>
                      <w:color w:val="000000"/>
                      <w:kern w:val="2"/>
                      <w:sz w:val="21"/>
                      <w:szCs w:val="24"/>
                      <w:bdr w:val="none" w:color="auto" w:sz="0" w:space="0"/>
                      <w:lang w:val="en-US" w:eastAsia="zh-CN" w:bidi="ar"/>
                    </w:rPr>
                    <w:t>相对厂界最近距离</w:t>
                  </w:r>
                  <w:r>
                    <w:rPr>
                      <w:rFonts w:hint="default" w:ascii="Times New Roman" w:hAnsi="宋体" w:eastAsia="宋体" w:cs="Times New Roman"/>
                      <w:color w:val="000000"/>
                      <w:kern w:val="2"/>
                      <w:sz w:val="21"/>
                      <w:szCs w:val="24"/>
                      <w:bdr w:val="none" w:color="auto" w:sz="0" w:space="0"/>
                      <w:lang w:val="en-US" w:eastAsia="zh-CN" w:bidi="ar"/>
                    </w:rPr>
                    <w:t>m</w:t>
                  </w:r>
                </w:p>
              </w:tc>
              <w:tc>
                <w:tcPr>
                  <w:tcW w:w="446" w:type="pct"/>
                  <w:vMerge w:val="restart"/>
                  <w:tcBorders>
                    <w:top w:val="single" w:color="auto" w:sz="12" w:space="0"/>
                    <w:left w:val="single" w:color="auto" w:sz="4" w:space="0"/>
                    <w:bottom w:val="single" w:color="auto" w:sz="4" w:space="0"/>
                    <w:right w:val="single" w:color="auto" w:sz="4" w:space="0"/>
                  </w:tcBorders>
                  <w:shd w:val="clear"/>
                  <w:vAlign w:val="center"/>
                </w:tcPr>
                <w:p w14:paraId="154FFF3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bdr w:val="none" w:color="auto" w:sz="0" w:space="0"/>
                      <w:lang w:val="en-US"/>
                    </w:rPr>
                  </w:pPr>
                  <w:r>
                    <w:rPr>
                      <w:rFonts w:hint="eastAsia" w:ascii="Times New Roman" w:hAnsi="宋体" w:eastAsia="宋体" w:cs="宋体"/>
                      <w:color w:val="000000"/>
                      <w:kern w:val="2"/>
                      <w:sz w:val="21"/>
                      <w:szCs w:val="24"/>
                      <w:bdr w:val="none" w:color="auto" w:sz="0" w:space="0"/>
                      <w:lang w:val="en-US" w:eastAsia="zh-CN" w:bidi="ar"/>
                    </w:rPr>
                    <w:t>贡献值</w:t>
                  </w:r>
                </w:p>
              </w:tc>
              <w:tc>
                <w:tcPr>
                  <w:tcW w:w="893" w:type="pct"/>
                  <w:gridSpan w:val="2"/>
                  <w:tcBorders>
                    <w:top w:val="single" w:color="auto" w:sz="12" w:space="0"/>
                    <w:left w:val="single" w:color="auto" w:sz="4" w:space="0"/>
                    <w:bottom w:val="single" w:color="auto" w:sz="4" w:space="0"/>
                    <w:right w:val="single" w:color="auto" w:sz="4" w:space="0"/>
                  </w:tcBorders>
                  <w:shd w:val="clear"/>
                  <w:vAlign w:val="center"/>
                </w:tcPr>
                <w:p w14:paraId="61176C6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bdr w:val="none" w:color="auto" w:sz="0" w:space="0"/>
                      <w:lang w:val="en-US"/>
                    </w:rPr>
                  </w:pPr>
                  <w:r>
                    <w:rPr>
                      <w:rFonts w:hint="eastAsia" w:ascii="Times New Roman" w:hAnsi="宋体" w:eastAsia="宋体" w:cs="宋体"/>
                      <w:color w:val="000000"/>
                      <w:kern w:val="2"/>
                      <w:sz w:val="21"/>
                      <w:szCs w:val="24"/>
                      <w:bdr w:val="none" w:color="auto" w:sz="0" w:space="0"/>
                      <w:lang w:val="en-US" w:eastAsia="zh-CN" w:bidi="ar"/>
                    </w:rPr>
                    <w:t>背景值</w:t>
                  </w:r>
                </w:p>
              </w:tc>
              <w:tc>
                <w:tcPr>
                  <w:tcW w:w="892" w:type="pct"/>
                  <w:gridSpan w:val="2"/>
                  <w:tcBorders>
                    <w:top w:val="single" w:color="auto" w:sz="12" w:space="0"/>
                    <w:left w:val="single" w:color="auto" w:sz="4" w:space="0"/>
                    <w:bottom w:val="single" w:color="auto" w:sz="4" w:space="0"/>
                    <w:right w:val="single" w:color="auto" w:sz="4" w:space="0"/>
                  </w:tcBorders>
                  <w:shd w:val="clear"/>
                  <w:vAlign w:val="center"/>
                </w:tcPr>
                <w:p w14:paraId="2DA44DE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bdr w:val="none" w:color="auto" w:sz="0" w:space="0"/>
                      <w:lang w:val="en-US"/>
                    </w:rPr>
                  </w:pPr>
                  <w:r>
                    <w:rPr>
                      <w:rFonts w:hint="eastAsia" w:ascii="Times New Roman" w:hAnsi="宋体" w:eastAsia="宋体" w:cs="宋体"/>
                      <w:color w:val="000000"/>
                      <w:kern w:val="2"/>
                      <w:sz w:val="21"/>
                      <w:szCs w:val="24"/>
                      <w:bdr w:val="none" w:color="auto" w:sz="0" w:space="0"/>
                      <w:lang w:val="en-US" w:eastAsia="zh-CN" w:bidi="ar"/>
                    </w:rPr>
                    <w:t>叠加预测值</w:t>
                  </w:r>
                </w:p>
              </w:tc>
              <w:tc>
                <w:tcPr>
                  <w:tcW w:w="624" w:type="pct"/>
                  <w:vMerge w:val="restart"/>
                  <w:tcBorders>
                    <w:top w:val="single" w:color="auto" w:sz="12" w:space="0"/>
                    <w:left w:val="single" w:color="auto" w:sz="4" w:space="0"/>
                    <w:bottom w:val="single" w:color="auto" w:sz="4" w:space="0"/>
                    <w:right w:val="single" w:color="auto" w:sz="4" w:space="0"/>
                  </w:tcBorders>
                  <w:shd w:val="clear"/>
                  <w:vAlign w:val="center"/>
                </w:tcPr>
                <w:p w14:paraId="0971FC4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bdr w:val="none" w:color="auto" w:sz="0" w:space="0"/>
                      <w:lang w:val="en-US"/>
                    </w:rPr>
                  </w:pPr>
                  <w:r>
                    <w:rPr>
                      <w:rFonts w:hint="eastAsia" w:ascii="Times New Roman" w:hAnsi="宋体" w:eastAsia="宋体" w:cs="宋体"/>
                      <w:color w:val="000000"/>
                      <w:kern w:val="2"/>
                      <w:sz w:val="21"/>
                      <w:szCs w:val="24"/>
                      <w:bdr w:val="none" w:color="auto" w:sz="0" w:space="0"/>
                      <w:lang w:val="en-US" w:eastAsia="zh-CN" w:bidi="ar"/>
                    </w:rPr>
                    <w:t>标准值</w:t>
                  </w:r>
                </w:p>
              </w:tc>
              <w:tc>
                <w:tcPr>
                  <w:tcW w:w="449" w:type="pct"/>
                  <w:vMerge w:val="restart"/>
                  <w:tcBorders>
                    <w:top w:val="single" w:color="auto" w:sz="12" w:space="0"/>
                    <w:left w:val="single" w:color="auto" w:sz="4" w:space="0"/>
                    <w:bottom w:val="single" w:color="auto" w:sz="4" w:space="0"/>
                    <w:right w:val="nil"/>
                  </w:tcBorders>
                  <w:shd w:val="clear"/>
                  <w:vAlign w:val="center"/>
                </w:tcPr>
                <w:p w14:paraId="1D80B89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bdr w:val="none" w:color="auto" w:sz="0" w:space="0"/>
                      <w:lang w:val="en-US"/>
                    </w:rPr>
                  </w:pPr>
                  <w:r>
                    <w:rPr>
                      <w:rFonts w:hint="eastAsia" w:ascii="Times New Roman" w:hAnsi="宋体" w:eastAsia="宋体" w:cs="宋体"/>
                      <w:color w:val="000000"/>
                      <w:kern w:val="2"/>
                      <w:sz w:val="21"/>
                      <w:szCs w:val="24"/>
                      <w:bdr w:val="none" w:color="auto" w:sz="0" w:space="0"/>
                      <w:lang w:val="en-US" w:eastAsia="zh-CN" w:bidi="ar"/>
                    </w:rPr>
                    <w:t>达标情况</w:t>
                  </w:r>
                </w:p>
              </w:tc>
            </w:tr>
            <w:tr w14:paraId="44AD90F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713" w:type="pct"/>
                  <w:vMerge w:val="continue"/>
                  <w:tcBorders>
                    <w:top w:val="single" w:color="auto" w:sz="12" w:space="0"/>
                    <w:left w:val="nil"/>
                    <w:bottom w:val="single" w:color="auto" w:sz="4" w:space="0"/>
                    <w:right w:val="single" w:color="auto" w:sz="4" w:space="0"/>
                  </w:tcBorders>
                  <w:shd w:val="clear"/>
                  <w:vAlign w:val="center"/>
                </w:tcPr>
                <w:p w14:paraId="7A24DB75">
                  <w:pPr>
                    <w:rPr>
                      <w:rFonts w:hint="default" w:ascii="Calibri" w:hAnsi="Calibri" w:cs="Calibri"/>
                      <w:sz w:val="20"/>
                      <w:szCs w:val="20"/>
                    </w:rPr>
                  </w:pPr>
                </w:p>
              </w:tc>
              <w:tc>
                <w:tcPr>
                  <w:tcW w:w="356" w:type="pct"/>
                  <w:vMerge w:val="continue"/>
                  <w:tcBorders>
                    <w:top w:val="single" w:color="auto" w:sz="12" w:space="0"/>
                    <w:left w:val="single" w:color="auto" w:sz="4" w:space="0"/>
                    <w:bottom w:val="single" w:color="auto" w:sz="4" w:space="0"/>
                    <w:right w:val="single" w:color="auto" w:sz="4" w:space="0"/>
                  </w:tcBorders>
                  <w:shd w:val="clear"/>
                  <w:vAlign w:val="center"/>
                </w:tcPr>
                <w:p w14:paraId="6F5A326E">
                  <w:pPr>
                    <w:rPr>
                      <w:rFonts w:hint="default" w:ascii="Calibri" w:hAnsi="Calibri" w:cs="Calibri"/>
                      <w:sz w:val="20"/>
                      <w:szCs w:val="20"/>
                    </w:rPr>
                  </w:pPr>
                </w:p>
              </w:tc>
              <w:tc>
                <w:tcPr>
                  <w:tcW w:w="625" w:type="pct"/>
                  <w:vMerge w:val="continue"/>
                  <w:tcBorders>
                    <w:top w:val="single" w:color="auto" w:sz="12" w:space="0"/>
                    <w:left w:val="single" w:color="auto" w:sz="4" w:space="0"/>
                    <w:bottom w:val="single" w:color="auto" w:sz="4" w:space="0"/>
                    <w:right w:val="single" w:color="auto" w:sz="4" w:space="0"/>
                  </w:tcBorders>
                  <w:shd w:val="clear"/>
                  <w:vAlign w:val="center"/>
                </w:tcPr>
                <w:p w14:paraId="303CD30E">
                  <w:pPr>
                    <w:rPr>
                      <w:rFonts w:hint="default" w:ascii="Calibri" w:hAnsi="Calibri" w:cs="Calibri"/>
                      <w:sz w:val="20"/>
                      <w:szCs w:val="20"/>
                    </w:rPr>
                  </w:pPr>
                </w:p>
              </w:tc>
              <w:tc>
                <w:tcPr>
                  <w:tcW w:w="446" w:type="pct"/>
                  <w:vMerge w:val="continue"/>
                  <w:tcBorders>
                    <w:top w:val="single" w:color="auto" w:sz="12" w:space="0"/>
                    <w:left w:val="single" w:color="auto" w:sz="4" w:space="0"/>
                    <w:bottom w:val="single" w:color="auto" w:sz="4" w:space="0"/>
                    <w:right w:val="single" w:color="auto" w:sz="4" w:space="0"/>
                  </w:tcBorders>
                  <w:shd w:val="clear"/>
                  <w:vAlign w:val="center"/>
                </w:tcPr>
                <w:p w14:paraId="58FFC97A">
                  <w:pPr>
                    <w:rPr>
                      <w:rFonts w:hint="default" w:ascii="Calibri" w:hAnsi="Calibri" w:cs="Calibri"/>
                      <w:sz w:val="20"/>
                      <w:szCs w:val="20"/>
                    </w:rPr>
                  </w:pPr>
                </w:p>
              </w:tc>
              <w:tc>
                <w:tcPr>
                  <w:tcW w:w="446" w:type="pct"/>
                  <w:tcBorders>
                    <w:top w:val="single" w:color="auto" w:sz="4" w:space="0"/>
                    <w:left w:val="single" w:color="auto" w:sz="4" w:space="0"/>
                    <w:bottom w:val="single" w:color="auto" w:sz="4" w:space="0"/>
                    <w:right w:val="single" w:color="auto" w:sz="4" w:space="0"/>
                  </w:tcBorders>
                  <w:shd w:val="clear"/>
                  <w:vAlign w:val="center"/>
                </w:tcPr>
                <w:p w14:paraId="0E0964A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bdr w:val="none" w:color="auto" w:sz="0" w:space="0"/>
                      <w:lang w:val="en-US"/>
                    </w:rPr>
                  </w:pPr>
                  <w:r>
                    <w:rPr>
                      <w:rFonts w:hint="eastAsia" w:ascii="Times New Roman" w:hAnsi="宋体" w:eastAsia="宋体" w:cs="宋体"/>
                      <w:color w:val="000000"/>
                      <w:kern w:val="2"/>
                      <w:sz w:val="21"/>
                      <w:szCs w:val="24"/>
                      <w:bdr w:val="none" w:color="auto" w:sz="0" w:space="0"/>
                      <w:lang w:val="en-US" w:eastAsia="zh-CN" w:bidi="ar"/>
                    </w:rPr>
                    <w:t>昼</w:t>
                  </w:r>
                </w:p>
              </w:tc>
              <w:tc>
                <w:tcPr>
                  <w:tcW w:w="446" w:type="pct"/>
                  <w:tcBorders>
                    <w:top w:val="single" w:color="auto" w:sz="4" w:space="0"/>
                    <w:left w:val="single" w:color="auto" w:sz="4" w:space="0"/>
                    <w:bottom w:val="single" w:color="auto" w:sz="4" w:space="0"/>
                    <w:right w:val="single" w:color="auto" w:sz="4" w:space="0"/>
                  </w:tcBorders>
                  <w:shd w:val="clear"/>
                  <w:vAlign w:val="center"/>
                </w:tcPr>
                <w:p w14:paraId="17717F1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bdr w:val="none" w:color="auto" w:sz="0" w:space="0"/>
                      <w:lang w:val="en-US"/>
                    </w:rPr>
                  </w:pPr>
                  <w:r>
                    <w:rPr>
                      <w:rFonts w:hint="eastAsia" w:ascii="Times New Roman" w:hAnsi="宋体" w:eastAsia="宋体" w:cs="宋体"/>
                      <w:color w:val="000000"/>
                      <w:kern w:val="2"/>
                      <w:sz w:val="21"/>
                      <w:szCs w:val="24"/>
                      <w:bdr w:val="none" w:color="auto" w:sz="0" w:space="0"/>
                      <w:lang w:val="en-US" w:eastAsia="zh-CN" w:bidi="ar"/>
                    </w:rPr>
                    <w:t>夜</w:t>
                  </w:r>
                </w:p>
              </w:tc>
              <w:tc>
                <w:tcPr>
                  <w:tcW w:w="446" w:type="pct"/>
                  <w:tcBorders>
                    <w:top w:val="single" w:color="auto" w:sz="4" w:space="0"/>
                    <w:left w:val="single" w:color="auto" w:sz="4" w:space="0"/>
                    <w:bottom w:val="single" w:color="auto" w:sz="4" w:space="0"/>
                    <w:right w:val="single" w:color="auto" w:sz="4" w:space="0"/>
                  </w:tcBorders>
                  <w:shd w:val="clear"/>
                  <w:vAlign w:val="center"/>
                </w:tcPr>
                <w:p w14:paraId="7F1B930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bdr w:val="none" w:color="auto" w:sz="0" w:space="0"/>
                      <w:lang w:val="en-US"/>
                    </w:rPr>
                  </w:pPr>
                  <w:r>
                    <w:rPr>
                      <w:rFonts w:hint="eastAsia" w:ascii="Times New Roman" w:hAnsi="宋体" w:eastAsia="宋体" w:cs="宋体"/>
                      <w:color w:val="000000"/>
                      <w:kern w:val="2"/>
                      <w:sz w:val="21"/>
                      <w:szCs w:val="24"/>
                      <w:bdr w:val="none" w:color="auto" w:sz="0" w:space="0"/>
                      <w:lang w:val="en-US" w:eastAsia="zh-CN" w:bidi="ar"/>
                    </w:rPr>
                    <w:t>昼</w:t>
                  </w:r>
                </w:p>
              </w:tc>
              <w:tc>
                <w:tcPr>
                  <w:tcW w:w="446" w:type="pct"/>
                  <w:tcBorders>
                    <w:top w:val="single" w:color="auto" w:sz="4" w:space="0"/>
                    <w:left w:val="single" w:color="auto" w:sz="4" w:space="0"/>
                    <w:bottom w:val="single" w:color="auto" w:sz="4" w:space="0"/>
                    <w:right w:val="single" w:color="auto" w:sz="4" w:space="0"/>
                  </w:tcBorders>
                  <w:shd w:val="clear"/>
                  <w:vAlign w:val="center"/>
                </w:tcPr>
                <w:p w14:paraId="2206E18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bdr w:val="none" w:color="auto" w:sz="0" w:space="0"/>
                      <w:lang w:val="en-US"/>
                    </w:rPr>
                  </w:pPr>
                  <w:r>
                    <w:rPr>
                      <w:rFonts w:hint="eastAsia" w:ascii="Times New Roman" w:hAnsi="宋体" w:eastAsia="宋体" w:cs="宋体"/>
                      <w:color w:val="000000"/>
                      <w:kern w:val="2"/>
                      <w:sz w:val="21"/>
                      <w:szCs w:val="24"/>
                      <w:bdr w:val="none" w:color="auto" w:sz="0" w:space="0"/>
                      <w:lang w:val="en-US" w:eastAsia="zh-CN" w:bidi="ar"/>
                    </w:rPr>
                    <w:t>夜</w:t>
                  </w:r>
                </w:p>
              </w:tc>
              <w:tc>
                <w:tcPr>
                  <w:tcW w:w="624" w:type="pct"/>
                  <w:vMerge w:val="continue"/>
                  <w:tcBorders>
                    <w:top w:val="single" w:color="auto" w:sz="12" w:space="0"/>
                    <w:left w:val="single" w:color="auto" w:sz="4" w:space="0"/>
                    <w:bottom w:val="single" w:color="auto" w:sz="4" w:space="0"/>
                    <w:right w:val="single" w:color="auto" w:sz="4" w:space="0"/>
                  </w:tcBorders>
                  <w:shd w:val="clear"/>
                  <w:vAlign w:val="center"/>
                </w:tcPr>
                <w:p w14:paraId="19DD6E60">
                  <w:pPr>
                    <w:rPr>
                      <w:rFonts w:hint="default" w:ascii="Calibri" w:hAnsi="Calibri" w:cs="Calibri"/>
                      <w:sz w:val="20"/>
                      <w:szCs w:val="20"/>
                    </w:rPr>
                  </w:pPr>
                </w:p>
              </w:tc>
              <w:tc>
                <w:tcPr>
                  <w:tcW w:w="449" w:type="pct"/>
                  <w:vMerge w:val="continue"/>
                  <w:tcBorders>
                    <w:top w:val="single" w:color="auto" w:sz="12" w:space="0"/>
                    <w:left w:val="single" w:color="auto" w:sz="4" w:space="0"/>
                    <w:bottom w:val="single" w:color="auto" w:sz="4" w:space="0"/>
                    <w:right w:val="nil"/>
                  </w:tcBorders>
                  <w:shd w:val="clear"/>
                  <w:vAlign w:val="center"/>
                </w:tcPr>
                <w:p w14:paraId="5B047BAC">
                  <w:pPr>
                    <w:rPr>
                      <w:rFonts w:hint="default" w:ascii="Calibri" w:hAnsi="Calibri" w:cs="Calibri"/>
                      <w:sz w:val="20"/>
                      <w:szCs w:val="20"/>
                    </w:rPr>
                  </w:pPr>
                </w:p>
              </w:tc>
            </w:tr>
            <w:tr w14:paraId="1145AA4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713" w:type="pct"/>
                  <w:tcBorders>
                    <w:top w:val="single" w:color="auto" w:sz="4" w:space="0"/>
                    <w:left w:val="nil"/>
                    <w:bottom w:val="single" w:color="auto" w:sz="12" w:space="0"/>
                    <w:right w:val="single" w:color="auto" w:sz="4" w:space="0"/>
                  </w:tcBorders>
                  <w:shd w:val="clear"/>
                  <w:vAlign w:val="center"/>
                </w:tcPr>
                <w:p w14:paraId="282D104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bdr w:val="none" w:color="auto" w:sz="0" w:space="0"/>
                      <w:lang w:val="en-US"/>
                    </w:rPr>
                  </w:pPr>
                  <w:r>
                    <w:rPr>
                      <w:rFonts w:hint="eastAsia" w:ascii="Times New Roman" w:hAnsi="宋体" w:eastAsia="宋体" w:cs="宋体"/>
                      <w:color w:val="000000"/>
                      <w:kern w:val="2"/>
                      <w:sz w:val="21"/>
                      <w:szCs w:val="24"/>
                      <w:bdr w:val="none" w:color="auto" w:sz="0" w:space="0"/>
                      <w:lang w:val="en-US" w:eastAsia="zh-CN" w:bidi="ar"/>
                    </w:rPr>
                    <w:t>园区管委会办公楼及园区宿舍楼</w:t>
                  </w:r>
                </w:p>
              </w:tc>
              <w:tc>
                <w:tcPr>
                  <w:tcW w:w="356" w:type="pct"/>
                  <w:tcBorders>
                    <w:top w:val="single" w:color="auto" w:sz="4" w:space="0"/>
                    <w:left w:val="single" w:color="auto" w:sz="4" w:space="0"/>
                    <w:bottom w:val="single" w:color="auto" w:sz="12" w:space="0"/>
                    <w:right w:val="single" w:color="auto" w:sz="4" w:space="0"/>
                  </w:tcBorders>
                  <w:shd w:val="clear"/>
                  <w:vAlign w:val="center"/>
                </w:tcPr>
                <w:p w14:paraId="6AD9B10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bdr w:val="none" w:color="auto" w:sz="0" w:space="0"/>
                      <w:lang w:val="en-US"/>
                    </w:rPr>
                  </w:pPr>
                  <w:r>
                    <w:rPr>
                      <w:rFonts w:hint="default" w:ascii="Times New Roman" w:hAnsi="宋体" w:eastAsia="宋体" w:cs="Times New Roman"/>
                      <w:color w:val="000000"/>
                      <w:kern w:val="2"/>
                      <w:sz w:val="21"/>
                      <w:szCs w:val="24"/>
                      <w:bdr w:val="none" w:color="auto" w:sz="0" w:space="0"/>
                      <w:lang w:val="en-US" w:eastAsia="zh-CN" w:bidi="ar"/>
                    </w:rPr>
                    <w:t>NW</w:t>
                  </w:r>
                </w:p>
              </w:tc>
              <w:tc>
                <w:tcPr>
                  <w:tcW w:w="625" w:type="pct"/>
                  <w:tcBorders>
                    <w:top w:val="single" w:color="auto" w:sz="4" w:space="0"/>
                    <w:left w:val="single" w:color="auto" w:sz="4" w:space="0"/>
                    <w:bottom w:val="single" w:color="auto" w:sz="12" w:space="0"/>
                    <w:right w:val="single" w:color="auto" w:sz="4" w:space="0"/>
                  </w:tcBorders>
                  <w:shd w:val="clear"/>
                  <w:vAlign w:val="center"/>
                </w:tcPr>
                <w:p w14:paraId="70ADBFC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bdr w:val="none" w:color="auto" w:sz="0" w:space="0"/>
                      <w:lang w:val="en-US"/>
                    </w:rPr>
                  </w:pPr>
                  <w:r>
                    <w:rPr>
                      <w:rFonts w:hint="default" w:ascii="Times New Roman" w:hAnsi="宋体" w:eastAsia="宋体" w:cs="Times New Roman"/>
                      <w:color w:val="000000"/>
                      <w:kern w:val="2"/>
                      <w:sz w:val="21"/>
                      <w:szCs w:val="24"/>
                      <w:bdr w:val="none" w:color="auto" w:sz="0" w:space="0"/>
                      <w:lang w:val="en-US" w:eastAsia="zh-CN" w:bidi="ar"/>
                    </w:rPr>
                    <w:t>21</w:t>
                  </w:r>
                </w:p>
              </w:tc>
              <w:tc>
                <w:tcPr>
                  <w:tcW w:w="446" w:type="pct"/>
                  <w:tcBorders>
                    <w:top w:val="single" w:color="auto" w:sz="4" w:space="0"/>
                    <w:left w:val="single" w:color="auto" w:sz="4" w:space="0"/>
                    <w:bottom w:val="single" w:color="auto" w:sz="12" w:space="0"/>
                    <w:right w:val="single" w:color="auto" w:sz="4" w:space="0"/>
                  </w:tcBorders>
                  <w:shd w:val="clear"/>
                  <w:vAlign w:val="center"/>
                </w:tcPr>
                <w:p w14:paraId="5390712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bdr w:val="none" w:color="auto" w:sz="0" w:space="0"/>
                      <w:lang w:val="en-US"/>
                    </w:rPr>
                  </w:pPr>
                  <w:r>
                    <w:rPr>
                      <w:rFonts w:hint="default" w:ascii="Times New Roman" w:hAnsi="宋体" w:eastAsia="宋体" w:cs="Times New Roman"/>
                      <w:color w:val="000000"/>
                      <w:kern w:val="2"/>
                      <w:sz w:val="21"/>
                      <w:szCs w:val="24"/>
                      <w:bdr w:val="none" w:color="auto" w:sz="0" w:space="0"/>
                      <w:lang w:val="en-US" w:eastAsia="zh-CN" w:bidi="ar"/>
                    </w:rPr>
                    <w:t>37</w:t>
                  </w:r>
                </w:p>
              </w:tc>
              <w:tc>
                <w:tcPr>
                  <w:tcW w:w="446" w:type="pct"/>
                  <w:tcBorders>
                    <w:top w:val="single" w:color="auto" w:sz="4" w:space="0"/>
                    <w:left w:val="single" w:color="auto" w:sz="4" w:space="0"/>
                    <w:bottom w:val="single" w:color="auto" w:sz="12" w:space="0"/>
                    <w:right w:val="single" w:color="auto" w:sz="4" w:space="0"/>
                  </w:tcBorders>
                  <w:shd w:val="clear"/>
                  <w:vAlign w:val="center"/>
                </w:tcPr>
                <w:p w14:paraId="46C31CF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bdr w:val="none" w:color="auto" w:sz="0" w:space="0"/>
                      <w:lang w:val="en-US"/>
                    </w:rPr>
                  </w:pPr>
                  <w:r>
                    <w:rPr>
                      <w:rFonts w:hint="default" w:ascii="Times New Roman" w:hAnsi="宋体" w:eastAsia="宋体" w:cs="Times New Roman"/>
                      <w:color w:val="000000"/>
                      <w:kern w:val="2"/>
                      <w:sz w:val="21"/>
                      <w:szCs w:val="24"/>
                      <w:bdr w:val="none" w:color="auto" w:sz="0" w:space="0"/>
                      <w:lang w:val="en-US" w:eastAsia="zh-CN" w:bidi="ar"/>
                    </w:rPr>
                    <w:t>56</w:t>
                  </w:r>
                </w:p>
              </w:tc>
              <w:tc>
                <w:tcPr>
                  <w:tcW w:w="446" w:type="pct"/>
                  <w:tcBorders>
                    <w:top w:val="single" w:color="auto" w:sz="4" w:space="0"/>
                    <w:left w:val="single" w:color="auto" w:sz="4" w:space="0"/>
                    <w:bottom w:val="single" w:color="auto" w:sz="12" w:space="0"/>
                    <w:right w:val="single" w:color="auto" w:sz="4" w:space="0"/>
                  </w:tcBorders>
                  <w:shd w:val="clear"/>
                  <w:vAlign w:val="center"/>
                </w:tcPr>
                <w:p w14:paraId="58FBB1E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bdr w:val="none" w:color="auto" w:sz="0" w:space="0"/>
                      <w:lang w:val="en-US"/>
                    </w:rPr>
                  </w:pPr>
                  <w:r>
                    <w:rPr>
                      <w:rFonts w:hint="default" w:ascii="Times New Roman" w:hAnsi="宋体" w:eastAsia="宋体" w:cs="Times New Roman"/>
                      <w:color w:val="000000"/>
                      <w:kern w:val="2"/>
                      <w:sz w:val="21"/>
                      <w:szCs w:val="24"/>
                      <w:bdr w:val="none" w:color="auto" w:sz="0" w:space="0"/>
                      <w:lang w:val="en-US" w:eastAsia="zh-CN" w:bidi="ar"/>
                    </w:rPr>
                    <w:t>50</w:t>
                  </w:r>
                </w:p>
              </w:tc>
              <w:tc>
                <w:tcPr>
                  <w:tcW w:w="446" w:type="pct"/>
                  <w:tcBorders>
                    <w:top w:val="single" w:color="auto" w:sz="4" w:space="0"/>
                    <w:left w:val="single" w:color="auto" w:sz="4" w:space="0"/>
                    <w:bottom w:val="single" w:color="auto" w:sz="12" w:space="0"/>
                    <w:right w:val="single" w:color="auto" w:sz="4" w:space="0"/>
                  </w:tcBorders>
                  <w:shd w:val="clear"/>
                  <w:vAlign w:val="center"/>
                </w:tcPr>
                <w:p w14:paraId="4560644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bdr w:val="none" w:color="auto" w:sz="0" w:space="0"/>
                      <w:lang w:val="en-US"/>
                    </w:rPr>
                  </w:pPr>
                  <w:r>
                    <w:rPr>
                      <w:rFonts w:hint="default" w:ascii="Times New Roman" w:hAnsi="宋体" w:eastAsia="宋体" w:cs="Times New Roman"/>
                      <w:color w:val="000000"/>
                      <w:kern w:val="2"/>
                      <w:sz w:val="21"/>
                      <w:szCs w:val="24"/>
                      <w:bdr w:val="none" w:color="auto" w:sz="0" w:space="0"/>
                      <w:lang w:val="en-US" w:eastAsia="zh-CN" w:bidi="ar"/>
                    </w:rPr>
                    <w:t>56.1</w:t>
                  </w:r>
                </w:p>
              </w:tc>
              <w:tc>
                <w:tcPr>
                  <w:tcW w:w="446" w:type="pct"/>
                  <w:tcBorders>
                    <w:top w:val="single" w:color="auto" w:sz="4" w:space="0"/>
                    <w:left w:val="single" w:color="auto" w:sz="4" w:space="0"/>
                    <w:bottom w:val="single" w:color="auto" w:sz="12" w:space="0"/>
                    <w:right w:val="single" w:color="auto" w:sz="4" w:space="0"/>
                  </w:tcBorders>
                  <w:shd w:val="clear"/>
                  <w:vAlign w:val="center"/>
                </w:tcPr>
                <w:p w14:paraId="3E666A0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bdr w:val="none" w:color="auto" w:sz="0" w:space="0"/>
                      <w:lang w:val="en-US"/>
                    </w:rPr>
                  </w:pPr>
                  <w:r>
                    <w:rPr>
                      <w:rFonts w:hint="default" w:ascii="Times New Roman" w:hAnsi="宋体" w:eastAsia="宋体" w:cs="Times New Roman"/>
                      <w:color w:val="000000"/>
                      <w:kern w:val="2"/>
                      <w:sz w:val="21"/>
                      <w:szCs w:val="24"/>
                      <w:bdr w:val="none" w:color="auto" w:sz="0" w:space="0"/>
                      <w:lang w:val="en-US" w:eastAsia="zh-CN" w:bidi="ar"/>
                    </w:rPr>
                    <w:t>50.2</w:t>
                  </w:r>
                </w:p>
              </w:tc>
              <w:tc>
                <w:tcPr>
                  <w:tcW w:w="624" w:type="pct"/>
                  <w:tcBorders>
                    <w:top w:val="single" w:color="auto" w:sz="4" w:space="0"/>
                    <w:left w:val="single" w:color="auto" w:sz="4" w:space="0"/>
                    <w:bottom w:val="single" w:color="auto" w:sz="12" w:space="0"/>
                    <w:right w:val="single" w:color="auto" w:sz="4" w:space="0"/>
                  </w:tcBorders>
                  <w:shd w:val="clear"/>
                  <w:vAlign w:val="center"/>
                </w:tcPr>
                <w:p w14:paraId="079A578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bdr w:val="none" w:color="auto" w:sz="0" w:space="0"/>
                      <w:lang w:val="en-US"/>
                    </w:rPr>
                  </w:pPr>
                  <w:r>
                    <w:rPr>
                      <w:rFonts w:hint="eastAsia" w:ascii="Times New Roman" w:hAnsi="宋体" w:eastAsia="宋体" w:cs="宋体"/>
                      <w:color w:val="000000"/>
                      <w:kern w:val="2"/>
                      <w:sz w:val="21"/>
                      <w:szCs w:val="24"/>
                      <w:bdr w:val="none" w:color="auto" w:sz="0" w:space="0"/>
                      <w:lang w:val="en-US" w:eastAsia="zh-CN" w:bidi="ar"/>
                    </w:rPr>
                    <w:t>昼间</w:t>
                  </w:r>
                  <w:r>
                    <w:rPr>
                      <w:rFonts w:hint="default" w:ascii="Times New Roman" w:hAnsi="宋体" w:eastAsia="宋体" w:cs="Times New Roman"/>
                      <w:color w:val="000000"/>
                      <w:kern w:val="2"/>
                      <w:sz w:val="21"/>
                      <w:szCs w:val="24"/>
                      <w:bdr w:val="none" w:color="auto" w:sz="0" w:space="0"/>
                      <w:lang w:val="en-US" w:eastAsia="zh-CN" w:bidi="ar"/>
                    </w:rPr>
                    <w:t>65</w:t>
                  </w:r>
                </w:p>
                <w:p w14:paraId="02D39AD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bdr w:val="none" w:color="auto" w:sz="0" w:space="0"/>
                      <w:lang w:val="en-US"/>
                    </w:rPr>
                  </w:pPr>
                  <w:r>
                    <w:rPr>
                      <w:rFonts w:hint="eastAsia" w:ascii="Times New Roman" w:hAnsi="宋体" w:eastAsia="宋体" w:cs="宋体"/>
                      <w:color w:val="000000"/>
                      <w:kern w:val="2"/>
                      <w:sz w:val="21"/>
                      <w:szCs w:val="24"/>
                      <w:bdr w:val="none" w:color="auto" w:sz="0" w:space="0"/>
                      <w:lang w:val="en-US" w:eastAsia="zh-CN" w:bidi="ar"/>
                    </w:rPr>
                    <w:t>夜间</w:t>
                  </w:r>
                  <w:r>
                    <w:rPr>
                      <w:rFonts w:hint="default" w:ascii="Times New Roman" w:hAnsi="宋体" w:eastAsia="宋体" w:cs="Times New Roman"/>
                      <w:color w:val="000000"/>
                      <w:kern w:val="2"/>
                      <w:sz w:val="21"/>
                      <w:szCs w:val="24"/>
                      <w:bdr w:val="none" w:color="auto" w:sz="0" w:space="0"/>
                      <w:lang w:val="en-US" w:eastAsia="zh-CN" w:bidi="ar"/>
                    </w:rPr>
                    <w:t>55</w:t>
                  </w:r>
                </w:p>
              </w:tc>
              <w:tc>
                <w:tcPr>
                  <w:tcW w:w="449" w:type="pct"/>
                  <w:tcBorders>
                    <w:top w:val="single" w:color="auto" w:sz="4" w:space="0"/>
                    <w:left w:val="single" w:color="auto" w:sz="4" w:space="0"/>
                    <w:bottom w:val="single" w:color="auto" w:sz="12" w:space="0"/>
                    <w:right w:val="nil"/>
                  </w:tcBorders>
                  <w:shd w:val="clear"/>
                  <w:vAlign w:val="center"/>
                </w:tcPr>
                <w:p w14:paraId="0A53012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bdr w:val="none" w:color="auto" w:sz="0" w:space="0"/>
                      <w:lang w:val="en-US"/>
                    </w:rPr>
                  </w:pPr>
                  <w:r>
                    <w:rPr>
                      <w:rFonts w:hint="eastAsia" w:ascii="Times New Roman" w:hAnsi="宋体" w:eastAsia="宋体" w:cs="宋体"/>
                      <w:color w:val="000000"/>
                      <w:kern w:val="2"/>
                      <w:sz w:val="21"/>
                      <w:szCs w:val="24"/>
                      <w:bdr w:val="none" w:color="auto" w:sz="0" w:space="0"/>
                      <w:lang w:val="en-US" w:eastAsia="zh-CN" w:bidi="ar"/>
                    </w:rPr>
                    <w:t>达标</w:t>
                  </w:r>
                </w:p>
              </w:tc>
            </w:tr>
          </w:tbl>
          <w:p w14:paraId="4F0D3E2E">
            <w:pPr>
              <w:keepNext w:val="0"/>
              <w:keepLines w:val="0"/>
              <w:widowControl w:val="0"/>
              <w:suppressLineNumbers w:val="0"/>
              <w:adjustRightInd w:val="0"/>
              <w:snapToGrid w:val="0"/>
              <w:spacing w:before="0" w:beforeAutospacing="0" w:after="0" w:afterAutospacing="0" w:line="440" w:lineRule="exact"/>
              <w:ind w:left="0" w:right="0" w:firstLine="480"/>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由上表可知：采取噪声防治措施后，厂界四周及声环境保护目标处的昼、夜间噪声预测值均满足《声环境质量标准》</w:t>
            </w:r>
            <w:r>
              <w:rPr>
                <w:rFonts w:hint="default" w:ascii="Times New Roman" w:hAnsi="Times New Roman" w:eastAsia="宋体" w:cs="Times New Roman"/>
                <w:color w:val="000000"/>
                <w:kern w:val="2"/>
                <w:sz w:val="24"/>
                <w:szCs w:val="24"/>
                <w:bdr w:val="none" w:color="auto" w:sz="0" w:space="0"/>
                <w:lang w:val="en-US" w:eastAsia="zh-CN" w:bidi="ar"/>
              </w:rPr>
              <w:t>(GB3096-2008)</w:t>
            </w:r>
            <w:r>
              <w:rPr>
                <w:rFonts w:hint="eastAsia" w:ascii="Times New Roman" w:hAnsi="Calibri" w:eastAsia="宋体" w:cs="宋体"/>
                <w:color w:val="000000"/>
                <w:kern w:val="2"/>
                <w:sz w:val="24"/>
                <w:szCs w:val="24"/>
                <w:bdr w:val="none" w:color="auto" w:sz="0" w:space="0"/>
                <w:lang w:val="en-US" w:eastAsia="zh-CN" w:bidi="ar"/>
              </w:rPr>
              <w:t>中的</w:t>
            </w:r>
            <w:r>
              <w:rPr>
                <w:rFonts w:hint="default" w:ascii="Times New Roman" w:hAnsi="Times New Roman" w:eastAsia="宋体" w:cs="Times New Roman"/>
                <w:color w:val="000000"/>
                <w:kern w:val="2"/>
                <w:sz w:val="24"/>
                <w:szCs w:val="24"/>
                <w:bdr w:val="none" w:color="auto" w:sz="0" w:space="0"/>
                <w:lang w:val="en-US" w:eastAsia="zh-CN" w:bidi="ar"/>
              </w:rPr>
              <w:t>3</w:t>
            </w:r>
            <w:r>
              <w:rPr>
                <w:rFonts w:hint="eastAsia" w:ascii="Times New Roman" w:hAnsi="Calibri" w:eastAsia="宋体" w:cs="宋体"/>
                <w:color w:val="000000"/>
                <w:kern w:val="2"/>
                <w:sz w:val="24"/>
                <w:szCs w:val="24"/>
                <w:bdr w:val="none" w:color="auto" w:sz="0" w:space="0"/>
                <w:lang w:val="en-US" w:eastAsia="zh-CN" w:bidi="ar"/>
              </w:rPr>
              <w:t>类标准。</w:t>
            </w:r>
          </w:p>
          <w:p w14:paraId="16F89BAA">
            <w:pPr>
              <w:keepNext w:val="0"/>
              <w:keepLines w:val="0"/>
              <w:widowControl w:val="0"/>
              <w:suppressLineNumbers w:val="0"/>
              <w:adjustRightInd w:val="0"/>
              <w:snapToGrid w:val="0"/>
              <w:spacing w:before="0" w:beforeAutospacing="0" w:after="0" w:afterAutospacing="0" w:line="440" w:lineRule="exact"/>
              <w:ind w:left="0" w:right="0" w:firstLine="480"/>
              <w:jc w:val="both"/>
              <w:rPr>
                <w:rFonts w:hint="default" w:ascii="Times New Roman" w:hAnsi="Calibri" w:cs="Times New Roman"/>
                <w:color w:val="000000"/>
                <w:sz w:val="24"/>
                <w:szCs w:val="24"/>
                <w:bdr w:val="none" w:color="auto" w:sz="0" w:space="0"/>
                <w:lang w:val="en-US"/>
              </w:rPr>
            </w:pPr>
            <w:r>
              <w:rPr>
                <w:rFonts w:hint="default" w:ascii="Times New Roman" w:hAnsi="Calibri" w:eastAsia="宋体" w:cs="Times New Roman"/>
                <w:color w:val="000000"/>
                <w:kern w:val="2"/>
                <w:sz w:val="24"/>
                <w:szCs w:val="24"/>
                <w:bdr w:val="none" w:color="auto" w:sz="0" w:space="0"/>
                <w:lang w:val="en-US" w:eastAsia="zh-CN" w:bidi="ar"/>
              </w:rPr>
              <w:t>4</w:t>
            </w:r>
            <w:r>
              <w:rPr>
                <w:rFonts w:hint="eastAsia" w:ascii="Times New Roman" w:hAnsi="Calibri" w:eastAsia="宋体" w:cs="宋体"/>
                <w:color w:val="000000"/>
                <w:kern w:val="2"/>
                <w:sz w:val="24"/>
                <w:szCs w:val="24"/>
                <w:bdr w:val="none" w:color="auto" w:sz="0" w:space="0"/>
                <w:lang w:val="en-US" w:eastAsia="zh-CN" w:bidi="ar"/>
              </w:rPr>
              <w:t>、噪声污染防治措施</w:t>
            </w:r>
          </w:p>
          <w:p w14:paraId="6C3FB1EE">
            <w:pPr>
              <w:keepNext w:val="0"/>
              <w:keepLines w:val="0"/>
              <w:widowControl w:val="0"/>
              <w:suppressLineNumbers w:val="0"/>
              <w:adjustRightInd w:val="0"/>
              <w:snapToGrid w:val="0"/>
              <w:spacing w:before="0" w:beforeAutospacing="0" w:after="0" w:afterAutospacing="0" w:line="440" w:lineRule="exact"/>
              <w:ind w:left="0" w:right="0" w:firstLine="480"/>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为了进一步降低生产过程中产生的噪声，本报告建议企业进一步采取如下治理措施：</w:t>
            </w:r>
          </w:p>
          <w:p w14:paraId="63106971">
            <w:pPr>
              <w:keepNext w:val="0"/>
              <w:keepLines w:val="0"/>
              <w:widowControl w:val="0"/>
              <w:suppressLineNumbers w:val="0"/>
              <w:adjustRightInd w:val="0"/>
              <w:snapToGrid w:val="0"/>
              <w:spacing w:before="0" w:beforeAutospacing="0" w:after="0" w:afterAutospacing="0" w:line="440" w:lineRule="exact"/>
              <w:ind w:left="0" w:right="0" w:firstLine="480"/>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w:t>
            </w:r>
            <w:r>
              <w:rPr>
                <w:rFonts w:hint="default" w:ascii="Times New Roman" w:hAnsi="Calibri" w:eastAsia="宋体" w:cs="Times New Roman"/>
                <w:color w:val="000000"/>
                <w:kern w:val="2"/>
                <w:sz w:val="24"/>
                <w:szCs w:val="24"/>
                <w:bdr w:val="none" w:color="auto" w:sz="0" w:space="0"/>
                <w:lang w:val="en-US" w:eastAsia="zh-CN" w:bidi="ar"/>
              </w:rPr>
              <w:t>1</w:t>
            </w:r>
            <w:r>
              <w:rPr>
                <w:rFonts w:hint="eastAsia" w:ascii="Times New Roman" w:hAnsi="Calibri" w:eastAsia="宋体" w:cs="宋体"/>
                <w:color w:val="000000"/>
                <w:kern w:val="2"/>
                <w:sz w:val="24"/>
                <w:szCs w:val="24"/>
                <w:bdr w:val="none" w:color="auto" w:sz="0" w:space="0"/>
                <w:lang w:val="en-US" w:eastAsia="zh-CN" w:bidi="ar"/>
              </w:rPr>
              <w:t>）控制设备噪声：在厂内设备选型上，采购时对供应商提出噪音控制要求，尽可能选用低噪音设备，提高机械设备装配精度，加强维护和检修，提高润滑度，减少机械振动和摩擦产生的噪声，防止共振等，必要时加装消声器，尽量减少高噪声设备对声环境的影响。</w:t>
            </w:r>
          </w:p>
          <w:p w14:paraId="4B0FC60C">
            <w:pPr>
              <w:keepNext w:val="0"/>
              <w:keepLines w:val="0"/>
              <w:widowControl w:val="0"/>
              <w:suppressLineNumbers w:val="0"/>
              <w:adjustRightInd w:val="0"/>
              <w:snapToGrid w:val="0"/>
              <w:spacing w:before="0" w:beforeAutospacing="0" w:after="0" w:afterAutospacing="0" w:line="440" w:lineRule="exact"/>
              <w:ind w:left="0" w:right="0" w:firstLine="480"/>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w:t>
            </w:r>
            <w:r>
              <w:rPr>
                <w:rFonts w:hint="default" w:ascii="Times New Roman" w:hAnsi="Calibri" w:eastAsia="宋体" w:cs="Times New Roman"/>
                <w:color w:val="000000"/>
                <w:kern w:val="2"/>
                <w:sz w:val="24"/>
                <w:szCs w:val="24"/>
                <w:bdr w:val="none" w:color="auto" w:sz="0" w:space="0"/>
                <w:lang w:val="en-US" w:eastAsia="zh-CN" w:bidi="ar"/>
              </w:rPr>
              <w:t>2</w:t>
            </w:r>
            <w:r>
              <w:rPr>
                <w:rFonts w:hint="eastAsia" w:ascii="Times New Roman" w:hAnsi="Calibri" w:eastAsia="宋体" w:cs="宋体"/>
                <w:color w:val="000000"/>
                <w:kern w:val="2"/>
                <w:sz w:val="24"/>
                <w:szCs w:val="24"/>
                <w:bdr w:val="none" w:color="auto" w:sz="0" w:space="0"/>
                <w:lang w:val="en-US" w:eastAsia="zh-CN" w:bidi="ar"/>
              </w:rPr>
              <w:t>）合理布局：将高噪声设备布置于室内，合理布局，尽可能将噪声设备集中布置、集中管理，使之远离办公区和环境敏感点，以充分利用距离衰减，减少项目运行对外界声环境的影响。</w:t>
            </w:r>
          </w:p>
          <w:p w14:paraId="47BA573B">
            <w:pPr>
              <w:keepNext w:val="0"/>
              <w:keepLines w:val="0"/>
              <w:widowControl w:val="0"/>
              <w:suppressLineNumbers w:val="0"/>
              <w:adjustRightInd w:val="0"/>
              <w:snapToGrid w:val="0"/>
              <w:spacing w:before="0" w:beforeAutospacing="0" w:after="0" w:afterAutospacing="0" w:line="440" w:lineRule="exact"/>
              <w:ind w:left="0" w:right="0" w:firstLine="480"/>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采取以上措施后，扩建项目产生的噪声对周边环境影响较小</w:t>
            </w:r>
          </w:p>
          <w:p w14:paraId="0E8CAD4F">
            <w:pPr>
              <w:keepNext w:val="0"/>
              <w:keepLines w:val="0"/>
              <w:widowControl w:val="0"/>
              <w:suppressLineNumbers w:val="0"/>
              <w:adjustRightInd w:val="0"/>
              <w:snapToGrid w:val="0"/>
              <w:spacing w:before="0" w:beforeAutospacing="0" w:after="0" w:afterAutospacing="0" w:line="440" w:lineRule="exact"/>
              <w:ind w:left="0" w:right="0"/>
              <w:jc w:val="left"/>
              <w:outlineLvl w:val="2"/>
              <w:rPr>
                <w:rFonts w:hint="default" w:ascii="Times New Roman" w:hAnsi="宋体" w:cs="Times New Roman"/>
                <w:b/>
                <w:bCs/>
                <w:color w:val="000000"/>
                <w:spacing w:val="-10"/>
                <w:sz w:val="24"/>
                <w:szCs w:val="24"/>
                <w:bdr w:val="none" w:color="auto" w:sz="0" w:space="0"/>
                <w:lang w:val="en-US"/>
              </w:rPr>
            </w:pPr>
            <w:r>
              <w:rPr>
                <w:rFonts w:hint="default" w:ascii="Times New Roman" w:hAnsi="宋体" w:eastAsia="宋体" w:cs="Times New Roman"/>
                <w:b/>
                <w:bCs/>
                <w:color w:val="000000"/>
                <w:spacing w:val="-10"/>
                <w:kern w:val="2"/>
                <w:sz w:val="24"/>
                <w:szCs w:val="24"/>
                <w:bdr w:val="none" w:color="auto" w:sz="0" w:space="0"/>
                <w:lang w:val="en-US" w:eastAsia="zh-CN" w:bidi="ar"/>
              </w:rPr>
              <w:t xml:space="preserve">4.4.3 </w:t>
            </w:r>
            <w:r>
              <w:rPr>
                <w:rFonts w:hint="eastAsia" w:ascii="Times New Roman" w:hAnsi="宋体" w:eastAsia="宋体" w:cs="宋体"/>
                <w:b/>
                <w:bCs/>
                <w:color w:val="000000"/>
                <w:spacing w:val="-10"/>
                <w:kern w:val="2"/>
                <w:sz w:val="24"/>
                <w:szCs w:val="24"/>
                <w:bdr w:val="none" w:color="auto" w:sz="0" w:space="0"/>
                <w:lang w:val="en-US" w:eastAsia="zh-CN" w:bidi="ar"/>
              </w:rPr>
              <w:t>噪声监测计划</w:t>
            </w:r>
          </w:p>
          <w:p w14:paraId="103F43DE">
            <w:pPr>
              <w:keepNext w:val="0"/>
              <w:keepLines w:val="0"/>
              <w:widowControl w:val="0"/>
              <w:suppressLineNumbers w:val="0"/>
              <w:adjustRightInd w:val="0"/>
              <w:snapToGrid w:val="0"/>
              <w:spacing w:before="0" w:beforeAutospacing="0" w:after="0" w:afterAutospacing="0" w:line="440" w:lineRule="exact"/>
              <w:ind w:left="0" w:right="0" w:firstLine="480"/>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根据《排污许可证申请与核发技术规范</w:t>
            </w:r>
            <w:r>
              <w:rPr>
                <w:rFonts w:hint="default" w:ascii="Times New Roman" w:hAnsi="Calibri" w:eastAsia="宋体" w:cs="Times New Roman"/>
                <w:color w:val="000000"/>
                <w:kern w:val="2"/>
                <w:sz w:val="24"/>
                <w:szCs w:val="24"/>
                <w:bdr w:val="none" w:color="auto" w:sz="0" w:space="0"/>
                <w:lang w:val="en-US" w:eastAsia="zh-CN" w:bidi="ar"/>
              </w:rPr>
              <w:t xml:space="preserve"> </w:t>
            </w:r>
            <w:r>
              <w:rPr>
                <w:rFonts w:hint="eastAsia" w:ascii="Times New Roman" w:hAnsi="Calibri" w:eastAsia="宋体" w:cs="宋体"/>
                <w:color w:val="000000"/>
                <w:kern w:val="2"/>
                <w:sz w:val="24"/>
                <w:szCs w:val="24"/>
                <w:bdr w:val="none" w:color="auto" w:sz="0" w:space="0"/>
                <w:lang w:val="en-US" w:eastAsia="zh-CN" w:bidi="ar"/>
              </w:rPr>
              <w:t>工业噪声》（</w:t>
            </w:r>
            <w:r>
              <w:rPr>
                <w:rFonts w:hint="default" w:ascii="Times New Roman" w:hAnsi="Calibri" w:eastAsia="宋体" w:cs="Times New Roman"/>
                <w:color w:val="000000"/>
                <w:kern w:val="2"/>
                <w:sz w:val="24"/>
                <w:szCs w:val="24"/>
                <w:bdr w:val="none" w:color="auto" w:sz="0" w:space="0"/>
                <w:lang w:val="en-US" w:eastAsia="zh-CN" w:bidi="ar"/>
              </w:rPr>
              <w:t>HJ 1301-2023</w:t>
            </w:r>
            <w:r>
              <w:rPr>
                <w:rFonts w:hint="eastAsia" w:ascii="Times New Roman" w:hAnsi="Calibri" w:eastAsia="宋体" w:cs="宋体"/>
                <w:color w:val="000000"/>
                <w:kern w:val="2"/>
                <w:sz w:val="24"/>
                <w:szCs w:val="24"/>
                <w:bdr w:val="none" w:color="auto" w:sz="0" w:space="0"/>
                <w:lang w:val="en-US" w:eastAsia="zh-CN" w:bidi="ar"/>
              </w:rPr>
              <w:t>），扩建项目噪声监测计划制定如下：</w:t>
            </w:r>
          </w:p>
          <w:p w14:paraId="0F37A00A">
            <w:pPr>
              <w:keepNext w:val="0"/>
              <w:keepLines w:val="0"/>
              <w:widowControl w:val="0"/>
              <w:suppressLineNumbers w:val="0"/>
              <w:adjustRightInd w:val="0"/>
              <w:snapToGrid w:val="0"/>
              <w:spacing w:before="0" w:beforeAutospacing="0" w:after="0" w:afterAutospacing="0" w:line="440" w:lineRule="exact"/>
              <w:ind w:left="0" w:right="0"/>
              <w:jc w:val="center"/>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表</w:t>
            </w:r>
            <w:r>
              <w:rPr>
                <w:rFonts w:hint="default" w:ascii="Times New Roman" w:hAnsi="Calibri" w:eastAsia="宋体" w:cs="Times New Roman"/>
                <w:color w:val="000000"/>
                <w:kern w:val="2"/>
                <w:sz w:val="24"/>
                <w:szCs w:val="24"/>
                <w:bdr w:val="none" w:color="auto" w:sz="0" w:space="0"/>
                <w:lang w:val="en-US" w:eastAsia="zh-CN" w:bidi="ar"/>
              </w:rPr>
              <w:t xml:space="preserve">4.4-5 </w:t>
            </w:r>
            <w:r>
              <w:rPr>
                <w:rFonts w:hint="eastAsia" w:ascii="Times New Roman" w:hAnsi="Calibri" w:eastAsia="宋体" w:cs="宋体"/>
                <w:color w:val="000000"/>
                <w:kern w:val="2"/>
                <w:sz w:val="24"/>
                <w:szCs w:val="24"/>
                <w:bdr w:val="none" w:color="auto" w:sz="0" w:space="0"/>
                <w:lang w:val="en-US" w:eastAsia="zh-CN" w:bidi="ar"/>
              </w:rPr>
              <w:t>噪声环境监测计划</w:t>
            </w:r>
          </w:p>
          <w:tbl>
            <w:tblPr>
              <w:tblStyle w:val="18"/>
              <w:tblW w:w="0" w:type="auto"/>
              <w:jc w:val="center"/>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shd w:val="clear"/>
              <w:tblLayout w:type="fixed"/>
              <w:tblCellMar>
                <w:top w:w="0" w:type="dxa"/>
                <w:left w:w="108" w:type="dxa"/>
                <w:bottom w:w="0" w:type="dxa"/>
                <w:right w:w="108" w:type="dxa"/>
              </w:tblCellMar>
            </w:tblPr>
            <w:tblGrid>
              <w:gridCol w:w="766"/>
              <w:gridCol w:w="993"/>
              <w:gridCol w:w="1135"/>
              <w:gridCol w:w="1559"/>
              <w:gridCol w:w="2190"/>
              <w:gridCol w:w="1304"/>
            </w:tblGrid>
            <w:tr w14:paraId="7407B1C6">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shd w:val="clear"/>
                <w:tblCellMar>
                  <w:top w:w="0" w:type="dxa"/>
                  <w:left w:w="108" w:type="dxa"/>
                  <w:bottom w:w="0" w:type="dxa"/>
                  <w:right w:w="108" w:type="dxa"/>
                </w:tblCellMar>
              </w:tblPrEx>
              <w:trPr>
                <w:trHeight w:val="71" w:hRule="atLeast"/>
                <w:jc w:val="center"/>
              </w:trPr>
              <w:tc>
                <w:tcPr>
                  <w:tcW w:w="766" w:type="dxa"/>
                  <w:tcBorders>
                    <w:top w:val="single" w:color="000000" w:sz="12" w:space="0"/>
                    <w:left w:val="nil"/>
                    <w:bottom w:val="single" w:color="000000" w:sz="6" w:space="0"/>
                    <w:right w:val="single" w:color="000000" w:sz="6" w:space="0"/>
                  </w:tcBorders>
                  <w:shd w:val="clear"/>
                  <w:vAlign w:val="center"/>
                </w:tcPr>
                <w:p w14:paraId="50779DA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类别</w:t>
                  </w:r>
                </w:p>
              </w:tc>
              <w:tc>
                <w:tcPr>
                  <w:tcW w:w="993" w:type="dxa"/>
                  <w:tcBorders>
                    <w:top w:val="single" w:color="000000" w:sz="12" w:space="0"/>
                    <w:left w:val="single" w:color="000000" w:sz="6" w:space="0"/>
                    <w:bottom w:val="single" w:color="000000" w:sz="6" w:space="0"/>
                    <w:right w:val="single" w:color="000000" w:sz="6" w:space="0"/>
                  </w:tcBorders>
                  <w:shd w:val="clear"/>
                  <w:vAlign w:val="center"/>
                </w:tcPr>
                <w:p w14:paraId="3C14245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污染源</w:t>
                  </w:r>
                </w:p>
              </w:tc>
              <w:tc>
                <w:tcPr>
                  <w:tcW w:w="1135" w:type="dxa"/>
                  <w:tcBorders>
                    <w:top w:val="single" w:color="000000" w:sz="12" w:space="0"/>
                    <w:left w:val="single" w:color="000000" w:sz="6" w:space="0"/>
                    <w:bottom w:val="single" w:color="000000" w:sz="6" w:space="0"/>
                    <w:right w:val="single" w:color="000000" w:sz="6" w:space="0"/>
                  </w:tcBorders>
                  <w:shd w:val="clear"/>
                  <w:vAlign w:val="center"/>
                </w:tcPr>
                <w:p w14:paraId="53D8814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监测点</w:t>
                  </w:r>
                </w:p>
              </w:tc>
              <w:tc>
                <w:tcPr>
                  <w:tcW w:w="1559" w:type="dxa"/>
                  <w:tcBorders>
                    <w:top w:val="single" w:color="000000" w:sz="12" w:space="0"/>
                    <w:left w:val="single" w:color="000000" w:sz="6" w:space="0"/>
                    <w:bottom w:val="single" w:color="000000" w:sz="6" w:space="0"/>
                    <w:right w:val="single" w:color="000000" w:sz="6" w:space="0"/>
                  </w:tcBorders>
                  <w:shd w:val="clear"/>
                  <w:vAlign w:val="center"/>
                </w:tcPr>
                <w:p w14:paraId="77DAFB1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监测项目</w:t>
                  </w:r>
                </w:p>
              </w:tc>
              <w:tc>
                <w:tcPr>
                  <w:tcW w:w="2190" w:type="dxa"/>
                  <w:tcBorders>
                    <w:top w:val="single" w:color="000000" w:sz="12" w:space="0"/>
                    <w:left w:val="single" w:color="000000" w:sz="6" w:space="0"/>
                    <w:bottom w:val="single" w:color="000000" w:sz="6" w:space="0"/>
                    <w:right w:val="single" w:color="000000" w:sz="6" w:space="0"/>
                  </w:tcBorders>
                  <w:shd w:val="clear"/>
                  <w:vAlign w:val="center"/>
                </w:tcPr>
                <w:p w14:paraId="6C450CBB">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执行标准</w:t>
                  </w:r>
                </w:p>
              </w:tc>
              <w:tc>
                <w:tcPr>
                  <w:tcW w:w="1304" w:type="dxa"/>
                  <w:tcBorders>
                    <w:top w:val="single" w:color="000000" w:sz="12" w:space="0"/>
                    <w:left w:val="single" w:color="000000" w:sz="6" w:space="0"/>
                    <w:bottom w:val="single" w:color="000000" w:sz="6" w:space="0"/>
                    <w:right w:val="nil"/>
                  </w:tcBorders>
                  <w:shd w:val="clear"/>
                  <w:vAlign w:val="center"/>
                </w:tcPr>
                <w:p w14:paraId="744C7C0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监测频率</w:t>
                  </w:r>
                </w:p>
              </w:tc>
            </w:tr>
            <w:tr w14:paraId="26AE7A87">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108" w:type="dxa"/>
                  <w:bottom w:w="0" w:type="dxa"/>
                  <w:right w:w="108" w:type="dxa"/>
                </w:tblCellMar>
              </w:tblPrEx>
              <w:trPr>
                <w:trHeight w:val="743" w:hRule="atLeast"/>
                <w:jc w:val="center"/>
              </w:trPr>
              <w:tc>
                <w:tcPr>
                  <w:tcW w:w="766" w:type="dxa"/>
                  <w:tcBorders>
                    <w:top w:val="single" w:color="000000" w:sz="6" w:space="0"/>
                    <w:left w:val="nil"/>
                    <w:bottom w:val="single" w:color="000000" w:sz="12" w:space="0"/>
                    <w:right w:val="single" w:color="000000" w:sz="6" w:space="0"/>
                  </w:tcBorders>
                  <w:shd w:val="clear"/>
                  <w:vAlign w:val="center"/>
                </w:tcPr>
                <w:p w14:paraId="3D6DD5F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snapToGrid w:val="0"/>
                      <w:color w:val="000000"/>
                      <w:bdr w:val="none" w:color="auto" w:sz="0" w:space="0"/>
                      <w:lang w:val="en-US"/>
                    </w:rPr>
                  </w:pPr>
                  <w:r>
                    <w:rPr>
                      <w:rFonts w:hint="eastAsia" w:ascii="Times New Roman" w:hAnsi="Calibri" w:eastAsia="宋体" w:cs="宋体"/>
                      <w:bCs/>
                      <w:snapToGrid w:val="0"/>
                      <w:color w:val="000000"/>
                      <w:kern w:val="2"/>
                      <w:sz w:val="21"/>
                      <w:szCs w:val="24"/>
                      <w:bdr w:val="none" w:color="auto" w:sz="0" w:space="0"/>
                      <w:lang w:val="en-US" w:eastAsia="zh-CN" w:bidi="ar"/>
                    </w:rPr>
                    <w:t>噪声</w:t>
                  </w:r>
                </w:p>
              </w:tc>
              <w:tc>
                <w:tcPr>
                  <w:tcW w:w="993" w:type="dxa"/>
                  <w:tcBorders>
                    <w:top w:val="single" w:color="000000" w:sz="6" w:space="0"/>
                    <w:left w:val="single" w:color="000000" w:sz="6" w:space="0"/>
                    <w:bottom w:val="single" w:color="000000" w:sz="12" w:space="0"/>
                    <w:right w:val="single" w:color="000000" w:sz="6" w:space="0"/>
                  </w:tcBorders>
                  <w:shd w:val="clear"/>
                  <w:vAlign w:val="center"/>
                </w:tcPr>
                <w:p w14:paraId="67A8ACC0">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生产</w:t>
                  </w:r>
                </w:p>
                <w:p w14:paraId="16AAB39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设备</w:t>
                  </w:r>
                </w:p>
              </w:tc>
              <w:tc>
                <w:tcPr>
                  <w:tcW w:w="1135" w:type="dxa"/>
                  <w:tcBorders>
                    <w:top w:val="single" w:color="000000" w:sz="6" w:space="0"/>
                    <w:left w:val="single" w:color="000000" w:sz="6" w:space="0"/>
                    <w:bottom w:val="single" w:color="000000" w:sz="12" w:space="0"/>
                    <w:right w:val="single" w:color="000000" w:sz="6" w:space="0"/>
                  </w:tcBorders>
                  <w:shd w:val="clear"/>
                  <w:vAlign w:val="center"/>
                </w:tcPr>
                <w:p w14:paraId="6F61FEB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szCs w:val="21"/>
                      <w:bdr w:val="none" w:color="auto" w:sz="0" w:space="0"/>
                      <w:lang w:val="en-US"/>
                    </w:rPr>
                  </w:pPr>
                  <w:r>
                    <w:rPr>
                      <w:rFonts w:hint="eastAsia" w:ascii="Times New Roman" w:hAnsi="Calibri" w:eastAsia="宋体" w:cs="宋体"/>
                      <w:snapToGrid w:val="0"/>
                      <w:color w:val="000000"/>
                      <w:kern w:val="2"/>
                      <w:sz w:val="21"/>
                      <w:szCs w:val="21"/>
                      <w:bdr w:val="none" w:color="auto" w:sz="0" w:space="0"/>
                      <w:lang w:val="en-US" w:eastAsia="zh-CN" w:bidi="ar"/>
                    </w:rPr>
                    <w:t>各厂界外</w:t>
                  </w:r>
                  <w:r>
                    <w:rPr>
                      <w:rFonts w:hint="default" w:ascii="Times New Roman" w:hAnsi="Times New Roman" w:eastAsia="宋体" w:cs="Times New Roman"/>
                      <w:snapToGrid w:val="0"/>
                      <w:color w:val="000000"/>
                      <w:kern w:val="2"/>
                      <w:sz w:val="21"/>
                      <w:szCs w:val="21"/>
                      <w:bdr w:val="none" w:color="auto" w:sz="0" w:space="0"/>
                      <w:lang w:val="en-US" w:eastAsia="zh-CN" w:bidi="ar"/>
                    </w:rPr>
                    <w:t>1m</w:t>
                  </w:r>
                  <w:r>
                    <w:rPr>
                      <w:rFonts w:hint="eastAsia" w:ascii="Times New Roman" w:hAnsi="Calibri" w:eastAsia="宋体" w:cs="宋体"/>
                      <w:snapToGrid w:val="0"/>
                      <w:color w:val="000000"/>
                      <w:kern w:val="2"/>
                      <w:sz w:val="21"/>
                      <w:szCs w:val="21"/>
                      <w:bdr w:val="none" w:color="auto" w:sz="0" w:space="0"/>
                      <w:lang w:val="en-US" w:eastAsia="zh-CN" w:bidi="ar"/>
                    </w:rPr>
                    <w:t>处</w:t>
                  </w:r>
                </w:p>
              </w:tc>
              <w:tc>
                <w:tcPr>
                  <w:tcW w:w="1559" w:type="dxa"/>
                  <w:tcBorders>
                    <w:top w:val="single" w:color="000000" w:sz="6" w:space="0"/>
                    <w:left w:val="single" w:color="000000" w:sz="6" w:space="0"/>
                    <w:bottom w:val="single" w:color="000000" w:sz="12" w:space="0"/>
                    <w:right w:val="single" w:color="000000" w:sz="6" w:space="0"/>
                  </w:tcBorders>
                  <w:shd w:val="clear"/>
                  <w:vAlign w:val="center"/>
                </w:tcPr>
                <w:p w14:paraId="7F4FE0E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szCs w:val="21"/>
                      <w:bdr w:val="none" w:color="auto" w:sz="0" w:space="0"/>
                      <w:lang w:val="en-US"/>
                    </w:rPr>
                  </w:pPr>
                  <w:r>
                    <w:rPr>
                      <w:rFonts w:hint="eastAsia" w:ascii="Times New Roman" w:hAnsi="Calibri" w:eastAsia="宋体" w:cs="宋体"/>
                      <w:bCs/>
                      <w:snapToGrid w:val="0"/>
                      <w:color w:val="000000"/>
                      <w:kern w:val="2"/>
                      <w:sz w:val="21"/>
                      <w:szCs w:val="24"/>
                      <w:bdr w:val="none" w:color="auto" w:sz="0" w:space="0"/>
                      <w:lang w:val="en-US" w:eastAsia="zh-CN" w:bidi="ar"/>
                    </w:rPr>
                    <w:t>昼夜等效连续</w:t>
                  </w:r>
                  <w:r>
                    <w:rPr>
                      <w:rFonts w:hint="default" w:ascii="Times New Roman" w:hAnsi="Times New Roman" w:eastAsia="宋体" w:cs="Times New Roman"/>
                      <w:bCs/>
                      <w:snapToGrid w:val="0"/>
                      <w:color w:val="000000"/>
                      <w:kern w:val="2"/>
                      <w:sz w:val="21"/>
                      <w:szCs w:val="24"/>
                      <w:bdr w:val="none" w:color="auto" w:sz="0" w:space="0"/>
                      <w:lang w:val="en-US" w:eastAsia="zh-CN" w:bidi="ar"/>
                    </w:rPr>
                    <w:t>A</w:t>
                  </w:r>
                  <w:r>
                    <w:rPr>
                      <w:rFonts w:hint="eastAsia" w:ascii="Times New Roman" w:hAnsi="Calibri" w:eastAsia="宋体" w:cs="宋体"/>
                      <w:bCs/>
                      <w:snapToGrid w:val="0"/>
                      <w:color w:val="000000"/>
                      <w:kern w:val="2"/>
                      <w:sz w:val="21"/>
                      <w:szCs w:val="24"/>
                      <w:bdr w:val="none" w:color="auto" w:sz="0" w:space="0"/>
                      <w:lang w:val="en-US" w:eastAsia="zh-CN" w:bidi="ar"/>
                    </w:rPr>
                    <w:t>声级</w:t>
                  </w:r>
                </w:p>
              </w:tc>
              <w:tc>
                <w:tcPr>
                  <w:tcW w:w="2190" w:type="dxa"/>
                  <w:tcBorders>
                    <w:top w:val="single" w:color="000000" w:sz="6" w:space="0"/>
                    <w:left w:val="single" w:color="000000" w:sz="6" w:space="0"/>
                    <w:bottom w:val="single" w:color="000000" w:sz="12" w:space="0"/>
                    <w:right w:val="single" w:color="000000" w:sz="6" w:space="0"/>
                  </w:tcBorders>
                  <w:shd w:val="clear"/>
                  <w:vAlign w:val="center"/>
                </w:tcPr>
                <w:p w14:paraId="409C375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bdr w:val="none" w:color="auto" w:sz="0" w:space="0"/>
                      <w:lang w:val="en-US"/>
                    </w:rPr>
                  </w:pPr>
                  <w:r>
                    <w:rPr>
                      <w:rFonts w:hint="eastAsia" w:ascii="Times New Roman" w:hAnsi="宋体" w:eastAsia="宋体" w:cs="宋体"/>
                      <w:color w:val="000000"/>
                      <w:kern w:val="2"/>
                      <w:sz w:val="21"/>
                      <w:szCs w:val="24"/>
                      <w:bdr w:val="none" w:color="auto" w:sz="0" w:space="0"/>
                      <w:lang w:val="en-US" w:eastAsia="zh-CN" w:bidi="ar"/>
                    </w:rPr>
                    <w:t>《工业企业厂界环境噪声排放标准》</w:t>
                  </w:r>
                  <w:r>
                    <w:rPr>
                      <w:rFonts w:hint="default" w:ascii="Times New Roman" w:hAnsi="Times New Roman" w:eastAsia="宋体" w:cs="Times New Roman"/>
                      <w:color w:val="000000"/>
                      <w:kern w:val="2"/>
                      <w:sz w:val="21"/>
                      <w:szCs w:val="24"/>
                      <w:bdr w:val="none" w:color="auto" w:sz="0" w:space="0"/>
                      <w:lang w:val="en-US" w:eastAsia="zh-CN" w:bidi="ar"/>
                    </w:rPr>
                    <w:t>(GB12348-2008)3</w:t>
                  </w:r>
                  <w:r>
                    <w:rPr>
                      <w:rFonts w:hint="eastAsia" w:ascii="Times New Roman" w:hAnsi="Times New Roman" w:eastAsia="宋体" w:cs="宋体"/>
                      <w:color w:val="000000"/>
                      <w:kern w:val="2"/>
                      <w:sz w:val="21"/>
                      <w:szCs w:val="24"/>
                      <w:bdr w:val="none" w:color="auto" w:sz="0" w:space="0"/>
                      <w:lang w:val="en-US" w:eastAsia="zh-CN" w:bidi="ar"/>
                    </w:rPr>
                    <w:t>类</w:t>
                  </w:r>
                </w:p>
              </w:tc>
              <w:tc>
                <w:tcPr>
                  <w:tcW w:w="1304" w:type="dxa"/>
                  <w:tcBorders>
                    <w:top w:val="single" w:color="000000" w:sz="6" w:space="0"/>
                    <w:left w:val="single" w:color="000000" w:sz="6" w:space="0"/>
                    <w:bottom w:val="single" w:color="000000" w:sz="12" w:space="0"/>
                    <w:right w:val="nil"/>
                  </w:tcBorders>
                  <w:shd w:val="clear"/>
                  <w:vAlign w:val="center"/>
                </w:tcPr>
                <w:p w14:paraId="0D1C13E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szCs w:val="21"/>
                      <w:bdr w:val="none" w:color="auto" w:sz="0" w:space="0"/>
                      <w:lang w:val="en-US"/>
                    </w:rPr>
                  </w:pPr>
                  <w:r>
                    <w:rPr>
                      <w:rFonts w:hint="default" w:ascii="Times New Roman" w:hAnsi="Times New Roman" w:eastAsia="宋体" w:cs="Times New Roman"/>
                      <w:color w:val="000000"/>
                      <w:kern w:val="2"/>
                      <w:sz w:val="21"/>
                      <w:szCs w:val="24"/>
                      <w:bdr w:val="none" w:color="auto" w:sz="0" w:space="0"/>
                      <w:lang w:val="en-US" w:eastAsia="zh-CN" w:bidi="ar"/>
                    </w:rPr>
                    <w:t>1</w:t>
                  </w:r>
                  <w:r>
                    <w:rPr>
                      <w:rFonts w:hint="eastAsia" w:ascii="Times New Roman" w:hAnsi="Times New Roman" w:eastAsia="宋体" w:cs="宋体"/>
                      <w:color w:val="000000"/>
                      <w:kern w:val="2"/>
                      <w:sz w:val="21"/>
                      <w:szCs w:val="24"/>
                      <w:bdr w:val="none" w:color="auto" w:sz="0" w:space="0"/>
                      <w:lang w:val="en-US" w:eastAsia="zh-CN" w:bidi="ar"/>
                    </w:rPr>
                    <w:t>季度</w:t>
                  </w:r>
                  <w:r>
                    <w:rPr>
                      <w:rFonts w:hint="default" w:ascii="Times New Roman" w:hAnsi="Times New Roman" w:eastAsia="宋体" w:cs="Times New Roman"/>
                      <w:color w:val="000000"/>
                      <w:kern w:val="2"/>
                      <w:sz w:val="21"/>
                      <w:szCs w:val="24"/>
                      <w:bdr w:val="none" w:color="auto" w:sz="0" w:space="0"/>
                      <w:lang w:val="en-US" w:eastAsia="zh-CN" w:bidi="ar"/>
                    </w:rPr>
                    <w:t>/</w:t>
                  </w:r>
                  <w:r>
                    <w:rPr>
                      <w:rFonts w:hint="eastAsia" w:ascii="Times New Roman" w:hAnsi="Times New Roman" w:eastAsia="宋体" w:cs="宋体"/>
                      <w:color w:val="000000"/>
                      <w:kern w:val="2"/>
                      <w:sz w:val="21"/>
                      <w:szCs w:val="24"/>
                      <w:bdr w:val="none" w:color="auto" w:sz="0" w:space="0"/>
                      <w:lang w:val="en-US" w:eastAsia="zh-CN" w:bidi="ar"/>
                    </w:rPr>
                    <w:t>次</w:t>
                  </w:r>
                </w:p>
              </w:tc>
            </w:tr>
          </w:tbl>
          <w:p w14:paraId="4D1DBB89">
            <w:pPr>
              <w:keepNext w:val="0"/>
              <w:keepLines w:val="0"/>
              <w:widowControl w:val="0"/>
              <w:suppressLineNumbers w:val="0"/>
              <w:adjustRightInd w:val="0"/>
              <w:snapToGrid w:val="0"/>
              <w:spacing w:before="0" w:beforeAutospacing="0" w:after="0" w:afterAutospacing="0" w:line="440" w:lineRule="exact"/>
              <w:ind w:left="0" w:right="0"/>
              <w:jc w:val="left"/>
              <w:outlineLvl w:val="1"/>
              <w:rPr>
                <w:rFonts w:hint="default" w:ascii="Times New Roman" w:hAnsi="宋体" w:cs="Times New Roman"/>
                <w:b/>
                <w:bCs/>
                <w:color w:val="000000"/>
                <w:spacing w:val="-10"/>
                <w:sz w:val="24"/>
                <w:szCs w:val="24"/>
                <w:bdr w:val="none" w:color="auto" w:sz="0" w:space="0"/>
                <w:lang w:val="en-US"/>
              </w:rPr>
            </w:pPr>
            <w:r>
              <w:rPr>
                <w:rFonts w:hint="default" w:ascii="Times New Roman" w:hAnsi="宋体" w:eastAsia="宋体" w:cs="Times New Roman"/>
                <w:b/>
                <w:bCs/>
                <w:color w:val="000000"/>
                <w:spacing w:val="-10"/>
                <w:kern w:val="2"/>
                <w:sz w:val="24"/>
                <w:szCs w:val="24"/>
                <w:bdr w:val="none" w:color="auto" w:sz="0" w:space="0"/>
                <w:lang w:val="en-US" w:eastAsia="zh-CN" w:bidi="ar"/>
              </w:rPr>
              <w:t>4.5</w:t>
            </w:r>
            <w:r>
              <w:rPr>
                <w:rFonts w:hint="eastAsia" w:ascii="Times New Roman" w:hAnsi="宋体" w:eastAsia="宋体" w:cs="宋体"/>
                <w:b/>
                <w:bCs/>
                <w:color w:val="000000"/>
                <w:spacing w:val="-10"/>
                <w:kern w:val="2"/>
                <w:sz w:val="24"/>
                <w:szCs w:val="24"/>
                <w:bdr w:val="none" w:color="auto" w:sz="0" w:space="0"/>
                <w:lang w:val="en-US" w:eastAsia="zh-CN" w:bidi="ar"/>
              </w:rPr>
              <w:t>固废</w:t>
            </w:r>
          </w:p>
          <w:p w14:paraId="4E284A37">
            <w:pPr>
              <w:keepNext w:val="0"/>
              <w:keepLines w:val="0"/>
              <w:widowControl w:val="0"/>
              <w:suppressLineNumbers w:val="0"/>
              <w:adjustRightInd w:val="0"/>
              <w:snapToGrid w:val="0"/>
              <w:spacing w:before="0" w:beforeAutospacing="0" w:after="0" w:afterAutospacing="0" w:line="440" w:lineRule="exact"/>
              <w:ind w:left="0" w:right="0"/>
              <w:jc w:val="left"/>
              <w:outlineLvl w:val="2"/>
              <w:rPr>
                <w:rFonts w:hint="default" w:ascii="Times New Roman" w:hAnsi="Calibri" w:cs="Times New Roman"/>
                <w:b/>
                <w:bCs w:val="0"/>
                <w:color w:val="000000"/>
                <w:sz w:val="24"/>
                <w:szCs w:val="24"/>
                <w:bdr w:val="none" w:color="auto" w:sz="0" w:space="0"/>
                <w:lang w:val="en-US"/>
              </w:rPr>
            </w:pPr>
            <w:r>
              <w:rPr>
                <w:rFonts w:hint="default" w:ascii="Times New Roman" w:hAnsi="宋体" w:eastAsia="宋体" w:cs="Times New Roman"/>
                <w:b/>
                <w:bCs/>
                <w:color w:val="000000"/>
                <w:spacing w:val="-10"/>
                <w:kern w:val="2"/>
                <w:sz w:val="24"/>
                <w:szCs w:val="24"/>
                <w:bdr w:val="none" w:color="auto" w:sz="0" w:space="0"/>
                <w:lang w:val="en-US" w:eastAsia="zh-CN" w:bidi="ar"/>
              </w:rPr>
              <w:t>4.5.1</w:t>
            </w:r>
            <w:r>
              <w:rPr>
                <w:rFonts w:hint="eastAsia" w:ascii="Times New Roman" w:hAnsi="宋体" w:eastAsia="宋体" w:cs="宋体"/>
                <w:b/>
                <w:bCs/>
                <w:color w:val="000000"/>
                <w:spacing w:val="-10"/>
                <w:kern w:val="2"/>
                <w:sz w:val="24"/>
                <w:szCs w:val="24"/>
                <w:bdr w:val="none" w:color="auto" w:sz="0" w:space="0"/>
                <w:lang w:val="en-US" w:eastAsia="zh-CN" w:bidi="ar"/>
              </w:rPr>
              <w:t>固废产生情况</w:t>
            </w:r>
          </w:p>
          <w:p w14:paraId="0F661A25">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扩建项目固体废物主要包括生活垃圾、一般工业固废、危险废物。</w:t>
            </w:r>
          </w:p>
          <w:p w14:paraId="46553906">
            <w:pPr>
              <w:keepNext w:val="0"/>
              <w:keepLines w:val="0"/>
              <w:widowControl w:val="0"/>
              <w:suppressLineNumbers w:val="0"/>
              <w:spacing w:before="0" w:beforeAutospacing="0" w:after="0" w:afterAutospacing="0" w:line="440" w:lineRule="exact"/>
              <w:ind w:left="0" w:right="0" w:firstLine="482" w:firstLineChars="200"/>
              <w:jc w:val="both"/>
              <w:rPr>
                <w:rFonts w:hint="default" w:ascii="Times New Roman" w:hAnsi="Calibri" w:cs="Times New Roman"/>
                <w:b/>
                <w:bCs w:val="0"/>
                <w:color w:val="000000"/>
                <w:sz w:val="24"/>
                <w:szCs w:val="24"/>
                <w:bdr w:val="none" w:color="auto" w:sz="0" w:space="0"/>
                <w:lang w:val="en-US"/>
              </w:rPr>
            </w:pPr>
            <w:r>
              <w:rPr>
                <w:rFonts w:hint="default" w:ascii="Times New Roman" w:hAnsi="Calibri" w:eastAsia="宋体" w:cs="Times New Roman"/>
                <w:b/>
                <w:bCs w:val="0"/>
                <w:color w:val="000000"/>
                <w:kern w:val="2"/>
                <w:sz w:val="24"/>
                <w:szCs w:val="24"/>
                <w:bdr w:val="none" w:color="auto" w:sz="0" w:space="0"/>
                <w:lang w:val="en-US" w:eastAsia="zh-CN" w:bidi="ar"/>
              </w:rPr>
              <w:t>1</w:t>
            </w:r>
            <w:r>
              <w:rPr>
                <w:rFonts w:hint="eastAsia" w:ascii="Times New Roman" w:hAnsi="Calibri" w:eastAsia="宋体" w:cs="宋体"/>
                <w:b/>
                <w:bCs w:val="0"/>
                <w:color w:val="000000"/>
                <w:kern w:val="2"/>
                <w:sz w:val="24"/>
                <w:szCs w:val="24"/>
                <w:bdr w:val="none" w:color="auto" w:sz="0" w:space="0"/>
                <w:lang w:val="en-US" w:eastAsia="zh-CN" w:bidi="ar"/>
              </w:rPr>
              <w:t>、生活垃圾</w:t>
            </w:r>
          </w:p>
          <w:p w14:paraId="61733C92">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扩建项目新增员工</w:t>
            </w:r>
            <w:r>
              <w:rPr>
                <w:rFonts w:hint="default" w:ascii="Times New Roman" w:hAnsi="宋体" w:eastAsia="宋体" w:cs="Times New Roman"/>
                <w:color w:val="000000"/>
                <w:kern w:val="2"/>
                <w:sz w:val="24"/>
                <w:szCs w:val="24"/>
                <w:bdr w:val="none" w:color="auto" w:sz="0" w:space="0"/>
                <w:lang w:val="en-US" w:eastAsia="zh-CN" w:bidi="ar"/>
              </w:rPr>
              <w:t>15</w:t>
            </w:r>
            <w:r>
              <w:rPr>
                <w:rFonts w:hint="eastAsia" w:ascii="Times New Roman" w:hAnsi="宋体" w:eastAsia="宋体" w:cs="宋体"/>
                <w:color w:val="000000"/>
                <w:kern w:val="2"/>
                <w:sz w:val="24"/>
                <w:szCs w:val="24"/>
                <w:bdr w:val="none" w:color="auto" w:sz="0" w:space="0"/>
                <w:lang w:val="en-US" w:eastAsia="zh-CN" w:bidi="ar"/>
              </w:rPr>
              <w:t>人，全厂员工</w:t>
            </w:r>
            <w:r>
              <w:rPr>
                <w:rFonts w:hint="default" w:ascii="Times New Roman" w:hAnsi="宋体" w:eastAsia="宋体" w:cs="Times New Roman"/>
                <w:color w:val="000000"/>
                <w:kern w:val="2"/>
                <w:sz w:val="24"/>
                <w:szCs w:val="24"/>
                <w:bdr w:val="none" w:color="auto" w:sz="0" w:space="0"/>
                <w:lang w:val="en-US" w:eastAsia="zh-CN" w:bidi="ar"/>
              </w:rPr>
              <w:t>65</w:t>
            </w:r>
            <w:r>
              <w:rPr>
                <w:rFonts w:hint="eastAsia" w:ascii="Times New Roman" w:hAnsi="宋体" w:eastAsia="宋体" w:cs="宋体"/>
                <w:color w:val="000000"/>
                <w:kern w:val="2"/>
                <w:sz w:val="24"/>
                <w:szCs w:val="24"/>
                <w:bdr w:val="none" w:color="auto" w:sz="0" w:space="0"/>
                <w:lang w:val="en-US" w:eastAsia="zh-CN" w:bidi="ar"/>
              </w:rPr>
              <w:t>人，年工作</w:t>
            </w:r>
            <w:r>
              <w:rPr>
                <w:rFonts w:hint="default" w:ascii="Times New Roman" w:hAnsi="宋体" w:eastAsia="宋体" w:cs="Times New Roman"/>
                <w:color w:val="000000"/>
                <w:kern w:val="2"/>
                <w:sz w:val="24"/>
                <w:szCs w:val="24"/>
                <w:bdr w:val="none" w:color="auto" w:sz="0" w:space="0"/>
                <w:lang w:val="en-US" w:eastAsia="zh-CN" w:bidi="ar"/>
              </w:rPr>
              <w:t>300</w:t>
            </w:r>
            <w:r>
              <w:rPr>
                <w:rFonts w:hint="eastAsia" w:ascii="Times New Roman" w:hAnsi="宋体" w:eastAsia="宋体" w:cs="宋体"/>
                <w:color w:val="000000"/>
                <w:kern w:val="2"/>
                <w:sz w:val="24"/>
                <w:szCs w:val="24"/>
                <w:bdr w:val="none" w:color="auto" w:sz="0" w:space="0"/>
                <w:lang w:val="en-US" w:eastAsia="zh-CN" w:bidi="ar"/>
              </w:rPr>
              <w:t>天，员工生活垃圾按</w:t>
            </w:r>
            <w:r>
              <w:rPr>
                <w:rFonts w:hint="default" w:ascii="Times New Roman" w:hAnsi="宋体" w:eastAsia="宋体" w:cs="Times New Roman"/>
                <w:color w:val="000000"/>
                <w:kern w:val="2"/>
                <w:sz w:val="24"/>
                <w:szCs w:val="24"/>
                <w:bdr w:val="none" w:color="auto" w:sz="0" w:space="0"/>
                <w:lang w:val="en-US" w:eastAsia="zh-CN" w:bidi="ar"/>
              </w:rPr>
              <w:t>0.5kg/</w:t>
            </w:r>
            <w:r>
              <w:rPr>
                <w:rFonts w:hint="eastAsia" w:ascii="Times New Roman" w:hAnsi="宋体" w:eastAsia="宋体" w:cs="宋体"/>
                <w:color w:val="000000"/>
                <w:kern w:val="2"/>
                <w:sz w:val="24"/>
                <w:szCs w:val="24"/>
                <w:bdr w:val="none" w:color="auto" w:sz="0" w:space="0"/>
                <w:lang w:val="en-US" w:eastAsia="zh-CN" w:bidi="ar"/>
              </w:rPr>
              <w:t>人•</w:t>
            </w:r>
            <w:r>
              <w:rPr>
                <w:rFonts w:hint="default" w:ascii="Times New Roman" w:hAnsi="宋体" w:eastAsia="宋体" w:cs="Times New Roman"/>
                <w:color w:val="000000"/>
                <w:kern w:val="2"/>
                <w:sz w:val="24"/>
                <w:szCs w:val="24"/>
                <w:bdr w:val="none" w:color="auto" w:sz="0" w:space="0"/>
                <w:lang w:val="en-US" w:eastAsia="zh-CN" w:bidi="ar"/>
              </w:rPr>
              <w:t>d</w:t>
            </w:r>
            <w:r>
              <w:rPr>
                <w:rFonts w:hint="eastAsia" w:ascii="Times New Roman" w:hAnsi="宋体" w:eastAsia="宋体" w:cs="宋体"/>
                <w:color w:val="000000"/>
                <w:kern w:val="2"/>
                <w:sz w:val="24"/>
                <w:szCs w:val="24"/>
                <w:bdr w:val="none" w:color="auto" w:sz="0" w:space="0"/>
                <w:lang w:val="en-US" w:eastAsia="zh-CN" w:bidi="ar"/>
              </w:rPr>
              <w:t>计，扩建后全厂生活垃圾产生量约</w:t>
            </w:r>
            <w:r>
              <w:rPr>
                <w:rFonts w:hint="default" w:ascii="Times New Roman" w:hAnsi="宋体" w:eastAsia="宋体" w:cs="Times New Roman"/>
                <w:color w:val="000000"/>
                <w:kern w:val="2"/>
                <w:sz w:val="24"/>
                <w:szCs w:val="24"/>
                <w:bdr w:val="none" w:color="auto" w:sz="0" w:space="0"/>
                <w:lang w:val="en-US" w:eastAsia="zh-CN" w:bidi="ar"/>
              </w:rPr>
              <w:t>9.75t/a</w:t>
            </w:r>
            <w:r>
              <w:rPr>
                <w:rFonts w:hint="eastAsia" w:ascii="Times New Roman" w:hAnsi="宋体" w:eastAsia="宋体" w:cs="宋体"/>
                <w:color w:val="000000"/>
                <w:kern w:val="2"/>
                <w:sz w:val="24"/>
                <w:szCs w:val="24"/>
                <w:bdr w:val="none" w:color="auto" w:sz="0" w:space="0"/>
                <w:lang w:val="en-US" w:eastAsia="zh-CN" w:bidi="ar"/>
              </w:rPr>
              <w:t>。生活垃圾经垃圾桶收集后，由环卫部门定期清运。</w:t>
            </w:r>
          </w:p>
          <w:p w14:paraId="0B22C71B">
            <w:pPr>
              <w:keepNext w:val="0"/>
              <w:keepLines w:val="0"/>
              <w:widowControl w:val="0"/>
              <w:suppressLineNumbers w:val="0"/>
              <w:spacing w:before="0" w:beforeAutospacing="0" w:after="0" w:afterAutospacing="0" w:line="440" w:lineRule="exact"/>
              <w:ind w:left="0" w:right="0" w:firstLine="482" w:firstLineChars="200"/>
              <w:jc w:val="both"/>
              <w:rPr>
                <w:rFonts w:hint="default" w:ascii="Times New Roman" w:hAnsi="Calibri" w:cs="Times New Roman"/>
                <w:b/>
                <w:bCs w:val="0"/>
                <w:color w:val="000000"/>
                <w:sz w:val="24"/>
                <w:szCs w:val="24"/>
                <w:bdr w:val="none" w:color="auto" w:sz="0" w:space="0"/>
                <w:lang w:val="en-US"/>
              </w:rPr>
            </w:pPr>
            <w:r>
              <w:rPr>
                <w:rFonts w:hint="default" w:ascii="Times New Roman" w:hAnsi="Calibri" w:eastAsia="宋体" w:cs="Times New Roman"/>
                <w:b/>
                <w:bCs w:val="0"/>
                <w:color w:val="000000"/>
                <w:kern w:val="2"/>
                <w:sz w:val="24"/>
                <w:szCs w:val="24"/>
                <w:bdr w:val="none" w:color="auto" w:sz="0" w:space="0"/>
                <w:lang w:val="en-US" w:eastAsia="zh-CN" w:bidi="ar"/>
              </w:rPr>
              <w:t>2</w:t>
            </w:r>
            <w:r>
              <w:rPr>
                <w:rFonts w:hint="eastAsia" w:ascii="Times New Roman" w:hAnsi="Calibri" w:eastAsia="宋体" w:cs="宋体"/>
                <w:b/>
                <w:bCs w:val="0"/>
                <w:color w:val="000000"/>
                <w:kern w:val="2"/>
                <w:sz w:val="24"/>
                <w:szCs w:val="24"/>
                <w:bdr w:val="none" w:color="auto" w:sz="0" w:space="0"/>
                <w:lang w:val="en-US" w:eastAsia="zh-CN" w:bidi="ar"/>
              </w:rPr>
              <w:t>、一般工业固废</w:t>
            </w:r>
          </w:p>
          <w:p w14:paraId="01A83A35">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w:t>
            </w:r>
            <w:r>
              <w:rPr>
                <w:rFonts w:hint="default" w:ascii="Times New Roman" w:hAnsi="Calibri" w:eastAsia="宋体" w:cs="Times New Roman"/>
                <w:color w:val="000000"/>
                <w:kern w:val="2"/>
                <w:sz w:val="24"/>
                <w:szCs w:val="24"/>
                <w:bdr w:val="none" w:color="auto" w:sz="0" w:space="0"/>
                <w:lang w:val="en-US" w:eastAsia="zh-CN" w:bidi="ar"/>
              </w:rPr>
              <w:t>1</w:t>
            </w:r>
            <w:r>
              <w:rPr>
                <w:rFonts w:hint="eastAsia" w:ascii="Times New Roman" w:hAnsi="Calibri" w:eastAsia="宋体" w:cs="宋体"/>
                <w:color w:val="000000"/>
                <w:kern w:val="2"/>
                <w:sz w:val="24"/>
                <w:szCs w:val="24"/>
                <w:bdr w:val="none" w:color="auto" w:sz="0" w:space="0"/>
                <w:lang w:val="en-US" w:eastAsia="zh-CN" w:bidi="ar"/>
              </w:rPr>
              <w:t>）热熔胶塑料袋</w:t>
            </w:r>
          </w:p>
          <w:p w14:paraId="55DFCD13">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根据建设单位提供的热熔胶年用量，扩建后项目年产生约</w:t>
            </w:r>
            <w:r>
              <w:rPr>
                <w:rFonts w:hint="default" w:ascii="Times New Roman" w:hAnsi="Calibri" w:eastAsia="宋体" w:cs="Times New Roman"/>
                <w:color w:val="000000"/>
                <w:kern w:val="2"/>
                <w:sz w:val="24"/>
                <w:szCs w:val="24"/>
                <w:bdr w:val="none" w:color="auto" w:sz="0" w:space="0"/>
                <w:lang w:val="en-US" w:eastAsia="zh-CN" w:bidi="ar"/>
              </w:rPr>
              <w:t>200</w:t>
            </w:r>
            <w:r>
              <w:rPr>
                <w:rFonts w:hint="eastAsia" w:ascii="Times New Roman" w:hAnsi="Calibri" w:eastAsia="宋体" w:cs="宋体"/>
                <w:color w:val="000000"/>
                <w:kern w:val="2"/>
                <w:sz w:val="24"/>
                <w:szCs w:val="24"/>
                <w:bdr w:val="none" w:color="auto" w:sz="0" w:space="0"/>
                <w:lang w:val="en-US" w:eastAsia="zh-CN" w:bidi="ar"/>
              </w:rPr>
              <w:t>个废热熔胶塑料袋，约为</w:t>
            </w:r>
            <w:r>
              <w:rPr>
                <w:rFonts w:hint="default" w:ascii="Times New Roman" w:hAnsi="Calibri" w:eastAsia="宋体" w:cs="Times New Roman"/>
                <w:color w:val="000000"/>
                <w:kern w:val="2"/>
                <w:sz w:val="24"/>
                <w:szCs w:val="24"/>
                <w:bdr w:val="none" w:color="auto" w:sz="0" w:space="0"/>
                <w:lang w:val="en-US" w:eastAsia="zh-CN" w:bidi="ar"/>
              </w:rPr>
              <w:t>0.05t/a</w:t>
            </w:r>
            <w:r>
              <w:rPr>
                <w:rFonts w:hint="eastAsia" w:ascii="Times New Roman" w:hAnsi="Calibri" w:eastAsia="宋体" w:cs="宋体"/>
                <w:color w:val="000000"/>
                <w:kern w:val="2"/>
                <w:sz w:val="24"/>
                <w:szCs w:val="24"/>
                <w:bdr w:val="none" w:color="auto" w:sz="0" w:space="0"/>
                <w:lang w:val="en-US" w:eastAsia="zh-CN" w:bidi="ar"/>
              </w:rPr>
              <w:t>，收集后交由物资回收部门回收利用。</w:t>
            </w:r>
          </w:p>
          <w:p w14:paraId="68E6A9F6">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w:t>
            </w:r>
            <w:r>
              <w:rPr>
                <w:rFonts w:hint="default" w:ascii="Times New Roman" w:hAnsi="Calibri" w:eastAsia="宋体" w:cs="Times New Roman"/>
                <w:color w:val="000000"/>
                <w:kern w:val="2"/>
                <w:sz w:val="24"/>
                <w:szCs w:val="24"/>
                <w:bdr w:val="none" w:color="auto" w:sz="0" w:space="0"/>
                <w:lang w:val="en-US" w:eastAsia="zh-CN" w:bidi="ar"/>
              </w:rPr>
              <w:t>2</w:t>
            </w:r>
            <w:r>
              <w:rPr>
                <w:rFonts w:hint="eastAsia" w:ascii="Times New Roman" w:hAnsi="Calibri" w:eastAsia="宋体" w:cs="宋体"/>
                <w:color w:val="000000"/>
                <w:kern w:val="2"/>
                <w:sz w:val="24"/>
                <w:szCs w:val="24"/>
                <w:bdr w:val="none" w:color="auto" w:sz="0" w:space="0"/>
                <w:lang w:val="en-US" w:eastAsia="zh-CN" w:bidi="ar"/>
              </w:rPr>
              <w:t>）废离型纸和废纸筒</w:t>
            </w:r>
          </w:p>
          <w:p w14:paraId="6A0AFDCC">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压合过程会使用到双面胶，产生废离型纸；泡棉和胶带均是卷材，使用后会产生不同规格的废纸筒。根据建设单位提供的生产经验估算数据，扩建后废离型纸产生量约</w:t>
            </w:r>
            <w:r>
              <w:rPr>
                <w:rFonts w:hint="default" w:ascii="Times New Roman" w:hAnsi="Calibri" w:eastAsia="宋体" w:cs="Times New Roman"/>
                <w:color w:val="000000"/>
                <w:kern w:val="2"/>
                <w:sz w:val="24"/>
                <w:szCs w:val="24"/>
                <w:bdr w:val="none" w:color="auto" w:sz="0" w:space="0"/>
                <w:lang w:val="en-US" w:eastAsia="zh-CN" w:bidi="ar"/>
              </w:rPr>
              <w:t>1t/a</w:t>
            </w:r>
            <w:r>
              <w:rPr>
                <w:rFonts w:hint="eastAsia" w:ascii="Times New Roman" w:hAnsi="Calibri" w:eastAsia="宋体" w:cs="宋体"/>
                <w:color w:val="000000"/>
                <w:kern w:val="2"/>
                <w:sz w:val="24"/>
                <w:szCs w:val="24"/>
                <w:bdr w:val="none" w:color="auto" w:sz="0" w:space="0"/>
                <w:lang w:val="en-US" w:eastAsia="zh-CN" w:bidi="ar"/>
              </w:rPr>
              <w:t>，废纸筒产生量约</w:t>
            </w:r>
            <w:r>
              <w:rPr>
                <w:rFonts w:hint="default" w:ascii="Times New Roman" w:hAnsi="Calibri" w:eastAsia="宋体" w:cs="Times New Roman"/>
                <w:color w:val="000000"/>
                <w:kern w:val="2"/>
                <w:sz w:val="24"/>
                <w:szCs w:val="24"/>
                <w:bdr w:val="none" w:color="auto" w:sz="0" w:space="0"/>
                <w:lang w:val="en-US" w:eastAsia="zh-CN" w:bidi="ar"/>
              </w:rPr>
              <w:t>5t</w:t>
            </w:r>
            <w:r>
              <w:rPr>
                <w:rFonts w:hint="eastAsia" w:ascii="Times New Roman" w:hAnsi="Calibri" w:eastAsia="宋体" w:cs="宋体"/>
                <w:color w:val="000000"/>
                <w:kern w:val="2"/>
                <w:sz w:val="24"/>
                <w:szCs w:val="24"/>
                <w:bdr w:val="none" w:color="auto" w:sz="0" w:space="0"/>
                <w:lang w:val="en-US" w:eastAsia="zh-CN" w:bidi="ar"/>
              </w:rPr>
              <w:t>。废离型纸和废纸筒收集后交由物资回收部门回收利用。</w:t>
            </w:r>
          </w:p>
          <w:p w14:paraId="38A7E02A">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w:t>
            </w:r>
            <w:r>
              <w:rPr>
                <w:rFonts w:hint="default" w:ascii="Times New Roman" w:hAnsi="Calibri" w:eastAsia="宋体" w:cs="Times New Roman"/>
                <w:color w:val="000000"/>
                <w:kern w:val="2"/>
                <w:sz w:val="24"/>
                <w:szCs w:val="24"/>
                <w:bdr w:val="none" w:color="auto" w:sz="0" w:space="0"/>
                <w:lang w:val="en-US" w:eastAsia="zh-CN" w:bidi="ar"/>
              </w:rPr>
              <w:t>3</w:t>
            </w:r>
            <w:r>
              <w:rPr>
                <w:rFonts w:hint="eastAsia" w:ascii="Times New Roman" w:hAnsi="Calibri" w:eastAsia="宋体" w:cs="宋体"/>
                <w:color w:val="000000"/>
                <w:kern w:val="2"/>
                <w:sz w:val="24"/>
                <w:szCs w:val="24"/>
                <w:bdr w:val="none" w:color="auto" w:sz="0" w:space="0"/>
                <w:lang w:val="en-US" w:eastAsia="zh-CN" w:bidi="ar"/>
              </w:rPr>
              <w:t>）皮革、泡棉、云母板边角料</w:t>
            </w:r>
          </w:p>
          <w:p w14:paraId="27FF33B9">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项目成品皮革材料、各种成品泡棉、云母板在裁切、雕刻过程会产生边角料，根据建设单位提供的生产经验估算数据，扩建后皮革、泡棉、云母板边角料年产生量约为</w:t>
            </w:r>
            <w:r>
              <w:rPr>
                <w:rFonts w:hint="default" w:ascii="Times New Roman" w:hAnsi="Calibri" w:eastAsia="宋体" w:cs="Times New Roman"/>
                <w:color w:val="000000"/>
                <w:kern w:val="2"/>
                <w:sz w:val="24"/>
                <w:szCs w:val="24"/>
                <w:bdr w:val="none" w:color="auto" w:sz="0" w:space="0"/>
                <w:lang w:val="en-US" w:eastAsia="zh-CN" w:bidi="ar"/>
              </w:rPr>
              <w:t>5t/a</w:t>
            </w:r>
            <w:r>
              <w:rPr>
                <w:rFonts w:hint="eastAsia" w:ascii="Times New Roman" w:hAnsi="Calibri" w:eastAsia="宋体" w:cs="宋体"/>
                <w:color w:val="000000"/>
                <w:kern w:val="2"/>
                <w:sz w:val="24"/>
                <w:szCs w:val="24"/>
                <w:bdr w:val="none" w:color="auto" w:sz="0" w:space="0"/>
                <w:lang w:val="en-US" w:eastAsia="zh-CN" w:bidi="ar"/>
              </w:rPr>
              <w:t>，收集后交由物资回收部门回收利用。</w:t>
            </w:r>
          </w:p>
          <w:p w14:paraId="261BFE3F">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w:t>
            </w:r>
            <w:r>
              <w:rPr>
                <w:rFonts w:hint="default" w:ascii="Times New Roman" w:hAnsi="Calibri" w:eastAsia="宋体" w:cs="Times New Roman"/>
                <w:color w:val="000000"/>
                <w:kern w:val="2"/>
                <w:sz w:val="24"/>
                <w:szCs w:val="24"/>
                <w:bdr w:val="none" w:color="auto" w:sz="0" w:space="0"/>
                <w:lang w:val="en-US" w:eastAsia="zh-CN" w:bidi="ar"/>
              </w:rPr>
              <w:t>4</w:t>
            </w:r>
            <w:r>
              <w:rPr>
                <w:rFonts w:hint="eastAsia" w:ascii="Times New Roman" w:hAnsi="Calibri" w:eastAsia="宋体" w:cs="宋体"/>
                <w:color w:val="000000"/>
                <w:kern w:val="2"/>
                <w:sz w:val="24"/>
                <w:szCs w:val="24"/>
                <w:bdr w:val="none" w:color="auto" w:sz="0" w:space="0"/>
                <w:lang w:val="en-US" w:eastAsia="zh-CN" w:bidi="ar"/>
              </w:rPr>
              <w:t>）不合格产品</w:t>
            </w:r>
          </w:p>
          <w:p w14:paraId="58A9D1AE">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项目皮革装饰条、硅胶泡棉制品、其他泡棉制品、网格通风棉制品及云母板在人工检测阶段会产生不合格产品，根据建设单位提供的生产经验估算数据，扩建后不合格产品产生量约为</w:t>
            </w:r>
            <w:r>
              <w:rPr>
                <w:rFonts w:hint="default" w:ascii="Times New Roman" w:hAnsi="Calibri" w:eastAsia="宋体" w:cs="Times New Roman"/>
                <w:color w:val="000000"/>
                <w:kern w:val="2"/>
                <w:sz w:val="24"/>
                <w:szCs w:val="24"/>
                <w:bdr w:val="none" w:color="auto" w:sz="0" w:space="0"/>
                <w:lang w:val="en-US" w:eastAsia="zh-CN" w:bidi="ar"/>
              </w:rPr>
              <w:t>0.8t/a</w:t>
            </w:r>
            <w:r>
              <w:rPr>
                <w:rFonts w:hint="eastAsia" w:ascii="Times New Roman" w:hAnsi="Calibri" w:eastAsia="宋体" w:cs="宋体"/>
                <w:color w:val="000000"/>
                <w:kern w:val="2"/>
                <w:sz w:val="24"/>
                <w:szCs w:val="24"/>
                <w:bdr w:val="none" w:color="auto" w:sz="0" w:space="0"/>
                <w:lang w:val="en-US" w:eastAsia="zh-CN" w:bidi="ar"/>
              </w:rPr>
              <w:t>，收集后交由物资回收部门回收利用。</w:t>
            </w:r>
          </w:p>
          <w:p w14:paraId="1BE0975F">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w:t>
            </w:r>
            <w:r>
              <w:rPr>
                <w:rFonts w:hint="default" w:ascii="Times New Roman" w:hAnsi="Calibri" w:eastAsia="宋体" w:cs="Times New Roman"/>
                <w:color w:val="000000"/>
                <w:kern w:val="2"/>
                <w:sz w:val="24"/>
                <w:szCs w:val="24"/>
                <w:bdr w:val="none" w:color="auto" w:sz="0" w:space="0"/>
                <w:lang w:val="en-US" w:eastAsia="zh-CN" w:bidi="ar"/>
              </w:rPr>
              <w:t>5</w:t>
            </w:r>
            <w:r>
              <w:rPr>
                <w:rFonts w:hint="eastAsia" w:ascii="Times New Roman" w:hAnsi="Calibri" w:eastAsia="宋体" w:cs="宋体"/>
                <w:color w:val="000000"/>
                <w:kern w:val="2"/>
                <w:sz w:val="24"/>
                <w:szCs w:val="24"/>
                <w:bdr w:val="none" w:color="auto" w:sz="0" w:space="0"/>
                <w:lang w:val="en-US" w:eastAsia="zh-CN" w:bidi="ar"/>
              </w:rPr>
              <w:t>）雕刻打磨工序旋风除尘器、布袋除尘器收集的粉尘</w:t>
            </w:r>
          </w:p>
          <w:p w14:paraId="4A760E03">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项目雕刻、打磨工序旋风除尘器、布袋除尘器收集的粉尘约</w:t>
            </w:r>
            <w:r>
              <w:rPr>
                <w:rFonts w:hint="default" w:ascii="Times New Roman" w:hAnsi="Calibri" w:eastAsia="宋体" w:cs="Times New Roman"/>
                <w:color w:val="000000"/>
                <w:kern w:val="2"/>
                <w:sz w:val="24"/>
                <w:szCs w:val="24"/>
                <w:bdr w:val="none" w:color="auto" w:sz="0" w:space="0"/>
                <w:lang w:val="en-US" w:eastAsia="zh-CN" w:bidi="ar"/>
              </w:rPr>
              <w:t>0.855t/a</w:t>
            </w:r>
            <w:r>
              <w:rPr>
                <w:rFonts w:hint="eastAsia" w:ascii="Times New Roman" w:hAnsi="Calibri" w:eastAsia="宋体" w:cs="宋体"/>
                <w:color w:val="000000"/>
                <w:kern w:val="2"/>
                <w:sz w:val="24"/>
                <w:szCs w:val="24"/>
                <w:bdr w:val="none" w:color="auto" w:sz="0" w:space="0"/>
                <w:lang w:val="en-US" w:eastAsia="zh-CN" w:bidi="ar"/>
              </w:rPr>
              <w:t>，收集后交由物资回收部门回收利用。</w:t>
            </w:r>
          </w:p>
          <w:p w14:paraId="732FA659">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w:t>
            </w:r>
            <w:r>
              <w:rPr>
                <w:rFonts w:hint="default" w:ascii="Times New Roman" w:hAnsi="Calibri" w:eastAsia="宋体" w:cs="Times New Roman"/>
                <w:color w:val="000000"/>
                <w:kern w:val="2"/>
                <w:sz w:val="24"/>
                <w:szCs w:val="24"/>
                <w:bdr w:val="none" w:color="auto" w:sz="0" w:space="0"/>
                <w:lang w:val="en-US" w:eastAsia="zh-CN" w:bidi="ar"/>
              </w:rPr>
              <w:t>6</w:t>
            </w:r>
            <w:r>
              <w:rPr>
                <w:rFonts w:hint="eastAsia" w:ascii="Times New Roman" w:hAnsi="Calibri" w:eastAsia="宋体" w:cs="宋体"/>
                <w:color w:val="000000"/>
                <w:kern w:val="2"/>
                <w:sz w:val="24"/>
                <w:szCs w:val="24"/>
                <w:bdr w:val="none" w:color="auto" w:sz="0" w:space="0"/>
                <w:lang w:val="en-US" w:eastAsia="zh-CN" w:bidi="ar"/>
              </w:rPr>
              <w:t>）废布袋</w:t>
            </w:r>
          </w:p>
          <w:p w14:paraId="7A8555D7">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项目废气处理设施布袋除尘器会产生废布袋，由设备厂商定期进行更换，约</w:t>
            </w:r>
            <w:r>
              <w:rPr>
                <w:rFonts w:hint="default" w:ascii="Times New Roman" w:hAnsi="Calibri" w:eastAsia="宋体" w:cs="Times New Roman"/>
                <w:color w:val="000000"/>
                <w:kern w:val="2"/>
                <w:sz w:val="24"/>
                <w:szCs w:val="24"/>
                <w:bdr w:val="none" w:color="auto" w:sz="0" w:space="0"/>
                <w:lang w:val="en-US" w:eastAsia="zh-CN" w:bidi="ar"/>
              </w:rPr>
              <w:t>1</w:t>
            </w:r>
            <w:r>
              <w:rPr>
                <w:rFonts w:hint="eastAsia" w:ascii="Times New Roman" w:hAnsi="Calibri" w:eastAsia="宋体" w:cs="宋体"/>
                <w:color w:val="000000"/>
                <w:kern w:val="2"/>
                <w:sz w:val="24"/>
                <w:szCs w:val="24"/>
                <w:bdr w:val="none" w:color="auto" w:sz="0" w:space="0"/>
                <w:lang w:val="en-US" w:eastAsia="zh-CN" w:bidi="ar"/>
              </w:rPr>
              <w:t>年更换一次，每次更换量约为</w:t>
            </w:r>
            <w:r>
              <w:rPr>
                <w:rFonts w:hint="default" w:ascii="Times New Roman" w:hAnsi="Calibri" w:eastAsia="宋体" w:cs="Times New Roman"/>
                <w:color w:val="000000"/>
                <w:kern w:val="2"/>
                <w:sz w:val="24"/>
                <w:szCs w:val="24"/>
                <w:bdr w:val="none" w:color="auto" w:sz="0" w:space="0"/>
                <w:lang w:val="en-US" w:eastAsia="zh-CN" w:bidi="ar"/>
              </w:rPr>
              <w:t>0.2t</w:t>
            </w:r>
            <w:r>
              <w:rPr>
                <w:rFonts w:hint="eastAsia" w:ascii="Times New Roman" w:hAnsi="Calibri" w:eastAsia="宋体" w:cs="宋体"/>
                <w:color w:val="000000"/>
                <w:kern w:val="2"/>
                <w:sz w:val="24"/>
                <w:szCs w:val="24"/>
                <w:bdr w:val="none" w:color="auto" w:sz="0" w:space="0"/>
                <w:lang w:val="en-US" w:eastAsia="zh-CN" w:bidi="ar"/>
              </w:rPr>
              <w:t>，更换后的布袋由设备厂家回收处置。</w:t>
            </w:r>
          </w:p>
          <w:p w14:paraId="6CA9BF1C">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w:t>
            </w:r>
            <w:r>
              <w:rPr>
                <w:rFonts w:hint="default" w:ascii="Times New Roman" w:hAnsi="Calibri" w:eastAsia="宋体" w:cs="Times New Roman"/>
                <w:color w:val="000000"/>
                <w:kern w:val="2"/>
                <w:sz w:val="24"/>
                <w:szCs w:val="24"/>
                <w:bdr w:val="none" w:color="auto" w:sz="0" w:space="0"/>
                <w:lang w:val="en-US" w:eastAsia="zh-CN" w:bidi="ar"/>
              </w:rPr>
              <w:t>7</w:t>
            </w:r>
            <w:r>
              <w:rPr>
                <w:rFonts w:hint="eastAsia" w:ascii="Times New Roman" w:hAnsi="Calibri" w:eastAsia="宋体" w:cs="宋体"/>
                <w:color w:val="000000"/>
                <w:kern w:val="2"/>
                <w:sz w:val="24"/>
                <w:szCs w:val="24"/>
                <w:bdr w:val="none" w:color="auto" w:sz="0" w:space="0"/>
                <w:lang w:val="en-US" w:eastAsia="zh-CN" w:bidi="ar"/>
              </w:rPr>
              <w:t>）液体硅橡胶空桶</w:t>
            </w:r>
          </w:p>
          <w:p w14:paraId="11A65C41">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根据建设单位提供的液体硅橡胶年用量，项目年产生约</w:t>
            </w:r>
            <w:r>
              <w:rPr>
                <w:rFonts w:hint="default" w:ascii="Times New Roman" w:hAnsi="Calibri" w:eastAsia="宋体" w:cs="Times New Roman"/>
                <w:color w:val="000000"/>
                <w:kern w:val="2"/>
                <w:sz w:val="24"/>
                <w:szCs w:val="24"/>
                <w:bdr w:val="none" w:color="auto" w:sz="0" w:space="0"/>
                <w:lang w:val="en-US" w:eastAsia="zh-CN" w:bidi="ar"/>
              </w:rPr>
              <w:t>80</w:t>
            </w:r>
            <w:r>
              <w:rPr>
                <w:rFonts w:hint="eastAsia" w:ascii="Times New Roman" w:hAnsi="Calibri" w:eastAsia="宋体" w:cs="宋体"/>
                <w:color w:val="000000"/>
                <w:kern w:val="2"/>
                <w:sz w:val="24"/>
                <w:szCs w:val="24"/>
                <w:bdr w:val="none" w:color="auto" w:sz="0" w:space="0"/>
                <w:lang w:val="en-US" w:eastAsia="zh-CN" w:bidi="ar"/>
              </w:rPr>
              <w:t>个液体硅橡胶空桶，约为</w:t>
            </w:r>
            <w:r>
              <w:rPr>
                <w:rFonts w:hint="default" w:ascii="Times New Roman" w:hAnsi="Calibri" w:eastAsia="宋体" w:cs="Times New Roman"/>
                <w:color w:val="000000"/>
                <w:kern w:val="2"/>
                <w:sz w:val="24"/>
                <w:szCs w:val="24"/>
                <w:bdr w:val="none" w:color="auto" w:sz="0" w:space="0"/>
                <w:lang w:val="en-US" w:eastAsia="zh-CN" w:bidi="ar"/>
              </w:rPr>
              <w:t>0.008t/a</w:t>
            </w:r>
            <w:r>
              <w:rPr>
                <w:rFonts w:hint="eastAsia" w:ascii="Times New Roman" w:hAnsi="Calibri" w:eastAsia="宋体" w:cs="宋体"/>
                <w:color w:val="000000"/>
                <w:kern w:val="2"/>
                <w:sz w:val="24"/>
                <w:szCs w:val="24"/>
                <w:bdr w:val="none" w:color="auto" w:sz="0" w:space="0"/>
                <w:lang w:val="en-US" w:eastAsia="zh-CN" w:bidi="ar"/>
              </w:rPr>
              <w:t>，收集后交由物资回收部门回收利用。</w:t>
            </w:r>
          </w:p>
          <w:p w14:paraId="5037658F">
            <w:pPr>
              <w:keepNext w:val="0"/>
              <w:keepLines w:val="0"/>
              <w:widowControl w:val="0"/>
              <w:suppressLineNumbers w:val="0"/>
              <w:spacing w:before="0" w:beforeAutospacing="0" w:after="0" w:afterAutospacing="0" w:line="440" w:lineRule="exact"/>
              <w:ind w:left="0" w:right="0" w:firstLine="482" w:firstLineChars="200"/>
              <w:jc w:val="both"/>
              <w:rPr>
                <w:rFonts w:hint="default" w:ascii="Times New Roman" w:hAnsi="Calibri" w:cs="Times New Roman"/>
                <w:b/>
                <w:bCs w:val="0"/>
                <w:color w:val="000000"/>
                <w:sz w:val="24"/>
                <w:szCs w:val="24"/>
                <w:bdr w:val="none" w:color="auto" w:sz="0" w:space="0"/>
                <w:lang w:val="en-US"/>
              </w:rPr>
            </w:pPr>
            <w:r>
              <w:rPr>
                <w:rFonts w:hint="default" w:ascii="Times New Roman" w:hAnsi="Calibri" w:eastAsia="宋体" w:cs="Times New Roman"/>
                <w:b/>
                <w:bCs w:val="0"/>
                <w:color w:val="000000"/>
                <w:kern w:val="2"/>
                <w:sz w:val="24"/>
                <w:szCs w:val="24"/>
                <w:bdr w:val="none" w:color="auto" w:sz="0" w:space="0"/>
                <w:lang w:val="en-US" w:eastAsia="zh-CN" w:bidi="ar"/>
              </w:rPr>
              <w:t>3</w:t>
            </w:r>
            <w:r>
              <w:rPr>
                <w:rFonts w:hint="eastAsia" w:ascii="Times New Roman" w:hAnsi="Calibri" w:eastAsia="宋体" w:cs="宋体"/>
                <w:b/>
                <w:bCs w:val="0"/>
                <w:color w:val="000000"/>
                <w:kern w:val="2"/>
                <w:sz w:val="24"/>
                <w:szCs w:val="24"/>
                <w:bdr w:val="none" w:color="auto" w:sz="0" w:space="0"/>
                <w:lang w:val="en-US" w:eastAsia="zh-CN" w:bidi="ar"/>
              </w:rPr>
              <w:t>、危险废物</w:t>
            </w:r>
          </w:p>
          <w:p w14:paraId="1D506ADA">
            <w:pPr>
              <w:keepNext w:val="0"/>
              <w:keepLines w:val="0"/>
              <w:widowControl/>
              <w:suppressLineNumbers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w:t>
            </w:r>
            <w:r>
              <w:rPr>
                <w:rFonts w:hint="default" w:ascii="Times New Roman" w:hAnsi="Calibri" w:eastAsia="宋体" w:cs="Times New Roman"/>
                <w:color w:val="000000"/>
                <w:kern w:val="2"/>
                <w:sz w:val="24"/>
                <w:szCs w:val="24"/>
                <w:bdr w:val="none" w:color="auto" w:sz="0" w:space="0"/>
                <w:lang w:val="en-US" w:eastAsia="zh-CN" w:bidi="ar"/>
              </w:rPr>
              <w:t>1</w:t>
            </w:r>
            <w:r>
              <w:rPr>
                <w:rFonts w:hint="eastAsia" w:ascii="Times New Roman" w:hAnsi="Calibri" w:eastAsia="宋体" w:cs="宋体"/>
                <w:color w:val="000000"/>
                <w:kern w:val="2"/>
                <w:sz w:val="24"/>
                <w:szCs w:val="24"/>
                <w:bdr w:val="none" w:color="auto" w:sz="0" w:space="0"/>
                <w:lang w:val="en-US" w:eastAsia="zh-CN" w:bidi="ar"/>
              </w:rPr>
              <w:t>）废活性炭</w:t>
            </w:r>
          </w:p>
          <w:p w14:paraId="7A9278AD">
            <w:pPr>
              <w:keepNext w:val="0"/>
              <w:keepLines w:val="0"/>
              <w:widowControl/>
              <w:suppressLineNumbers w:val="0"/>
              <w:spacing w:before="0" w:beforeAutospacing="0" w:after="0" w:afterAutospacing="0" w:line="460" w:lineRule="exact"/>
              <w:ind w:left="0" w:right="0" w:firstLine="480" w:firstLineChars="200"/>
              <w:jc w:val="left"/>
              <w:rPr>
                <w:rFonts w:hint="default" w:ascii="Times New Roman" w:hAnsi="Times New Roman" w:cs="Times New Roman"/>
                <w:color w:val="000000"/>
                <w:kern w:val="0"/>
                <w:sz w:val="24"/>
                <w:szCs w:val="24"/>
                <w:bdr w:val="none" w:color="auto" w:sz="0" w:space="0"/>
                <w:lang w:val="zh-CN"/>
              </w:rPr>
            </w:pPr>
            <w:r>
              <w:rPr>
                <w:rFonts w:hint="eastAsia" w:ascii="Times New Roman" w:hAnsi="Calibri" w:eastAsia="宋体" w:cs="宋体"/>
                <w:color w:val="000000"/>
                <w:kern w:val="2"/>
                <w:sz w:val="24"/>
                <w:szCs w:val="24"/>
                <w:bdr w:val="none" w:color="auto" w:sz="0" w:space="0"/>
                <w:lang w:val="en-US" w:eastAsia="zh-CN" w:bidi="ar"/>
              </w:rPr>
              <w:t>根据工程分析，扩建项目有机废气（非甲烷总烃和</w:t>
            </w:r>
            <w:r>
              <w:rPr>
                <w:rFonts w:hint="default" w:ascii="Times New Roman" w:hAnsi="Calibri" w:eastAsia="宋体" w:cs="Times New Roman"/>
                <w:color w:val="000000"/>
                <w:kern w:val="2"/>
                <w:sz w:val="24"/>
                <w:szCs w:val="24"/>
                <w:bdr w:val="none" w:color="auto" w:sz="0" w:space="0"/>
                <w:lang w:val="en-US" w:eastAsia="zh-CN" w:bidi="ar"/>
              </w:rPr>
              <w:t>MDI</w:t>
            </w:r>
            <w:r>
              <w:rPr>
                <w:rFonts w:hint="eastAsia" w:ascii="Times New Roman" w:hAnsi="Calibri" w:eastAsia="宋体" w:cs="宋体"/>
                <w:color w:val="000000"/>
                <w:kern w:val="2"/>
                <w:sz w:val="24"/>
                <w:szCs w:val="24"/>
                <w:bdr w:val="none" w:color="auto" w:sz="0" w:space="0"/>
                <w:lang w:val="en-US" w:eastAsia="zh-CN" w:bidi="ar"/>
              </w:rPr>
              <w:t>）去除总量约</w:t>
            </w:r>
            <w:r>
              <w:rPr>
                <w:rFonts w:hint="default" w:ascii="Times New Roman" w:hAnsi="Calibri" w:eastAsia="宋体" w:cs="Times New Roman"/>
                <w:color w:val="000000"/>
                <w:kern w:val="2"/>
                <w:sz w:val="24"/>
                <w:szCs w:val="24"/>
                <w:bdr w:val="none" w:color="auto" w:sz="0" w:space="0"/>
                <w:lang w:val="en-US" w:eastAsia="zh-CN" w:bidi="ar"/>
              </w:rPr>
              <w:t>0.549t/a</w:t>
            </w:r>
            <w:r>
              <w:rPr>
                <w:rFonts w:hint="eastAsia" w:ascii="Times New Roman" w:hAnsi="Calibri" w:eastAsia="宋体" w:cs="宋体"/>
                <w:color w:val="000000"/>
                <w:kern w:val="2"/>
                <w:sz w:val="24"/>
                <w:szCs w:val="24"/>
                <w:bdr w:val="none" w:color="auto" w:sz="0" w:space="0"/>
                <w:lang w:val="en-US" w:eastAsia="zh-CN" w:bidi="ar"/>
              </w:rPr>
              <w:t>，其中</w:t>
            </w:r>
            <w:r>
              <w:rPr>
                <w:rFonts w:hint="default" w:ascii="Times New Roman" w:hAnsi="Calibri" w:eastAsia="宋体" w:cs="Times New Roman"/>
                <w:color w:val="000000"/>
                <w:kern w:val="2"/>
                <w:sz w:val="24"/>
                <w:szCs w:val="24"/>
                <w:bdr w:val="none" w:color="auto" w:sz="0" w:space="0"/>
                <w:lang w:val="en-US" w:eastAsia="zh-CN" w:bidi="ar"/>
              </w:rPr>
              <w:t>UV</w:t>
            </w:r>
            <w:r>
              <w:rPr>
                <w:rFonts w:hint="eastAsia" w:ascii="Times New Roman" w:hAnsi="Calibri" w:eastAsia="宋体" w:cs="宋体"/>
                <w:color w:val="000000"/>
                <w:kern w:val="2"/>
                <w:sz w:val="24"/>
                <w:szCs w:val="24"/>
                <w:bdr w:val="none" w:color="auto" w:sz="0" w:space="0"/>
                <w:lang w:val="en-US" w:eastAsia="zh-CN" w:bidi="ar"/>
              </w:rPr>
              <w:t>光解装置去除率约</w:t>
            </w:r>
            <w:r>
              <w:rPr>
                <w:rFonts w:hint="default" w:ascii="Times New Roman" w:hAnsi="Calibri" w:eastAsia="宋体" w:cs="Times New Roman"/>
                <w:color w:val="000000"/>
                <w:kern w:val="2"/>
                <w:sz w:val="24"/>
                <w:szCs w:val="24"/>
                <w:bdr w:val="none" w:color="auto" w:sz="0" w:space="0"/>
                <w:lang w:val="en-US" w:eastAsia="zh-CN" w:bidi="ar"/>
              </w:rPr>
              <w:t>10%</w:t>
            </w:r>
            <w:r>
              <w:rPr>
                <w:rFonts w:hint="eastAsia" w:ascii="Times New Roman" w:hAnsi="Calibri" w:eastAsia="宋体" w:cs="宋体"/>
                <w:color w:val="000000"/>
                <w:kern w:val="2"/>
                <w:sz w:val="24"/>
                <w:szCs w:val="24"/>
                <w:bdr w:val="none" w:color="auto" w:sz="0" w:space="0"/>
                <w:lang w:val="en-US" w:eastAsia="zh-CN" w:bidi="ar"/>
              </w:rPr>
              <w:t>，需要活性炭吸附的有机废气量约</w:t>
            </w:r>
            <w:r>
              <w:rPr>
                <w:rFonts w:hint="default" w:ascii="Times New Roman" w:hAnsi="Calibri" w:eastAsia="宋体" w:cs="Times New Roman"/>
                <w:color w:val="000000"/>
                <w:kern w:val="2"/>
                <w:sz w:val="24"/>
                <w:szCs w:val="24"/>
                <w:bdr w:val="none" w:color="auto" w:sz="0" w:space="0"/>
                <w:lang w:val="en-US" w:eastAsia="zh-CN" w:bidi="ar"/>
              </w:rPr>
              <w:t>0.494t/a</w:t>
            </w:r>
            <w:r>
              <w:rPr>
                <w:rFonts w:hint="eastAsia" w:ascii="Times New Roman" w:hAnsi="Calibri" w:eastAsia="宋体" w:cs="宋体"/>
                <w:color w:val="000000"/>
                <w:kern w:val="2"/>
                <w:sz w:val="24"/>
                <w:szCs w:val="24"/>
                <w:bdr w:val="none" w:color="auto" w:sz="0" w:space="0"/>
                <w:lang w:val="en-US" w:eastAsia="zh-CN" w:bidi="ar"/>
              </w:rPr>
              <w:t>。活性炭对有机废气饱和吸附量约为自身重量的</w:t>
            </w:r>
            <w:r>
              <w:rPr>
                <w:rFonts w:hint="default" w:ascii="Times New Roman" w:hAnsi="Calibri" w:eastAsia="宋体" w:cs="Times New Roman"/>
                <w:color w:val="000000"/>
                <w:kern w:val="2"/>
                <w:sz w:val="24"/>
                <w:szCs w:val="24"/>
                <w:bdr w:val="none" w:color="auto" w:sz="0" w:space="0"/>
                <w:lang w:val="en-US" w:eastAsia="zh-CN" w:bidi="ar"/>
              </w:rPr>
              <w:t>1/4</w:t>
            </w:r>
            <w:r>
              <w:rPr>
                <w:rFonts w:hint="eastAsia" w:ascii="Times New Roman" w:hAnsi="Calibri" w:eastAsia="宋体" w:cs="宋体"/>
                <w:color w:val="000000"/>
                <w:kern w:val="2"/>
                <w:sz w:val="24"/>
                <w:szCs w:val="24"/>
                <w:bdr w:val="none" w:color="auto" w:sz="0" w:space="0"/>
                <w:lang w:val="en-US" w:eastAsia="zh-CN" w:bidi="ar"/>
              </w:rPr>
              <w:t>，则需活性炭的量约</w:t>
            </w:r>
            <w:r>
              <w:rPr>
                <w:rFonts w:hint="default" w:ascii="Times New Roman" w:hAnsi="Calibri" w:eastAsia="宋体" w:cs="Times New Roman"/>
                <w:color w:val="000000"/>
                <w:kern w:val="2"/>
                <w:sz w:val="24"/>
                <w:szCs w:val="24"/>
                <w:bdr w:val="none" w:color="auto" w:sz="0" w:space="0"/>
                <w:lang w:val="en-US" w:eastAsia="zh-CN" w:bidi="ar"/>
              </w:rPr>
              <w:t>1.976t/a</w:t>
            </w:r>
            <w:r>
              <w:rPr>
                <w:rFonts w:hint="eastAsia" w:ascii="Times New Roman" w:hAnsi="Calibri" w:eastAsia="宋体" w:cs="宋体"/>
                <w:color w:val="000000"/>
                <w:kern w:val="2"/>
                <w:sz w:val="24"/>
                <w:szCs w:val="24"/>
                <w:bdr w:val="none" w:color="auto" w:sz="0" w:space="0"/>
                <w:lang w:val="en-US" w:eastAsia="zh-CN" w:bidi="ar"/>
              </w:rPr>
              <w:t>。</w:t>
            </w:r>
            <w:r>
              <w:rPr>
                <w:rFonts w:hint="eastAsia" w:ascii="Calibri" w:hAnsi="Calibri" w:eastAsia="宋体" w:cs="宋体"/>
                <w:color w:val="000000"/>
                <w:kern w:val="2"/>
                <w:sz w:val="24"/>
                <w:szCs w:val="24"/>
                <w:bdr w:val="none" w:color="auto" w:sz="0" w:space="0"/>
                <w:lang w:val="en-US" w:eastAsia="zh-CN" w:bidi="ar"/>
              </w:rPr>
              <w:t>考虑活性炭实际装填量情况，</w:t>
            </w:r>
            <w:r>
              <w:rPr>
                <w:rFonts w:hint="eastAsia" w:ascii="Times New Roman" w:hAnsi="Calibri" w:eastAsia="宋体" w:cs="宋体"/>
                <w:color w:val="000000"/>
                <w:kern w:val="2"/>
                <w:sz w:val="24"/>
                <w:szCs w:val="24"/>
                <w:bdr w:val="none" w:color="auto" w:sz="0" w:space="0"/>
                <w:lang w:val="en-US" w:eastAsia="zh-CN" w:bidi="ar"/>
              </w:rPr>
              <w:t>设备活性炭每次装填量约</w:t>
            </w:r>
            <w:r>
              <w:rPr>
                <w:rFonts w:hint="default" w:ascii="Times New Roman" w:hAnsi="Calibri" w:eastAsia="宋体" w:cs="Times New Roman"/>
                <w:color w:val="000000"/>
                <w:kern w:val="2"/>
                <w:sz w:val="24"/>
                <w:szCs w:val="24"/>
                <w:bdr w:val="none" w:color="auto" w:sz="0" w:space="0"/>
                <w:lang w:val="en-US" w:eastAsia="zh-CN" w:bidi="ar"/>
              </w:rPr>
              <w:t>0.5t</w:t>
            </w:r>
            <w:r>
              <w:rPr>
                <w:rFonts w:hint="eastAsia" w:ascii="Times New Roman" w:hAnsi="Calibri" w:eastAsia="宋体" w:cs="宋体"/>
                <w:color w:val="000000"/>
                <w:kern w:val="2"/>
                <w:sz w:val="24"/>
                <w:szCs w:val="24"/>
                <w:bdr w:val="none" w:color="auto" w:sz="0" w:space="0"/>
                <w:lang w:val="en-US" w:eastAsia="zh-CN" w:bidi="ar"/>
              </w:rPr>
              <w:t>（</w:t>
            </w:r>
            <w:r>
              <w:rPr>
                <w:rFonts w:hint="default" w:ascii="Times New Roman" w:hAnsi="Calibri" w:eastAsia="宋体" w:cs="Times New Roman"/>
                <w:color w:val="000000"/>
                <w:kern w:val="2"/>
                <w:sz w:val="24"/>
                <w:szCs w:val="24"/>
                <w:bdr w:val="none" w:color="auto" w:sz="0" w:space="0"/>
                <w:lang w:val="en-US" w:eastAsia="zh-CN" w:bidi="ar"/>
              </w:rPr>
              <w:t>0.125t/</w:t>
            </w:r>
            <w:r>
              <w:rPr>
                <w:rFonts w:hint="eastAsia" w:ascii="Times New Roman" w:hAnsi="Calibri" w:eastAsia="宋体" w:cs="宋体"/>
                <w:color w:val="000000"/>
                <w:kern w:val="2"/>
                <w:sz w:val="24"/>
                <w:szCs w:val="24"/>
                <w:bdr w:val="none" w:color="auto" w:sz="0" w:space="0"/>
                <w:lang w:val="en-US" w:eastAsia="zh-CN" w:bidi="ar"/>
              </w:rPr>
              <w:t>层，共四层），活性炭每三个月更换一次，</w:t>
            </w:r>
            <w:r>
              <w:rPr>
                <w:rFonts w:hint="eastAsia" w:ascii="Calibri" w:hAnsi="Calibri" w:eastAsia="宋体" w:cs="宋体"/>
                <w:color w:val="000000"/>
                <w:kern w:val="2"/>
                <w:sz w:val="24"/>
                <w:szCs w:val="24"/>
                <w:bdr w:val="none" w:color="auto" w:sz="0" w:space="0"/>
                <w:lang w:val="en-US" w:eastAsia="zh-CN" w:bidi="ar"/>
              </w:rPr>
              <w:t>活性炭填充量为</w:t>
            </w:r>
            <w:r>
              <w:rPr>
                <w:rFonts w:hint="default" w:ascii="Times New Roman" w:hAnsi="Calibri" w:eastAsia="宋体" w:cs="Times New Roman"/>
                <w:color w:val="000000"/>
                <w:kern w:val="2"/>
                <w:sz w:val="24"/>
                <w:szCs w:val="24"/>
                <w:bdr w:val="none" w:color="auto" w:sz="0" w:space="0"/>
                <w:lang w:val="en-US" w:eastAsia="zh-CN" w:bidi="ar"/>
              </w:rPr>
              <w:t>2t/a</w:t>
            </w:r>
            <w:r>
              <w:rPr>
                <w:rFonts w:hint="eastAsia" w:ascii="Times New Roman" w:hAnsi="Calibri" w:eastAsia="宋体" w:cs="宋体"/>
                <w:color w:val="000000"/>
                <w:kern w:val="2"/>
                <w:sz w:val="24"/>
                <w:szCs w:val="24"/>
                <w:bdr w:val="none" w:color="auto" w:sz="0" w:space="0"/>
                <w:lang w:val="en-US" w:eastAsia="zh-CN" w:bidi="ar"/>
              </w:rPr>
              <w:t>，大于吸附所需的最少活性炭量</w:t>
            </w:r>
            <w:r>
              <w:rPr>
                <w:rFonts w:hint="default" w:ascii="Times New Roman" w:hAnsi="Times New Roman" w:eastAsia="宋体" w:cs="Times New Roman"/>
                <w:color w:val="000000"/>
                <w:kern w:val="2"/>
                <w:sz w:val="24"/>
                <w:szCs w:val="24"/>
                <w:bdr w:val="none" w:color="auto" w:sz="0" w:space="0"/>
                <w:lang w:val="en-US" w:eastAsia="zh-CN" w:bidi="ar"/>
              </w:rPr>
              <w:t>1.976t/a</w:t>
            </w:r>
            <w:r>
              <w:rPr>
                <w:rFonts w:hint="eastAsia" w:ascii="Times New Roman" w:hAnsi="Calibri" w:eastAsia="宋体" w:cs="宋体"/>
                <w:color w:val="000000"/>
                <w:kern w:val="2"/>
                <w:sz w:val="24"/>
                <w:szCs w:val="24"/>
                <w:bdr w:val="none" w:color="auto" w:sz="0" w:space="0"/>
                <w:lang w:val="en-US" w:eastAsia="zh-CN" w:bidi="ar"/>
              </w:rPr>
              <w:t>，满足吸附要求。</w:t>
            </w:r>
          </w:p>
          <w:p w14:paraId="2A1838E8">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更换下来的废活性炭量</w:t>
            </w:r>
            <w:r>
              <w:rPr>
                <w:rFonts w:hint="default" w:ascii="Times New Roman" w:hAnsi="Calibri" w:eastAsia="宋体" w:cs="Times New Roman"/>
                <w:color w:val="000000"/>
                <w:kern w:val="2"/>
                <w:sz w:val="24"/>
                <w:szCs w:val="24"/>
                <w:bdr w:val="none" w:color="auto" w:sz="0" w:space="0"/>
                <w:lang w:val="en-US" w:eastAsia="zh-CN" w:bidi="ar"/>
              </w:rPr>
              <w:t>=</w:t>
            </w:r>
            <w:r>
              <w:rPr>
                <w:rFonts w:hint="eastAsia" w:ascii="Times New Roman" w:hAnsi="Calibri" w:eastAsia="宋体" w:cs="宋体"/>
                <w:color w:val="000000"/>
                <w:kern w:val="2"/>
                <w:sz w:val="24"/>
                <w:szCs w:val="24"/>
                <w:bdr w:val="none" w:color="auto" w:sz="0" w:space="0"/>
                <w:lang w:val="en-US" w:eastAsia="zh-CN" w:bidi="ar"/>
              </w:rPr>
              <w:t>装填量</w:t>
            </w:r>
            <w:r>
              <w:rPr>
                <w:rFonts w:hint="default" w:ascii="Times New Roman" w:hAnsi="Calibri" w:eastAsia="宋体" w:cs="Times New Roman"/>
                <w:color w:val="000000"/>
                <w:kern w:val="2"/>
                <w:sz w:val="24"/>
                <w:szCs w:val="24"/>
                <w:bdr w:val="none" w:color="auto" w:sz="0" w:space="0"/>
                <w:lang w:val="en-US" w:eastAsia="zh-CN" w:bidi="ar"/>
              </w:rPr>
              <w:t>+</w:t>
            </w:r>
            <w:r>
              <w:rPr>
                <w:rFonts w:hint="eastAsia" w:ascii="Times New Roman" w:hAnsi="Calibri" w:eastAsia="宋体" w:cs="宋体"/>
                <w:color w:val="000000"/>
                <w:kern w:val="2"/>
                <w:sz w:val="24"/>
                <w:szCs w:val="24"/>
                <w:bdr w:val="none" w:color="auto" w:sz="0" w:space="0"/>
                <w:lang w:val="en-US" w:eastAsia="zh-CN" w:bidi="ar"/>
              </w:rPr>
              <w:t>废气吸附量</w:t>
            </w:r>
            <w:r>
              <w:rPr>
                <w:rFonts w:hint="default" w:ascii="Times New Roman" w:hAnsi="Calibri" w:eastAsia="宋体" w:cs="Times New Roman"/>
                <w:color w:val="000000"/>
                <w:kern w:val="2"/>
                <w:sz w:val="24"/>
                <w:szCs w:val="24"/>
                <w:bdr w:val="none" w:color="auto" w:sz="0" w:space="0"/>
                <w:lang w:val="en-US" w:eastAsia="zh-CN" w:bidi="ar"/>
              </w:rPr>
              <w:t>=2+0.494</w:t>
            </w:r>
            <w:r>
              <w:rPr>
                <w:rFonts w:hint="eastAsia" w:ascii="Times New Roman" w:hAnsi="Calibri" w:eastAsia="宋体" w:cs="宋体"/>
                <w:color w:val="000000"/>
                <w:kern w:val="2"/>
                <w:sz w:val="24"/>
                <w:szCs w:val="24"/>
                <w:bdr w:val="none" w:color="auto" w:sz="0" w:space="0"/>
                <w:lang w:val="en-US" w:eastAsia="zh-CN" w:bidi="ar"/>
              </w:rPr>
              <w:t>，故废活性炭产生量约</w:t>
            </w:r>
            <w:r>
              <w:rPr>
                <w:rFonts w:hint="default" w:ascii="Times New Roman" w:hAnsi="Calibri" w:eastAsia="宋体" w:cs="Times New Roman"/>
                <w:color w:val="000000"/>
                <w:kern w:val="2"/>
                <w:sz w:val="24"/>
                <w:szCs w:val="24"/>
                <w:bdr w:val="none" w:color="auto" w:sz="0" w:space="0"/>
                <w:lang w:val="en-US" w:eastAsia="zh-CN" w:bidi="ar"/>
              </w:rPr>
              <w:t>2.494t/a</w:t>
            </w:r>
            <w:r>
              <w:rPr>
                <w:rFonts w:hint="eastAsia" w:ascii="Times New Roman" w:hAnsi="Calibri" w:eastAsia="宋体" w:cs="宋体"/>
                <w:color w:val="000000"/>
                <w:kern w:val="2"/>
                <w:sz w:val="24"/>
                <w:szCs w:val="24"/>
                <w:bdr w:val="none" w:color="auto" w:sz="0" w:space="0"/>
                <w:lang w:val="en-US" w:eastAsia="zh-CN" w:bidi="ar"/>
              </w:rPr>
              <w:t>，</w:t>
            </w:r>
            <w:r>
              <w:rPr>
                <w:rFonts w:hint="eastAsia" w:ascii="Calibri" w:hAnsi="Calibri" w:eastAsia="宋体" w:cs="宋体"/>
                <w:color w:val="000000"/>
                <w:kern w:val="2"/>
                <w:sz w:val="24"/>
                <w:szCs w:val="24"/>
                <w:bdr w:val="none" w:color="auto" w:sz="0" w:space="0"/>
                <w:lang w:val="en-US" w:eastAsia="zh-CN" w:bidi="ar"/>
              </w:rPr>
              <w:t>定期</w:t>
            </w:r>
            <w:r>
              <w:rPr>
                <w:rFonts w:hint="eastAsia" w:ascii="Times New Roman" w:hAnsi="Calibri" w:eastAsia="宋体" w:cs="宋体"/>
                <w:color w:val="000000"/>
                <w:kern w:val="2"/>
                <w:sz w:val="24"/>
                <w:szCs w:val="24"/>
                <w:bdr w:val="none" w:color="auto" w:sz="0" w:space="0"/>
                <w:lang w:val="en-US" w:eastAsia="zh-CN" w:bidi="ar"/>
              </w:rPr>
              <w:t>交有资质单位处置。</w:t>
            </w:r>
          </w:p>
          <w:p w14:paraId="244F415A">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w:t>
            </w:r>
            <w:r>
              <w:rPr>
                <w:rFonts w:hint="default" w:ascii="Times New Roman" w:hAnsi="Calibri" w:eastAsia="宋体" w:cs="Times New Roman"/>
                <w:color w:val="000000"/>
                <w:kern w:val="2"/>
                <w:sz w:val="24"/>
                <w:szCs w:val="24"/>
                <w:bdr w:val="none" w:color="auto" w:sz="0" w:space="0"/>
                <w:lang w:val="en-US" w:eastAsia="zh-CN" w:bidi="ar"/>
              </w:rPr>
              <w:t>2</w:t>
            </w:r>
            <w:r>
              <w:rPr>
                <w:rFonts w:hint="eastAsia" w:ascii="Times New Roman" w:hAnsi="Calibri" w:eastAsia="宋体" w:cs="宋体"/>
                <w:color w:val="000000"/>
                <w:kern w:val="2"/>
                <w:sz w:val="24"/>
                <w:szCs w:val="24"/>
                <w:bdr w:val="none" w:color="auto" w:sz="0" w:space="0"/>
                <w:lang w:val="en-US" w:eastAsia="zh-CN" w:bidi="ar"/>
              </w:rPr>
              <w:t>）废</w:t>
            </w:r>
            <w:r>
              <w:rPr>
                <w:rFonts w:hint="default" w:ascii="Times New Roman" w:hAnsi="Calibri" w:eastAsia="宋体" w:cs="Times New Roman"/>
                <w:color w:val="000000"/>
                <w:kern w:val="2"/>
                <w:sz w:val="24"/>
                <w:szCs w:val="24"/>
                <w:bdr w:val="none" w:color="auto" w:sz="0" w:space="0"/>
                <w:lang w:val="en-US" w:eastAsia="zh-CN" w:bidi="ar"/>
              </w:rPr>
              <w:t>UV</w:t>
            </w:r>
            <w:r>
              <w:rPr>
                <w:rFonts w:hint="eastAsia" w:ascii="Times New Roman" w:hAnsi="Calibri" w:eastAsia="宋体" w:cs="宋体"/>
                <w:color w:val="000000"/>
                <w:kern w:val="2"/>
                <w:sz w:val="24"/>
                <w:szCs w:val="24"/>
                <w:bdr w:val="none" w:color="auto" w:sz="0" w:space="0"/>
                <w:lang w:val="en-US" w:eastAsia="zh-CN" w:bidi="ar"/>
              </w:rPr>
              <w:t>灯管</w:t>
            </w:r>
          </w:p>
          <w:p w14:paraId="57FC5F2F">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Calibri" w:cs="Times New Roman"/>
                <w:color w:val="000000"/>
                <w:sz w:val="24"/>
                <w:szCs w:val="24"/>
                <w:bdr w:val="none" w:color="auto" w:sz="0" w:space="0"/>
                <w:lang w:val="en-US"/>
              </w:rPr>
            </w:pPr>
            <w:r>
              <w:rPr>
                <w:rFonts w:hint="default" w:ascii="Times New Roman" w:hAnsi="Calibri" w:eastAsia="宋体" w:cs="Times New Roman"/>
                <w:color w:val="000000"/>
                <w:kern w:val="2"/>
                <w:sz w:val="24"/>
                <w:szCs w:val="24"/>
                <w:bdr w:val="none" w:color="auto" w:sz="0" w:space="0"/>
                <w:lang w:val="en-US" w:eastAsia="zh-CN" w:bidi="ar"/>
              </w:rPr>
              <w:t>UV</w:t>
            </w:r>
            <w:r>
              <w:rPr>
                <w:rFonts w:hint="eastAsia" w:ascii="Times New Roman" w:hAnsi="Calibri" w:eastAsia="宋体" w:cs="宋体"/>
                <w:color w:val="000000"/>
                <w:kern w:val="2"/>
                <w:sz w:val="24"/>
                <w:szCs w:val="24"/>
                <w:bdr w:val="none" w:color="auto" w:sz="0" w:space="0"/>
                <w:lang w:val="en-US" w:eastAsia="zh-CN" w:bidi="ar"/>
              </w:rPr>
              <w:t>灯管的连续使用时间不应超过</w:t>
            </w:r>
            <w:r>
              <w:rPr>
                <w:rFonts w:hint="default" w:ascii="Times New Roman" w:hAnsi="Calibri" w:eastAsia="宋体" w:cs="Times New Roman"/>
                <w:color w:val="000000"/>
                <w:kern w:val="2"/>
                <w:sz w:val="24"/>
                <w:szCs w:val="24"/>
                <w:bdr w:val="none" w:color="auto" w:sz="0" w:space="0"/>
                <w:lang w:val="en-US" w:eastAsia="zh-CN" w:bidi="ar"/>
              </w:rPr>
              <w:t>4800h</w:t>
            </w:r>
            <w:r>
              <w:rPr>
                <w:rFonts w:hint="eastAsia" w:ascii="Times New Roman" w:hAnsi="Calibri" w:eastAsia="宋体" w:cs="宋体"/>
                <w:color w:val="000000"/>
                <w:kern w:val="2"/>
                <w:sz w:val="24"/>
                <w:szCs w:val="24"/>
                <w:bdr w:val="none" w:color="auto" w:sz="0" w:space="0"/>
                <w:lang w:val="en-US" w:eastAsia="zh-CN" w:bidi="ar"/>
              </w:rPr>
              <w:t>，结合</w:t>
            </w:r>
            <w:r>
              <w:rPr>
                <w:rFonts w:hint="default" w:ascii="Times New Roman" w:hAnsi="Calibri" w:eastAsia="宋体" w:cs="Times New Roman"/>
                <w:color w:val="000000"/>
                <w:kern w:val="2"/>
                <w:sz w:val="24"/>
                <w:szCs w:val="24"/>
                <w:bdr w:val="none" w:color="auto" w:sz="0" w:space="0"/>
                <w:lang w:val="en-US" w:eastAsia="zh-CN" w:bidi="ar"/>
              </w:rPr>
              <w:t>UV</w:t>
            </w:r>
            <w:r>
              <w:rPr>
                <w:rFonts w:hint="eastAsia" w:ascii="Times New Roman" w:hAnsi="Calibri" w:eastAsia="宋体" w:cs="宋体"/>
                <w:color w:val="000000"/>
                <w:kern w:val="2"/>
                <w:sz w:val="24"/>
                <w:szCs w:val="24"/>
                <w:bdr w:val="none" w:color="auto" w:sz="0" w:space="0"/>
                <w:lang w:val="en-US" w:eastAsia="zh-CN" w:bidi="ar"/>
              </w:rPr>
              <w:t>灯管的工作环境及平均使用寿命，废</w:t>
            </w:r>
            <w:r>
              <w:rPr>
                <w:rFonts w:hint="default" w:ascii="Times New Roman" w:hAnsi="Calibri" w:eastAsia="宋体" w:cs="Times New Roman"/>
                <w:color w:val="000000"/>
                <w:kern w:val="2"/>
                <w:sz w:val="24"/>
                <w:szCs w:val="24"/>
                <w:bdr w:val="none" w:color="auto" w:sz="0" w:space="0"/>
                <w:lang w:val="en-US" w:eastAsia="zh-CN" w:bidi="ar"/>
              </w:rPr>
              <w:t>UV</w:t>
            </w:r>
            <w:r>
              <w:rPr>
                <w:rFonts w:hint="eastAsia" w:ascii="Times New Roman" w:hAnsi="Calibri" w:eastAsia="宋体" w:cs="宋体"/>
                <w:color w:val="000000"/>
                <w:kern w:val="2"/>
                <w:sz w:val="24"/>
                <w:szCs w:val="24"/>
                <w:bdr w:val="none" w:color="auto" w:sz="0" w:space="0"/>
                <w:lang w:val="en-US" w:eastAsia="zh-CN" w:bidi="ar"/>
              </w:rPr>
              <w:t>灯管的产生量约</w:t>
            </w:r>
            <w:r>
              <w:rPr>
                <w:rFonts w:hint="default" w:ascii="Times New Roman" w:hAnsi="Calibri" w:eastAsia="宋体" w:cs="Times New Roman"/>
                <w:color w:val="000000"/>
                <w:kern w:val="2"/>
                <w:sz w:val="24"/>
                <w:szCs w:val="24"/>
                <w:bdr w:val="none" w:color="auto" w:sz="0" w:space="0"/>
                <w:lang w:val="en-US" w:eastAsia="zh-CN" w:bidi="ar"/>
              </w:rPr>
              <w:t>0.05t/ a</w:t>
            </w:r>
            <w:r>
              <w:rPr>
                <w:rFonts w:hint="eastAsia" w:ascii="Times New Roman" w:hAnsi="Calibri" w:eastAsia="宋体" w:cs="宋体"/>
                <w:color w:val="000000"/>
                <w:kern w:val="2"/>
                <w:sz w:val="24"/>
                <w:szCs w:val="24"/>
                <w:bdr w:val="none" w:color="auto" w:sz="0" w:space="0"/>
                <w:lang w:val="en-US" w:eastAsia="zh-CN" w:bidi="ar"/>
              </w:rPr>
              <w:t>，交由有危废处理资质单位处理。</w:t>
            </w:r>
          </w:p>
          <w:p w14:paraId="75AC3F2B">
            <w:pPr>
              <w:keepNext w:val="0"/>
              <w:keepLines w:val="0"/>
              <w:widowControl/>
              <w:suppressLineNumbers w:val="0"/>
              <w:spacing w:before="0" w:beforeAutospacing="0" w:after="0" w:afterAutospacing="0" w:line="460" w:lineRule="exact"/>
              <w:ind w:left="0" w:right="0" w:firstLine="480" w:firstLineChars="200"/>
              <w:jc w:val="left"/>
              <w:rPr>
                <w:rFonts w:hAnsi="宋体"/>
                <w:color w:val="000000"/>
                <w:kern w:val="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w:t>
            </w:r>
            <w:r>
              <w:rPr>
                <w:rFonts w:hint="default" w:ascii="Times New Roman" w:hAnsi="Calibri" w:eastAsia="宋体" w:cs="Times New Roman"/>
                <w:color w:val="000000"/>
                <w:kern w:val="2"/>
                <w:sz w:val="24"/>
                <w:szCs w:val="24"/>
                <w:bdr w:val="none" w:color="auto" w:sz="0" w:space="0"/>
                <w:lang w:val="en-US" w:eastAsia="zh-CN" w:bidi="ar"/>
              </w:rPr>
              <w:t>3</w:t>
            </w:r>
            <w:r>
              <w:rPr>
                <w:rFonts w:hint="eastAsia" w:ascii="Times New Roman" w:hAnsi="Calibri" w:eastAsia="宋体" w:cs="宋体"/>
                <w:color w:val="000000"/>
                <w:kern w:val="2"/>
                <w:sz w:val="24"/>
                <w:szCs w:val="24"/>
                <w:bdr w:val="none" w:color="auto" w:sz="0" w:space="0"/>
                <w:lang w:val="en-US" w:eastAsia="zh-CN" w:bidi="ar"/>
              </w:rPr>
              <w:t>）</w:t>
            </w:r>
            <w:r>
              <w:rPr>
                <w:rFonts w:hint="eastAsia" w:ascii="Calibri" w:hAnsi="宋体" w:eastAsia="宋体" w:cs="宋体"/>
                <w:color w:val="000000"/>
                <w:kern w:val="0"/>
                <w:sz w:val="24"/>
                <w:szCs w:val="24"/>
                <w:bdr w:val="none" w:color="auto" w:sz="0" w:space="0"/>
                <w:lang w:val="en-US" w:eastAsia="zh-CN" w:bidi="ar"/>
              </w:rPr>
              <w:t>背胶处理剂空瓶</w:t>
            </w:r>
          </w:p>
          <w:p w14:paraId="0A717B07">
            <w:pPr>
              <w:keepNext w:val="0"/>
              <w:keepLines w:val="0"/>
              <w:widowControl/>
              <w:suppressLineNumbers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bdr w:val="none" w:color="auto" w:sz="0" w:space="0"/>
                <w:lang w:val="en-US"/>
              </w:rPr>
            </w:pPr>
            <w:r>
              <w:rPr>
                <w:rFonts w:hint="eastAsia" w:ascii="Times New Roman" w:hAnsi="Times New Roman" w:eastAsia="宋体" w:cs="宋体"/>
                <w:color w:val="000000"/>
                <w:kern w:val="0"/>
                <w:sz w:val="24"/>
                <w:szCs w:val="24"/>
                <w:bdr w:val="none" w:color="auto" w:sz="0" w:space="0"/>
                <w:lang w:val="en-US" w:eastAsia="zh-CN" w:bidi="ar"/>
              </w:rPr>
              <w:t>扩建项目所使用的背胶处理剂为</w:t>
            </w:r>
            <w:r>
              <w:rPr>
                <w:rFonts w:hint="default" w:ascii="Times New Roman" w:hAnsi="Times New Roman" w:eastAsia="宋体" w:cs="Times New Roman"/>
                <w:color w:val="000000"/>
                <w:kern w:val="2"/>
                <w:sz w:val="24"/>
                <w:szCs w:val="24"/>
                <w:bdr w:val="none" w:color="auto" w:sz="0" w:space="0"/>
                <w:lang w:val="en-US" w:eastAsia="zh-CN" w:bidi="ar"/>
              </w:rPr>
              <w:t>10kg/</w:t>
            </w:r>
            <w:r>
              <w:rPr>
                <w:rFonts w:hint="eastAsia" w:ascii="Times New Roman" w:hAnsi="Calibri" w:eastAsia="宋体" w:cs="宋体"/>
                <w:color w:val="000000"/>
                <w:kern w:val="2"/>
                <w:sz w:val="24"/>
                <w:szCs w:val="24"/>
                <w:bdr w:val="none" w:color="auto" w:sz="0" w:space="0"/>
                <w:lang w:val="en-US" w:eastAsia="zh-CN" w:bidi="ar"/>
              </w:rPr>
              <w:t>桶，</w:t>
            </w:r>
            <w:r>
              <w:rPr>
                <w:rFonts w:hint="eastAsia" w:ascii="Times New Roman" w:hAnsi="Times New Roman" w:eastAsia="宋体" w:cs="宋体"/>
                <w:color w:val="000000"/>
                <w:kern w:val="0"/>
                <w:sz w:val="24"/>
                <w:szCs w:val="24"/>
                <w:bdr w:val="none" w:color="auto" w:sz="0" w:space="0"/>
                <w:lang w:val="en-US" w:eastAsia="zh-CN" w:bidi="ar"/>
              </w:rPr>
              <w:t>年产生约</w:t>
            </w:r>
            <w:r>
              <w:rPr>
                <w:rFonts w:hint="default" w:ascii="Times New Roman" w:hAnsi="Times New Roman" w:eastAsia="宋体" w:cs="Times New Roman"/>
                <w:color w:val="000000"/>
                <w:kern w:val="0"/>
                <w:sz w:val="24"/>
                <w:szCs w:val="24"/>
                <w:bdr w:val="none" w:color="auto" w:sz="0" w:space="0"/>
                <w:lang w:val="en-US" w:eastAsia="zh-CN" w:bidi="ar"/>
              </w:rPr>
              <w:t>90</w:t>
            </w:r>
            <w:r>
              <w:rPr>
                <w:rFonts w:hint="eastAsia" w:ascii="Times New Roman" w:hAnsi="Times New Roman" w:eastAsia="宋体" w:cs="宋体"/>
                <w:color w:val="000000"/>
                <w:kern w:val="0"/>
                <w:sz w:val="24"/>
                <w:szCs w:val="24"/>
                <w:bdr w:val="none" w:color="auto" w:sz="0" w:space="0"/>
                <w:lang w:val="en-US" w:eastAsia="zh-CN" w:bidi="ar"/>
              </w:rPr>
              <w:t>个背胶处理剂空瓶，总重量约</w:t>
            </w:r>
            <w:r>
              <w:rPr>
                <w:rFonts w:hint="default" w:ascii="Times New Roman" w:hAnsi="Times New Roman" w:eastAsia="宋体" w:cs="Times New Roman"/>
                <w:color w:val="000000"/>
                <w:kern w:val="0"/>
                <w:sz w:val="24"/>
                <w:szCs w:val="24"/>
                <w:bdr w:val="none" w:color="auto" w:sz="0" w:space="0"/>
                <w:lang w:val="en-US" w:eastAsia="zh-CN" w:bidi="ar"/>
              </w:rPr>
              <w:t>0.045t/a</w:t>
            </w:r>
            <w:r>
              <w:rPr>
                <w:rFonts w:hint="eastAsia" w:ascii="Times New Roman" w:hAnsi="Times New Roman" w:eastAsia="宋体" w:cs="宋体"/>
                <w:color w:val="000000"/>
                <w:kern w:val="0"/>
                <w:sz w:val="24"/>
                <w:szCs w:val="24"/>
                <w:bdr w:val="none" w:color="auto" w:sz="0" w:space="0"/>
                <w:lang w:val="en-US" w:eastAsia="zh-CN" w:bidi="ar"/>
              </w:rPr>
              <w:t>。</w:t>
            </w:r>
            <w:r>
              <w:rPr>
                <w:rFonts w:hint="eastAsia" w:ascii="Times New Roman" w:hAnsi="Calibri" w:eastAsia="宋体" w:cs="宋体"/>
                <w:color w:val="000000"/>
                <w:kern w:val="2"/>
                <w:sz w:val="24"/>
                <w:szCs w:val="24"/>
                <w:bdr w:val="none" w:color="auto" w:sz="0" w:space="0"/>
                <w:lang w:val="en-US" w:eastAsia="zh-CN" w:bidi="ar"/>
              </w:rPr>
              <w:t>收集后暂存于危废贮存库，定期委托有资质单位处置。</w:t>
            </w:r>
          </w:p>
          <w:p w14:paraId="612CFA72">
            <w:pPr>
              <w:keepNext w:val="0"/>
              <w:keepLines w:val="0"/>
              <w:widowControl/>
              <w:suppressLineNumbers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w:t>
            </w:r>
            <w:r>
              <w:rPr>
                <w:rFonts w:hint="default" w:ascii="Times New Roman" w:hAnsi="Calibri" w:eastAsia="宋体" w:cs="Times New Roman"/>
                <w:color w:val="000000"/>
                <w:kern w:val="2"/>
                <w:sz w:val="24"/>
                <w:szCs w:val="24"/>
                <w:bdr w:val="none" w:color="auto" w:sz="0" w:space="0"/>
                <w:lang w:val="en-US" w:eastAsia="zh-CN" w:bidi="ar"/>
              </w:rPr>
              <w:t>4</w:t>
            </w:r>
            <w:r>
              <w:rPr>
                <w:rFonts w:hint="eastAsia" w:ascii="Times New Roman" w:hAnsi="Calibri" w:eastAsia="宋体" w:cs="宋体"/>
                <w:color w:val="000000"/>
                <w:kern w:val="2"/>
                <w:sz w:val="24"/>
                <w:szCs w:val="24"/>
                <w:bdr w:val="none" w:color="auto" w:sz="0" w:space="0"/>
                <w:lang w:val="en-US" w:eastAsia="zh-CN" w:bidi="ar"/>
              </w:rPr>
              <w:t>）涂胶、激光切割工序布袋除尘器收集的粉尘</w:t>
            </w:r>
          </w:p>
          <w:p w14:paraId="5765AC84">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扩建项目涂胶、激光切割工序布袋除尘器收集的粉尘约</w:t>
            </w:r>
            <w:r>
              <w:rPr>
                <w:rFonts w:hint="default" w:ascii="Times New Roman" w:hAnsi="Calibri" w:eastAsia="宋体" w:cs="Times New Roman"/>
                <w:color w:val="000000"/>
                <w:kern w:val="2"/>
                <w:sz w:val="24"/>
                <w:szCs w:val="24"/>
                <w:bdr w:val="none" w:color="auto" w:sz="0" w:space="0"/>
                <w:lang w:val="en-US" w:eastAsia="zh-CN" w:bidi="ar"/>
              </w:rPr>
              <w:t>0.023t/a</w:t>
            </w:r>
            <w:r>
              <w:rPr>
                <w:rFonts w:hint="eastAsia" w:ascii="Times New Roman" w:hAnsi="Calibri" w:eastAsia="宋体" w:cs="宋体"/>
                <w:color w:val="000000"/>
                <w:kern w:val="2"/>
                <w:sz w:val="24"/>
                <w:szCs w:val="24"/>
                <w:bdr w:val="none" w:color="auto" w:sz="0" w:space="0"/>
                <w:lang w:val="en-US" w:eastAsia="zh-CN" w:bidi="ar"/>
              </w:rPr>
              <w:t>，纳入危险废物管理，收集后暂存于危废贮存库，定期委托有资质单位处置。</w:t>
            </w:r>
          </w:p>
          <w:p w14:paraId="2BE87998">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5</w:t>
            </w:r>
            <w:r>
              <w:rPr>
                <w:rFonts w:hint="eastAsia" w:ascii="Times New Roman" w:hAnsi="Times New Roman" w:eastAsia="宋体" w:cs="宋体"/>
                <w:color w:val="000000"/>
                <w:kern w:val="2"/>
                <w:sz w:val="24"/>
                <w:szCs w:val="24"/>
                <w:bdr w:val="none" w:color="auto" w:sz="0" w:space="0"/>
                <w:lang w:val="en-US" w:eastAsia="zh-CN" w:bidi="ar"/>
              </w:rPr>
              <w:t>）含油手套、废棉纱</w:t>
            </w:r>
          </w:p>
          <w:p w14:paraId="57024818">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设备维护保养过程中产生少量含油手套、废棉纱，产生量约</w:t>
            </w:r>
            <w:r>
              <w:rPr>
                <w:rFonts w:hint="default" w:ascii="Times New Roman" w:hAnsi="Times New Roman" w:eastAsia="宋体" w:cs="Times New Roman"/>
                <w:color w:val="000000"/>
                <w:kern w:val="2"/>
                <w:sz w:val="24"/>
                <w:szCs w:val="24"/>
                <w:bdr w:val="none" w:color="auto" w:sz="0" w:space="0"/>
                <w:lang w:val="en-US" w:eastAsia="zh-CN" w:bidi="ar"/>
              </w:rPr>
              <w:t>0.001t/a</w:t>
            </w:r>
            <w:r>
              <w:rPr>
                <w:rFonts w:hint="eastAsia" w:ascii="Times New Roman" w:hAnsi="Times New Roman" w:eastAsia="宋体" w:cs="宋体"/>
                <w:color w:val="000000"/>
                <w:kern w:val="2"/>
                <w:sz w:val="24"/>
                <w:szCs w:val="24"/>
                <w:bdr w:val="none" w:color="auto" w:sz="0" w:space="0"/>
                <w:lang w:val="en-US" w:eastAsia="zh-CN" w:bidi="ar"/>
              </w:rPr>
              <w:t>。</w:t>
            </w:r>
          </w:p>
          <w:p w14:paraId="2DA8AAA5">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w:t>
            </w:r>
            <w:r>
              <w:rPr>
                <w:rFonts w:hint="default" w:ascii="Times New Roman" w:hAnsi="Calibri" w:eastAsia="宋体" w:cs="Times New Roman"/>
                <w:color w:val="000000"/>
                <w:kern w:val="2"/>
                <w:sz w:val="24"/>
                <w:szCs w:val="24"/>
                <w:bdr w:val="none" w:color="auto" w:sz="0" w:space="0"/>
                <w:lang w:val="en-US" w:eastAsia="zh-CN" w:bidi="ar"/>
              </w:rPr>
              <w:t>6</w:t>
            </w:r>
            <w:r>
              <w:rPr>
                <w:rFonts w:hint="eastAsia" w:ascii="Times New Roman" w:hAnsi="Calibri" w:eastAsia="宋体" w:cs="宋体"/>
                <w:color w:val="000000"/>
                <w:kern w:val="2"/>
                <w:sz w:val="24"/>
                <w:szCs w:val="24"/>
                <w:bdr w:val="none" w:color="auto" w:sz="0" w:space="0"/>
                <w:lang w:val="en-US" w:eastAsia="zh-CN" w:bidi="ar"/>
              </w:rPr>
              <w:t>）废润滑油和废油桶</w:t>
            </w:r>
          </w:p>
          <w:p w14:paraId="20AF46C8">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机械设备需定期使用润滑油进行保养，正常情况下</w:t>
            </w:r>
            <w:r>
              <w:rPr>
                <w:rFonts w:hint="default" w:ascii="Times New Roman" w:hAnsi="Calibri" w:eastAsia="宋体" w:cs="Times New Roman"/>
                <w:color w:val="000000"/>
                <w:kern w:val="2"/>
                <w:sz w:val="24"/>
                <w:szCs w:val="24"/>
                <w:bdr w:val="none" w:color="auto" w:sz="0" w:space="0"/>
                <w:lang w:val="en-US" w:eastAsia="zh-CN" w:bidi="ar"/>
              </w:rPr>
              <w:t>1</w:t>
            </w:r>
            <w:r>
              <w:rPr>
                <w:rFonts w:hint="eastAsia" w:ascii="Times New Roman" w:hAnsi="Calibri" w:eastAsia="宋体" w:cs="宋体"/>
                <w:color w:val="000000"/>
                <w:kern w:val="2"/>
                <w:sz w:val="24"/>
                <w:szCs w:val="24"/>
                <w:bdr w:val="none" w:color="auto" w:sz="0" w:space="0"/>
                <w:lang w:val="en-US" w:eastAsia="zh-CN" w:bidi="ar"/>
              </w:rPr>
              <w:t>年维护一次，该过程会产生废机油，产生量约</w:t>
            </w:r>
            <w:r>
              <w:rPr>
                <w:rFonts w:hint="default" w:ascii="Times New Roman" w:hAnsi="Calibri" w:eastAsia="宋体" w:cs="Times New Roman"/>
                <w:color w:val="000000"/>
                <w:kern w:val="2"/>
                <w:sz w:val="24"/>
                <w:szCs w:val="24"/>
                <w:bdr w:val="none" w:color="auto" w:sz="0" w:space="0"/>
                <w:lang w:val="en-US" w:eastAsia="zh-CN" w:bidi="ar"/>
              </w:rPr>
              <w:t>0.005t/a</w:t>
            </w:r>
            <w:r>
              <w:rPr>
                <w:rFonts w:hint="eastAsia" w:ascii="Times New Roman" w:hAnsi="Calibri" w:eastAsia="宋体" w:cs="宋体"/>
                <w:color w:val="000000"/>
                <w:kern w:val="2"/>
                <w:sz w:val="24"/>
                <w:szCs w:val="24"/>
                <w:bdr w:val="none" w:color="auto" w:sz="0" w:space="0"/>
                <w:lang w:val="en-US" w:eastAsia="zh-CN" w:bidi="ar"/>
              </w:rPr>
              <w:t>。油空桶重约</w:t>
            </w:r>
            <w:r>
              <w:rPr>
                <w:rFonts w:hint="default" w:ascii="Times New Roman" w:hAnsi="Calibri" w:eastAsia="宋体" w:cs="Times New Roman"/>
                <w:color w:val="000000"/>
                <w:kern w:val="2"/>
                <w:sz w:val="24"/>
                <w:szCs w:val="24"/>
                <w:bdr w:val="none" w:color="auto" w:sz="0" w:space="0"/>
                <w:lang w:val="en-US" w:eastAsia="zh-CN" w:bidi="ar"/>
              </w:rPr>
              <w:t>5kg/</w:t>
            </w:r>
            <w:r>
              <w:rPr>
                <w:rFonts w:hint="eastAsia" w:ascii="Times New Roman" w:hAnsi="Calibri" w:eastAsia="宋体" w:cs="宋体"/>
                <w:color w:val="000000"/>
                <w:kern w:val="2"/>
                <w:sz w:val="24"/>
                <w:szCs w:val="24"/>
                <w:bdr w:val="none" w:color="auto" w:sz="0" w:space="0"/>
                <w:lang w:val="en-US" w:eastAsia="zh-CN" w:bidi="ar"/>
              </w:rPr>
              <w:t>个，年产生</w:t>
            </w:r>
            <w:r>
              <w:rPr>
                <w:rFonts w:hint="default" w:ascii="Times New Roman" w:hAnsi="Calibri" w:eastAsia="宋体" w:cs="Times New Roman"/>
                <w:color w:val="000000"/>
                <w:kern w:val="2"/>
                <w:sz w:val="24"/>
                <w:szCs w:val="24"/>
                <w:bdr w:val="none" w:color="auto" w:sz="0" w:space="0"/>
                <w:lang w:val="en-US" w:eastAsia="zh-CN" w:bidi="ar"/>
              </w:rPr>
              <w:t>2</w:t>
            </w:r>
            <w:r>
              <w:rPr>
                <w:rFonts w:hint="eastAsia" w:ascii="Times New Roman" w:hAnsi="Calibri" w:eastAsia="宋体" w:cs="宋体"/>
                <w:color w:val="000000"/>
                <w:kern w:val="2"/>
                <w:sz w:val="24"/>
                <w:szCs w:val="24"/>
                <w:bdr w:val="none" w:color="auto" w:sz="0" w:space="0"/>
                <w:lang w:val="en-US" w:eastAsia="zh-CN" w:bidi="ar"/>
              </w:rPr>
              <w:t>个废油空桶，则废油桶产生量为</w:t>
            </w:r>
            <w:r>
              <w:rPr>
                <w:rFonts w:hint="default" w:ascii="Times New Roman" w:hAnsi="Calibri" w:eastAsia="宋体" w:cs="Times New Roman"/>
                <w:color w:val="000000"/>
                <w:kern w:val="2"/>
                <w:sz w:val="24"/>
                <w:szCs w:val="24"/>
                <w:bdr w:val="none" w:color="auto" w:sz="0" w:space="0"/>
                <w:lang w:val="en-US" w:eastAsia="zh-CN" w:bidi="ar"/>
              </w:rPr>
              <w:t>0.01t/a</w:t>
            </w:r>
            <w:r>
              <w:rPr>
                <w:rFonts w:hint="eastAsia" w:ascii="Times New Roman" w:hAnsi="Calibri" w:eastAsia="宋体" w:cs="宋体"/>
                <w:color w:val="000000"/>
                <w:kern w:val="2"/>
                <w:sz w:val="24"/>
                <w:szCs w:val="24"/>
                <w:bdr w:val="none" w:color="auto" w:sz="0" w:space="0"/>
                <w:lang w:val="en-US" w:eastAsia="zh-CN" w:bidi="ar"/>
              </w:rPr>
              <w:t>。产生的废油和油桶暂存于危废贮存库，定期交有危险废物处理资质的单位处理。</w:t>
            </w:r>
          </w:p>
          <w:p w14:paraId="1A1E8972">
            <w:pPr>
              <w:keepNext w:val="0"/>
              <w:keepLines w:val="0"/>
              <w:widowControl w:val="0"/>
              <w:suppressLineNumbers w:val="0"/>
              <w:spacing w:before="0" w:beforeAutospacing="0" w:after="0" w:afterAutospacing="0" w:line="440" w:lineRule="exact"/>
              <w:ind w:left="0" w:right="0" w:firstLine="482"/>
              <w:jc w:val="center"/>
              <w:rPr>
                <w:color w:val="000000"/>
                <w:sz w:val="24"/>
                <w:szCs w:val="24"/>
                <w:bdr w:val="none" w:color="auto" w:sz="0" w:space="0"/>
                <w:lang w:val="en-US"/>
              </w:rPr>
            </w:pPr>
            <w:r>
              <w:rPr>
                <w:rFonts w:hint="eastAsia" w:ascii="Calibri" w:hAnsi="宋体" w:eastAsia="宋体" w:cs="宋体"/>
                <w:color w:val="000000"/>
                <w:kern w:val="2"/>
                <w:sz w:val="24"/>
                <w:szCs w:val="24"/>
                <w:bdr w:val="none" w:color="auto" w:sz="0" w:space="0"/>
                <w:lang w:val="en-US" w:eastAsia="zh-CN" w:bidi="ar"/>
              </w:rPr>
              <w:t>表</w:t>
            </w:r>
            <w:r>
              <w:rPr>
                <w:rFonts w:hint="default" w:ascii="Times New Roman" w:hAnsi="Times New Roman" w:eastAsia="宋体" w:cs="Times New Roman"/>
                <w:color w:val="000000"/>
                <w:kern w:val="2"/>
                <w:sz w:val="24"/>
                <w:szCs w:val="24"/>
                <w:bdr w:val="none" w:color="auto" w:sz="0" w:space="0"/>
                <w:lang w:val="en-US" w:eastAsia="zh-CN" w:bidi="ar"/>
              </w:rPr>
              <w:t xml:space="preserve">4.5-1 </w:t>
            </w:r>
            <w:r>
              <w:rPr>
                <w:rFonts w:hint="eastAsia" w:ascii="Calibri" w:hAnsi="宋体" w:eastAsia="宋体" w:cs="宋体"/>
                <w:color w:val="000000"/>
                <w:kern w:val="2"/>
                <w:sz w:val="24"/>
                <w:szCs w:val="24"/>
                <w:bdr w:val="none" w:color="auto" w:sz="0" w:space="0"/>
                <w:lang w:val="en-US" w:eastAsia="zh-CN" w:bidi="ar"/>
              </w:rPr>
              <w:t>扩建项目固体废物产排污情况表</w:t>
            </w:r>
          </w:p>
          <w:tbl>
            <w:tblPr>
              <w:tblStyle w:val="18"/>
              <w:tblpPr w:leftFromText="180" w:rightFromText="180" w:vertAnchor="text" w:tblpXSpec="center" w:tblpY="1"/>
              <w:tblOverlap w:val="never"/>
              <w:tblW w:w="0" w:type="auto"/>
              <w:tblInd w:w="8"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Layout w:type="fixed"/>
              <w:tblCellMar>
                <w:top w:w="0" w:type="dxa"/>
                <w:left w:w="108" w:type="dxa"/>
                <w:bottom w:w="0" w:type="dxa"/>
                <w:right w:w="108" w:type="dxa"/>
              </w:tblCellMar>
            </w:tblPr>
            <w:tblGrid>
              <w:gridCol w:w="766"/>
              <w:gridCol w:w="2495"/>
              <w:gridCol w:w="1417"/>
              <w:gridCol w:w="992"/>
              <w:gridCol w:w="2276"/>
            </w:tblGrid>
            <w:tr w14:paraId="5247C37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CellMar>
                  <w:top w:w="0" w:type="dxa"/>
                  <w:left w:w="108" w:type="dxa"/>
                  <w:bottom w:w="0" w:type="dxa"/>
                  <w:right w:w="108" w:type="dxa"/>
                </w:tblCellMar>
              </w:tblPrEx>
              <w:trPr>
                <w:trHeight w:val="245" w:hRule="atLeast"/>
              </w:trPr>
              <w:tc>
                <w:tcPr>
                  <w:tcW w:w="766" w:type="dxa"/>
                  <w:tcBorders>
                    <w:top w:val="single" w:color="auto" w:sz="12" w:space="0"/>
                    <w:left w:val="nil"/>
                    <w:bottom w:val="single" w:color="auto" w:sz="4" w:space="0"/>
                    <w:right w:val="single" w:color="auto" w:sz="4" w:space="0"/>
                  </w:tcBorders>
                  <w:shd w:val="clear"/>
                  <w:vAlign w:val="center"/>
                </w:tcPr>
                <w:p w14:paraId="7C87A73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类别</w:t>
                  </w:r>
                </w:p>
              </w:tc>
              <w:tc>
                <w:tcPr>
                  <w:tcW w:w="2495" w:type="dxa"/>
                  <w:tcBorders>
                    <w:top w:val="single" w:color="auto" w:sz="12" w:space="0"/>
                    <w:left w:val="single" w:color="auto" w:sz="4" w:space="0"/>
                    <w:bottom w:val="single" w:color="auto" w:sz="4" w:space="0"/>
                    <w:right w:val="single" w:color="auto" w:sz="4" w:space="0"/>
                  </w:tcBorders>
                  <w:shd w:val="clear"/>
                  <w:vAlign w:val="center"/>
                </w:tcPr>
                <w:p w14:paraId="51A0E98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污染物名称</w:t>
                  </w:r>
                  <w:r>
                    <w:rPr>
                      <w:rFonts w:hint="default" w:ascii="Times New Roman" w:hAnsi="Calibri" w:eastAsia="宋体" w:cs="Times New Roman"/>
                      <w:color w:val="000000"/>
                      <w:kern w:val="0"/>
                      <w:sz w:val="21"/>
                      <w:szCs w:val="21"/>
                      <w:bdr w:val="none" w:color="auto" w:sz="0" w:space="0"/>
                      <w:lang w:val="en-US" w:eastAsia="zh-CN" w:bidi="ar"/>
                    </w:rPr>
                    <w:t>/</w:t>
                  </w:r>
                  <w:r>
                    <w:rPr>
                      <w:rFonts w:hint="eastAsia" w:ascii="Times New Roman" w:hAnsi="Calibri" w:eastAsia="宋体" w:cs="宋体"/>
                      <w:color w:val="000000"/>
                      <w:kern w:val="0"/>
                      <w:sz w:val="21"/>
                      <w:szCs w:val="21"/>
                      <w:bdr w:val="none" w:color="auto" w:sz="0" w:space="0"/>
                      <w:lang w:val="en-US" w:eastAsia="zh-CN" w:bidi="ar"/>
                    </w:rPr>
                    <w:t>类别</w:t>
                  </w:r>
                </w:p>
              </w:tc>
              <w:tc>
                <w:tcPr>
                  <w:tcW w:w="1417" w:type="dxa"/>
                  <w:tcBorders>
                    <w:top w:val="single" w:color="auto" w:sz="12" w:space="0"/>
                    <w:left w:val="single" w:color="auto" w:sz="4" w:space="0"/>
                    <w:bottom w:val="single" w:color="auto" w:sz="4" w:space="0"/>
                    <w:right w:val="single" w:color="auto" w:sz="4" w:space="0"/>
                  </w:tcBorders>
                  <w:shd w:val="clear"/>
                  <w:vAlign w:val="center"/>
                </w:tcPr>
                <w:p w14:paraId="6BFFE8D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代码</w:t>
                  </w:r>
                </w:p>
              </w:tc>
              <w:tc>
                <w:tcPr>
                  <w:tcW w:w="992" w:type="dxa"/>
                  <w:tcBorders>
                    <w:top w:val="single" w:color="auto" w:sz="12" w:space="0"/>
                    <w:left w:val="single" w:color="auto" w:sz="4" w:space="0"/>
                    <w:bottom w:val="single" w:color="auto" w:sz="4" w:space="0"/>
                    <w:right w:val="single" w:color="auto" w:sz="4" w:space="0"/>
                  </w:tcBorders>
                  <w:shd w:val="clear"/>
                  <w:vAlign w:val="center"/>
                </w:tcPr>
                <w:p w14:paraId="71D3BB4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产生量</w:t>
                  </w:r>
                  <w:r>
                    <w:rPr>
                      <w:rFonts w:hint="default" w:ascii="Times New Roman" w:hAnsi="Times New Roman" w:eastAsia="宋体" w:cs="Times New Roman"/>
                      <w:color w:val="000000"/>
                      <w:kern w:val="0"/>
                      <w:sz w:val="21"/>
                      <w:szCs w:val="21"/>
                      <w:bdr w:val="none" w:color="auto" w:sz="0" w:space="0"/>
                      <w:lang w:val="en-US" w:eastAsia="zh-CN" w:bidi="ar"/>
                    </w:rPr>
                    <w:t>(t/a)</w:t>
                  </w:r>
                </w:p>
              </w:tc>
              <w:tc>
                <w:tcPr>
                  <w:tcW w:w="2276" w:type="dxa"/>
                  <w:tcBorders>
                    <w:top w:val="single" w:color="auto" w:sz="12" w:space="0"/>
                    <w:left w:val="single" w:color="auto" w:sz="4" w:space="0"/>
                    <w:bottom w:val="single" w:color="auto" w:sz="4" w:space="0"/>
                    <w:right w:val="nil"/>
                  </w:tcBorders>
                  <w:shd w:val="clear"/>
                  <w:vAlign w:val="center"/>
                </w:tcPr>
                <w:p w14:paraId="5D987FA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处理措施及去向</w:t>
                  </w:r>
                </w:p>
              </w:tc>
            </w:tr>
            <w:tr w14:paraId="17041E0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66" w:type="dxa"/>
                  <w:vMerge w:val="restart"/>
                  <w:tcBorders>
                    <w:top w:val="nil"/>
                    <w:left w:val="nil"/>
                    <w:bottom w:val="single" w:color="auto" w:sz="4" w:space="0"/>
                    <w:right w:val="single" w:color="auto" w:sz="4" w:space="0"/>
                  </w:tcBorders>
                  <w:shd w:val="clear"/>
                  <w:vAlign w:val="center"/>
                </w:tcPr>
                <w:p w14:paraId="1A861FC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一般固废</w:t>
                  </w:r>
                </w:p>
              </w:tc>
              <w:tc>
                <w:tcPr>
                  <w:tcW w:w="2495" w:type="dxa"/>
                  <w:tcBorders>
                    <w:top w:val="single" w:color="auto" w:sz="4" w:space="0"/>
                    <w:left w:val="single" w:color="auto" w:sz="4" w:space="0"/>
                    <w:bottom w:val="single" w:color="000000" w:sz="4" w:space="0"/>
                    <w:right w:val="single" w:color="auto" w:sz="4" w:space="0"/>
                  </w:tcBorders>
                  <w:shd w:val="clear"/>
                  <w:vAlign w:val="center"/>
                </w:tcPr>
                <w:p w14:paraId="0A2A6F4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highlight w:val="yellow"/>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废离型纸</w:t>
                  </w:r>
                  <w:r>
                    <w:rPr>
                      <w:rFonts w:hint="default" w:ascii="Times New Roman" w:hAnsi="Calibri" w:eastAsia="宋体" w:cs="Times New Roman"/>
                      <w:color w:val="000000"/>
                      <w:kern w:val="0"/>
                      <w:sz w:val="21"/>
                      <w:szCs w:val="21"/>
                      <w:bdr w:val="none" w:color="auto" w:sz="0" w:space="0"/>
                      <w:lang w:val="en-US" w:eastAsia="zh-CN" w:bidi="ar"/>
                    </w:rPr>
                    <w:t>(SW17)</w:t>
                  </w:r>
                </w:p>
              </w:tc>
              <w:tc>
                <w:tcPr>
                  <w:tcW w:w="1417" w:type="dxa"/>
                  <w:tcBorders>
                    <w:top w:val="single" w:color="auto" w:sz="4" w:space="0"/>
                    <w:left w:val="single" w:color="auto" w:sz="4" w:space="0"/>
                    <w:bottom w:val="single" w:color="000000" w:sz="4" w:space="0"/>
                    <w:right w:val="single" w:color="auto" w:sz="4" w:space="0"/>
                  </w:tcBorders>
                  <w:shd w:val="clear"/>
                  <w:vAlign w:val="center"/>
                </w:tcPr>
                <w:p w14:paraId="2E7FC05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900-005-S17</w:t>
                  </w:r>
                </w:p>
              </w:tc>
              <w:tc>
                <w:tcPr>
                  <w:tcW w:w="992" w:type="dxa"/>
                  <w:tcBorders>
                    <w:top w:val="single" w:color="auto" w:sz="4" w:space="0"/>
                    <w:left w:val="single" w:color="auto" w:sz="4" w:space="0"/>
                    <w:bottom w:val="single" w:color="auto" w:sz="4" w:space="0"/>
                    <w:right w:val="single" w:color="auto" w:sz="4" w:space="0"/>
                  </w:tcBorders>
                  <w:shd w:val="clear"/>
                  <w:vAlign w:val="center"/>
                </w:tcPr>
                <w:p w14:paraId="6D23D91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p>
              </w:tc>
              <w:tc>
                <w:tcPr>
                  <w:tcW w:w="2276" w:type="dxa"/>
                  <w:vMerge w:val="restart"/>
                  <w:tcBorders>
                    <w:top w:val="single" w:color="auto" w:sz="4" w:space="0"/>
                    <w:left w:val="single" w:color="auto" w:sz="4" w:space="0"/>
                    <w:bottom w:val="single" w:color="auto" w:sz="4" w:space="0"/>
                    <w:right w:val="nil"/>
                  </w:tcBorders>
                  <w:shd w:val="clear"/>
                  <w:vAlign w:val="center"/>
                </w:tcPr>
                <w:p w14:paraId="39381E3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Calibri" w:hAnsi="Calibri" w:eastAsia="宋体" w:cs="宋体"/>
                      <w:color w:val="000000"/>
                      <w:kern w:val="2"/>
                      <w:sz w:val="21"/>
                      <w:szCs w:val="24"/>
                      <w:bdr w:val="none" w:color="auto" w:sz="0" w:space="0"/>
                      <w:lang w:val="en-US" w:eastAsia="zh-CN" w:bidi="ar"/>
                    </w:rPr>
                    <w:t>分类收集后交由物资回收部门回收利用。</w:t>
                  </w:r>
                </w:p>
              </w:tc>
            </w:tr>
            <w:tr w14:paraId="791B5B7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66" w:type="dxa"/>
                  <w:vMerge w:val="continue"/>
                  <w:tcBorders>
                    <w:top w:val="nil"/>
                    <w:left w:val="nil"/>
                    <w:bottom w:val="single" w:color="auto" w:sz="4" w:space="0"/>
                    <w:right w:val="single" w:color="auto" w:sz="4" w:space="0"/>
                  </w:tcBorders>
                  <w:shd w:val="clear"/>
                  <w:vAlign w:val="center"/>
                </w:tcPr>
                <w:p w14:paraId="683A4D76">
                  <w:pPr>
                    <w:rPr>
                      <w:rFonts w:hint="default" w:ascii="Calibri" w:hAnsi="Calibri" w:cs="Calibri"/>
                      <w:sz w:val="20"/>
                      <w:szCs w:val="20"/>
                    </w:rPr>
                  </w:pPr>
                </w:p>
              </w:tc>
              <w:tc>
                <w:tcPr>
                  <w:tcW w:w="2495" w:type="dxa"/>
                  <w:tcBorders>
                    <w:top w:val="single" w:color="auto" w:sz="4" w:space="0"/>
                    <w:left w:val="single" w:color="auto" w:sz="4" w:space="0"/>
                    <w:bottom w:val="single" w:color="000000" w:sz="4" w:space="0"/>
                    <w:right w:val="single" w:color="auto" w:sz="4" w:space="0"/>
                  </w:tcBorders>
                  <w:shd w:val="clear"/>
                  <w:vAlign w:val="center"/>
                </w:tcPr>
                <w:p w14:paraId="07BA08B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废纸筒</w:t>
                  </w:r>
                  <w:r>
                    <w:rPr>
                      <w:rFonts w:hint="default" w:ascii="Times New Roman" w:hAnsi="Calibri" w:eastAsia="宋体" w:cs="Times New Roman"/>
                      <w:color w:val="000000"/>
                      <w:kern w:val="0"/>
                      <w:sz w:val="21"/>
                      <w:szCs w:val="21"/>
                      <w:bdr w:val="none" w:color="auto" w:sz="0" w:space="0"/>
                      <w:lang w:val="en-US" w:eastAsia="zh-CN" w:bidi="ar"/>
                    </w:rPr>
                    <w:t>(SW17)</w:t>
                  </w:r>
                </w:p>
              </w:tc>
              <w:tc>
                <w:tcPr>
                  <w:tcW w:w="1417" w:type="dxa"/>
                  <w:tcBorders>
                    <w:top w:val="single" w:color="auto" w:sz="4" w:space="0"/>
                    <w:left w:val="single" w:color="auto" w:sz="4" w:space="0"/>
                    <w:bottom w:val="single" w:color="000000" w:sz="4" w:space="0"/>
                    <w:right w:val="single" w:color="auto" w:sz="4" w:space="0"/>
                  </w:tcBorders>
                  <w:shd w:val="clear"/>
                  <w:vAlign w:val="center"/>
                </w:tcPr>
                <w:p w14:paraId="03BA341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900-005-S17</w:t>
                  </w:r>
                </w:p>
              </w:tc>
              <w:tc>
                <w:tcPr>
                  <w:tcW w:w="992" w:type="dxa"/>
                  <w:tcBorders>
                    <w:top w:val="single" w:color="auto" w:sz="4" w:space="0"/>
                    <w:left w:val="single" w:color="auto" w:sz="4" w:space="0"/>
                    <w:bottom w:val="single" w:color="000000" w:sz="4" w:space="0"/>
                    <w:right w:val="single" w:color="auto" w:sz="4" w:space="0"/>
                  </w:tcBorders>
                  <w:shd w:val="clear"/>
                  <w:vAlign w:val="center"/>
                </w:tcPr>
                <w:p w14:paraId="5209F92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w:t>
                  </w:r>
                </w:p>
              </w:tc>
              <w:tc>
                <w:tcPr>
                  <w:tcW w:w="2276" w:type="dxa"/>
                  <w:vMerge w:val="continue"/>
                  <w:tcBorders>
                    <w:top w:val="single" w:color="auto" w:sz="4" w:space="0"/>
                    <w:left w:val="single" w:color="auto" w:sz="4" w:space="0"/>
                    <w:bottom w:val="single" w:color="auto" w:sz="4" w:space="0"/>
                    <w:right w:val="nil"/>
                  </w:tcBorders>
                  <w:shd w:val="clear"/>
                  <w:vAlign w:val="center"/>
                </w:tcPr>
                <w:p w14:paraId="32C28394">
                  <w:pPr>
                    <w:rPr>
                      <w:rFonts w:hint="default" w:ascii="Calibri" w:hAnsi="Calibri" w:cs="Calibri"/>
                      <w:sz w:val="20"/>
                      <w:szCs w:val="20"/>
                    </w:rPr>
                  </w:pPr>
                </w:p>
              </w:tc>
            </w:tr>
            <w:tr w14:paraId="1CEDAB1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66" w:type="dxa"/>
                  <w:vMerge w:val="continue"/>
                  <w:tcBorders>
                    <w:top w:val="nil"/>
                    <w:left w:val="nil"/>
                    <w:bottom w:val="single" w:color="auto" w:sz="4" w:space="0"/>
                    <w:right w:val="single" w:color="auto" w:sz="4" w:space="0"/>
                  </w:tcBorders>
                  <w:shd w:val="clear"/>
                  <w:vAlign w:val="center"/>
                </w:tcPr>
                <w:p w14:paraId="682A945E">
                  <w:pPr>
                    <w:rPr>
                      <w:rFonts w:hint="default" w:ascii="Calibri" w:hAnsi="Calibri" w:cs="Calibri"/>
                      <w:sz w:val="20"/>
                      <w:szCs w:val="20"/>
                    </w:rPr>
                  </w:pPr>
                </w:p>
              </w:tc>
              <w:tc>
                <w:tcPr>
                  <w:tcW w:w="2495" w:type="dxa"/>
                  <w:tcBorders>
                    <w:top w:val="single" w:color="auto" w:sz="4" w:space="0"/>
                    <w:left w:val="single" w:color="auto" w:sz="4" w:space="0"/>
                    <w:bottom w:val="single" w:color="auto" w:sz="4" w:space="0"/>
                    <w:right w:val="single" w:color="auto" w:sz="4" w:space="0"/>
                  </w:tcBorders>
                  <w:shd w:val="clear"/>
                  <w:vAlign w:val="center"/>
                </w:tcPr>
                <w:p w14:paraId="4D86EF7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Calibri" w:hAnsi="宋体" w:eastAsia="宋体" w:cs="宋体"/>
                      <w:color w:val="000000"/>
                      <w:kern w:val="2"/>
                      <w:sz w:val="21"/>
                      <w:szCs w:val="21"/>
                      <w:bdr w:val="none" w:color="auto" w:sz="0" w:space="0"/>
                      <w:lang w:val="en-US" w:eastAsia="zh-CN" w:bidi="ar"/>
                    </w:rPr>
                    <w:t>液体硅橡胶空桶</w:t>
                  </w:r>
                  <w:r>
                    <w:rPr>
                      <w:rFonts w:hint="default" w:ascii="Times New Roman" w:hAnsi="Calibri" w:eastAsia="宋体" w:cs="Times New Roman"/>
                      <w:color w:val="000000"/>
                      <w:kern w:val="0"/>
                      <w:sz w:val="21"/>
                      <w:szCs w:val="21"/>
                      <w:bdr w:val="none" w:color="auto" w:sz="0" w:space="0"/>
                      <w:lang w:val="en-US" w:eastAsia="zh-CN" w:bidi="ar"/>
                    </w:rPr>
                    <w:t>(SW17)</w:t>
                  </w:r>
                </w:p>
              </w:tc>
              <w:tc>
                <w:tcPr>
                  <w:tcW w:w="1417" w:type="dxa"/>
                  <w:tcBorders>
                    <w:top w:val="single" w:color="auto" w:sz="4" w:space="0"/>
                    <w:left w:val="single" w:color="auto" w:sz="4" w:space="0"/>
                    <w:bottom w:val="single" w:color="auto" w:sz="4" w:space="0"/>
                    <w:right w:val="single" w:color="auto" w:sz="4" w:space="0"/>
                  </w:tcBorders>
                  <w:shd w:val="clear"/>
                  <w:vAlign w:val="center"/>
                </w:tcPr>
                <w:p w14:paraId="6F2BEEC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900-003-S17</w:t>
                  </w:r>
                </w:p>
              </w:tc>
              <w:tc>
                <w:tcPr>
                  <w:tcW w:w="992" w:type="dxa"/>
                  <w:tcBorders>
                    <w:top w:val="single" w:color="auto" w:sz="4" w:space="0"/>
                    <w:left w:val="single" w:color="auto" w:sz="4" w:space="0"/>
                    <w:bottom w:val="single" w:color="auto" w:sz="4" w:space="0"/>
                    <w:right w:val="single" w:color="auto" w:sz="4" w:space="0"/>
                  </w:tcBorders>
                  <w:shd w:val="clear"/>
                  <w:vAlign w:val="center"/>
                </w:tcPr>
                <w:p w14:paraId="5B0A55F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0.008</w:t>
                  </w:r>
                </w:p>
              </w:tc>
              <w:tc>
                <w:tcPr>
                  <w:tcW w:w="2276" w:type="dxa"/>
                  <w:vMerge w:val="continue"/>
                  <w:tcBorders>
                    <w:top w:val="single" w:color="auto" w:sz="4" w:space="0"/>
                    <w:left w:val="single" w:color="auto" w:sz="4" w:space="0"/>
                    <w:bottom w:val="single" w:color="auto" w:sz="4" w:space="0"/>
                    <w:right w:val="nil"/>
                  </w:tcBorders>
                  <w:shd w:val="clear"/>
                  <w:vAlign w:val="center"/>
                </w:tcPr>
                <w:p w14:paraId="4476245B">
                  <w:pPr>
                    <w:rPr>
                      <w:rFonts w:hint="default" w:ascii="Calibri" w:hAnsi="Calibri" w:cs="Calibri"/>
                      <w:sz w:val="20"/>
                      <w:szCs w:val="20"/>
                    </w:rPr>
                  </w:pPr>
                </w:p>
              </w:tc>
            </w:tr>
            <w:tr w14:paraId="184C035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66" w:type="dxa"/>
                  <w:vMerge w:val="continue"/>
                  <w:tcBorders>
                    <w:top w:val="nil"/>
                    <w:left w:val="nil"/>
                    <w:bottom w:val="single" w:color="auto" w:sz="4" w:space="0"/>
                    <w:right w:val="single" w:color="auto" w:sz="4" w:space="0"/>
                  </w:tcBorders>
                  <w:shd w:val="clear"/>
                  <w:vAlign w:val="center"/>
                </w:tcPr>
                <w:p w14:paraId="735D7962">
                  <w:pPr>
                    <w:rPr>
                      <w:rFonts w:hint="default" w:ascii="Calibri" w:hAnsi="Calibri" w:cs="Calibri"/>
                      <w:sz w:val="20"/>
                      <w:szCs w:val="20"/>
                    </w:rPr>
                  </w:pPr>
                </w:p>
              </w:tc>
              <w:tc>
                <w:tcPr>
                  <w:tcW w:w="2495" w:type="dxa"/>
                  <w:tcBorders>
                    <w:top w:val="single" w:color="auto" w:sz="4" w:space="0"/>
                    <w:left w:val="single" w:color="auto" w:sz="4" w:space="0"/>
                    <w:bottom w:val="single" w:color="auto" w:sz="4" w:space="0"/>
                    <w:right w:val="single" w:color="auto" w:sz="4" w:space="0"/>
                  </w:tcBorders>
                  <w:shd w:val="clear"/>
                  <w:vAlign w:val="center"/>
                </w:tcPr>
                <w:p w14:paraId="6477874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废布袋</w:t>
                  </w:r>
                  <w:r>
                    <w:rPr>
                      <w:rFonts w:hint="default" w:ascii="Times New Roman" w:hAnsi="Calibri" w:eastAsia="宋体" w:cs="Times New Roman"/>
                      <w:color w:val="000000"/>
                      <w:kern w:val="0"/>
                      <w:sz w:val="21"/>
                      <w:szCs w:val="21"/>
                      <w:bdr w:val="none" w:color="auto" w:sz="0" w:space="0"/>
                      <w:lang w:val="en-US" w:eastAsia="zh-CN" w:bidi="ar"/>
                    </w:rPr>
                    <w:t>(SW59)</w:t>
                  </w:r>
                </w:p>
              </w:tc>
              <w:tc>
                <w:tcPr>
                  <w:tcW w:w="1417" w:type="dxa"/>
                  <w:tcBorders>
                    <w:top w:val="single" w:color="auto" w:sz="4" w:space="0"/>
                    <w:left w:val="single" w:color="auto" w:sz="4" w:space="0"/>
                    <w:bottom w:val="single" w:color="auto" w:sz="4" w:space="0"/>
                    <w:right w:val="single" w:color="auto" w:sz="4" w:space="0"/>
                  </w:tcBorders>
                  <w:shd w:val="clear"/>
                  <w:vAlign w:val="center"/>
                </w:tcPr>
                <w:p w14:paraId="1ACC454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900-009-S59</w:t>
                  </w:r>
                </w:p>
              </w:tc>
              <w:tc>
                <w:tcPr>
                  <w:tcW w:w="992" w:type="dxa"/>
                  <w:tcBorders>
                    <w:top w:val="single" w:color="auto" w:sz="4" w:space="0"/>
                    <w:left w:val="single" w:color="auto" w:sz="4" w:space="0"/>
                    <w:bottom w:val="single" w:color="auto" w:sz="4" w:space="0"/>
                    <w:right w:val="single" w:color="auto" w:sz="4" w:space="0"/>
                  </w:tcBorders>
                  <w:shd w:val="clear"/>
                  <w:vAlign w:val="center"/>
                </w:tcPr>
                <w:p w14:paraId="574897D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0.2</w:t>
                  </w:r>
                </w:p>
              </w:tc>
              <w:tc>
                <w:tcPr>
                  <w:tcW w:w="2276" w:type="dxa"/>
                  <w:vMerge w:val="continue"/>
                  <w:tcBorders>
                    <w:top w:val="single" w:color="auto" w:sz="4" w:space="0"/>
                    <w:left w:val="single" w:color="auto" w:sz="4" w:space="0"/>
                    <w:bottom w:val="single" w:color="auto" w:sz="4" w:space="0"/>
                    <w:right w:val="nil"/>
                  </w:tcBorders>
                  <w:shd w:val="clear"/>
                  <w:vAlign w:val="center"/>
                </w:tcPr>
                <w:p w14:paraId="07551820">
                  <w:pPr>
                    <w:rPr>
                      <w:rFonts w:hint="default" w:ascii="Calibri" w:hAnsi="Calibri" w:cs="Calibri"/>
                      <w:sz w:val="20"/>
                      <w:szCs w:val="20"/>
                    </w:rPr>
                  </w:pPr>
                </w:p>
              </w:tc>
            </w:tr>
            <w:tr w14:paraId="4E35ECA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66" w:type="dxa"/>
                  <w:vMerge w:val="continue"/>
                  <w:tcBorders>
                    <w:top w:val="nil"/>
                    <w:left w:val="nil"/>
                    <w:bottom w:val="single" w:color="auto" w:sz="4" w:space="0"/>
                    <w:right w:val="single" w:color="auto" w:sz="4" w:space="0"/>
                  </w:tcBorders>
                  <w:shd w:val="clear"/>
                  <w:vAlign w:val="center"/>
                </w:tcPr>
                <w:p w14:paraId="40D950BF">
                  <w:pPr>
                    <w:rPr>
                      <w:rFonts w:hint="default" w:ascii="Calibri" w:hAnsi="Calibri" w:cs="Calibri"/>
                      <w:sz w:val="20"/>
                      <w:szCs w:val="20"/>
                    </w:rPr>
                  </w:pPr>
                </w:p>
              </w:tc>
              <w:tc>
                <w:tcPr>
                  <w:tcW w:w="2495" w:type="dxa"/>
                  <w:tcBorders>
                    <w:top w:val="single" w:color="auto" w:sz="4" w:space="0"/>
                    <w:left w:val="single" w:color="auto" w:sz="4" w:space="0"/>
                    <w:bottom w:val="single" w:color="auto" w:sz="4" w:space="0"/>
                    <w:right w:val="single" w:color="auto" w:sz="4" w:space="0"/>
                  </w:tcBorders>
                  <w:shd w:val="clear"/>
                  <w:vAlign w:val="center"/>
                </w:tcPr>
                <w:p w14:paraId="687080F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废热熔胶塑料袋</w:t>
                  </w:r>
                  <w:r>
                    <w:rPr>
                      <w:rFonts w:hint="default" w:ascii="Times New Roman" w:hAnsi="Calibri" w:eastAsia="宋体" w:cs="Times New Roman"/>
                      <w:color w:val="000000"/>
                      <w:kern w:val="0"/>
                      <w:sz w:val="21"/>
                      <w:szCs w:val="21"/>
                      <w:bdr w:val="none" w:color="auto" w:sz="0" w:space="0"/>
                      <w:lang w:val="en-US" w:eastAsia="zh-CN" w:bidi="ar"/>
                    </w:rPr>
                    <w:t>(SW17)</w:t>
                  </w:r>
                </w:p>
              </w:tc>
              <w:tc>
                <w:tcPr>
                  <w:tcW w:w="1417" w:type="dxa"/>
                  <w:tcBorders>
                    <w:top w:val="single" w:color="auto" w:sz="4" w:space="0"/>
                    <w:left w:val="single" w:color="auto" w:sz="4" w:space="0"/>
                    <w:bottom w:val="single" w:color="auto" w:sz="4" w:space="0"/>
                    <w:right w:val="single" w:color="auto" w:sz="4" w:space="0"/>
                  </w:tcBorders>
                  <w:shd w:val="clear"/>
                  <w:vAlign w:val="center"/>
                </w:tcPr>
                <w:p w14:paraId="6673B05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900-003-S17</w:t>
                  </w:r>
                </w:p>
              </w:tc>
              <w:tc>
                <w:tcPr>
                  <w:tcW w:w="992" w:type="dxa"/>
                  <w:tcBorders>
                    <w:top w:val="single" w:color="auto" w:sz="4" w:space="0"/>
                    <w:left w:val="single" w:color="auto" w:sz="4" w:space="0"/>
                    <w:bottom w:val="single" w:color="auto" w:sz="4" w:space="0"/>
                    <w:right w:val="single" w:color="auto" w:sz="4" w:space="0"/>
                  </w:tcBorders>
                  <w:shd w:val="clear"/>
                  <w:vAlign w:val="center"/>
                </w:tcPr>
                <w:p w14:paraId="2068DBF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0.05</w:t>
                  </w:r>
                </w:p>
              </w:tc>
              <w:tc>
                <w:tcPr>
                  <w:tcW w:w="2276" w:type="dxa"/>
                  <w:vMerge w:val="continue"/>
                  <w:tcBorders>
                    <w:top w:val="single" w:color="auto" w:sz="4" w:space="0"/>
                    <w:left w:val="single" w:color="auto" w:sz="4" w:space="0"/>
                    <w:bottom w:val="single" w:color="auto" w:sz="4" w:space="0"/>
                    <w:right w:val="nil"/>
                  </w:tcBorders>
                  <w:shd w:val="clear"/>
                  <w:vAlign w:val="center"/>
                </w:tcPr>
                <w:p w14:paraId="78C9A949">
                  <w:pPr>
                    <w:rPr>
                      <w:rFonts w:hint="default" w:ascii="Calibri" w:hAnsi="Calibri" w:cs="Calibri"/>
                      <w:sz w:val="20"/>
                      <w:szCs w:val="20"/>
                    </w:rPr>
                  </w:pPr>
                </w:p>
              </w:tc>
            </w:tr>
            <w:tr w14:paraId="2D613DF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66" w:type="dxa"/>
                  <w:vMerge w:val="continue"/>
                  <w:tcBorders>
                    <w:top w:val="nil"/>
                    <w:left w:val="nil"/>
                    <w:bottom w:val="single" w:color="auto" w:sz="4" w:space="0"/>
                    <w:right w:val="single" w:color="auto" w:sz="4" w:space="0"/>
                  </w:tcBorders>
                  <w:shd w:val="clear"/>
                  <w:vAlign w:val="center"/>
                </w:tcPr>
                <w:p w14:paraId="1DDB6B11">
                  <w:pPr>
                    <w:rPr>
                      <w:rFonts w:hint="default" w:ascii="Calibri" w:hAnsi="Calibri" w:cs="Calibri"/>
                      <w:sz w:val="20"/>
                      <w:szCs w:val="20"/>
                    </w:rPr>
                  </w:pPr>
                </w:p>
              </w:tc>
              <w:tc>
                <w:tcPr>
                  <w:tcW w:w="2495" w:type="dxa"/>
                  <w:tcBorders>
                    <w:top w:val="single" w:color="auto" w:sz="4" w:space="0"/>
                    <w:left w:val="single" w:color="auto" w:sz="4" w:space="0"/>
                    <w:bottom w:val="single" w:color="auto" w:sz="4" w:space="0"/>
                    <w:right w:val="single" w:color="auto" w:sz="4" w:space="0"/>
                  </w:tcBorders>
                  <w:shd w:val="clear"/>
                  <w:vAlign w:val="center"/>
                </w:tcPr>
                <w:p w14:paraId="4FC29D8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边角料</w:t>
                  </w:r>
                  <w:r>
                    <w:rPr>
                      <w:rFonts w:hint="default" w:ascii="Times New Roman" w:hAnsi="Calibri" w:eastAsia="宋体" w:cs="Times New Roman"/>
                      <w:color w:val="000000"/>
                      <w:kern w:val="0"/>
                      <w:sz w:val="21"/>
                      <w:szCs w:val="21"/>
                      <w:bdr w:val="none" w:color="auto" w:sz="0" w:space="0"/>
                      <w:lang w:val="en-US" w:eastAsia="zh-CN" w:bidi="ar"/>
                    </w:rPr>
                    <w:t>(SW17)</w:t>
                  </w:r>
                </w:p>
              </w:tc>
              <w:tc>
                <w:tcPr>
                  <w:tcW w:w="1417" w:type="dxa"/>
                  <w:tcBorders>
                    <w:top w:val="single" w:color="auto" w:sz="4" w:space="0"/>
                    <w:left w:val="single" w:color="auto" w:sz="4" w:space="0"/>
                    <w:bottom w:val="single" w:color="auto" w:sz="4" w:space="0"/>
                    <w:right w:val="single" w:color="auto" w:sz="4" w:space="0"/>
                  </w:tcBorders>
                  <w:shd w:val="clear"/>
                  <w:vAlign w:val="center"/>
                </w:tcPr>
                <w:p w14:paraId="5C21675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900-099-S17</w:t>
                  </w:r>
                </w:p>
              </w:tc>
              <w:tc>
                <w:tcPr>
                  <w:tcW w:w="992" w:type="dxa"/>
                  <w:tcBorders>
                    <w:top w:val="single" w:color="auto" w:sz="4" w:space="0"/>
                    <w:left w:val="single" w:color="auto" w:sz="4" w:space="0"/>
                    <w:bottom w:val="single" w:color="auto" w:sz="4" w:space="0"/>
                    <w:right w:val="single" w:color="auto" w:sz="4" w:space="0"/>
                  </w:tcBorders>
                  <w:shd w:val="clear"/>
                  <w:vAlign w:val="center"/>
                </w:tcPr>
                <w:p w14:paraId="3D09766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5</w:t>
                  </w:r>
                </w:p>
              </w:tc>
              <w:tc>
                <w:tcPr>
                  <w:tcW w:w="2276" w:type="dxa"/>
                  <w:vMerge w:val="continue"/>
                  <w:tcBorders>
                    <w:top w:val="single" w:color="auto" w:sz="4" w:space="0"/>
                    <w:left w:val="single" w:color="auto" w:sz="4" w:space="0"/>
                    <w:bottom w:val="single" w:color="auto" w:sz="4" w:space="0"/>
                    <w:right w:val="nil"/>
                  </w:tcBorders>
                  <w:shd w:val="clear"/>
                  <w:vAlign w:val="center"/>
                </w:tcPr>
                <w:p w14:paraId="2BB633CC">
                  <w:pPr>
                    <w:rPr>
                      <w:rFonts w:hint="default" w:ascii="Calibri" w:hAnsi="Calibri" w:cs="Calibri"/>
                      <w:sz w:val="20"/>
                      <w:szCs w:val="20"/>
                    </w:rPr>
                  </w:pPr>
                </w:p>
              </w:tc>
            </w:tr>
            <w:tr w14:paraId="60370CC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66" w:type="dxa"/>
                  <w:vMerge w:val="continue"/>
                  <w:tcBorders>
                    <w:top w:val="nil"/>
                    <w:left w:val="nil"/>
                    <w:bottom w:val="single" w:color="auto" w:sz="4" w:space="0"/>
                    <w:right w:val="single" w:color="auto" w:sz="4" w:space="0"/>
                  </w:tcBorders>
                  <w:shd w:val="clear"/>
                  <w:vAlign w:val="center"/>
                </w:tcPr>
                <w:p w14:paraId="309A08DC">
                  <w:pPr>
                    <w:rPr>
                      <w:rFonts w:hint="default" w:ascii="Calibri" w:hAnsi="Calibri" w:cs="Calibri"/>
                      <w:sz w:val="20"/>
                      <w:szCs w:val="20"/>
                    </w:rPr>
                  </w:pPr>
                </w:p>
              </w:tc>
              <w:tc>
                <w:tcPr>
                  <w:tcW w:w="2495" w:type="dxa"/>
                  <w:tcBorders>
                    <w:top w:val="single" w:color="auto" w:sz="4" w:space="0"/>
                    <w:left w:val="single" w:color="auto" w:sz="4" w:space="0"/>
                    <w:bottom w:val="single" w:color="auto" w:sz="4" w:space="0"/>
                    <w:right w:val="single" w:color="auto" w:sz="4" w:space="0"/>
                  </w:tcBorders>
                  <w:shd w:val="clear"/>
                  <w:vAlign w:val="center"/>
                </w:tcPr>
                <w:p w14:paraId="36D964C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不合格品</w:t>
                  </w:r>
                  <w:r>
                    <w:rPr>
                      <w:rFonts w:hint="default" w:ascii="Times New Roman" w:hAnsi="Calibri" w:eastAsia="宋体" w:cs="Times New Roman"/>
                      <w:color w:val="000000"/>
                      <w:kern w:val="0"/>
                      <w:sz w:val="21"/>
                      <w:szCs w:val="21"/>
                      <w:bdr w:val="none" w:color="auto" w:sz="0" w:space="0"/>
                      <w:lang w:val="en-US" w:eastAsia="zh-CN" w:bidi="ar"/>
                    </w:rPr>
                    <w:t>(SW17)</w:t>
                  </w:r>
                </w:p>
              </w:tc>
              <w:tc>
                <w:tcPr>
                  <w:tcW w:w="1417" w:type="dxa"/>
                  <w:tcBorders>
                    <w:top w:val="single" w:color="auto" w:sz="4" w:space="0"/>
                    <w:left w:val="single" w:color="auto" w:sz="4" w:space="0"/>
                    <w:bottom w:val="single" w:color="auto" w:sz="4" w:space="0"/>
                    <w:right w:val="single" w:color="auto" w:sz="4" w:space="0"/>
                  </w:tcBorders>
                  <w:shd w:val="clear"/>
                  <w:vAlign w:val="center"/>
                </w:tcPr>
                <w:p w14:paraId="292C4BE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900-099-S17</w:t>
                  </w:r>
                </w:p>
              </w:tc>
              <w:tc>
                <w:tcPr>
                  <w:tcW w:w="992" w:type="dxa"/>
                  <w:tcBorders>
                    <w:top w:val="single" w:color="auto" w:sz="4" w:space="0"/>
                    <w:left w:val="single" w:color="auto" w:sz="4" w:space="0"/>
                    <w:bottom w:val="single" w:color="auto" w:sz="4" w:space="0"/>
                    <w:right w:val="single" w:color="auto" w:sz="4" w:space="0"/>
                  </w:tcBorders>
                  <w:shd w:val="clear"/>
                  <w:vAlign w:val="center"/>
                </w:tcPr>
                <w:p w14:paraId="2C1AAE3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0.8</w:t>
                  </w:r>
                </w:p>
              </w:tc>
              <w:tc>
                <w:tcPr>
                  <w:tcW w:w="2276" w:type="dxa"/>
                  <w:vMerge w:val="continue"/>
                  <w:tcBorders>
                    <w:top w:val="single" w:color="auto" w:sz="4" w:space="0"/>
                    <w:left w:val="single" w:color="auto" w:sz="4" w:space="0"/>
                    <w:bottom w:val="single" w:color="auto" w:sz="4" w:space="0"/>
                    <w:right w:val="nil"/>
                  </w:tcBorders>
                  <w:shd w:val="clear"/>
                  <w:vAlign w:val="center"/>
                </w:tcPr>
                <w:p w14:paraId="6AE02960">
                  <w:pPr>
                    <w:rPr>
                      <w:rFonts w:hint="default" w:ascii="Calibri" w:hAnsi="Calibri" w:cs="Calibri"/>
                      <w:sz w:val="20"/>
                      <w:szCs w:val="20"/>
                    </w:rPr>
                  </w:pPr>
                </w:p>
              </w:tc>
            </w:tr>
            <w:tr w14:paraId="3728AAF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66" w:type="dxa"/>
                  <w:vMerge w:val="continue"/>
                  <w:tcBorders>
                    <w:top w:val="nil"/>
                    <w:left w:val="nil"/>
                    <w:bottom w:val="single" w:color="auto" w:sz="4" w:space="0"/>
                    <w:right w:val="single" w:color="auto" w:sz="4" w:space="0"/>
                  </w:tcBorders>
                  <w:shd w:val="clear"/>
                  <w:vAlign w:val="center"/>
                </w:tcPr>
                <w:p w14:paraId="19BEFF82">
                  <w:pPr>
                    <w:rPr>
                      <w:rFonts w:hint="default" w:ascii="Calibri" w:hAnsi="Calibri" w:cs="Calibri"/>
                      <w:sz w:val="20"/>
                      <w:szCs w:val="20"/>
                    </w:rPr>
                  </w:pPr>
                </w:p>
              </w:tc>
              <w:tc>
                <w:tcPr>
                  <w:tcW w:w="2495" w:type="dxa"/>
                  <w:tcBorders>
                    <w:top w:val="single" w:color="auto" w:sz="4" w:space="0"/>
                    <w:left w:val="single" w:color="auto" w:sz="4" w:space="0"/>
                    <w:bottom w:val="single" w:color="auto" w:sz="4" w:space="0"/>
                    <w:right w:val="single" w:color="auto" w:sz="4" w:space="0"/>
                  </w:tcBorders>
                  <w:shd w:val="clear"/>
                  <w:vAlign w:val="center"/>
                </w:tcPr>
                <w:p w14:paraId="15AE2F7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雕刻打磨工序除尘器收集粉尘</w:t>
                  </w:r>
                  <w:r>
                    <w:rPr>
                      <w:rFonts w:hint="default" w:ascii="Times New Roman" w:hAnsi="Calibri" w:eastAsia="宋体" w:cs="Times New Roman"/>
                      <w:color w:val="000000"/>
                      <w:kern w:val="0"/>
                      <w:sz w:val="21"/>
                      <w:szCs w:val="21"/>
                      <w:bdr w:val="none" w:color="auto" w:sz="0" w:space="0"/>
                      <w:lang w:val="en-US" w:eastAsia="zh-CN" w:bidi="ar"/>
                    </w:rPr>
                    <w:t>(SW59)</w:t>
                  </w:r>
                </w:p>
              </w:tc>
              <w:tc>
                <w:tcPr>
                  <w:tcW w:w="1417" w:type="dxa"/>
                  <w:tcBorders>
                    <w:top w:val="single" w:color="auto" w:sz="4" w:space="0"/>
                    <w:left w:val="single" w:color="auto" w:sz="4" w:space="0"/>
                    <w:bottom w:val="single" w:color="auto" w:sz="4" w:space="0"/>
                    <w:right w:val="single" w:color="auto" w:sz="4" w:space="0"/>
                  </w:tcBorders>
                  <w:shd w:val="clear"/>
                  <w:vAlign w:val="center"/>
                </w:tcPr>
                <w:p w14:paraId="2B1B406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900-099-S59</w:t>
                  </w:r>
                </w:p>
              </w:tc>
              <w:tc>
                <w:tcPr>
                  <w:tcW w:w="992" w:type="dxa"/>
                  <w:tcBorders>
                    <w:top w:val="single" w:color="auto" w:sz="4" w:space="0"/>
                    <w:left w:val="single" w:color="auto" w:sz="4" w:space="0"/>
                    <w:bottom w:val="single" w:color="auto" w:sz="4" w:space="0"/>
                    <w:right w:val="single" w:color="auto" w:sz="4" w:space="0"/>
                  </w:tcBorders>
                  <w:shd w:val="clear"/>
                  <w:vAlign w:val="center"/>
                </w:tcPr>
                <w:p w14:paraId="535F256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0.855</w:t>
                  </w:r>
                </w:p>
              </w:tc>
              <w:tc>
                <w:tcPr>
                  <w:tcW w:w="2276" w:type="dxa"/>
                  <w:vMerge w:val="continue"/>
                  <w:tcBorders>
                    <w:top w:val="single" w:color="auto" w:sz="4" w:space="0"/>
                    <w:left w:val="single" w:color="auto" w:sz="4" w:space="0"/>
                    <w:bottom w:val="single" w:color="auto" w:sz="4" w:space="0"/>
                    <w:right w:val="nil"/>
                  </w:tcBorders>
                  <w:shd w:val="clear"/>
                  <w:vAlign w:val="center"/>
                </w:tcPr>
                <w:p w14:paraId="02335D15">
                  <w:pPr>
                    <w:rPr>
                      <w:rFonts w:hint="default" w:ascii="Calibri" w:hAnsi="Calibri" w:cs="Calibri"/>
                      <w:sz w:val="20"/>
                      <w:szCs w:val="20"/>
                    </w:rPr>
                  </w:pPr>
                </w:p>
              </w:tc>
            </w:tr>
            <w:tr w14:paraId="566FB9F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66" w:type="dxa"/>
                  <w:vMerge w:val="restart"/>
                  <w:tcBorders>
                    <w:top w:val="single" w:color="auto" w:sz="4" w:space="0"/>
                    <w:left w:val="nil"/>
                    <w:bottom w:val="single" w:color="auto" w:sz="8" w:space="0"/>
                    <w:right w:val="single" w:color="auto" w:sz="4" w:space="0"/>
                  </w:tcBorders>
                  <w:shd w:val="clear"/>
                  <w:vAlign w:val="center"/>
                </w:tcPr>
                <w:p w14:paraId="690622D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危险废物</w:t>
                  </w:r>
                </w:p>
              </w:tc>
              <w:tc>
                <w:tcPr>
                  <w:tcW w:w="2495" w:type="dxa"/>
                  <w:tcBorders>
                    <w:top w:val="single" w:color="auto" w:sz="4" w:space="0"/>
                    <w:left w:val="single" w:color="auto" w:sz="4" w:space="0"/>
                    <w:bottom w:val="single" w:color="auto" w:sz="4" w:space="0"/>
                    <w:right w:val="single" w:color="auto" w:sz="4" w:space="0"/>
                  </w:tcBorders>
                  <w:shd w:val="clear"/>
                  <w:vAlign w:val="center"/>
                </w:tcPr>
                <w:p w14:paraId="12A92BB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废背胶处理剂空瓶</w:t>
                  </w:r>
                  <w:r>
                    <w:rPr>
                      <w:rFonts w:hint="default" w:ascii="Times New Roman" w:hAnsi="Calibri" w:eastAsia="宋体" w:cs="Times New Roman"/>
                      <w:color w:val="000000"/>
                      <w:kern w:val="0"/>
                      <w:sz w:val="21"/>
                      <w:szCs w:val="21"/>
                      <w:bdr w:val="none" w:color="auto" w:sz="0" w:space="0"/>
                      <w:lang w:val="en-US" w:eastAsia="zh-CN" w:bidi="ar"/>
                    </w:rPr>
                    <w:t>(HW49)</w:t>
                  </w:r>
                </w:p>
              </w:tc>
              <w:tc>
                <w:tcPr>
                  <w:tcW w:w="1417" w:type="dxa"/>
                  <w:tcBorders>
                    <w:top w:val="single" w:color="auto" w:sz="4" w:space="0"/>
                    <w:left w:val="single" w:color="auto" w:sz="4" w:space="0"/>
                    <w:bottom w:val="single" w:color="auto" w:sz="4" w:space="0"/>
                    <w:right w:val="single" w:color="auto" w:sz="4" w:space="0"/>
                  </w:tcBorders>
                  <w:shd w:val="clear"/>
                  <w:vAlign w:val="center"/>
                </w:tcPr>
                <w:p w14:paraId="2B75A79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900-041-49</w:t>
                  </w:r>
                </w:p>
              </w:tc>
              <w:tc>
                <w:tcPr>
                  <w:tcW w:w="992" w:type="dxa"/>
                  <w:tcBorders>
                    <w:top w:val="single" w:color="auto" w:sz="4" w:space="0"/>
                    <w:left w:val="single" w:color="auto" w:sz="4" w:space="0"/>
                    <w:bottom w:val="single" w:color="auto" w:sz="4" w:space="0"/>
                    <w:right w:val="single" w:color="auto" w:sz="4" w:space="0"/>
                  </w:tcBorders>
                  <w:shd w:val="clear"/>
                  <w:vAlign w:val="center"/>
                </w:tcPr>
                <w:p w14:paraId="76D24EF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0.045</w:t>
                  </w:r>
                </w:p>
              </w:tc>
              <w:tc>
                <w:tcPr>
                  <w:tcW w:w="2276" w:type="dxa"/>
                  <w:vMerge w:val="restart"/>
                  <w:tcBorders>
                    <w:top w:val="single" w:color="auto" w:sz="4" w:space="0"/>
                    <w:left w:val="single" w:color="auto" w:sz="4" w:space="0"/>
                    <w:bottom w:val="single" w:color="auto" w:sz="4" w:space="0"/>
                    <w:right w:val="nil"/>
                  </w:tcBorders>
                  <w:shd w:val="clear"/>
                  <w:vAlign w:val="center"/>
                </w:tcPr>
                <w:p w14:paraId="45413136">
                  <w:pPr>
                    <w:keepNext w:val="0"/>
                    <w:keepLines w:val="0"/>
                    <w:widowControl w:val="0"/>
                    <w:suppressLineNumbers w:val="0"/>
                    <w:adjustRightInd w:val="0"/>
                    <w:snapToGrid w:val="0"/>
                    <w:spacing w:before="0" w:beforeAutospacing="0" w:after="0" w:afterAutospacing="0" w:line="300" w:lineRule="exact"/>
                    <w:ind w:left="0" w:right="0"/>
                    <w:jc w:val="center"/>
                    <w:rPr>
                      <w:color w:val="000000"/>
                      <w:bdr w:val="none" w:color="auto" w:sz="0" w:space="0"/>
                      <w:lang w:val="en-US"/>
                    </w:rPr>
                  </w:pPr>
                  <w:r>
                    <w:rPr>
                      <w:rFonts w:hint="eastAsia" w:ascii="Calibri" w:hAnsi="Calibri" w:eastAsia="宋体" w:cs="宋体"/>
                      <w:color w:val="000000"/>
                      <w:kern w:val="2"/>
                      <w:sz w:val="21"/>
                      <w:szCs w:val="24"/>
                      <w:bdr w:val="none" w:color="auto" w:sz="0" w:space="0"/>
                      <w:lang w:val="en-US" w:eastAsia="zh-CN" w:bidi="ar"/>
                    </w:rPr>
                    <w:t>分类收集暂存于危废贮存库，定期交有危险废物处理资质的单位处理。</w:t>
                  </w:r>
                </w:p>
              </w:tc>
            </w:tr>
            <w:tr w14:paraId="6A0726B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66" w:type="dxa"/>
                  <w:vMerge w:val="continue"/>
                  <w:tcBorders>
                    <w:top w:val="single" w:color="auto" w:sz="4" w:space="0"/>
                    <w:left w:val="nil"/>
                    <w:bottom w:val="single" w:color="auto" w:sz="8" w:space="0"/>
                    <w:right w:val="single" w:color="auto" w:sz="4" w:space="0"/>
                  </w:tcBorders>
                  <w:shd w:val="clear"/>
                  <w:vAlign w:val="center"/>
                </w:tcPr>
                <w:p w14:paraId="3B728BE8">
                  <w:pPr>
                    <w:rPr>
                      <w:rFonts w:hint="default" w:ascii="Calibri" w:hAnsi="Calibri" w:cs="Calibri"/>
                      <w:sz w:val="20"/>
                      <w:szCs w:val="20"/>
                    </w:rPr>
                  </w:pPr>
                </w:p>
              </w:tc>
              <w:tc>
                <w:tcPr>
                  <w:tcW w:w="2495" w:type="dxa"/>
                  <w:tcBorders>
                    <w:top w:val="single" w:color="auto" w:sz="4" w:space="0"/>
                    <w:left w:val="single" w:color="auto" w:sz="4" w:space="0"/>
                    <w:bottom w:val="single" w:color="auto" w:sz="4" w:space="0"/>
                    <w:right w:val="single" w:color="auto" w:sz="4" w:space="0"/>
                  </w:tcBorders>
                  <w:shd w:val="clear"/>
                  <w:vAlign w:val="center"/>
                </w:tcPr>
                <w:p w14:paraId="6574F5A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废活性炭</w:t>
                  </w:r>
                  <w:r>
                    <w:rPr>
                      <w:rFonts w:hint="default" w:ascii="Times New Roman" w:hAnsi="Calibri" w:eastAsia="宋体" w:cs="Times New Roman"/>
                      <w:color w:val="000000"/>
                      <w:kern w:val="0"/>
                      <w:sz w:val="21"/>
                      <w:szCs w:val="21"/>
                      <w:bdr w:val="none" w:color="auto" w:sz="0" w:space="0"/>
                      <w:lang w:val="en-US" w:eastAsia="zh-CN" w:bidi="ar"/>
                    </w:rPr>
                    <w:t>(HW49)</w:t>
                  </w:r>
                </w:p>
              </w:tc>
              <w:tc>
                <w:tcPr>
                  <w:tcW w:w="1417" w:type="dxa"/>
                  <w:tcBorders>
                    <w:top w:val="single" w:color="auto" w:sz="4" w:space="0"/>
                    <w:left w:val="single" w:color="auto" w:sz="4" w:space="0"/>
                    <w:bottom w:val="single" w:color="auto" w:sz="4" w:space="0"/>
                    <w:right w:val="single" w:color="auto" w:sz="4" w:space="0"/>
                  </w:tcBorders>
                  <w:shd w:val="clear"/>
                  <w:vAlign w:val="center"/>
                </w:tcPr>
                <w:p w14:paraId="1C7F982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900-039-49</w:t>
                  </w:r>
                </w:p>
              </w:tc>
              <w:tc>
                <w:tcPr>
                  <w:tcW w:w="992" w:type="dxa"/>
                  <w:tcBorders>
                    <w:top w:val="single" w:color="auto" w:sz="4" w:space="0"/>
                    <w:left w:val="single" w:color="auto" w:sz="4" w:space="0"/>
                    <w:bottom w:val="single" w:color="auto" w:sz="4" w:space="0"/>
                    <w:right w:val="single" w:color="auto" w:sz="4" w:space="0"/>
                  </w:tcBorders>
                  <w:shd w:val="clear"/>
                  <w:vAlign w:val="center"/>
                </w:tcPr>
                <w:p w14:paraId="140388F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2.494</w:t>
                  </w:r>
                </w:p>
              </w:tc>
              <w:tc>
                <w:tcPr>
                  <w:tcW w:w="2276" w:type="dxa"/>
                  <w:vMerge w:val="continue"/>
                  <w:tcBorders>
                    <w:top w:val="single" w:color="auto" w:sz="4" w:space="0"/>
                    <w:left w:val="single" w:color="auto" w:sz="4" w:space="0"/>
                    <w:bottom w:val="single" w:color="auto" w:sz="4" w:space="0"/>
                    <w:right w:val="nil"/>
                  </w:tcBorders>
                  <w:shd w:val="clear"/>
                  <w:vAlign w:val="center"/>
                </w:tcPr>
                <w:p w14:paraId="0871984D">
                  <w:pPr>
                    <w:rPr>
                      <w:rFonts w:hint="default" w:ascii="Calibri" w:hAnsi="Calibri" w:cs="Calibri"/>
                      <w:sz w:val="20"/>
                      <w:szCs w:val="20"/>
                    </w:rPr>
                  </w:pPr>
                </w:p>
              </w:tc>
            </w:tr>
            <w:tr w14:paraId="088D4E9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66" w:type="dxa"/>
                  <w:vMerge w:val="continue"/>
                  <w:tcBorders>
                    <w:top w:val="single" w:color="auto" w:sz="4" w:space="0"/>
                    <w:left w:val="nil"/>
                    <w:bottom w:val="single" w:color="auto" w:sz="8" w:space="0"/>
                    <w:right w:val="single" w:color="auto" w:sz="4" w:space="0"/>
                  </w:tcBorders>
                  <w:shd w:val="clear"/>
                  <w:vAlign w:val="center"/>
                </w:tcPr>
                <w:p w14:paraId="292D87A6">
                  <w:pPr>
                    <w:rPr>
                      <w:rFonts w:hint="default" w:ascii="Calibri" w:hAnsi="Calibri" w:cs="Calibri"/>
                      <w:sz w:val="20"/>
                      <w:szCs w:val="20"/>
                    </w:rPr>
                  </w:pPr>
                </w:p>
              </w:tc>
              <w:tc>
                <w:tcPr>
                  <w:tcW w:w="2495" w:type="dxa"/>
                  <w:tcBorders>
                    <w:top w:val="single" w:color="auto" w:sz="4" w:space="0"/>
                    <w:left w:val="single" w:color="auto" w:sz="4" w:space="0"/>
                    <w:bottom w:val="single" w:color="auto" w:sz="4" w:space="0"/>
                    <w:right w:val="single" w:color="auto" w:sz="4" w:space="0"/>
                  </w:tcBorders>
                  <w:shd w:val="clear"/>
                  <w:vAlign w:val="center"/>
                </w:tcPr>
                <w:p w14:paraId="567D62F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废</w:t>
                  </w:r>
                  <w:r>
                    <w:rPr>
                      <w:rFonts w:hint="default" w:ascii="Times New Roman" w:hAnsi="Calibri" w:eastAsia="宋体" w:cs="Times New Roman"/>
                      <w:color w:val="000000"/>
                      <w:kern w:val="0"/>
                      <w:sz w:val="21"/>
                      <w:szCs w:val="21"/>
                      <w:bdr w:val="none" w:color="auto" w:sz="0" w:space="0"/>
                      <w:lang w:val="en-US" w:eastAsia="zh-CN" w:bidi="ar"/>
                    </w:rPr>
                    <w:t>UV</w:t>
                  </w:r>
                  <w:r>
                    <w:rPr>
                      <w:rFonts w:hint="eastAsia" w:ascii="Times New Roman" w:hAnsi="Calibri" w:eastAsia="宋体" w:cs="宋体"/>
                      <w:color w:val="000000"/>
                      <w:kern w:val="0"/>
                      <w:sz w:val="21"/>
                      <w:szCs w:val="21"/>
                      <w:bdr w:val="none" w:color="auto" w:sz="0" w:space="0"/>
                      <w:lang w:val="en-US" w:eastAsia="zh-CN" w:bidi="ar"/>
                    </w:rPr>
                    <w:t>灯管</w:t>
                  </w:r>
                  <w:r>
                    <w:rPr>
                      <w:rFonts w:hint="default" w:ascii="Times New Roman" w:hAnsi="Calibri" w:eastAsia="宋体" w:cs="Times New Roman"/>
                      <w:color w:val="000000"/>
                      <w:kern w:val="0"/>
                      <w:sz w:val="21"/>
                      <w:szCs w:val="21"/>
                      <w:bdr w:val="none" w:color="auto" w:sz="0" w:space="0"/>
                      <w:lang w:val="en-US" w:eastAsia="zh-CN" w:bidi="ar"/>
                    </w:rPr>
                    <w:t>(HW29)</w:t>
                  </w:r>
                </w:p>
              </w:tc>
              <w:tc>
                <w:tcPr>
                  <w:tcW w:w="1417" w:type="dxa"/>
                  <w:tcBorders>
                    <w:top w:val="single" w:color="auto" w:sz="4" w:space="0"/>
                    <w:left w:val="single" w:color="auto" w:sz="4" w:space="0"/>
                    <w:bottom w:val="single" w:color="auto" w:sz="4" w:space="0"/>
                    <w:right w:val="single" w:color="auto" w:sz="4" w:space="0"/>
                  </w:tcBorders>
                  <w:shd w:val="clear"/>
                  <w:vAlign w:val="center"/>
                </w:tcPr>
                <w:p w14:paraId="530F8F6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900-023-29</w:t>
                  </w:r>
                </w:p>
              </w:tc>
              <w:tc>
                <w:tcPr>
                  <w:tcW w:w="992" w:type="dxa"/>
                  <w:tcBorders>
                    <w:top w:val="single" w:color="auto" w:sz="4" w:space="0"/>
                    <w:left w:val="single" w:color="auto" w:sz="4" w:space="0"/>
                    <w:bottom w:val="single" w:color="auto" w:sz="4" w:space="0"/>
                    <w:right w:val="single" w:color="auto" w:sz="4" w:space="0"/>
                  </w:tcBorders>
                  <w:shd w:val="clear"/>
                  <w:vAlign w:val="center"/>
                </w:tcPr>
                <w:p w14:paraId="35BD558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0.05</w:t>
                  </w:r>
                </w:p>
              </w:tc>
              <w:tc>
                <w:tcPr>
                  <w:tcW w:w="2276" w:type="dxa"/>
                  <w:vMerge w:val="continue"/>
                  <w:tcBorders>
                    <w:top w:val="single" w:color="auto" w:sz="4" w:space="0"/>
                    <w:left w:val="single" w:color="auto" w:sz="4" w:space="0"/>
                    <w:bottom w:val="single" w:color="auto" w:sz="4" w:space="0"/>
                    <w:right w:val="nil"/>
                  </w:tcBorders>
                  <w:shd w:val="clear"/>
                  <w:vAlign w:val="center"/>
                </w:tcPr>
                <w:p w14:paraId="2ABAE3D1">
                  <w:pPr>
                    <w:rPr>
                      <w:rFonts w:hint="default" w:ascii="Calibri" w:hAnsi="Calibri" w:cs="Calibri"/>
                      <w:sz w:val="20"/>
                      <w:szCs w:val="20"/>
                    </w:rPr>
                  </w:pPr>
                </w:p>
              </w:tc>
            </w:tr>
            <w:tr w14:paraId="154EF05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66" w:type="dxa"/>
                  <w:vMerge w:val="continue"/>
                  <w:tcBorders>
                    <w:top w:val="single" w:color="auto" w:sz="4" w:space="0"/>
                    <w:left w:val="nil"/>
                    <w:bottom w:val="single" w:color="auto" w:sz="8" w:space="0"/>
                    <w:right w:val="single" w:color="auto" w:sz="4" w:space="0"/>
                  </w:tcBorders>
                  <w:shd w:val="clear"/>
                  <w:vAlign w:val="center"/>
                </w:tcPr>
                <w:p w14:paraId="718F9AE0">
                  <w:pPr>
                    <w:rPr>
                      <w:rFonts w:hint="default" w:ascii="Calibri" w:hAnsi="Calibri" w:cs="Calibri"/>
                      <w:sz w:val="20"/>
                      <w:szCs w:val="20"/>
                    </w:rPr>
                  </w:pPr>
                </w:p>
              </w:tc>
              <w:tc>
                <w:tcPr>
                  <w:tcW w:w="2495" w:type="dxa"/>
                  <w:tcBorders>
                    <w:top w:val="single" w:color="auto" w:sz="4" w:space="0"/>
                    <w:left w:val="single" w:color="auto" w:sz="4" w:space="0"/>
                    <w:bottom w:val="single" w:color="auto" w:sz="4" w:space="0"/>
                    <w:right w:val="single" w:color="auto" w:sz="4" w:space="0"/>
                  </w:tcBorders>
                  <w:shd w:val="clear"/>
                  <w:vAlign w:val="center"/>
                </w:tcPr>
                <w:p w14:paraId="4C5FB56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含油手套、废棉纱</w:t>
                  </w:r>
                  <w:r>
                    <w:rPr>
                      <w:rFonts w:hint="default" w:ascii="Times New Roman" w:hAnsi="Calibri" w:eastAsia="宋体" w:cs="Times New Roman"/>
                      <w:color w:val="000000"/>
                      <w:kern w:val="0"/>
                      <w:sz w:val="21"/>
                      <w:szCs w:val="21"/>
                      <w:bdr w:val="none" w:color="auto" w:sz="0" w:space="0"/>
                      <w:lang w:val="en-US" w:eastAsia="zh-CN" w:bidi="ar"/>
                    </w:rPr>
                    <w:t>(HW49)</w:t>
                  </w:r>
                </w:p>
              </w:tc>
              <w:tc>
                <w:tcPr>
                  <w:tcW w:w="1417" w:type="dxa"/>
                  <w:tcBorders>
                    <w:top w:val="single" w:color="auto" w:sz="4" w:space="0"/>
                    <w:left w:val="single" w:color="auto" w:sz="4" w:space="0"/>
                    <w:bottom w:val="single" w:color="auto" w:sz="4" w:space="0"/>
                    <w:right w:val="single" w:color="auto" w:sz="4" w:space="0"/>
                  </w:tcBorders>
                  <w:shd w:val="clear"/>
                  <w:vAlign w:val="center"/>
                </w:tcPr>
                <w:p w14:paraId="6092D70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900-041-49</w:t>
                  </w:r>
                </w:p>
              </w:tc>
              <w:tc>
                <w:tcPr>
                  <w:tcW w:w="992" w:type="dxa"/>
                  <w:tcBorders>
                    <w:top w:val="single" w:color="auto" w:sz="4" w:space="0"/>
                    <w:left w:val="single" w:color="auto" w:sz="4" w:space="0"/>
                    <w:bottom w:val="single" w:color="auto" w:sz="4" w:space="0"/>
                    <w:right w:val="single" w:color="auto" w:sz="4" w:space="0"/>
                  </w:tcBorders>
                  <w:shd w:val="clear"/>
                  <w:vAlign w:val="center"/>
                </w:tcPr>
                <w:p w14:paraId="4F3C903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0.001</w:t>
                  </w:r>
                </w:p>
              </w:tc>
              <w:tc>
                <w:tcPr>
                  <w:tcW w:w="2276" w:type="dxa"/>
                  <w:vMerge w:val="continue"/>
                  <w:tcBorders>
                    <w:top w:val="single" w:color="auto" w:sz="4" w:space="0"/>
                    <w:left w:val="single" w:color="auto" w:sz="4" w:space="0"/>
                    <w:bottom w:val="single" w:color="auto" w:sz="4" w:space="0"/>
                    <w:right w:val="nil"/>
                  </w:tcBorders>
                  <w:shd w:val="clear"/>
                  <w:vAlign w:val="center"/>
                </w:tcPr>
                <w:p w14:paraId="5947C8AC">
                  <w:pPr>
                    <w:rPr>
                      <w:rFonts w:hint="default" w:ascii="Calibri" w:hAnsi="Calibri" w:cs="Calibri"/>
                      <w:sz w:val="20"/>
                      <w:szCs w:val="20"/>
                    </w:rPr>
                  </w:pPr>
                </w:p>
              </w:tc>
            </w:tr>
            <w:tr w14:paraId="3F3F338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66" w:type="dxa"/>
                  <w:vMerge w:val="continue"/>
                  <w:tcBorders>
                    <w:top w:val="single" w:color="auto" w:sz="4" w:space="0"/>
                    <w:left w:val="nil"/>
                    <w:bottom w:val="single" w:color="auto" w:sz="8" w:space="0"/>
                    <w:right w:val="single" w:color="auto" w:sz="4" w:space="0"/>
                  </w:tcBorders>
                  <w:shd w:val="clear"/>
                  <w:vAlign w:val="center"/>
                </w:tcPr>
                <w:p w14:paraId="21B733D2">
                  <w:pPr>
                    <w:rPr>
                      <w:rFonts w:hint="default" w:ascii="Calibri" w:hAnsi="Calibri" w:cs="Calibri"/>
                      <w:sz w:val="20"/>
                      <w:szCs w:val="20"/>
                    </w:rPr>
                  </w:pPr>
                </w:p>
              </w:tc>
              <w:tc>
                <w:tcPr>
                  <w:tcW w:w="2495" w:type="dxa"/>
                  <w:tcBorders>
                    <w:top w:val="single" w:color="auto" w:sz="4" w:space="0"/>
                    <w:left w:val="single" w:color="auto" w:sz="4" w:space="0"/>
                    <w:bottom w:val="single" w:color="auto" w:sz="4" w:space="0"/>
                    <w:right w:val="single" w:color="auto" w:sz="4" w:space="0"/>
                  </w:tcBorders>
                  <w:shd w:val="clear"/>
                  <w:vAlign w:val="center"/>
                </w:tcPr>
                <w:p w14:paraId="1D41DEE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涂胶切割工序布袋除尘器收集粉尘</w:t>
                  </w:r>
                  <w:r>
                    <w:rPr>
                      <w:rFonts w:hint="default" w:ascii="Times New Roman" w:hAnsi="Calibri" w:eastAsia="宋体" w:cs="Times New Roman"/>
                      <w:color w:val="000000"/>
                      <w:kern w:val="0"/>
                      <w:sz w:val="21"/>
                      <w:szCs w:val="21"/>
                      <w:bdr w:val="none" w:color="auto" w:sz="0" w:space="0"/>
                      <w:lang w:val="en-US" w:eastAsia="zh-CN" w:bidi="ar"/>
                    </w:rPr>
                    <w:t>(HW49)</w:t>
                  </w:r>
                </w:p>
              </w:tc>
              <w:tc>
                <w:tcPr>
                  <w:tcW w:w="1417" w:type="dxa"/>
                  <w:tcBorders>
                    <w:top w:val="single" w:color="auto" w:sz="4" w:space="0"/>
                    <w:left w:val="single" w:color="auto" w:sz="4" w:space="0"/>
                    <w:bottom w:val="single" w:color="auto" w:sz="4" w:space="0"/>
                    <w:right w:val="single" w:color="auto" w:sz="4" w:space="0"/>
                  </w:tcBorders>
                  <w:shd w:val="clear"/>
                  <w:vAlign w:val="center"/>
                </w:tcPr>
                <w:p w14:paraId="60713E2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900-041-49</w:t>
                  </w:r>
                </w:p>
              </w:tc>
              <w:tc>
                <w:tcPr>
                  <w:tcW w:w="992" w:type="dxa"/>
                  <w:tcBorders>
                    <w:top w:val="single" w:color="auto" w:sz="4" w:space="0"/>
                    <w:left w:val="single" w:color="auto" w:sz="4" w:space="0"/>
                    <w:bottom w:val="single" w:color="auto" w:sz="4" w:space="0"/>
                    <w:right w:val="single" w:color="auto" w:sz="4" w:space="0"/>
                  </w:tcBorders>
                  <w:shd w:val="clear"/>
                  <w:vAlign w:val="center"/>
                </w:tcPr>
                <w:p w14:paraId="4782196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0.023</w:t>
                  </w:r>
                </w:p>
              </w:tc>
              <w:tc>
                <w:tcPr>
                  <w:tcW w:w="2276" w:type="dxa"/>
                  <w:vMerge w:val="continue"/>
                  <w:tcBorders>
                    <w:top w:val="single" w:color="auto" w:sz="4" w:space="0"/>
                    <w:left w:val="single" w:color="auto" w:sz="4" w:space="0"/>
                    <w:bottom w:val="single" w:color="auto" w:sz="4" w:space="0"/>
                    <w:right w:val="nil"/>
                  </w:tcBorders>
                  <w:shd w:val="clear"/>
                  <w:vAlign w:val="center"/>
                </w:tcPr>
                <w:p w14:paraId="49BFCF7A">
                  <w:pPr>
                    <w:rPr>
                      <w:rFonts w:hint="default" w:ascii="Calibri" w:hAnsi="Calibri" w:cs="Calibri"/>
                      <w:sz w:val="20"/>
                      <w:szCs w:val="20"/>
                    </w:rPr>
                  </w:pPr>
                </w:p>
              </w:tc>
            </w:tr>
            <w:tr w14:paraId="1794822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66" w:type="dxa"/>
                  <w:vMerge w:val="continue"/>
                  <w:tcBorders>
                    <w:top w:val="single" w:color="auto" w:sz="4" w:space="0"/>
                    <w:left w:val="nil"/>
                    <w:bottom w:val="single" w:color="auto" w:sz="8" w:space="0"/>
                    <w:right w:val="single" w:color="auto" w:sz="4" w:space="0"/>
                  </w:tcBorders>
                  <w:shd w:val="clear"/>
                  <w:vAlign w:val="center"/>
                </w:tcPr>
                <w:p w14:paraId="56F891CF">
                  <w:pPr>
                    <w:rPr>
                      <w:rFonts w:hint="default" w:ascii="Calibri" w:hAnsi="Calibri" w:cs="Calibri"/>
                      <w:sz w:val="20"/>
                      <w:szCs w:val="20"/>
                    </w:rPr>
                  </w:pPr>
                </w:p>
              </w:tc>
              <w:tc>
                <w:tcPr>
                  <w:tcW w:w="2495" w:type="dxa"/>
                  <w:tcBorders>
                    <w:top w:val="single" w:color="auto" w:sz="4" w:space="0"/>
                    <w:left w:val="single" w:color="auto" w:sz="4" w:space="0"/>
                    <w:bottom w:val="single" w:color="auto" w:sz="4" w:space="0"/>
                    <w:right w:val="single" w:color="auto" w:sz="4" w:space="0"/>
                  </w:tcBorders>
                  <w:shd w:val="clear"/>
                  <w:vAlign w:val="center"/>
                </w:tcPr>
                <w:p w14:paraId="0D2E54B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废油桶</w:t>
                  </w:r>
                  <w:r>
                    <w:rPr>
                      <w:rFonts w:hint="default" w:ascii="Times New Roman" w:hAnsi="Calibri" w:eastAsia="宋体" w:cs="Times New Roman"/>
                      <w:color w:val="000000"/>
                      <w:kern w:val="0"/>
                      <w:sz w:val="21"/>
                      <w:szCs w:val="21"/>
                      <w:bdr w:val="none" w:color="auto" w:sz="0" w:space="0"/>
                      <w:lang w:val="en-US" w:eastAsia="zh-CN" w:bidi="ar"/>
                    </w:rPr>
                    <w:t>(HW08)</w:t>
                  </w:r>
                </w:p>
              </w:tc>
              <w:tc>
                <w:tcPr>
                  <w:tcW w:w="1417" w:type="dxa"/>
                  <w:tcBorders>
                    <w:top w:val="single" w:color="auto" w:sz="4" w:space="0"/>
                    <w:left w:val="single" w:color="auto" w:sz="4" w:space="0"/>
                    <w:bottom w:val="single" w:color="auto" w:sz="4" w:space="0"/>
                    <w:right w:val="single" w:color="auto" w:sz="4" w:space="0"/>
                  </w:tcBorders>
                  <w:shd w:val="clear"/>
                  <w:vAlign w:val="center"/>
                </w:tcPr>
                <w:p w14:paraId="0C243C3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900-249-08</w:t>
                  </w:r>
                </w:p>
              </w:tc>
              <w:tc>
                <w:tcPr>
                  <w:tcW w:w="992" w:type="dxa"/>
                  <w:tcBorders>
                    <w:top w:val="single" w:color="auto" w:sz="4" w:space="0"/>
                    <w:left w:val="single" w:color="auto" w:sz="4" w:space="0"/>
                    <w:bottom w:val="single" w:color="auto" w:sz="4" w:space="0"/>
                    <w:right w:val="single" w:color="auto" w:sz="4" w:space="0"/>
                  </w:tcBorders>
                  <w:shd w:val="clear"/>
                  <w:vAlign w:val="center"/>
                </w:tcPr>
                <w:p w14:paraId="5031814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0.01</w:t>
                  </w:r>
                </w:p>
              </w:tc>
              <w:tc>
                <w:tcPr>
                  <w:tcW w:w="2276" w:type="dxa"/>
                  <w:vMerge w:val="continue"/>
                  <w:tcBorders>
                    <w:top w:val="single" w:color="auto" w:sz="4" w:space="0"/>
                    <w:left w:val="single" w:color="auto" w:sz="4" w:space="0"/>
                    <w:bottom w:val="single" w:color="auto" w:sz="4" w:space="0"/>
                    <w:right w:val="nil"/>
                  </w:tcBorders>
                  <w:shd w:val="clear"/>
                  <w:vAlign w:val="center"/>
                </w:tcPr>
                <w:p w14:paraId="6EE83943">
                  <w:pPr>
                    <w:rPr>
                      <w:rFonts w:hint="default" w:ascii="Calibri" w:hAnsi="Calibri" w:cs="Calibri"/>
                      <w:sz w:val="20"/>
                      <w:szCs w:val="20"/>
                    </w:rPr>
                  </w:pPr>
                </w:p>
              </w:tc>
            </w:tr>
            <w:tr w14:paraId="503565F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66" w:type="dxa"/>
                  <w:vMerge w:val="continue"/>
                  <w:tcBorders>
                    <w:top w:val="single" w:color="auto" w:sz="4" w:space="0"/>
                    <w:left w:val="nil"/>
                    <w:bottom w:val="single" w:color="auto" w:sz="8" w:space="0"/>
                    <w:right w:val="single" w:color="auto" w:sz="4" w:space="0"/>
                  </w:tcBorders>
                  <w:shd w:val="clear"/>
                  <w:vAlign w:val="center"/>
                </w:tcPr>
                <w:p w14:paraId="571E6C5A">
                  <w:pPr>
                    <w:rPr>
                      <w:rFonts w:hint="default" w:ascii="Calibri" w:hAnsi="Calibri" w:cs="Calibri"/>
                      <w:sz w:val="20"/>
                      <w:szCs w:val="20"/>
                    </w:rPr>
                  </w:pPr>
                </w:p>
              </w:tc>
              <w:tc>
                <w:tcPr>
                  <w:tcW w:w="2495" w:type="dxa"/>
                  <w:tcBorders>
                    <w:top w:val="single" w:color="auto" w:sz="4" w:space="0"/>
                    <w:left w:val="single" w:color="auto" w:sz="4" w:space="0"/>
                    <w:bottom w:val="single" w:color="auto" w:sz="4" w:space="0"/>
                    <w:right w:val="single" w:color="auto" w:sz="4" w:space="0"/>
                  </w:tcBorders>
                  <w:shd w:val="clear"/>
                  <w:vAlign w:val="center"/>
                </w:tcPr>
                <w:p w14:paraId="0197FD4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废润滑油</w:t>
                  </w:r>
                  <w:r>
                    <w:rPr>
                      <w:rFonts w:hint="default" w:ascii="Times New Roman" w:hAnsi="Calibri" w:eastAsia="宋体" w:cs="Times New Roman"/>
                      <w:color w:val="000000"/>
                      <w:kern w:val="0"/>
                      <w:sz w:val="21"/>
                      <w:szCs w:val="21"/>
                      <w:bdr w:val="none" w:color="auto" w:sz="0" w:space="0"/>
                      <w:lang w:val="en-US" w:eastAsia="zh-CN" w:bidi="ar"/>
                    </w:rPr>
                    <w:t>(HW08)</w:t>
                  </w:r>
                </w:p>
              </w:tc>
              <w:tc>
                <w:tcPr>
                  <w:tcW w:w="1417" w:type="dxa"/>
                  <w:tcBorders>
                    <w:top w:val="single" w:color="auto" w:sz="4" w:space="0"/>
                    <w:left w:val="single" w:color="auto" w:sz="4" w:space="0"/>
                    <w:bottom w:val="single" w:color="auto" w:sz="4" w:space="0"/>
                    <w:right w:val="single" w:color="auto" w:sz="4" w:space="0"/>
                  </w:tcBorders>
                  <w:shd w:val="clear"/>
                  <w:vAlign w:val="center"/>
                </w:tcPr>
                <w:p w14:paraId="599ACA7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900-217-08</w:t>
                  </w:r>
                </w:p>
              </w:tc>
              <w:tc>
                <w:tcPr>
                  <w:tcW w:w="992" w:type="dxa"/>
                  <w:tcBorders>
                    <w:top w:val="single" w:color="auto" w:sz="4" w:space="0"/>
                    <w:left w:val="single" w:color="auto" w:sz="4" w:space="0"/>
                    <w:bottom w:val="single" w:color="auto" w:sz="4" w:space="0"/>
                    <w:right w:val="single" w:color="auto" w:sz="4" w:space="0"/>
                  </w:tcBorders>
                  <w:shd w:val="clear"/>
                  <w:vAlign w:val="center"/>
                </w:tcPr>
                <w:p w14:paraId="017FBD8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0.005</w:t>
                  </w:r>
                </w:p>
              </w:tc>
              <w:tc>
                <w:tcPr>
                  <w:tcW w:w="2276" w:type="dxa"/>
                  <w:vMerge w:val="continue"/>
                  <w:tcBorders>
                    <w:top w:val="single" w:color="auto" w:sz="4" w:space="0"/>
                    <w:left w:val="single" w:color="auto" w:sz="4" w:space="0"/>
                    <w:bottom w:val="single" w:color="auto" w:sz="4" w:space="0"/>
                    <w:right w:val="nil"/>
                  </w:tcBorders>
                  <w:shd w:val="clear"/>
                  <w:vAlign w:val="center"/>
                </w:tcPr>
                <w:p w14:paraId="1B100E95">
                  <w:pPr>
                    <w:rPr>
                      <w:rFonts w:hint="default" w:ascii="Calibri" w:hAnsi="Calibri" w:cs="Calibri"/>
                      <w:sz w:val="20"/>
                      <w:szCs w:val="20"/>
                    </w:rPr>
                  </w:pPr>
                </w:p>
              </w:tc>
            </w:tr>
            <w:tr w14:paraId="180784E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3261" w:type="dxa"/>
                  <w:gridSpan w:val="2"/>
                  <w:tcBorders>
                    <w:top w:val="single" w:color="auto" w:sz="4" w:space="0"/>
                    <w:left w:val="nil"/>
                    <w:bottom w:val="single" w:color="auto" w:sz="4" w:space="0"/>
                    <w:right w:val="single" w:color="auto" w:sz="4" w:space="0"/>
                  </w:tcBorders>
                  <w:shd w:val="clear"/>
                  <w:vAlign w:val="center"/>
                </w:tcPr>
                <w:p w14:paraId="5E954F3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生活垃圾</w:t>
                  </w:r>
                </w:p>
              </w:tc>
              <w:tc>
                <w:tcPr>
                  <w:tcW w:w="1417" w:type="dxa"/>
                  <w:tcBorders>
                    <w:top w:val="single" w:color="auto" w:sz="4" w:space="0"/>
                    <w:left w:val="single" w:color="auto" w:sz="4" w:space="0"/>
                    <w:bottom w:val="single" w:color="auto" w:sz="4" w:space="0"/>
                    <w:right w:val="single" w:color="auto" w:sz="4" w:space="0"/>
                  </w:tcBorders>
                  <w:shd w:val="clear"/>
                  <w:vAlign w:val="center"/>
                </w:tcPr>
                <w:p w14:paraId="17555FB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w:t>
                  </w:r>
                </w:p>
              </w:tc>
              <w:tc>
                <w:tcPr>
                  <w:tcW w:w="992" w:type="dxa"/>
                  <w:tcBorders>
                    <w:top w:val="single" w:color="auto" w:sz="4" w:space="0"/>
                    <w:left w:val="single" w:color="auto" w:sz="4" w:space="0"/>
                    <w:bottom w:val="single" w:color="auto" w:sz="4" w:space="0"/>
                    <w:right w:val="single" w:color="auto" w:sz="4" w:space="0"/>
                  </w:tcBorders>
                  <w:shd w:val="clear"/>
                  <w:vAlign w:val="center"/>
                </w:tcPr>
                <w:p w14:paraId="55E001B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9.75</w:t>
                  </w:r>
                </w:p>
              </w:tc>
              <w:tc>
                <w:tcPr>
                  <w:tcW w:w="2276" w:type="dxa"/>
                  <w:tcBorders>
                    <w:top w:val="single" w:color="auto" w:sz="4" w:space="0"/>
                    <w:left w:val="single" w:color="auto" w:sz="4" w:space="0"/>
                    <w:bottom w:val="single" w:color="auto" w:sz="4" w:space="0"/>
                    <w:right w:val="nil"/>
                  </w:tcBorders>
                  <w:shd w:val="clear"/>
                  <w:vAlign w:val="center"/>
                </w:tcPr>
                <w:p w14:paraId="4F652F5F">
                  <w:pPr>
                    <w:keepNext w:val="0"/>
                    <w:keepLines w:val="0"/>
                    <w:widowControl w:val="0"/>
                    <w:suppressLineNumbers w:val="0"/>
                    <w:adjustRightInd w:val="0"/>
                    <w:snapToGrid w:val="0"/>
                    <w:spacing w:before="0" w:beforeAutospacing="0" w:after="0" w:afterAutospacing="0" w:line="300" w:lineRule="exact"/>
                    <w:ind w:left="0" w:right="0"/>
                    <w:jc w:val="center"/>
                    <w:rPr>
                      <w:color w:val="000000"/>
                      <w:bdr w:val="none" w:color="auto" w:sz="0" w:space="0"/>
                      <w:lang w:val="en-US"/>
                    </w:rPr>
                  </w:pPr>
                  <w:r>
                    <w:rPr>
                      <w:rFonts w:hint="eastAsia" w:ascii="Calibri" w:hAnsi="Calibri" w:eastAsia="宋体" w:cs="宋体"/>
                      <w:color w:val="000000"/>
                      <w:kern w:val="2"/>
                      <w:sz w:val="21"/>
                      <w:szCs w:val="24"/>
                      <w:bdr w:val="none" w:color="auto" w:sz="0" w:space="0"/>
                      <w:lang w:val="en-US" w:eastAsia="zh-CN" w:bidi="ar"/>
                    </w:rPr>
                    <w:t>环卫部门统一处置</w:t>
                  </w:r>
                </w:p>
              </w:tc>
            </w:tr>
            <w:tr w14:paraId="528F199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3261" w:type="dxa"/>
                  <w:gridSpan w:val="2"/>
                  <w:tcBorders>
                    <w:top w:val="single" w:color="auto" w:sz="4" w:space="0"/>
                    <w:left w:val="nil"/>
                    <w:bottom w:val="single" w:color="auto" w:sz="12" w:space="0"/>
                    <w:right w:val="single" w:color="auto" w:sz="4" w:space="0"/>
                  </w:tcBorders>
                  <w:shd w:val="clear"/>
                  <w:vAlign w:val="center"/>
                </w:tcPr>
                <w:p w14:paraId="2AF6D13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合计</w:t>
                  </w:r>
                </w:p>
              </w:tc>
              <w:tc>
                <w:tcPr>
                  <w:tcW w:w="1417" w:type="dxa"/>
                  <w:tcBorders>
                    <w:top w:val="single" w:color="auto" w:sz="4" w:space="0"/>
                    <w:left w:val="single" w:color="auto" w:sz="4" w:space="0"/>
                    <w:bottom w:val="single" w:color="auto" w:sz="12" w:space="0"/>
                    <w:right w:val="single" w:color="auto" w:sz="4" w:space="0"/>
                  </w:tcBorders>
                  <w:shd w:val="clear"/>
                  <w:vAlign w:val="center"/>
                </w:tcPr>
                <w:p w14:paraId="6901628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w:t>
                  </w:r>
                </w:p>
              </w:tc>
              <w:tc>
                <w:tcPr>
                  <w:tcW w:w="992" w:type="dxa"/>
                  <w:tcBorders>
                    <w:top w:val="single" w:color="auto" w:sz="4" w:space="0"/>
                    <w:left w:val="single" w:color="auto" w:sz="4" w:space="0"/>
                    <w:bottom w:val="single" w:color="auto" w:sz="12" w:space="0"/>
                    <w:right w:val="single" w:color="auto" w:sz="4" w:space="0"/>
                  </w:tcBorders>
                  <w:shd w:val="clear"/>
                  <w:vAlign w:val="center"/>
                </w:tcPr>
                <w:p w14:paraId="699CA63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25.291</w:t>
                  </w:r>
                </w:p>
              </w:tc>
              <w:tc>
                <w:tcPr>
                  <w:tcW w:w="2276" w:type="dxa"/>
                  <w:tcBorders>
                    <w:top w:val="single" w:color="auto" w:sz="4" w:space="0"/>
                    <w:left w:val="single" w:color="auto" w:sz="4" w:space="0"/>
                    <w:bottom w:val="single" w:color="auto" w:sz="12" w:space="0"/>
                    <w:right w:val="nil"/>
                  </w:tcBorders>
                  <w:shd w:val="clear"/>
                  <w:vAlign w:val="center"/>
                </w:tcPr>
                <w:p w14:paraId="12DFE35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w:t>
                  </w:r>
                </w:p>
              </w:tc>
            </w:tr>
          </w:tbl>
          <w:p w14:paraId="1DC2D0A8">
            <w:pPr>
              <w:keepNext w:val="0"/>
              <w:keepLines w:val="0"/>
              <w:widowControl w:val="0"/>
              <w:suppressLineNumbers w:val="0"/>
              <w:adjustRightInd w:val="0"/>
              <w:snapToGrid w:val="0"/>
              <w:spacing w:before="0" w:beforeAutospacing="0" w:after="0" w:afterAutospacing="0" w:line="440" w:lineRule="exact"/>
              <w:ind w:left="0" w:right="0"/>
              <w:jc w:val="center"/>
              <w:rPr>
                <w:rFonts w:hint="default" w:ascii="Times New Roman" w:hAnsi="宋体" w:cs="Times New Roman"/>
                <w:bCs/>
                <w:color w:val="000000"/>
                <w:spacing w:val="-10"/>
                <w:sz w:val="24"/>
                <w:szCs w:val="24"/>
                <w:bdr w:val="none" w:color="auto" w:sz="0" w:space="0"/>
                <w:lang w:val="en-US"/>
              </w:rPr>
            </w:pPr>
            <w:r>
              <w:rPr>
                <w:rFonts w:hint="eastAsia" w:ascii="Times New Roman" w:hAnsi="宋体" w:eastAsia="宋体" w:cs="宋体"/>
                <w:bCs/>
                <w:color w:val="000000"/>
                <w:spacing w:val="-10"/>
                <w:kern w:val="2"/>
                <w:sz w:val="24"/>
                <w:szCs w:val="24"/>
                <w:bdr w:val="none" w:color="auto" w:sz="0" w:space="0"/>
                <w:lang w:val="en-US" w:eastAsia="zh-CN" w:bidi="ar"/>
              </w:rPr>
              <w:t>表</w:t>
            </w:r>
            <w:r>
              <w:rPr>
                <w:rFonts w:hint="default" w:ascii="Times New Roman" w:hAnsi="宋体" w:eastAsia="宋体" w:cs="Times New Roman"/>
                <w:bCs/>
                <w:color w:val="000000"/>
                <w:spacing w:val="-10"/>
                <w:kern w:val="2"/>
                <w:sz w:val="24"/>
                <w:szCs w:val="24"/>
                <w:bdr w:val="none" w:color="auto" w:sz="0" w:space="0"/>
                <w:lang w:val="en-US" w:eastAsia="zh-CN" w:bidi="ar"/>
              </w:rPr>
              <w:t xml:space="preserve">4.5-2 </w:t>
            </w:r>
            <w:r>
              <w:rPr>
                <w:rFonts w:hint="eastAsia" w:ascii="Times New Roman" w:hAnsi="宋体" w:eastAsia="宋体" w:cs="宋体"/>
                <w:bCs/>
                <w:color w:val="000000"/>
                <w:spacing w:val="-10"/>
                <w:kern w:val="2"/>
                <w:sz w:val="24"/>
                <w:szCs w:val="24"/>
                <w:bdr w:val="none" w:color="auto" w:sz="0" w:space="0"/>
                <w:lang w:val="en-US" w:eastAsia="zh-CN" w:bidi="ar"/>
              </w:rPr>
              <w:t>扩建项目危废汇总表</w:t>
            </w:r>
            <w:r>
              <w:rPr>
                <w:rFonts w:hint="default" w:ascii="Times New Roman" w:hAnsi="宋体" w:eastAsia="宋体" w:cs="Times New Roman"/>
                <w:bCs/>
                <w:color w:val="000000"/>
                <w:spacing w:val="-10"/>
                <w:kern w:val="2"/>
                <w:sz w:val="24"/>
                <w:szCs w:val="24"/>
                <w:bdr w:val="none" w:color="auto" w:sz="0" w:space="0"/>
                <w:lang w:val="en-US" w:eastAsia="zh-CN" w:bidi="ar"/>
              </w:rPr>
              <w:t xml:space="preserve">  </w:t>
            </w:r>
            <w:r>
              <w:rPr>
                <w:rFonts w:hint="eastAsia" w:ascii="Times New Roman" w:hAnsi="宋体" w:eastAsia="宋体" w:cs="宋体"/>
                <w:bCs/>
                <w:color w:val="000000"/>
                <w:spacing w:val="-10"/>
                <w:kern w:val="2"/>
                <w:sz w:val="24"/>
                <w:szCs w:val="24"/>
                <w:bdr w:val="none" w:color="auto" w:sz="0" w:space="0"/>
                <w:lang w:val="en-US" w:eastAsia="zh-CN" w:bidi="ar"/>
              </w:rPr>
              <w:t>单位</w:t>
            </w:r>
            <w:r>
              <w:rPr>
                <w:rFonts w:hint="default" w:ascii="Times New Roman" w:hAnsi="宋体" w:eastAsia="宋体" w:cs="Times New Roman"/>
                <w:bCs/>
                <w:color w:val="000000"/>
                <w:spacing w:val="-10"/>
                <w:kern w:val="2"/>
                <w:sz w:val="24"/>
                <w:szCs w:val="24"/>
                <w:bdr w:val="none" w:color="auto" w:sz="0" w:space="0"/>
                <w:lang w:val="en-US" w:eastAsia="zh-CN" w:bidi="ar"/>
              </w:rPr>
              <w:t>t/a</w:t>
            </w:r>
          </w:p>
          <w:tbl>
            <w:tblPr>
              <w:tblStyle w:val="18"/>
              <w:tblpPr w:leftFromText="180" w:rightFromText="180" w:vertAnchor="text" w:tblpXSpec="center" w:tblpY="1"/>
              <w:tblOverlap w:val="never"/>
              <w:tblW w:w="5000" w:type="pct"/>
              <w:tblInd w:w="8"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Layout w:type="fixed"/>
              <w:tblCellMar>
                <w:top w:w="0" w:type="dxa"/>
                <w:left w:w="108" w:type="dxa"/>
                <w:bottom w:w="0" w:type="dxa"/>
                <w:right w:w="108" w:type="dxa"/>
              </w:tblCellMar>
            </w:tblPr>
            <w:tblGrid>
              <w:gridCol w:w="1135"/>
              <w:gridCol w:w="802"/>
              <w:gridCol w:w="1300"/>
              <w:gridCol w:w="723"/>
              <w:gridCol w:w="866"/>
              <w:gridCol w:w="723"/>
              <w:gridCol w:w="723"/>
              <w:gridCol w:w="808"/>
              <w:gridCol w:w="867"/>
            </w:tblGrid>
            <w:tr w14:paraId="60E7105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CellMar>
                  <w:top w:w="0" w:type="dxa"/>
                  <w:left w:w="108" w:type="dxa"/>
                  <w:bottom w:w="0" w:type="dxa"/>
                  <w:right w:w="108" w:type="dxa"/>
                </w:tblCellMar>
              </w:tblPrEx>
              <w:trPr>
                <w:trHeight w:val="624" w:hRule="atLeast"/>
              </w:trPr>
              <w:tc>
                <w:tcPr>
                  <w:tcW w:w="1135" w:type="dxa"/>
                  <w:tcBorders>
                    <w:top w:val="single" w:color="auto" w:sz="12" w:space="0"/>
                    <w:left w:val="nil"/>
                    <w:bottom w:val="single" w:color="auto" w:sz="4" w:space="0"/>
                    <w:right w:val="single" w:color="auto" w:sz="4" w:space="0"/>
                  </w:tcBorders>
                  <w:shd w:val="clear"/>
                  <w:vAlign w:val="center"/>
                </w:tcPr>
                <w:p w14:paraId="76DACD23">
                  <w:pPr>
                    <w:keepNext w:val="0"/>
                    <w:keepLines w:val="0"/>
                    <w:widowControl w:val="0"/>
                    <w:suppressLineNumbers w:val="0"/>
                    <w:topLinePunct/>
                    <w:adjustRightInd w:val="0"/>
                    <w:snapToGrid w:val="0"/>
                    <w:spacing w:before="0" w:beforeAutospacing="0" w:after="0" w:afterAutospacing="0" w:line="300" w:lineRule="exact"/>
                    <w:ind w:left="0" w:right="0"/>
                    <w:jc w:val="center"/>
                    <w:rPr>
                      <w:color w:val="000000"/>
                      <w:kern w:val="0"/>
                      <w:szCs w:val="21"/>
                      <w:bdr w:val="none" w:color="auto" w:sz="0" w:space="0"/>
                      <w:lang w:val="en-US"/>
                    </w:rPr>
                  </w:pPr>
                  <w:r>
                    <w:rPr>
                      <w:rFonts w:hint="eastAsia" w:ascii="Calibri" w:hAnsi="Calibri" w:eastAsia="宋体" w:cs="宋体"/>
                      <w:color w:val="000000"/>
                      <w:kern w:val="0"/>
                      <w:sz w:val="21"/>
                      <w:szCs w:val="21"/>
                      <w:bdr w:val="none" w:color="auto" w:sz="0" w:space="0"/>
                      <w:lang w:val="en-US" w:eastAsia="zh-CN" w:bidi="ar"/>
                    </w:rPr>
                    <w:t>危险废物名称</w:t>
                  </w:r>
                </w:p>
              </w:tc>
              <w:tc>
                <w:tcPr>
                  <w:tcW w:w="802" w:type="dxa"/>
                  <w:tcBorders>
                    <w:top w:val="single" w:color="auto" w:sz="12" w:space="0"/>
                    <w:left w:val="single" w:color="auto" w:sz="4" w:space="0"/>
                    <w:bottom w:val="single" w:color="auto" w:sz="4" w:space="0"/>
                    <w:right w:val="single" w:color="auto" w:sz="4" w:space="0"/>
                  </w:tcBorders>
                  <w:shd w:val="clear"/>
                  <w:vAlign w:val="center"/>
                </w:tcPr>
                <w:p w14:paraId="7DB9E222">
                  <w:pPr>
                    <w:keepNext w:val="0"/>
                    <w:keepLines w:val="0"/>
                    <w:widowControl w:val="0"/>
                    <w:suppressLineNumbers w:val="0"/>
                    <w:topLinePunct/>
                    <w:adjustRightInd w:val="0"/>
                    <w:snapToGrid w:val="0"/>
                    <w:spacing w:before="0" w:beforeAutospacing="0" w:after="0" w:afterAutospacing="0" w:line="300" w:lineRule="exact"/>
                    <w:ind w:left="0" w:right="0"/>
                    <w:jc w:val="center"/>
                    <w:rPr>
                      <w:color w:val="000000"/>
                      <w:kern w:val="0"/>
                      <w:szCs w:val="21"/>
                      <w:bdr w:val="none" w:color="auto" w:sz="0" w:space="0"/>
                      <w:lang w:val="en-US"/>
                    </w:rPr>
                  </w:pPr>
                  <w:r>
                    <w:rPr>
                      <w:rFonts w:hint="eastAsia" w:ascii="Calibri" w:hAnsi="Calibri" w:eastAsia="宋体" w:cs="宋体"/>
                      <w:color w:val="000000"/>
                      <w:kern w:val="0"/>
                      <w:sz w:val="21"/>
                      <w:szCs w:val="21"/>
                      <w:bdr w:val="none" w:color="auto" w:sz="0" w:space="0"/>
                      <w:lang w:val="en-US" w:eastAsia="zh-CN" w:bidi="ar"/>
                    </w:rPr>
                    <w:t>危废类别</w:t>
                  </w:r>
                </w:p>
              </w:tc>
              <w:tc>
                <w:tcPr>
                  <w:tcW w:w="1300" w:type="dxa"/>
                  <w:tcBorders>
                    <w:top w:val="single" w:color="auto" w:sz="12" w:space="0"/>
                    <w:left w:val="single" w:color="auto" w:sz="4" w:space="0"/>
                    <w:bottom w:val="single" w:color="auto" w:sz="4" w:space="0"/>
                    <w:right w:val="single" w:color="auto" w:sz="4" w:space="0"/>
                  </w:tcBorders>
                  <w:shd w:val="clear"/>
                  <w:vAlign w:val="center"/>
                </w:tcPr>
                <w:p w14:paraId="13667440">
                  <w:pPr>
                    <w:keepNext w:val="0"/>
                    <w:keepLines w:val="0"/>
                    <w:widowControl w:val="0"/>
                    <w:suppressLineNumbers w:val="0"/>
                    <w:topLinePunct/>
                    <w:adjustRightInd w:val="0"/>
                    <w:snapToGrid w:val="0"/>
                    <w:spacing w:before="0" w:beforeAutospacing="0" w:after="0" w:afterAutospacing="0" w:line="300" w:lineRule="exact"/>
                    <w:ind w:left="0" w:right="0"/>
                    <w:jc w:val="center"/>
                    <w:rPr>
                      <w:color w:val="000000"/>
                      <w:kern w:val="0"/>
                      <w:szCs w:val="21"/>
                      <w:bdr w:val="none" w:color="auto" w:sz="0" w:space="0"/>
                      <w:lang w:val="en-US"/>
                    </w:rPr>
                  </w:pPr>
                  <w:r>
                    <w:rPr>
                      <w:rFonts w:hint="eastAsia" w:ascii="Calibri" w:hAnsi="Calibri" w:eastAsia="宋体" w:cs="宋体"/>
                      <w:color w:val="000000"/>
                      <w:kern w:val="0"/>
                      <w:sz w:val="21"/>
                      <w:szCs w:val="21"/>
                      <w:bdr w:val="none" w:color="auto" w:sz="0" w:space="0"/>
                      <w:lang w:val="en-US" w:eastAsia="zh-CN" w:bidi="ar"/>
                    </w:rPr>
                    <w:t>危险废物</w:t>
                  </w:r>
                </w:p>
                <w:p w14:paraId="093857EA">
                  <w:pPr>
                    <w:keepNext w:val="0"/>
                    <w:keepLines w:val="0"/>
                    <w:widowControl w:val="0"/>
                    <w:suppressLineNumbers w:val="0"/>
                    <w:topLinePunct/>
                    <w:adjustRightInd w:val="0"/>
                    <w:snapToGrid w:val="0"/>
                    <w:spacing w:before="0" w:beforeAutospacing="0" w:after="0" w:afterAutospacing="0" w:line="300" w:lineRule="exact"/>
                    <w:ind w:left="0" w:right="0"/>
                    <w:jc w:val="center"/>
                    <w:rPr>
                      <w:color w:val="000000"/>
                      <w:kern w:val="0"/>
                      <w:szCs w:val="21"/>
                      <w:bdr w:val="none" w:color="auto" w:sz="0" w:space="0"/>
                      <w:lang w:val="en-US"/>
                    </w:rPr>
                  </w:pPr>
                  <w:r>
                    <w:rPr>
                      <w:rFonts w:hint="eastAsia" w:ascii="Calibri" w:hAnsi="Calibri" w:eastAsia="宋体" w:cs="宋体"/>
                      <w:color w:val="000000"/>
                      <w:kern w:val="0"/>
                      <w:sz w:val="21"/>
                      <w:szCs w:val="21"/>
                      <w:bdr w:val="none" w:color="auto" w:sz="0" w:space="0"/>
                      <w:lang w:val="en-US" w:eastAsia="zh-CN" w:bidi="ar"/>
                    </w:rPr>
                    <w:t>代码</w:t>
                  </w:r>
                </w:p>
              </w:tc>
              <w:tc>
                <w:tcPr>
                  <w:tcW w:w="723" w:type="dxa"/>
                  <w:tcBorders>
                    <w:top w:val="single" w:color="auto" w:sz="12" w:space="0"/>
                    <w:left w:val="single" w:color="auto" w:sz="4" w:space="0"/>
                    <w:bottom w:val="single" w:color="auto" w:sz="4" w:space="0"/>
                    <w:right w:val="single" w:color="auto" w:sz="4" w:space="0"/>
                  </w:tcBorders>
                  <w:shd w:val="clear"/>
                  <w:vAlign w:val="center"/>
                </w:tcPr>
                <w:p w14:paraId="0AFAD743">
                  <w:pPr>
                    <w:keepNext w:val="0"/>
                    <w:keepLines w:val="0"/>
                    <w:widowControl w:val="0"/>
                    <w:suppressLineNumbers w:val="0"/>
                    <w:topLinePunct/>
                    <w:adjustRightInd w:val="0"/>
                    <w:snapToGrid w:val="0"/>
                    <w:spacing w:before="0" w:beforeAutospacing="0" w:after="0" w:afterAutospacing="0" w:line="300" w:lineRule="exact"/>
                    <w:ind w:left="0" w:right="0"/>
                    <w:jc w:val="center"/>
                    <w:rPr>
                      <w:color w:val="000000"/>
                      <w:kern w:val="0"/>
                      <w:szCs w:val="21"/>
                      <w:bdr w:val="none" w:color="auto" w:sz="0" w:space="0"/>
                      <w:lang w:val="en-US"/>
                    </w:rPr>
                  </w:pPr>
                  <w:r>
                    <w:rPr>
                      <w:rFonts w:hint="eastAsia" w:ascii="Calibri" w:hAnsi="Calibri" w:eastAsia="宋体" w:cs="宋体"/>
                      <w:color w:val="000000"/>
                      <w:kern w:val="0"/>
                      <w:sz w:val="21"/>
                      <w:szCs w:val="21"/>
                      <w:bdr w:val="none" w:color="auto" w:sz="0" w:space="0"/>
                      <w:lang w:val="en-US" w:eastAsia="zh-CN" w:bidi="ar"/>
                    </w:rPr>
                    <w:t>产生量</w:t>
                  </w:r>
                </w:p>
              </w:tc>
              <w:tc>
                <w:tcPr>
                  <w:tcW w:w="866" w:type="dxa"/>
                  <w:tcBorders>
                    <w:top w:val="single" w:color="auto" w:sz="12" w:space="0"/>
                    <w:left w:val="single" w:color="auto" w:sz="4" w:space="0"/>
                    <w:bottom w:val="single" w:color="auto" w:sz="4" w:space="0"/>
                    <w:right w:val="single" w:color="auto" w:sz="4" w:space="0"/>
                  </w:tcBorders>
                  <w:shd w:val="clear"/>
                  <w:vAlign w:val="center"/>
                </w:tcPr>
                <w:p w14:paraId="10A12AA5">
                  <w:pPr>
                    <w:keepNext w:val="0"/>
                    <w:keepLines w:val="0"/>
                    <w:widowControl w:val="0"/>
                    <w:suppressLineNumbers w:val="0"/>
                    <w:topLinePunct/>
                    <w:adjustRightInd w:val="0"/>
                    <w:snapToGrid w:val="0"/>
                    <w:spacing w:before="0" w:beforeAutospacing="0" w:after="0" w:afterAutospacing="0" w:line="300" w:lineRule="exact"/>
                    <w:ind w:left="0" w:right="0"/>
                    <w:jc w:val="center"/>
                    <w:rPr>
                      <w:color w:val="000000"/>
                      <w:kern w:val="0"/>
                      <w:szCs w:val="21"/>
                      <w:bdr w:val="none" w:color="auto" w:sz="0" w:space="0"/>
                      <w:lang w:val="en-US"/>
                    </w:rPr>
                  </w:pPr>
                  <w:r>
                    <w:rPr>
                      <w:rFonts w:hint="eastAsia" w:ascii="Calibri" w:hAnsi="Calibri" w:eastAsia="宋体" w:cs="宋体"/>
                      <w:color w:val="000000"/>
                      <w:kern w:val="0"/>
                      <w:sz w:val="21"/>
                      <w:szCs w:val="21"/>
                      <w:bdr w:val="none" w:color="auto" w:sz="0" w:space="0"/>
                      <w:lang w:val="en-US" w:eastAsia="zh-CN" w:bidi="ar"/>
                    </w:rPr>
                    <w:t>产生工段及装置</w:t>
                  </w:r>
                </w:p>
              </w:tc>
              <w:tc>
                <w:tcPr>
                  <w:tcW w:w="723" w:type="dxa"/>
                  <w:tcBorders>
                    <w:top w:val="single" w:color="auto" w:sz="12" w:space="0"/>
                    <w:left w:val="single" w:color="auto" w:sz="4" w:space="0"/>
                    <w:bottom w:val="single" w:color="auto" w:sz="4" w:space="0"/>
                    <w:right w:val="single" w:color="auto" w:sz="4" w:space="0"/>
                  </w:tcBorders>
                  <w:shd w:val="clear"/>
                  <w:vAlign w:val="center"/>
                </w:tcPr>
                <w:p w14:paraId="01F76018">
                  <w:pPr>
                    <w:keepNext w:val="0"/>
                    <w:keepLines w:val="0"/>
                    <w:widowControl w:val="0"/>
                    <w:suppressLineNumbers w:val="0"/>
                    <w:topLinePunct/>
                    <w:adjustRightInd w:val="0"/>
                    <w:snapToGrid w:val="0"/>
                    <w:spacing w:before="0" w:beforeAutospacing="0" w:after="0" w:afterAutospacing="0" w:line="300" w:lineRule="exact"/>
                    <w:ind w:left="0" w:right="0"/>
                    <w:jc w:val="center"/>
                    <w:rPr>
                      <w:color w:val="000000"/>
                      <w:kern w:val="0"/>
                      <w:szCs w:val="21"/>
                      <w:bdr w:val="none" w:color="auto" w:sz="0" w:space="0"/>
                      <w:lang w:val="en-US"/>
                    </w:rPr>
                  </w:pPr>
                  <w:r>
                    <w:rPr>
                      <w:rFonts w:hint="eastAsia" w:ascii="Calibri" w:hAnsi="Calibri" w:eastAsia="宋体" w:cs="宋体"/>
                      <w:color w:val="000000"/>
                      <w:kern w:val="0"/>
                      <w:sz w:val="21"/>
                      <w:szCs w:val="21"/>
                      <w:bdr w:val="none" w:color="auto" w:sz="0" w:space="0"/>
                      <w:lang w:val="en-US" w:eastAsia="zh-CN" w:bidi="ar"/>
                    </w:rPr>
                    <w:t>形态</w:t>
                  </w:r>
                </w:p>
              </w:tc>
              <w:tc>
                <w:tcPr>
                  <w:tcW w:w="723" w:type="dxa"/>
                  <w:tcBorders>
                    <w:top w:val="single" w:color="auto" w:sz="12" w:space="0"/>
                    <w:left w:val="single" w:color="auto" w:sz="4" w:space="0"/>
                    <w:bottom w:val="single" w:color="auto" w:sz="4" w:space="0"/>
                    <w:right w:val="single" w:color="auto" w:sz="4" w:space="0"/>
                  </w:tcBorders>
                  <w:shd w:val="clear"/>
                  <w:vAlign w:val="center"/>
                </w:tcPr>
                <w:p w14:paraId="0271FC63">
                  <w:pPr>
                    <w:keepNext w:val="0"/>
                    <w:keepLines w:val="0"/>
                    <w:widowControl w:val="0"/>
                    <w:suppressLineNumbers w:val="0"/>
                    <w:topLinePunct/>
                    <w:adjustRightInd w:val="0"/>
                    <w:snapToGrid w:val="0"/>
                    <w:spacing w:before="0" w:beforeAutospacing="0" w:after="0" w:afterAutospacing="0" w:line="300" w:lineRule="exact"/>
                    <w:ind w:left="0" w:right="0"/>
                    <w:jc w:val="center"/>
                    <w:rPr>
                      <w:color w:val="000000"/>
                      <w:kern w:val="0"/>
                      <w:szCs w:val="21"/>
                      <w:bdr w:val="none" w:color="auto" w:sz="0" w:space="0"/>
                      <w:lang w:val="en-US"/>
                    </w:rPr>
                  </w:pPr>
                  <w:r>
                    <w:rPr>
                      <w:rFonts w:hint="eastAsia" w:ascii="Calibri" w:hAnsi="Calibri" w:eastAsia="宋体" w:cs="宋体"/>
                      <w:color w:val="000000"/>
                      <w:kern w:val="0"/>
                      <w:sz w:val="21"/>
                      <w:szCs w:val="21"/>
                      <w:bdr w:val="none" w:color="auto" w:sz="0" w:space="0"/>
                      <w:lang w:val="en-US" w:eastAsia="zh-CN" w:bidi="ar"/>
                    </w:rPr>
                    <w:t>产废周期</w:t>
                  </w:r>
                </w:p>
              </w:tc>
              <w:tc>
                <w:tcPr>
                  <w:tcW w:w="808" w:type="dxa"/>
                  <w:tcBorders>
                    <w:top w:val="single" w:color="auto" w:sz="12" w:space="0"/>
                    <w:left w:val="single" w:color="auto" w:sz="4" w:space="0"/>
                    <w:bottom w:val="single" w:color="auto" w:sz="4" w:space="0"/>
                    <w:right w:val="single" w:color="auto" w:sz="4" w:space="0"/>
                  </w:tcBorders>
                  <w:shd w:val="clear"/>
                  <w:vAlign w:val="center"/>
                </w:tcPr>
                <w:p w14:paraId="481F572C">
                  <w:pPr>
                    <w:keepNext w:val="0"/>
                    <w:keepLines w:val="0"/>
                    <w:widowControl w:val="0"/>
                    <w:suppressLineNumbers w:val="0"/>
                    <w:topLinePunct/>
                    <w:adjustRightInd w:val="0"/>
                    <w:snapToGrid w:val="0"/>
                    <w:spacing w:before="0" w:beforeAutospacing="0" w:after="0" w:afterAutospacing="0" w:line="300" w:lineRule="exact"/>
                    <w:ind w:left="0" w:right="0"/>
                    <w:jc w:val="center"/>
                    <w:rPr>
                      <w:color w:val="000000"/>
                      <w:kern w:val="0"/>
                      <w:szCs w:val="21"/>
                      <w:bdr w:val="none" w:color="auto" w:sz="0" w:space="0"/>
                      <w:lang w:val="en-US"/>
                    </w:rPr>
                  </w:pPr>
                  <w:r>
                    <w:rPr>
                      <w:rFonts w:hint="eastAsia" w:ascii="Calibri" w:hAnsi="Calibri" w:eastAsia="宋体" w:cs="宋体"/>
                      <w:color w:val="000000"/>
                      <w:kern w:val="0"/>
                      <w:sz w:val="21"/>
                      <w:szCs w:val="21"/>
                      <w:bdr w:val="none" w:color="auto" w:sz="0" w:space="0"/>
                      <w:lang w:val="en-US" w:eastAsia="zh-CN" w:bidi="ar"/>
                    </w:rPr>
                    <w:t>危险</w:t>
                  </w:r>
                </w:p>
                <w:p w14:paraId="55D57578">
                  <w:pPr>
                    <w:keepNext w:val="0"/>
                    <w:keepLines w:val="0"/>
                    <w:widowControl w:val="0"/>
                    <w:suppressLineNumbers w:val="0"/>
                    <w:topLinePunct/>
                    <w:adjustRightInd w:val="0"/>
                    <w:snapToGrid w:val="0"/>
                    <w:spacing w:before="0" w:beforeAutospacing="0" w:after="0" w:afterAutospacing="0" w:line="300" w:lineRule="exact"/>
                    <w:ind w:left="0" w:right="0"/>
                    <w:jc w:val="center"/>
                    <w:rPr>
                      <w:color w:val="000000"/>
                      <w:kern w:val="0"/>
                      <w:szCs w:val="21"/>
                      <w:bdr w:val="none" w:color="auto" w:sz="0" w:space="0"/>
                      <w:lang w:val="en-US"/>
                    </w:rPr>
                  </w:pPr>
                  <w:r>
                    <w:rPr>
                      <w:rFonts w:hint="eastAsia" w:ascii="Calibri" w:hAnsi="Calibri" w:eastAsia="宋体" w:cs="宋体"/>
                      <w:color w:val="000000"/>
                      <w:kern w:val="0"/>
                      <w:sz w:val="21"/>
                      <w:szCs w:val="21"/>
                      <w:bdr w:val="none" w:color="auto" w:sz="0" w:space="0"/>
                      <w:lang w:val="en-US" w:eastAsia="zh-CN" w:bidi="ar"/>
                    </w:rPr>
                    <w:t>特性</w:t>
                  </w:r>
                </w:p>
              </w:tc>
              <w:tc>
                <w:tcPr>
                  <w:tcW w:w="867" w:type="dxa"/>
                  <w:tcBorders>
                    <w:top w:val="single" w:color="auto" w:sz="12" w:space="0"/>
                    <w:left w:val="single" w:color="auto" w:sz="4" w:space="0"/>
                    <w:bottom w:val="single" w:color="auto" w:sz="4" w:space="0"/>
                    <w:right w:val="nil"/>
                  </w:tcBorders>
                  <w:shd w:val="clear"/>
                  <w:vAlign w:val="center"/>
                </w:tcPr>
                <w:p w14:paraId="6D543643">
                  <w:pPr>
                    <w:keepNext w:val="0"/>
                    <w:keepLines w:val="0"/>
                    <w:widowControl w:val="0"/>
                    <w:suppressLineNumbers w:val="0"/>
                    <w:topLinePunct/>
                    <w:adjustRightInd w:val="0"/>
                    <w:snapToGrid w:val="0"/>
                    <w:spacing w:before="0" w:beforeAutospacing="0" w:after="0" w:afterAutospacing="0" w:line="300" w:lineRule="exact"/>
                    <w:ind w:left="0" w:right="0"/>
                    <w:jc w:val="center"/>
                    <w:rPr>
                      <w:color w:val="000000"/>
                      <w:kern w:val="0"/>
                      <w:szCs w:val="21"/>
                      <w:bdr w:val="none" w:color="auto" w:sz="0" w:space="0"/>
                      <w:lang w:val="en-US"/>
                    </w:rPr>
                  </w:pPr>
                  <w:r>
                    <w:rPr>
                      <w:rFonts w:hint="eastAsia" w:ascii="Calibri" w:hAnsi="Calibri" w:eastAsia="宋体" w:cs="宋体"/>
                      <w:color w:val="000000"/>
                      <w:kern w:val="0"/>
                      <w:sz w:val="21"/>
                      <w:szCs w:val="21"/>
                      <w:bdr w:val="none" w:color="auto" w:sz="0" w:space="0"/>
                      <w:lang w:val="en-US" w:eastAsia="zh-CN" w:bidi="ar"/>
                    </w:rPr>
                    <w:t>污染防治措施</w:t>
                  </w:r>
                </w:p>
              </w:tc>
            </w:tr>
            <w:tr w14:paraId="5244BBF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135" w:type="dxa"/>
                  <w:tcBorders>
                    <w:top w:val="single" w:color="auto" w:sz="4" w:space="0"/>
                    <w:left w:val="nil"/>
                    <w:bottom w:val="single" w:color="auto" w:sz="4" w:space="0"/>
                    <w:right w:val="single" w:color="auto" w:sz="4" w:space="0"/>
                  </w:tcBorders>
                  <w:shd w:val="clear"/>
                  <w:vAlign w:val="center"/>
                </w:tcPr>
                <w:p w14:paraId="5BF3D27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含油棉纱、手套</w:t>
                  </w:r>
                </w:p>
              </w:tc>
              <w:tc>
                <w:tcPr>
                  <w:tcW w:w="802" w:type="dxa"/>
                  <w:tcBorders>
                    <w:top w:val="single" w:color="auto" w:sz="4" w:space="0"/>
                    <w:left w:val="single" w:color="auto" w:sz="4" w:space="0"/>
                    <w:bottom w:val="single" w:color="auto" w:sz="4" w:space="0"/>
                    <w:right w:val="single" w:color="auto" w:sz="4" w:space="0"/>
                  </w:tcBorders>
                  <w:shd w:val="clear"/>
                  <w:vAlign w:val="center"/>
                </w:tcPr>
                <w:p w14:paraId="3F514FD0">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HW49</w:t>
                  </w:r>
                </w:p>
              </w:tc>
              <w:tc>
                <w:tcPr>
                  <w:tcW w:w="1300" w:type="dxa"/>
                  <w:tcBorders>
                    <w:top w:val="single" w:color="auto" w:sz="4" w:space="0"/>
                    <w:left w:val="single" w:color="auto" w:sz="4" w:space="0"/>
                    <w:bottom w:val="single" w:color="auto" w:sz="4" w:space="0"/>
                    <w:right w:val="single" w:color="auto" w:sz="4" w:space="0"/>
                  </w:tcBorders>
                  <w:shd w:val="clear"/>
                  <w:vAlign w:val="center"/>
                </w:tcPr>
                <w:p w14:paraId="18081F05">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900-041-49</w:t>
                  </w:r>
                </w:p>
              </w:tc>
              <w:tc>
                <w:tcPr>
                  <w:tcW w:w="723" w:type="dxa"/>
                  <w:tcBorders>
                    <w:top w:val="single" w:color="auto" w:sz="4" w:space="0"/>
                    <w:left w:val="single" w:color="auto" w:sz="4" w:space="0"/>
                    <w:bottom w:val="single" w:color="auto" w:sz="4" w:space="0"/>
                    <w:right w:val="single" w:color="auto" w:sz="4" w:space="0"/>
                  </w:tcBorders>
                  <w:shd w:val="clear"/>
                  <w:vAlign w:val="center"/>
                </w:tcPr>
                <w:p w14:paraId="0BB4B5E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0.001</w:t>
                  </w:r>
                </w:p>
              </w:tc>
              <w:tc>
                <w:tcPr>
                  <w:tcW w:w="866" w:type="dxa"/>
                  <w:tcBorders>
                    <w:top w:val="single" w:color="auto" w:sz="4" w:space="0"/>
                    <w:left w:val="single" w:color="auto" w:sz="4" w:space="0"/>
                    <w:bottom w:val="single" w:color="auto" w:sz="4" w:space="0"/>
                    <w:right w:val="single" w:color="auto" w:sz="4" w:space="0"/>
                  </w:tcBorders>
                  <w:shd w:val="clear"/>
                  <w:vAlign w:val="center"/>
                </w:tcPr>
                <w:p w14:paraId="4C6938BA">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设备</w:t>
                  </w:r>
                </w:p>
                <w:p w14:paraId="506D74F0">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保养</w:t>
                  </w:r>
                </w:p>
              </w:tc>
              <w:tc>
                <w:tcPr>
                  <w:tcW w:w="723" w:type="dxa"/>
                  <w:tcBorders>
                    <w:top w:val="single" w:color="auto" w:sz="4" w:space="0"/>
                    <w:left w:val="single" w:color="auto" w:sz="4" w:space="0"/>
                    <w:bottom w:val="single" w:color="auto" w:sz="4" w:space="0"/>
                    <w:right w:val="single" w:color="auto" w:sz="4" w:space="0"/>
                  </w:tcBorders>
                  <w:shd w:val="clear"/>
                  <w:vAlign w:val="center"/>
                </w:tcPr>
                <w:p w14:paraId="3417AB29">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固态</w:t>
                  </w:r>
                </w:p>
              </w:tc>
              <w:tc>
                <w:tcPr>
                  <w:tcW w:w="723" w:type="dxa"/>
                  <w:tcBorders>
                    <w:top w:val="single" w:color="auto" w:sz="4" w:space="0"/>
                    <w:left w:val="single" w:color="auto" w:sz="4" w:space="0"/>
                    <w:bottom w:val="single" w:color="auto" w:sz="4" w:space="0"/>
                    <w:right w:val="single" w:color="auto" w:sz="4" w:space="0"/>
                  </w:tcBorders>
                  <w:shd w:val="clear"/>
                  <w:vAlign w:val="center"/>
                </w:tcPr>
                <w:p w14:paraId="156E1555">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r>
                    <w:rPr>
                      <w:rFonts w:hint="eastAsia" w:ascii="Times New Roman" w:hAnsi="Times New Roman" w:eastAsia="宋体" w:cs="宋体"/>
                      <w:color w:val="000000"/>
                      <w:kern w:val="0"/>
                      <w:sz w:val="21"/>
                      <w:szCs w:val="21"/>
                      <w:bdr w:val="none" w:color="auto" w:sz="0" w:space="0"/>
                      <w:lang w:val="en-US" w:eastAsia="zh-CN" w:bidi="ar"/>
                    </w:rPr>
                    <w:t>年</w:t>
                  </w:r>
                </w:p>
              </w:tc>
              <w:tc>
                <w:tcPr>
                  <w:tcW w:w="808" w:type="dxa"/>
                  <w:tcBorders>
                    <w:top w:val="single" w:color="auto" w:sz="4" w:space="0"/>
                    <w:left w:val="single" w:color="auto" w:sz="4" w:space="0"/>
                    <w:bottom w:val="single" w:color="auto" w:sz="4" w:space="0"/>
                    <w:right w:val="single" w:color="auto" w:sz="4" w:space="0"/>
                  </w:tcBorders>
                  <w:shd w:val="clear"/>
                  <w:vAlign w:val="center"/>
                </w:tcPr>
                <w:p w14:paraId="4890BFDA">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T/In</w:t>
                  </w:r>
                </w:p>
              </w:tc>
              <w:tc>
                <w:tcPr>
                  <w:tcW w:w="867" w:type="dxa"/>
                  <w:vMerge w:val="restart"/>
                  <w:tcBorders>
                    <w:top w:val="single" w:color="auto" w:sz="4" w:space="0"/>
                    <w:left w:val="single" w:color="auto" w:sz="4" w:space="0"/>
                    <w:bottom w:val="single" w:color="auto" w:sz="12" w:space="0"/>
                    <w:right w:val="nil"/>
                  </w:tcBorders>
                  <w:shd w:val="clear"/>
                  <w:vAlign w:val="center"/>
                </w:tcPr>
                <w:p w14:paraId="642AE8E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暂存于危废贮存内，定期交有资质单位处置。</w:t>
                  </w:r>
                </w:p>
              </w:tc>
            </w:tr>
            <w:tr w14:paraId="573DB2F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135" w:type="dxa"/>
                  <w:tcBorders>
                    <w:top w:val="single" w:color="auto" w:sz="4" w:space="0"/>
                    <w:left w:val="nil"/>
                    <w:bottom w:val="single" w:color="auto" w:sz="4" w:space="0"/>
                    <w:right w:val="single" w:color="auto" w:sz="4" w:space="0"/>
                  </w:tcBorders>
                  <w:shd w:val="clear"/>
                  <w:vAlign w:val="center"/>
                </w:tcPr>
                <w:p w14:paraId="1CDE4E7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涂胶切割工序布袋除尘器收集粉尘</w:t>
                  </w:r>
                </w:p>
              </w:tc>
              <w:tc>
                <w:tcPr>
                  <w:tcW w:w="802" w:type="dxa"/>
                  <w:tcBorders>
                    <w:top w:val="single" w:color="auto" w:sz="4" w:space="0"/>
                    <w:left w:val="single" w:color="auto" w:sz="4" w:space="0"/>
                    <w:bottom w:val="single" w:color="auto" w:sz="4" w:space="0"/>
                    <w:right w:val="single" w:color="auto" w:sz="4" w:space="0"/>
                  </w:tcBorders>
                  <w:shd w:val="clear"/>
                  <w:vAlign w:val="center"/>
                </w:tcPr>
                <w:p w14:paraId="42BF27E6">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HW49</w:t>
                  </w:r>
                </w:p>
              </w:tc>
              <w:tc>
                <w:tcPr>
                  <w:tcW w:w="1300" w:type="dxa"/>
                  <w:tcBorders>
                    <w:top w:val="single" w:color="auto" w:sz="4" w:space="0"/>
                    <w:left w:val="single" w:color="auto" w:sz="4" w:space="0"/>
                    <w:bottom w:val="single" w:color="auto" w:sz="4" w:space="0"/>
                    <w:right w:val="single" w:color="auto" w:sz="4" w:space="0"/>
                  </w:tcBorders>
                  <w:shd w:val="clear"/>
                  <w:vAlign w:val="center"/>
                </w:tcPr>
                <w:p w14:paraId="317D7BD5">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900-041-49</w:t>
                  </w:r>
                </w:p>
              </w:tc>
              <w:tc>
                <w:tcPr>
                  <w:tcW w:w="723" w:type="dxa"/>
                  <w:tcBorders>
                    <w:top w:val="single" w:color="auto" w:sz="4" w:space="0"/>
                    <w:left w:val="single" w:color="auto" w:sz="4" w:space="0"/>
                    <w:bottom w:val="single" w:color="auto" w:sz="4" w:space="0"/>
                    <w:right w:val="single" w:color="auto" w:sz="4" w:space="0"/>
                  </w:tcBorders>
                  <w:shd w:val="clear"/>
                  <w:vAlign w:val="center"/>
                </w:tcPr>
                <w:p w14:paraId="37F9C89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0.023</w:t>
                  </w:r>
                </w:p>
              </w:tc>
              <w:tc>
                <w:tcPr>
                  <w:tcW w:w="866" w:type="dxa"/>
                  <w:tcBorders>
                    <w:top w:val="single" w:color="auto" w:sz="4" w:space="0"/>
                    <w:left w:val="single" w:color="auto" w:sz="4" w:space="0"/>
                    <w:bottom w:val="single" w:color="auto" w:sz="4" w:space="0"/>
                    <w:right w:val="single" w:color="auto" w:sz="4" w:space="0"/>
                  </w:tcBorders>
                  <w:shd w:val="clear"/>
                  <w:vAlign w:val="center"/>
                </w:tcPr>
                <w:p w14:paraId="19EF4C9E">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废气</w:t>
                  </w:r>
                </w:p>
                <w:p w14:paraId="043E63CE">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治理</w:t>
                  </w:r>
                </w:p>
              </w:tc>
              <w:tc>
                <w:tcPr>
                  <w:tcW w:w="723" w:type="dxa"/>
                  <w:tcBorders>
                    <w:top w:val="single" w:color="auto" w:sz="4" w:space="0"/>
                    <w:left w:val="single" w:color="auto" w:sz="4" w:space="0"/>
                    <w:bottom w:val="single" w:color="auto" w:sz="4" w:space="0"/>
                    <w:right w:val="single" w:color="auto" w:sz="4" w:space="0"/>
                  </w:tcBorders>
                  <w:shd w:val="clear"/>
                  <w:vAlign w:val="center"/>
                </w:tcPr>
                <w:p w14:paraId="105526D9">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固态</w:t>
                  </w:r>
                </w:p>
              </w:tc>
              <w:tc>
                <w:tcPr>
                  <w:tcW w:w="723" w:type="dxa"/>
                  <w:tcBorders>
                    <w:top w:val="single" w:color="auto" w:sz="4" w:space="0"/>
                    <w:left w:val="single" w:color="auto" w:sz="4" w:space="0"/>
                    <w:bottom w:val="single" w:color="auto" w:sz="4" w:space="0"/>
                    <w:right w:val="single" w:color="auto" w:sz="4" w:space="0"/>
                  </w:tcBorders>
                  <w:shd w:val="clear"/>
                  <w:vAlign w:val="center"/>
                </w:tcPr>
                <w:p w14:paraId="17733B49">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r>
                    <w:rPr>
                      <w:rFonts w:hint="eastAsia" w:ascii="Times New Roman" w:hAnsi="Times New Roman" w:eastAsia="宋体" w:cs="宋体"/>
                      <w:color w:val="000000"/>
                      <w:kern w:val="0"/>
                      <w:sz w:val="21"/>
                      <w:szCs w:val="21"/>
                      <w:bdr w:val="none" w:color="auto" w:sz="0" w:space="0"/>
                      <w:lang w:val="en-US" w:eastAsia="zh-CN" w:bidi="ar"/>
                    </w:rPr>
                    <w:t>年</w:t>
                  </w:r>
                </w:p>
              </w:tc>
              <w:tc>
                <w:tcPr>
                  <w:tcW w:w="808" w:type="dxa"/>
                  <w:tcBorders>
                    <w:top w:val="single" w:color="auto" w:sz="4" w:space="0"/>
                    <w:left w:val="single" w:color="auto" w:sz="4" w:space="0"/>
                    <w:bottom w:val="single" w:color="auto" w:sz="4" w:space="0"/>
                    <w:right w:val="single" w:color="auto" w:sz="4" w:space="0"/>
                  </w:tcBorders>
                  <w:shd w:val="clear"/>
                  <w:vAlign w:val="center"/>
                </w:tcPr>
                <w:p w14:paraId="046E45C1">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T/In</w:t>
                  </w:r>
                </w:p>
              </w:tc>
              <w:tc>
                <w:tcPr>
                  <w:tcW w:w="867" w:type="dxa"/>
                  <w:vMerge w:val="continue"/>
                  <w:tcBorders>
                    <w:top w:val="single" w:color="auto" w:sz="4" w:space="0"/>
                    <w:left w:val="single" w:color="auto" w:sz="4" w:space="0"/>
                    <w:bottom w:val="single" w:color="auto" w:sz="12" w:space="0"/>
                    <w:right w:val="nil"/>
                  </w:tcBorders>
                  <w:shd w:val="clear"/>
                  <w:vAlign w:val="center"/>
                </w:tcPr>
                <w:p w14:paraId="16C0722E">
                  <w:pPr>
                    <w:rPr>
                      <w:rFonts w:hint="default" w:ascii="Calibri" w:hAnsi="Calibri" w:cs="Calibri"/>
                      <w:sz w:val="20"/>
                      <w:szCs w:val="20"/>
                    </w:rPr>
                  </w:pPr>
                </w:p>
              </w:tc>
            </w:tr>
            <w:tr w14:paraId="3898B63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135" w:type="dxa"/>
                  <w:tcBorders>
                    <w:top w:val="single" w:color="auto" w:sz="4" w:space="0"/>
                    <w:left w:val="nil"/>
                    <w:bottom w:val="single" w:color="auto" w:sz="4" w:space="0"/>
                    <w:right w:val="single" w:color="auto" w:sz="4" w:space="0"/>
                  </w:tcBorders>
                  <w:shd w:val="clear"/>
                  <w:vAlign w:val="center"/>
                </w:tcPr>
                <w:p w14:paraId="717720C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default" w:ascii="Times New Roman" w:hAnsi="Calibri" w:eastAsia="宋体" w:cs="Times New Roman"/>
                      <w:color w:val="000000"/>
                      <w:kern w:val="0"/>
                      <w:sz w:val="21"/>
                      <w:szCs w:val="21"/>
                      <w:bdr w:val="none" w:color="auto" w:sz="0" w:space="0"/>
                      <w:lang w:val="en-US" w:eastAsia="zh-CN" w:bidi="ar"/>
                    </w:rPr>
                    <w:t>UV</w:t>
                  </w:r>
                  <w:r>
                    <w:rPr>
                      <w:rFonts w:hint="eastAsia" w:ascii="Times New Roman" w:hAnsi="Calibri" w:eastAsia="宋体" w:cs="宋体"/>
                      <w:color w:val="000000"/>
                      <w:kern w:val="0"/>
                      <w:sz w:val="21"/>
                      <w:szCs w:val="21"/>
                      <w:bdr w:val="none" w:color="auto" w:sz="0" w:space="0"/>
                      <w:lang w:val="en-US" w:eastAsia="zh-CN" w:bidi="ar"/>
                    </w:rPr>
                    <w:t>灯管</w:t>
                  </w:r>
                </w:p>
              </w:tc>
              <w:tc>
                <w:tcPr>
                  <w:tcW w:w="802" w:type="dxa"/>
                  <w:tcBorders>
                    <w:top w:val="single" w:color="auto" w:sz="4" w:space="0"/>
                    <w:left w:val="single" w:color="auto" w:sz="4" w:space="0"/>
                    <w:bottom w:val="single" w:color="auto" w:sz="4" w:space="0"/>
                    <w:right w:val="single" w:color="auto" w:sz="4" w:space="0"/>
                  </w:tcBorders>
                  <w:shd w:val="clear"/>
                  <w:vAlign w:val="center"/>
                </w:tcPr>
                <w:p w14:paraId="79DFF16E">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HW29</w:t>
                  </w:r>
                </w:p>
              </w:tc>
              <w:tc>
                <w:tcPr>
                  <w:tcW w:w="1300" w:type="dxa"/>
                  <w:tcBorders>
                    <w:top w:val="single" w:color="auto" w:sz="4" w:space="0"/>
                    <w:left w:val="single" w:color="auto" w:sz="4" w:space="0"/>
                    <w:bottom w:val="single" w:color="auto" w:sz="4" w:space="0"/>
                    <w:right w:val="single" w:color="auto" w:sz="4" w:space="0"/>
                  </w:tcBorders>
                  <w:shd w:val="clear"/>
                  <w:vAlign w:val="center"/>
                </w:tcPr>
                <w:p w14:paraId="08F66F13">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900-023-29</w:t>
                  </w:r>
                </w:p>
              </w:tc>
              <w:tc>
                <w:tcPr>
                  <w:tcW w:w="723" w:type="dxa"/>
                  <w:tcBorders>
                    <w:top w:val="single" w:color="auto" w:sz="4" w:space="0"/>
                    <w:left w:val="single" w:color="auto" w:sz="4" w:space="0"/>
                    <w:bottom w:val="single" w:color="auto" w:sz="4" w:space="0"/>
                    <w:right w:val="single" w:color="auto" w:sz="4" w:space="0"/>
                  </w:tcBorders>
                  <w:shd w:val="clear"/>
                  <w:vAlign w:val="center"/>
                </w:tcPr>
                <w:p w14:paraId="7144E1F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0.05</w:t>
                  </w:r>
                </w:p>
              </w:tc>
              <w:tc>
                <w:tcPr>
                  <w:tcW w:w="866" w:type="dxa"/>
                  <w:vMerge w:val="restart"/>
                  <w:tcBorders>
                    <w:top w:val="single" w:color="auto" w:sz="4" w:space="0"/>
                    <w:left w:val="single" w:color="auto" w:sz="4" w:space="0"/>
                    <w:bottom w:val="single" w:color="auto" w:sz="4" w:space="0"/>
                    <w:right w:val="single" w:color="auto" w:sz="4" w:space="0"/>
                  </w:tcBorders>
                  <w:shd w:val="clear"/>
                  <w:vAlign w:val="center"/>
                </w:tcPr>
                <w:p w14:paraId="640D0C01">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废气</w:t>
                  </w:r>
                </w:p>
                <w:p w14:paraId="31B33151">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治理</w:t>
                  </w:r>
                </w:p>
              </w:tc>
              <w:tc>
                <w:tcPr>
                  <w:tcW w:w="723" w:type="dxa"/>
                  <w:tcBorders>
                    <w:top w:val="single" w:color="auto" w:sz="4" w:space="0"/>
                    <w:left w:val="single" w:color="auto" w:sz="4" w:space="0"/>
                    <w:bottom w:val="single" w:color="auto" w:sz="4" w:space="0"/>
                    <w:right w:val="single" w:color="auto" w:sz="4" w:space="0"/>
                  </w:tcBorders>
                  <w:shd w:val="clear"/>
                  <w:vAlign w:val="center"/>
                </w:tcPr>
                <w:p w14:paraId="5E2268F2">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固态</w:t>
                  </w:r>
                </w:p>
              </w:tc>
              <w:tc>
                <w:tcPr>
                  <w:tcW w:w="723" w:type="dxa"/>
                  <w:tcBorders>
                    <w:top w:val="single" w:color="auto" w:sz="4" w:space="0"/>
                    <w:left w:val="single" w:color="auto" w:sz="4" w:space="0"/>
                    <w:bottom w:val="single" w:color="auto" w:sz="4" w:space="0"/>
                    <w:right w:val="single" w:color="auto" w:sz="4" w:space="0"/>
                  </w:tcBorders>
                  <w:shd w:val="clear"/>
                  <w:vAlign w:val="center"/>
                </w:tcPr>
                <w:p w14:paraId="5720116B">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r>
                    <w:rPr>
                      <w:rFonts w:hint="eastAsia" w:ascii="Times New Roman" w:hAnsi="Times New Roman" w:eastAsia="宋体" w:cs="宋体"/>
                      <w:color w:val="000000"/>
                      <w:kern w:val="0"/>
                      <w:sz w:val="21"/>
                      <w:szCs w:val="21"/>
                      <w:bdr w:val="none" w:color="auto" w:sz="0" w:space="0"/>
                      <w:lang w:val="en-US" w:eastAsia="zh-CN" w:bidi="ar"/>
                    </w:rPr>
                    <w:t>年</w:t>
                  </w:r>
                </w:p>
              </w:tc>
              <w:tc>
                <w:tcPr>
                  <w:tcW w:w="808" w:type="dxa"/>
                  <w:tcBorders>
                    <w:top w:val="single" w:color="auto" w:sz="4" w:space="0"/>
                    <w:left w:val="single" w:color="auto" w:sz="4" w:space="0"/>
                    <w:bottom w:val="single" w:color="auto" w:sz="4" w:space="0"/>
                    <w:right w:val="single" w:color="auto" w:sz="4" w:space="0"/>
                  </w:tcBorders>
                  <w:shd w:val="clear"/>
                  <w:vAlign w:val="center"/>
                </w:tcPr>
                <w:p w14:paraId="1499F95D">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T</w:t>
                  </w:r>
                </w:p>
              </w:tc>
              <w:tc>
                <w:tcPr>
                  <w:tcW w:w="867" w:type="dxa"/>
                  <w:vMerge w:val="continue"/>
                  <w:tcBorders>
                    <w:top w:val="single" w:color="auto" w:sz="4" w:space="0"/>
                    <w:left w:val="single" w:color="auto" w:sz="4" w:space="0"/>
                    <w:bottom w:val="single" w:color="auto" w:sz="12" w:space="0"/>
                    <w:right w:val="nil"/>
                  </w:tcBorders>
                  <w:shd w:val="clear"/>
                  <w:vAlign w:val="center"/>
                </w:tcPr>
                <w:p w14:paraId="2E2BD7C6">
                  <w:pPr>
                    <w:rPr>
                      <w:rFonts w:hint="default" w:ascii="Calibri" w:hAnsi="Calibri" w:cs="Calibri"/>
                      <w:sz w:val="20"/>
                      <w:szCs w:val="20"/>
                    </w:rPr>
                  </w:pPr>
                </w:p>
              </w:tc>
            </w:tr>
            <w:tr w14:paraId="4A8BB0A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135" w:type="dxa"/>
                  <w:tcBorders>
                    <w:top w:val="single" w:color="auto" w:sz="4" w:space="0"/>
                    <w:left w:val="nil"/>
                    <w:bottom w:val="single" w:color="auto" w:sz="4" w:space="0"/>
                    <w:right w:val="single" w:color="auto" w:sz="4" w:space="0"/>
                  </w:tcBorders>
                  <w:shd w:val="clear"/>
                  <w:vAlign w:val="center"/>
                </w:tcPr>
                <w:p w14:paraId="474E095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废活性炭</w:t>
                  </w:r>
                </w:p>
              </w:tc>
              <w:tc>
                <w:tcPr>
                  <w:tcW w:w="802" w:type="dxa"/>
                  <w:tcBorders>
                    <w:top w:val="single" w:color="auto" w:sz="4" w:space="0"/>
                    <w:left w:val="single" w:color="auto" w:sz="4" w:space="0"/>
                    <w:bottom w:val="single" w:color="auto" w:sz="4" w:space="0"/>
                    <w:right w:val="single" w:color="auto" w:sz="4" w:space="0"/>
                  </w:tcBorders>
                  <w:shd w:val="clear"/>
                  <w:vAlign w:val="center"/>
                </w:tcPr>
                <w:p w14:paraId="7F2FDFEB">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HW49</w:t>
                  </w:r>
                </w:p>
              </w:tc>
              <w:tc>
                <w:tcPr>
                  <w:tcW w:w="1300" w:type="dxa"/>
                  <w:tcBorders>
                    <w:top w:val="single" w:color="auto" w:sz="4" w:space="0"/>
                    <w:left w:val="single" w:color="auto" w:sz="4" w:space="0"/>
                    <w:bottom w:val="single" w:color="auto" w:sz="4" w:space="0"/>
                    <w:right w:val="single" w:color="auto" w:sz="4" w:space="0"/>
                  </w:tcBorders>
                  <w:shd w:val="clear"/>
                  <w:vAlign w:val="center"/>
                </w:tcPr>
                <w:p w14:paraId="6235A464">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900-039-49</w:t>
                  </w:r>
                </w:p>
              </w:tc>
              <w:tc>
                <w:tcPr>
                  <w:tcW w:w="723" w:type="dxa"/>
                  <w:tcBorders>
                    <w:top w:val="single" w:color="auto" w:sz="4" w:space="0"/>
                    <w:left w:val="single" w:color="auto" w:sz="4" w:space="0"/>
                    <w:bottom w:val="single" w:color="auto" w:sz="4" w:space="0"/>
                    <w:right w:val="single" w:color="auto" w:sz="4" w:space="0"/>
                  </w:tcBorders>
                  <w:shd w:val="clear"/>
                  <w:vAlign w:val="center"/>
                </w:tcPr>
                <w:p w14:paraId="03697DA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2.494</w:t>
                  </w:r>
                </w:p>
              </w:tc>
              <w:tc>
                <w:tcPr>
                  <w:tcW w:w="866" w:type="dxa"/>
                  <w:vMerge w:val="continue"/>
                  <w:tcBorders>
                    <w:top w:val="single" w:color="auto" w:sz="4" w:space="0"/>
                    <w:left w:val="single" w:color="auto" w:sz="4" w:space="0"/>
                    <w:bottom w:val="single" w:color="auto" w:sz="4" w:space="0"/>
                    <w:right w:val="single" w:color="auto" w:sz="4" w:space="0"/>
                  </w:tcBorders>
                  <w:shd w:val="clear"/>
                  <w:vAlign w:val="center"/>
                </w:tcPr>
                <w:p w14:paraId="456FA4FB">
                  <w:pPr>
                    <w:rPr>
                      <w:rFonts w:hint="default" w:ascii="Calibri" w:hAnsi="Calibri" w:cs="Calibri"/>
                      <w:sz w:val="20"/>
                      <w:szCs w:val="20"/>
                    </w:rPr>
                  </w:pPr>
                </w:p>
              </w:tc>
              <w:tc>
                <w:tcPr>
                  <w:tcW w:w="723" w:type="dxa"/>
                  <w:tcBorders>
                    <w:top w:val="single" w:color="auto" w:sz="4" w:space="0"/>
                    <w:left w:val="single" w:color="auto" w:sz="4" w:space="0"/>
                    <w:bottom w:val="single" w:color="auto" w:sz="4" w:space="0"/>
                    <w:right w:val="single" w:color="auto" w:sz="4" w:space="0"/>
                  </w:tcBorders>
                  <w:shd w:val="clear"/>
                  <w:vAlign w:val="center"/>
                </w:tcPr>
                <w:p w14:paraId="31AD4855">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固态</w:t>
                  </w:r>
                </w:p>
              </w:tc>
              <w:tc>
                <w:tcPr>
                  <w:tcW w:w="723" w:type="dxa"/>
                  <w:tcBorders>
                    <w:top w:val="single" w:color="auto" w:sz="4" w:space="0"/>
                    <w:left w:val="single" w:color="auto" w:sz="4" w:space="0"/>
                    <w:bottom w:val="single" w:color="auto" w:sz="4" w:space="0"/>
                    <w:right w:val="single" w:color="auto" w:sz="4" w:space="0"/>
                  </w:tcBorders>
                  <w:shd w:val="clear"/>
                  <w:vAlign w:val="center"/>
                </w:tcPr>
                <w:p w14:paraId="7449C461">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w:t>
                  </w:r>
                  <w:r>
                    <w:rPr>
                      <w:rFonts w:hint="eastAsia" w:ascii="Times New Roman" w:hAnsi="Times New Roman" w:eastAsia="宋体" w:cs="宋体"/>
                      <w:color w:val="000000"/>
                      <w:kern w:val="0"/>
                      <w:sz w:val="21"/>
                      <w:szCs w:val="21"/>
                      <w:bdr w:val="none" w:color="auto" w:sz="0" w:space="0"/>
                      <w:lang w:val="en-US" w:eastAsia="zh-CN" w:bidi="ar"/>
                    </w:rPr>
                    <w:t>个月</w:t>
                  </w:r>
                </w:p>
              </w:tc>
              <w:tc>
                <w:tcPr>
                  <w:tcW w:w="808" w:type="dxa"/>
                  <w:tcBorders>
                    <w:top w:val="single" w:color="auto" w:sz="4" w:space="0"/>
                    <w:left w:val="single" w:color="auto" w:sz="4" w:space="0"/>
                    <w:bottom w:val="single" w:color="auto" w:sz="4" w:space="0"/>
                    <w:right w:val="single" w:color="auto" w:sz="4" w:space="0"/>
                  </w:tcBorders>
                  <w:shd w:val="clear"/>
                  <w:vAlign w:val="center"/>
                </w:tcPr>
                <w:p w14:paraId="6811ABB1">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T</w:t>
                  </w:r>
                </w:p>
              </w:tc>
              <w:tc>
                <w:tcPr>
                  <w:tcW w:w="867" w:type="dxa"/>
                  <w:vMerge w:val="continue"/>
                  <w:tcBorders>
                    <w:top w:val="single" w:color="auto" w:sz="4" w:space="0"/>
                    <w:left w:val="single" w:color="auto" w:sz="4" w:space="0"/>
                    <w:bottom w:val="single" w:color="auto" w:sz="12" w:space="0"/>
                    <w:right w:val="nil"/>
                  </w:tcBorders>
                  <w:shd w:val="clear"/>
                  <w:vAlign w:val="center"/>
                </w:tcPr>
                <w:p w14:paraId="13CDB144">
                  <w:pPr>
                    <w:rPr>
                      <w:rFonts w:hint="default" w:ascii="Calibri" w:hAnsi="Calibri" w:cs="Calibri"/>
                      <w:sz w:val="20"/>
                      <w:szCs w:val="20"/>
                    </w:rPr>
                  </w:pPr>
                </w:p>
              </w:tc>
            </w:tr>
            <w:tr w14:paraId="76CAF8E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135" w:type="dxa"/>
                  <w:tcBorders>
                    <w:top w:val="single" w:color="auto" w:sz="4" w:space="0"/>
                    <w:left w:val="nil"/>
                    <w:bottom w:val="single" w:color="auto" w:sz="4" w:space="0"/>
                    <w:right w:val="single" w:color="auto" w:sz="4" w:space="0"/>
                  </w:tcBorders>
                  <w:shd w:val="clear"/>
                  <w:vAlign w:val="center"/>
                </w:tcPr>
                <w:p w14:paraId="4D3B436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废背胶处理剂空瓶</w:t>
                  </w:r>
                </w:p>
              </w:tc>
              <w:tc>
                <w:tcPr>
                  <w:tcW w:w="802" w:type="dxa"/>
                  <w:tcBorders>
                    <w:top w:val="single" w:color="auto" w:sz="4" w:space="0"/>
                    <w:left w:val="single" w:color="auto" w:sz="4" w:space="0"/>
                    <w:bottom w:val="single" w:color="auto" w:sz="4" w:space="0"/>
                    <w:right w:val="single" w:color="auto" w:sz="4" w:space="0"/>
                  </w:tcBorders>
                  <w:shd w:val="clear"/>
                  <w:vAlign w:val="center"/>
                </w:tcPr>
                <w:p w14:paraId="4F9679E1">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HW49</w:t>
                  </w:r>
                </w:p>
              </w:tc>
              <w:tc>
                <w:tcPr>
                  <w:tcW w:w="1300" w:type="dxa"/>
                  <w:tcBorders>
                    <w:top w:val="single" w:color="auto" w:sz="4" w:space="0"/>
                    <w:left w:val="single" w:color="auto" w:sz="4" w:space="0"/>
                    <w:bottom w:val="single" w:color="auto" w:sz="4" w:space="0"/>
                    <w:right w:val="single" w:color="auto" w:sz="4" w:space="0"/>
                  </w:tcBorders>
                  <w:shd w:val="clear"/>
                  <w:vAlign w:val="center"/>
                </w:tcPr>
                <w:p w14:paraId="7F5609A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900-041-49</w:t>
                  </w:r>
                </w:p>
              </w:tc>
              <w:tc>
                <w:tcPr>
                  <w:tcW w:w="723" w:type="dxa"/>
                  <w:tcBorders>
                    <w:top w:val="single" w:color="auto" w:sz="4" w:space="0"/>
                    <w:left w:val="single" w:color="auto" w:sz="4" w:space="0"/>
                    <w:bottom w:val="single" w:color="auto" w:sz="4" w:space="0"/>
                    <w:right w:val="single" w:color="auto" w:sz="4" w:space="0"/>
                  </w:tcBorders>
                  <w:shd w:val="clear"/>
                  <w:vAlign w:val="center"/>
                </w:tcPr>
                <w:p w14:paraId="2730568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0.045</w:t>
                  </w:r>
                </w:p>
              </w:tc>
              <w:tc>
                <w:tcPr>
                  <w:tcW w:w="866" w:type="dxa"/>
                  <w:tcBorders>
                    <w:top w:val="single" w:color="auto" w:sz="4" w:space="0"/>
                    <w:left w:val="single" w:color="auto" w:sz="4" w:space="0"/>
                    <w:bottom w:val="single" w:color="auto" w:sz="4" w:space="0"/>
                    <w:right w:val="single" w:color="auto" w:sz="4" w:space="0"/>
                  </w:tcBorders>
                  <w:shd w:val="clear"/>
                  <w:vAlign w:val="center"/>
                </w:tcPr>
                <w:p w14:paraId="296AF48B">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生产</w:t>
                  </w:r>
                </w:p>
                <w:p w14:paraId="32E06036">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阶段</w:t>
                  </w:r>
                </w:p>
              </w:tc>
              <w:tc>
                <w:tcPr>
                  <w:tcW w:w="723" w:type="dxa"/>
                  <w:tcBorders>
                    <w:top w:val="single" w:color="auto" w:sz="4" w:space="0"/>
                    <w:left w:val="single" w:color="auto" w:sz="4" w:space="0"/>
                    <w:bottom w:val="single" w:color="auto" w:sz="4" w:space="0"/>
                    <w:right w:val="single" w:color="auto" w:sz="4" w:space="0"/>
                  </w:tcBorders>
                  <w:shd w:val="clear"/>
                  <w:vAlign w:val="center"/>
                </w:tcPr>
                <w:p w14:paraId="7AC6C849">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固态</w:t>
                  </w:r>
                </w:p>
              </w:tc>
              <w:tc>
                <w:tcPr>
                  <w:tcW w:w="723" w:type="dxa"/>
                  <w:tcBorders>
                    <w:top w:val="single" w:color="auto" w:sz="4" w:space="0"/>
                    <w:left w:val="single" w:color="auto" w:sz="4" w:space="0"/>
                    <w:bottom w:val="single" w:color="auto" w:sz="4" w:space="0"/>
                    <w:right w:val="single" w:color="auto" w:sz="4" w:space="0"/>
                  </w:tcBorders>
                  <w:shd w:val="clear"/>
                  <w:vAlign w:val="center"/>
                </w:tcPr>
                <w:p w14:paraId="7D49E258">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w:t>
                  </w:r>
                  <w:r>
                    <w:rPr>
                      <w:rFonts w:hint="eastAsia" w:ascii="Times New Roman" w:hAnsi="Times New Roman" w:eastAsia="宋体" w:cs="宋体"/>
                      <w:color w:val="000000"/>
                      <w:kern w:val="0"/>
                      <w:sz w:val="21"/>
                      <w:szCs w:val="21"/>
                      <w:bdr w:val="none" w:color="auto" w:sz="0" w:space="0"/>
                      <w:lang w:val="en-US" w:eastAsia="zh-CN" w:bidi="ar"/>
                    </w:rPr>
                    <w:t>个月</w:t>
                  </w:r>
                </w:p>
              </w:tc>
              <w:tc>
                <w:tcPr>
                  <w:tcW w:w="808" w:type="dxa"/>
                  <w:tcBorders>
                    <w:top w:val="single" w:color="auto" w:sz="4" w:space="0"/>
                    <w:left w:val="single" w:color="auto" w:sz="4" w:space="0"/>
                    <w:bottom w:val="single" w:color="auto" w:sz="4" w:space="0"/>
                    <w:right w:val="single" w:color="auto" w:sz="4" w:space="0"/>
                  </w:tcBorders>
                  <w:shd w:val="clear"/>
                  <w:vAlign w:val="center"/>
                </w:tcPr>
                <w:p w14:paraId="66C67FEF">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T/In</w:t>
                  </w:r>
                </w:p>
              </w:tc>
              <w:tc>
                <w:tcPr>
                  <w:tcW w:w="867" w:type="dxa"/>
                  <w:vMerge w:val="continue"/>
                  <w:tcBorders>
                    <w:top w:val="single" w:color="auto" w:sz="4" w:space="0"/>
                    <w:left w:val="single" w:color="auto" w:sz="4" w:space="0"/>
                    <w:bottom w:val="single" w:color="auto" w:sz="12" w:space="0"/>
                    <w:right w:val="nil"/>
                  </w:tcBorders>
                  <w:shd w:val="clear"/>
                  <w:vAlign w:val="center"/>
                </w:tcPr>
                <w:p w14:paraId="0D6E6E44">
                  <w:pPr>
                    <w:rPr>
                      <w:rFonts w:hint="default" w:ascii="Calibri" w:hAnsi="Calibri" w:cs="Calibri"/>
                      <w:sz w:val="20"/>
                      <w:szCs w:val="20"/>
                    </w:rPr>
                  </w:pPr>
                </w:p>
              </w:tc>
            </w:tr>
            <w:tr w14:paraId="115927E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135" w:type="dxa"/>
                  <w:tcBorders>
                    <w:top w:val="single" w:color="auto" w:sz="4" w:space="0"/>
                    <w:left w:val="nil"/>
                    <w:bottom w:val="single" w:color="auto" w:sz="4" w:space="0"/>
                    <w:right w:val="single" w:color="auto" w:sz="4" w:space="0"/>
                  </w:tcBorders>
                  <w:shd w:val="clear"/>
                  <w:vAlign w:val="center"/>
                </w:tcPr>
                <w:p w14:paraId="1B2EAB8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废油桶</w:t>
                  </w:r>
                </w:p>
              </w:tc>
              <w:tc>
                <w:tcPr>
                  <w:tcW w:w="802" w:type="dxa"/>
                  <w:tcBorders>
                    <w:top w:val="single" w:color="auto" w:sz="4" w:space="0"/>
                    <w:left w:val="single" w:color="auto" w:sz="4" w:space="0"/>
                    <w:bottom w:val="single" w:color="auto" w:sz="4" w:space="0"/>
                    <w:right w:val="single" w:color="auto" w:sz="4" w:space="0"/>
                  </w:tcBorders>
                  <w:shd w:val="clear"/>
                  <w:vAlign w:val="center"/>
                </w:tcPr>
                <w:p w14:paraId="149CB0B2">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HW08</w:t>
                  </w:r>
                </w:p>
              </w:tc>
              <w:tc>
                <w:tcPr>
                  <w:tcW w:w="1300" w:type="dxa"/>
                  <w:tcBorders>
                    <w:top w:val="single" w:color="auto" w:sz="4" w:space="0"/>
                    <w:left w:val="single" w:color="auto" w:sz="4" w:space="0"/>
                    <w:bottom w:val="single" w:color="auto" w:sz="4" w:space="0"/>
                    <w:right w:val="single" w:color="auto" w:sz="4" w:space="0"/>
                  </w:tcBorders>
                  <w:shd w:val="clear"/>
                  <w:vAlign w:val="center"/>
                </w:tcPr>
                <w:p w14:paraId="110B5A9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900-249-08</w:t>
                  </w:r>
                </w:p>
              </w:tc>
              <w:tc>
                <w:tcPr>
                  <w:tcW w:w="723" w:type="dxa"/>
                  <w:tcBorders>
                    <w:top w:val="single" w:color="auto" w:sz="4" w:space="0"/>
                    <w:left w:val="single" w:color="auto" w:sz="4" w:space="0"/>
                    <w:bottom w:val="single" w:color="auto" w:sz="4" w:space="0"/>
                    <w:right w:val="single" w:color="auto" w:sz="4" w:space="0"/>
                  </w:tcBorders>
                  <w:shd w:val="clear"/>
                  <w:vAlign w:val="center"/>
                </w:tcPr>
                <w:p w14:paraId="1D469A8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0.01</w:t>
                  </w:r>
                </w:p>
              </w:tc>
              <w:tc>
                <w:tcPr>
                  <w:tcW w:w="866" w:type="dxa"/>
                  <w:vMerge w:val="restart"/>
                  <w:tcBorders>
                    <w:top w:val="single" w:color="auto" w:sz="4" w:space="0"/>
                    <w:left w:val="single" w:color="auto" w:sz="4" w:space="0"/>
                    <w:bottom w:val="single" w:color="auto" w:sz="12" w:space="0"/>
                    <w:right w:val="single" w:color="auto" w:sz="4" w:space="0"/>
                  </w:tcBorders>
                  <w:shd w:val="clear"/>
                  <w:vAlign w:val="center"/>
                </w:tcPr>
                <w:p w14:paraId="7E532DD5">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设备</w:t>
                  </w:r>
                </w:p>
                <w:p w14:paraId="5A2F45CF">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保养</w:t>
                  </w:r>
                </w:p>
              </w:tc>
              <w:tc>
                <w:tcPr>
                  <w:tcW w:w="723" w:type="dxa"/>
                  <w:tcBorders>
                    <w:top w:val="single" w:color="auto" w:sz="4" w:space="0"/>
                    <w:left w:val="single" w:color="auto" w:sz="4" w:space="0"/>
                    <w:bottom w:val="single" w:color="auto" w:sz="4" w:space="0"/>
                    <w:right w:val="single" w:color="auto" w:sz="4" w:space="0"/>
                  </w:tcBorders>
                  <w:shd w:val="clear"/>
                  <w:vAlign w:val="center"/>
                </w:tcPr>
                <w:p w14:paraId="338EF09F">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固态</w:t>
                  </w:r>
                </w:p>
              </w:tc>
              <w:tc>
                <w:tcPr>
                  <w:tcW w:w="723" w:type="dxa"/>
                  <w:vMerge w:val="restart"/>
                  <w:tcBorders>
                    <w:top w:val="single" w:color="auto" w:sz="4" w:space="0"/>
                    <w:left w:val="single" w:color="auto" w:sz="4" w:space="0"/>
                    <w:bottom w:val="single" w:color="auto" w:sz="12" w:space="0"/>
                    <w:right w:val="single" w:color="auto" w:sz="4" w:space="0"/>
                  </w:tcBorders>
                  <w:shd w:val="clear"/>
                  <w:vAlign w:val="center"/>
                </w:tcPr>
                <w:p w14:paraId="15F0CADC">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w:t>
                  </w:r>
                  <w:r>
                    <w:rPr>
                      <w:rFonts w:hint="eastAsia" w:ascii="Times New Roman" w:hAnsi="Times New Roman" w:eastAsia="宋体" w:cs="宋体"/>
                      <w:color w:val="000000"/>
                      <w:kern w:val="0"/>
                      <w:sz w:val="21"/>
                      <w:szCs w:val="21"/>
                      <w:bdr w:val="none" w:color="auto" w:sz="0" w:space="0"/>
                      <w:lang w:val="en-US" w:eastAsia="zh-CN" w:bidi="ar"/>
                    </w:rPr>
                    <w:t>年</w:t>
                  </w:r>
                </w:p>
              </w:tc>
              <w:tc>
                <w:tcPr>
                  <w:tcW w:w="808" w:type="dxa"/>
                  <w:tcBorders>
                    <w:top w:val="single" w:color="auto" w:sz="4" w:space="0"/>
                    <w:left w:val="single" w:color="auto" w:sz="4" w:space="0"/>
                    <w:bottom w:val="single" w:color="auto" w:sz="4" w:space="0"/>
                    <w:right w:val="single" w:color="auto" w:sz="4" w:space="0"/>
                  </w:tcBorders>
                  <w:shd w:val="clear"/>
                  <w:vAlign w:val="center"/>
                </w:tcPr>
                <w:p w14:paraId="6C3CE782">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T</w:t>
                  </w:r>
                  <w:r>
                    <w:rPr>
                      <w:rFonts w:hint="eastAsia" w:ascii="Times New Roman" w:hAnsi="Times New Roman" w:eastAsia="宋体" w:cs="宋体"/>
                      <w:color w:val="000000"/>
                      <w:kern w:val="0"/>
                      <w:sz w:val="21"/>
                      <w:szCs w:val="21"/>
                      <w:bdr w:val="none" w:color="auto" w:sz="0" w:space="0"/>
                      <w:lang w:val="en-US" w:eastAsia="zh-CN" w:bidi="ar"/>
                    </w:rPr>
                    <w:t>，</w:t>
                  </w:r>
                  <w:r>
                    <w:rPr>
                      <w:rFonts w:hint="default" w:ascii="Times New Roman" w:hAnsi="Times New Roman" w:eastAsia="宋体" w:cs="Times New Roman"/>
                      <w:color w:val="000000"/>
                      <w:kern w:val="0"/>
                      <w:sz w:val="21"/>
                      <w:szCs w:val="21"/>
                      <w:bdr w:val="none" w:color="auto" w:sz="0" w:space="0"/>
                      <w:lang w:val="en-US" w:eastAsia="zh-CN" w:bidi="ar"/>
                    </w:rPr>
                    <w:t>I</w:t>
                  </w:r>
                </w:p>
              </w:tc>
              <w:tc>
                <w:tcPr>
                  <w:tcW w:w="867" w:type="dxa"/>
                  <w:vMerge w:val="continue"/>
                  <w:tcBorders>
                    <w:top w:val="single" w:color="auto" w:sz="4" w:space="0"/>
                    <w:left w:val="single" w:color="auto" w:sz="4" w:space="0"/>
                    <w:bottom w:val="single" w:color="auto" w:sz="12" w:space="0"/>
                    <w:right w:val="nil"/>
                  </w:tcBorders>
                  <w:shd w:val="clear"/>
                  <w:vAlign w:val="center"/>
                </w:tcPr>
                <w:p w14:paraId="6DD7DF79">
                  <w:pPr>
                    <w:rPr>
                      <w:rFonts w:hint="default" w:ascii="Calibri" w:hAnsi="Calibri" w:cs="Calibri"/>
                      <w:sz w:val="20"/>
                      <w:szCs w:val="20"/>
                    </w:rPr>
                  </w:pPr>
                </w:p>
              </w:tc>
            </w:tr>
            <w:tr w14:paraId="6007E63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135" w:type="dxa"/>
                  <w:tcBorders>
                    <w:top w:val="single" w:color="auto" w:sz="4" w:space="0"/>
                    <w:left w:val="nil"/>
                    <w:bottom w:val="single" w:color="auto" w:sz="12" w:space="0"/>
                    <w:right w:val="single" w:color="auto" w:sz="4" w:space="0"/>
                  </w:tcBorders>
                  <w:shd w:val="clear"/>
                  <w:vAlign w:val="center"/>
                </w:tcPr>
                <w:p w14:paraId="5B78501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废润滑油</w:t>
                  </w:r>
                </w:p>
              </w:tc>
              <w:tc>
                <w:tcPr>
                  <w:tcW w:w="802" w:type="dxa"/>
                  <w:tcBorders>
                    <w:top w:val="single" w:color="auto" w:sz="4" w:space="0"/>
                    <w:left w:val="single" w:color="auto" w:sz="4" w:space="0"/>
                    <w:bottom w:val="single" w:color="auto" w:sz="12" w:space="0"/>
                    <w:right w:val="single" w:color="auto" w:sz="4" w:space="0"/>
                  </w:tcBorders>
                  <w:shd w:val="clear"/>
                  <w:vAlign w:val="center"/>
                </w:tcPr>
                <w:p w14:paraId="536112B5">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HW08</w:t>
                  </w:r>
                </w:p>
              </w:tc>
              <w:tc>
                <w:tcPr>
                  <w:tcW w:w="1300" w:type="dxa"/>
                  <w:tcBorders>
                    <w:top w:val="single" w:color="auto" w:sz="4" w:space="0"/>
                    <w:left w:val="single" w:color="auto" w:sz="4" w:space="0"/>
                    <w:bottom w:val="single" w:color="auto" w:sz="12" w:space="0"/>
                    <w:right w:val="single" w:color="auto" w:sz="4" w:space="0"/>
                  </w:tcBorders>
                  <w:shd w:val="clear"/>
                  <w:vAlign w:val="center"/>
                </w:tcPr>
                <w:p w14:paraId="659B891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900-217-08</w:t>
                  </w:r>
                </w:p>
              </w:tc>
              <w:tc>
                <w:tcPr>
                  <w:tcW w:w="723" w:type="dxa"/>
                  <w:tcBorders>
                    <w:top w:val="single" w:color="auto" w:sz="4" w:space="0"/>
                    <w:left w:val="single" w:color="auto" w:sz="4" w:space="0"/>
                    <w:bottom w:val="single" w:color="auto" w:sz="12" w:space="0"/>
                    <w:right w:val="single" w:color="auto" w:sz="4" w:space="0"/>
                  </w:tcBorders>
                  <w:shd w:val="clear"/>
                  <w:vAlign w:val="center"/>
                </w:tcPr>
                <w:p w14:paraId="3D186F2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0.005</w:t>
                  </w:r>
                </w:p>
              </w:tc>
              <w:tc>
                <w:tcPr>
                  <w:tcW w:w="866" w:type="dxa"/>
                  <w:vMerge w:val="continue"/>
                  <w:tcBorders>
                    <w:top w:val="single" w:color="auto" w:sz="4" w:space="0"/>
                    <w:left w:val="single" w:color="auto" w:sz="4" w:space="0"/>
                    <w:bottom w:val="single" w:color="auto" w:sz="12" w:space="0"/>
                    <w:right w:val="single" w:color="auto" w:sz="4" w:space="0"/>
                  </w:tcBorders>
                  <w:shd w:val="clear"/>
                  <w:vAlign w:val="center"/>
                </w:tcPr>
                <w:p w14:paraId="0972CD0B">
                  <w:pPr>
                    <w:rPr>
                      <w:rFonts w:hint="default" w:ascii="Calibri" w:hAnsi="Calibri" w:cs="Calibri"/>
                      <w:sz w:val="20"/>
                      <w:szCs w:val="20"/>
                    </w:rPr>
                  </w:pPr>
                </w:p>
              </w:tc>
              <w:tc>
                <w:tcPr>
                  <w:tcW w:w="723" w:type="dxa"/>
                  <w:tcBorders>
                    <w:top w:val="single" w:color="auto" w:sz="4" w:space="0"/>
                    <w:left w:val="single" w:color="auto" w:sz="4" w:space="0"/>
                    <w:bottom w:val="single" w:color="auto" w:sz="12" w:space="0"/>
                    <w:right w:val="single" w:color="auto" w:sz="4" w:space="0"/>
                  </w:tcBorders>
                  <w:shd w:val="clear"/>
                  <w:vAlign w:val="center"/>
                </w:tcPr>
                <w:p w14:paraId="7599F363">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液态</w:t>
                  </w:r>
                </w:p>
              </w:tc>
              <w:tc>
                <w:tcPr>
                  <w:tcW w:w="723" w:type="dxa"/>
                  <w:vMerge w:val="continue"/>
                  <w:tcBorders>
                    <w:top w:val="single" w:color="auto" w:sz="4" w:space="0"/>
                    <w:left w:val="single" w:color="auto" w:sz="4" w:space="0"/>
                    <w:bottom w:val="single" w:color="auto" w:sz="12" w:space="0"/>
                    <w:right w:val="single" w:color="auto" w:sz="4" w:space="0"/>
                  </w:tcBorders>
                  <w:shd w:val="clear"/>
                  <w:vAlign w:val="center"/>
                </w:tcPr>
                <w:p w14:paraId="62387E3A">
                  <w:pPr>
                    <w:rPr>
                      <w:rFonts w:hint="default" w:ascii="Calibri" w:hAnsi="Calibri" w:cs="Calibri"/>
                      <w:sz w:val="20"/>
                      <w:szCs w:val="20"/>
                    </w:rPr>
                  </w:pPr>
                </w:p>
              </w:tc>
              <w:tc>
                <w:tcPr>
                  <w:tcW w:w="808" w:type="dxa"/>
                  <w:tcBorders>
                    <w:top w:val="single" w:color="auto" w:sz="4" w:space="0"/>
                    <w:left w:val="single" w:color="auto" w:sz="4" w:space="0"/>
                    <w:bottom w:val="single" w:color="auto" w:sz="12" w:space="0"/>
                    <w:right w:val="single" w:color="auto" w:sz="4" w:space="0"/>
                  </w:tcBorders>
                  <w:shd w:val="clear"/>
                  <w:vAlign w:val="center"/>
                </w:tcPr>
                <w:p w14:paraId="1EE2124F">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T</w:t>
                  </w:r>
                  <w:r>
                    <w:rPr>
                      <w:rFonts w:hint="eastAsia" w:ascii="Times New Roman" w:hAnsi="Times New Roman" w:eastAsia="宋体" w:cs="宋体"/>
                      <w:color w:val="000000"/>
                      <w:kern w:val="0"/>
                      <w:sz w:val="21"/>
                      <w:szCs w:val="21"/>
                      <w:bdr w:val="none" w:color="auto" w:sz="0" w:space="0"/>
                      <w:lang w:val="en-US" w:eastAsia="zh-CN" w:bidi="ar"/>
                    </w:rPr>
                    <w:t>，</w:t>
                  </w:r>
                  <w:r>
                    <w:rPr>
                      <w:rFonts w:hint="default" w:ascii="Times New Roman" w:hAnsi="Times New Roman" w:eastAsia="宋体" w:cs="Times New Roman"/>
                      <w:color w:val="000000"/>
                      <w:kern w:val="0"/>
                      <w:sz w:val="21"/>
                      <w:szCs w:val="21"/>
                      <w:bdr w:val="none" w:color="auto" w:sz="0" w:space="0"/>
                      <w:lang w:val="en-US" w:eastAsia="zh-CN" w:bidi="ar"/>
                    </w:rPr>
                    <w:t>I</w:t>
                  </w:r>
                </w:p>
              </w:tc>
              <w:tc>
                <w:tcPr>
                  <w:tcW w:w="867" w:type="dxa"/>
                  <w:vMerge w:val="continue"/>
                  <w:tcBorders>
                    <w:top w:val="single" w:color="auto" w:sz="4" w:space="0"/>
                    <w:left w:val="single" w:color="auto" w:sz="4" w:space="0"/>
                    <w:bottom w:val="single" w:color="auto" w:sz="12" w:space="0"/>
                    <w:right w:val="nil"/>
                  </w:tcBorders>
                  <w:shd w:val="clear"/>
                  <w:vAlign w:val="center"/>
                </w:tcPr>
                <w:p w14:paraId="0C39858A">
                  <w:pPr>
                    <w:rPr>
                      <w:rFonts w:hint="default" w:ascii="Calibri" w:hAnsi="Calibri" w:cs="Calibri"/>
                      <w:sz w:val="20"/>
                      <w:szCs w:val="20"/>
                    </w:rPr>
                  </w:pPr>
                </w:p>
              </w:tc>
            </w:tr>
          </w:tbl>
          <w:p w14:paraId="49CBA3ED">
            <w:pPr>
              <w:keepNext w:val="0"/>
              <w:keepLines w:val="0"/>
              <w:widowControl w:val="0"/>
              <w:suppressLineNumbers w:val="0"/>
              <w:adjustRightInd w:val="0"/>
              <w:snapToGrid w:val="0"/>
              <w:spacing w:before="0" w:beforeAutospacing="0" w:after="0" w:afterAutospacing="0" w:line="440" w:lineRule="exact"/>
              <w:ind w:left="0" w:right="0"/>
              <w:jc w:val="left"/>
              <w:outlineLvl w:val="2"/>
              <w:rPr>
                <w:rFonts w:hint="default" w:ascii="Times New Roman" w:hAnsi="宋体" w:cs="Times New Roman"/>
                <w:b/>
                <w:bCs/>
                <w:color w:val="000000"/>
                <w:spacing w:val="-10"/>
                <w:sz w:val="24"/>
                <w:szCs w:val="24"/>
                <w:bdr w:val="none" w:color="auto" w:sz="0" w:space="0"/>
                <w:lang w:val="en-US"/>
              </w:rPr>
            </w:pPr>
            <w:r>
              <w:rPr>
                <w:rFonts w:hint="default" w:ascii="Times New Roman" w:hAnsi="宋体" w:eastAsia="宋体" w:cs="Times New Roman"/>
                <w:b/>
                <w:bCs/>
                <w:color w:val="000000"/>
                <w:spacing w:val="-10"/>
                <w:kern w:val="2"/>
                <w:sz w:val="24"/>
                <w:szCs w:val="24"/>
                <w:bdr w:val="none" w:color="auto" w:sz="0" w:space="0"/>
                <w:lang w:val="en-US" w:eastAsia="zh-CN" w:bidi="ar"/>
              </w:rPr>
              <w:t xml:space="preserve">4.5.2 </w:t>
            </w:r>
            <w:r>
              <w:rPr>
                <w:rFonts w:hint="eastAsia" w:ascii="Times New Roman" w:hAnsi="宋体" w:eastAsia="宋体" w:cs="宋体"/>
                <w:b/>
                <w:bCs/>
                <w:color w:val="000000"/>
                <w:spacing w:val="-10"/>
                <w:kern w:val="2"/>
                <w:sz w:val="24"/>
                <w:szCs w:val="24"/>
                <w:bdr w:val="none" w:color="auto" w:sz="0" w:space="0"/>
                <w:lang w:val="en-US" w:eastAsia="zh-CN" w:bidi="ar"/>
              </w:rPr>
              <w:t>固废处理措施及管理要求</w:t>
            </w:r>
          </w:p>
          <w:p w14:paraId="4F193A11">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Calibri" w:cs="Times New Roman"/>
                <w:color w:val="000000"/>
                <w:sz w:val="24"/>
                <w:szCs w:val="24"/>
                <w:bdr w:val="none" w:color="auto" w:sz="0" w:space="0"/>
                <w:lang w:val="en-US"/>
              </w:rPr>
            </w:pPr>
            <w:r>
              <w:rPr>
                <w:rFonts w:hint="default" w:ascii="Times New Roman" w:hAnsi="Calibri" w:eastAsia="宋体" w:cs="Times New Roman"/>
                <w:color w:val="000000"/>
                <w:kern w:val="2"/>
                <w:sz w:val="24"/>
                <w:szCs w:val="24"/>
                <w:bdr w:val="none" w:color="auto" w:sz="0" w:space="0"/>
                <w:lang w:val="en-US" w:eastAsia="zh-CN" w:bidi="ar"/>
              </w:rPr>
              <w:t>1</w:t>
            </w:r>
            <w:r>
              <w:rPr>
                <w:rFonts w:hint="eastAsia" w:ascii="Times New Roman" w:hAnsi="Calibri" w:eastAsia="宋体" w:cs="宋体"/>
                <w:color w:val="000000"/>
                <w:kern w:val="2"/>
                <w:sz w:val="24"/>
                <w:szCs w:val="24"/>
                <w:bdr w:val="none" w:color="auto" w:sz="0" w:space="0"/>
                <w:lang w:val="en-US" w:eastAsia="zh-CN" w:bidi="ar"/>
              </w:rPr>
              <w:t>、一般工业固废</w:t>
            </w:r>
          </w:p>
          <w:p w14:paraId="3C4702F0">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扩建项目依托原有一般工业固废暂存间，面积约</w:t>
            </w:r>
            <w:r>
              <w:rPr>
                <w:rFonts w:hint="default" w:ascii="Times New Roman" w:hAnsi="Calibri" w:eastAsia="宋体" w:cs="Times New Roman"/>
                <w:color w:val="000000"/>
                <w:kern w:val="2"/>
                <w:sz w:val="24"/>
                <w:szCs w:val="24"/>
                <w:bdr w:val="none" w:color="auto" w:sz="0" w:space="0"/>
                <w:lang w:val="en-US" w:eastAsia="zh-CN" w:bidi="ar"/>
              </w:rPr>
              <w:t>20m</w:t>
            </w:r>
            <w:r>
              <w:rPr>
                <w:rFonts w:hint="default" w:ascii="Times New Roman" w:hAnsi="Calibri" w:eastAsia="宋体" w:cs="Times New Roman"/>
                <w:color w:val="000000"/>
                <w:kern w:val="2"/>
                <w:sz w:val="24"/>
                <w:szCs w:val="24"/>
                <w:bdr w:val="none" w:color="auto" w:sz="0" w:space="0"/>
                <w:vertAlign w:val="superscript"/>
                <w:lang w:val="en-US" w:eastAsia="zh-CN" w:bidi="ar"/>
              </w:rPr>
              <w:t>2</w:t>
            </w:r>
            <w:r>
              <w:rPr>
                <w:rFonts w:hint="eastAsia" w:ascii="Times New Roman" w:hAnsi="Times New Roman" w:eastAsia="宋体" w:cs="宋体"/>
                <w:color w:val="000000"/>
                <w:kern w:val="2"/>
                <w:sz w:val="24"/>
                <w:szCs w:val="24"/>
                <w:bdr w:val="none" w:color="auto" w:sz="0" w:space="0"/>
                <w:lang w:val="en-US" w:eastAsia="zh-CN" w:bidi="ar"/>
              </w:rPr>
              <w:t>。</w:t>
            </w:r>
          </w:p>
          <w:p w14:paraId="78D4D417">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参照《一般工业固体废物贮存和填埋污染控制标准》（</w:t>
            </w:r>
            <w:r>
              <w:rPr>
                <w:rFonts w:hint="default" w:ascii="Times New Roman" w:hAnsi="Times New Roman" w:eastAsia="宋体" w:cs="Times New Roman"/>
                <w:color w:val="000000"/>
                <w:kern w:val="2"/>
                <w:sz w:val="24"/>
                <w:szCs w:val="24"/>
                <w:bdr w:val="none" w:color="auto" w:sz="0" w:space="0"/>
                <w:lang w:val="en-US" w:eastAsia="zh-CN" w:bidi="ar"/>
              </w:rPr>
              <w:t>GB 18599-2020</w:t>
            </w:r>
            <w:r>
              <w:rPr>
                <w:rFonts w:hint="eastAsia" w:ascii="Times New Roman" w:hAnsi="Times New Roman" w:eastAsia="宋体" w:cs="宋体"/>
                <w:color w:val="000000"/>
                <w:kern w:val="2"/>
                <w:sz w:val="24"/>
                <w:szCs w:val="24"/>
                <w:bdr w:val="none" w:color="auto" w:sz="0" w:space="0"/>
                <w:lang w:val="en-US" w:eastAsia="zh-CN" w:bidi="ar"/>
              </w:rPr>
              <w:t>）的有关规定，项目固废贮存场所应做到以下几点：</w:t>
            </w:r>
          </w:p>
          <w:p w14:paraId="271A2CAB">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①</w:t>
            </w:r>
            <w:r>
              <w:rPr>
                <w:rFonts w:hint="eastAsia" w:ascii="Times New Roman" w:hAnsi="Times New Roman" w:eastAsia="宋体" w:cs="宋体"/>
                <w:color w:val="000000"/>
                <w:kern w:val="2"/>
                <w:sz w:val="24"/>
                <w:szCs w:val="24"/>
                <w:bdr w:val="none" w:color="auto" w:sz="0" w:space="0"/>
                <w:lang w:val="en-US" w:eastAsia="zh-CN" w:bidi="ar"/>
              </w:rPr>
              <w:t>贮存场所应建有防雨淋、防渗透、防扬尘等措施；</w:t>
            </w:r>
          </w:p>
          <w:p w14:paraId="0A92BC84">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②</w:t>
            </w:r>
            <w:r>
              <w:rPr>
                <w:rFonts w:hint="eastAsia" w:ascii="Times New Roman" w:hAnsi="Times New Roman" w:eastAsia="宋体" w:cs="宋体"/>
                <w:color w:val="000000"/>
                <w:kern w:val="2"/>
                <w:sz w:val="24"/>
                <w:szCs w:val="24"/>
                <w:bdr w:val="none" w:color="auto" w:sz="0" w:space="0"/>
                <w:lang w:val="en-US" w:eastAsia="zh-CN" w:bidi="ar"/>
              </w:rPr>
              <w:t>为了便于管理，贮存场应按</w:t>
            </w:r>
            <w:r>
              <w:rPr>
                <w:rFonts w:hint="default" w:ascii="Times New Roman" w:hAnsi="Times New Roman" w:eastAsia="宋体" w:cs="Times New Roman"/>
                <w:color w:val="000000"/>
                <w:kern w:val="2"/>
                <w:sz w:val="24"/>
                <w:szCs w:val="24"/>
                <w:bdr w:val="none" w:color="auto" w:sz="0" w:space="0"/>
                <w:lang w:val="en-US" w:eastAsia="zh-CN" w:bidi="ar"/>
              </w:rPr>
              <w:t>GB15562.2</w:t>
            </w:r>
            <w:r>
              <w:rPr>
                <w:rFonts w:hint="eastAsia" w:ascii="Times New Roman" w:hAnsi="Times New Roman" w:eastAsia="宋体" w:cs="宋体"/>
                <w:color w:val="000000"/>
                <w:kern w:val="2"/>
                <w:sz w:val="24"/>
                <w:szCs w:val="24"/>
                <w:bdr w:val="none" w:color="auto" w:sz="0" w:space="0"/>
                <w:lang w:val="en-US" w:eastAsia="zh-CN" w:bidi="ar"/>
              </w:rPr>
              <w:t>要求设置环境保护图形标志。</w:t>
            </w:r>
          </w:p>
          <w:p w14:paraId="7E2719B8">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Calibri" w:cs="Times New Roman"/>
                <w:color w:val="000000"/>
                <w:sz w:val="24"/>
                <w:szCs w:val="24"/>
                <w:bdr w:val="none" w:color="auto" w:sz="0" w:space="0"/>
                <w:lang w:val="en-US"/>
              </w:rPr>
            </w:pPr>
            <w:r>
              <w:rPr>
                <w:rFonts w:hint="default" w:ascii="Times New Roman" w:hAnsi="Calibri" w:eastAsia="宋体" w:cs="Times New Roman"/>
                <w:color w:val="000000"/>
                <w:kern w:val="2"/>
                <w:sz w:val="24"/>
                <w:szCs w:val="24"/>
                <w:bdr w:val="none" w:color="auto" w:sz="0" w:space="0"/>
                <w:lang w:val="en-US" w:eastAsia="zh-CN" w:bidi="ar"/>
              </w:rPr>
              <w:t>2</w:t>
            </w:r>
            <w:r>
              <w:rPr>
                <w:rFonts w:hint="eastAsia" w:ascii="Times New Roman" w:hAnsi="Calibri" w:eastAsia="宋体" w:cs="宋体"/>
                <w:color w:val="000000"/>
                <w:kern w:val="2"/>
                <w:sz w:val="24"/>
                <w:szCs w:val="24"/>
                <w:bdr w:val="none" w:color="auto" w:sz="0" w:space="0"/>
                <w:lang w:val="en-US" w:eastAsia="zh-CN" w:bidi="ar"/>
              </w:rPr>
              <w:t>、危险废物</w:t>
            </w:r>
          </w:p>
          <w:p w14:paraId="772D5F8E">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扩建项目依托原有危废贮存库，占地面积约</w:t>
            </w:r>
            <w:r>
              <w:rPr>
                <w:rFonts w:hint="default" w:ascii="Times New Roman" w:hAnsi="Calibri" w:eastAsia="宋体" w:cs="Times New Roman"/>
                <w:color w:val="000000"/>
                <w:kern w:val="2"/>
                <w:sz w:val="24"/>
                <w:szCs w:val="24"/>
                <w:bdr w:val="none" w:color="auto" w:sz="0" w:space="0"/>
                <w:lang w:val="en-US" w:eastAsia="zh-CN" w:bidi="ar"/>
              </w:rPr>
              <w:t>12m</w:t>
            </w:r>
            <w:r>
              <w:rPr>
                <w:rFonts w:hint="default" w:ascii="Times New Roman" w:hAnsi="Calibri" w:eastAsia="宋体" w:cs="Times New Roman"/>
                <w:color w:val="000000"/>
                <w:kern w:val="2"/>
                <w:sz w:val="24"/>
                <w:szCs w:val="24"/>
                <w:bdr w:val="none" w:color="auto" w:sz="0" w:space="0"/>
                <w:vertAlign w:val="superscript"/>
                <w:lang w:val="en-US" w:eastAsia="zh-CN" w:bidi="ar"/>
              </w:rPr>
              <w:t>2</w:t>
            </w:r>
            <w:r>
              <w:rPr>
                <w:rFonts w:hint="eastAsia" w:ascii="Times New Roman" w:hAnsi="Calibri" w:eastAsia="宋体" w:cs="宋体"/>
                <w:color w:val="000000"/>
                <w:kern w:val="2"/>
                <w:sz w:val="24"/>
                <w:szCs w:val="24"/>
                <w:bdr w:val="none" w:color="auto" w:sz="0" w:space="0"/>
                <w:lang w:val="en-US" w:eastAsia="zh-CN" w:bidi="ar"/>
              </w:rPr>
              <w:t>。</w:t>
            </w:r>
          </w:p>
          <w:p w14:paraId="4D94BAD2">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危险废物分类收集储存于危废贮存库，定期交有资质单位处置。液态危废需装入专用容器中，盖好桶盖，按类别存放于危废贮存库内。各种收集容器及暂存间均应贴好危险标签标识。</w:t>
            </w:r>
          </w:p>
          <w:p w14:paraId="1B178EC1">
            <w:pPr>
              <w:keepNext w:val="0"/>
              <w:keepLines w:val="0"/>
              <w:widowControl w:val="0"/>
              <w:suppressLineNumbers w:val="0"/>
              <w:spacing w:before="0" w:beforeAutospacing="0" w:after="0" w:afterAutospacing="0" w:line="440" w:lineRule="exact"/>
              <w:ind w:left="0" w:right="0"/>
              <w:jc w:val="center"/>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表</w:t>
            </w:r>
            <w:r>
              <w:rPr>
                <w:rFonts w:hint="default" w:ascii="Times New Roman" w:hAnsi="Calibri" w:eastAsia="宋体" w:cs="Times New Roman"/>
                <w:color w:val="000000"/>
                <w:kern w:val="2"/>
                <w:sz w:val="24"/>
                <w:szCs w:val="24"/>
                <w:bdr w:val="none" w:color="auto" w:sz="0" w:space="0"/>
                <w:lang w:val="en-US" w:eastAsia="zh-CN" w:bidi="ar"/>
              </w:rPr>
              <w:t xml:space="preserve">4.5-3 </w:t>
            </w:r>
            <w:r>
              <w:rPr>
                <w:rFonts w:hint="eastAsia" w:ascii="Times New Roman" w:hAnsi="Calibri" w:eastAsia="宋体" w:cs="宋体"/>
                <w:color w:val="000000"/>
                <w:kern w:val="2"/>
                <w:sz w:val="24"/>
                <w:szCs w:val="24"/>
                <w:bdr w:val="none" w:color="auto" w:sz="0" w:space="0"/>
                <w:lang w:val="en-US" w:eastAsia="zh-CN" w:bidi="ar"/>
              </w:rPr>
              <w:t>危废贮存库基本情况表</w:t>
            </w:r>
          </w:p>
          <w:tbl>
            <w:tblPr>
              <w:tblStyle w:val="18"/>
              <w:tblpPr w:leftFromText="180" w:rightFromText="180" w:vertAnchor="text" w:tblpXSpec="center" w:tblpY="1"/>
              <w:tblOverlap w:val="never"/>
              <w:tblW w:w="0" w:type="auto"/>
              <w:tblInd w:w="8"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Layout w:type="fixed"/>
              <w:tblCellMar>
                <w:top w:w="0" w:type="dxa"/>
                <w:left w:w="108" w:type="dxa"/>
                <w:bottom w:w="0" w:type="dxa"/>
                <w:right w:w="108" w:type="dxa"/>
              </w:tblCellMar>
            </w:tblPr>
            <w:tblGrid>
              <w:gridCol w:w="851"/>
              <w:gridCol w:w="1276"/>
              <w:gridCol w:w="980"/>
              <w:gridCol w:w="1235"/>
              <w:gridCol w:w="720"/>
              <w:gridCol w:w="666"/>
              <w:gridCol w:w="850"/>
              <w:gridCol w:w="646"/>
              <w:gridCol w:w="722"/>
            </w:tblGrid>
            <w:tr w14:paraId="58E737E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CellMar>
                  <w:top w:w="0" w:type="dxa"/>
                  <w:left w:w="108" w:type="dxa"/>
                  <w:bottom w:w="0" w:type="dxa"/>
                  <w:right w:w="108" w:type="dxa"/>
                </w:tblCellMar>
              </w:tblPrEx>
              <w:trPr>
                <w:trHeight w:val="624" w:hRule="atLeast"/>
              </w:trPr>
              <w:tc>
                <w:tcPr>
                  <w:tcW w:w="851" w:type="dxa"/>
                  <w:tcBorders>
                    <w:top w:val="single" w:color="auto" w:sz="12" w:space="0"/>
                    <w:left w:val="nil"/>
                    <w:bottom w:val="single" w:color="auto" w:sz="4" w:space="0"/>
                    <w:right w:val="single" w:color="auto" w:sz="4" w:space="0"/>
                  </w:tcBorders>
                  <w:shd w:val="clear"/>
                  <w:vAlign w:val="center"/>
                </w:tcPr>
                <w:p w14:paraId="6B82A01A">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color w:val="000000"/>
                      <w:kern w:val="0"/>
                      <w:szCs w:val="21"/>
                      <w:bdr w:val="none" w:color="auto" w:sz="0" w:space="0"/>
                      <w:lang w:val="en-US"/>
                    </w:rPr>
                  </w:pPr>
                  <w:r>
                    <w:rPr>
                      <w:rFonts w:hint="eastAsia" w:ascii="Calibri" w:hAnsi="宋体" w:eastAsia="宋体" w:cs="宋体"/>
                      <w:color w:val="000000"/>
                      <w:kern w:val="0"/>
                      <w:sz w:val="21"/>
                      <w:szCs w:val="21"/>
                      <w:bdr w:val="none" w:color="auto" w:sz="0" w:space="0"/>
                      <w:lang w:val="en-US" w:eastAsia="zh-CN" w:bidi="ar"/>
                    </w:rPr>
                    <w:t>贮存场所（设施名称</w:t>
                  </w:r>
                </w:p>
              </w:tc>
              <w:tc>
                <w:tcPr>
                  <w:tcW w:w="1276" w:type="dxa"/>
                  <w:tcBorders>
                    <w:top w:val="single" w:color="auto" w:sz="12" w:space="0"/>
                    <w:left w:val="single" w:color="auto" w:sz="4" w:space="0"/>
                    <w:bottom w:val="single" w:color="auto" w:sz="4" w:space="0"/>
                    <w:right w:val="single" w:color="auto" w:sz="4" w:space="0"/>
                  </w:tcBorders>
                  <w:shd w:val="clear"/>
                  <w:vAlign w:val="center"/>
                </w:tcPr>
                <w:p w14:paraId="217EFA17">
                  <w:pPr>
                    <w:keepNext w:val="0"/>
                    <w:keepLines w:val="0"/>
                    <w:widowControl w:val="0"/>
                    <w:suppressLineNumbers w:val="0"/>
                    <w:topLinePunct/>
                    <w:adjustRightInd w:val="0"/>
                    <w:snapToGrid w:val="0"/>
                    <w:spacing w:before="0" w:beforeAutospacing="0" w:after="0" w:afterAutospacing="0" w:line="300" w:lineRule="exact"/>
                    <w:ind w:left="0" w:right="0"/>
                    <w:jc w:val="center"/>
                    <w:rPr>
                      <w:color w:val="000000"/>
                      <w:kern w:val="0"/>
                      <w:szCs w:val="21"/>
                      <w:bdr w:val="none" w:color="auto" w:sz="0" w:space="0"/>
                      <w:lang w:val="en-US"/>
                    </w:rPr>
                  </w:pPr>
                  <w:r>
                    <w:rPr>
                      <w:rFonts w:hint="eastAsia" w:ascii="Calibri" w:hAnsi="Calibri" w:eastAsia="宋体" w:cs="宋体"/>
                      <w:color w:val="000000"/>
                      <w:kern w:val="0"/>
                      <w:sz w:val="21"/>
                      <w:szCs w:val="21"/>
                      <w:bdr w:val="none" w:color="auto" w:sz="0" w:space="0"/>
                      <w:lang w:val="en-US" w:eastAsia="zh-CN" w:bidi="ar"/>
                    </w:rPr>
                    <w:t>危险废物名称</w:t>
                  </w:r>
                </w:p>
              </w:tc>
              <w:tc>
                <w:tcPr>
                  <w:tcW w:w="980" w:type="dxa"/>
                  <w:tcBorders>
                    <w:top w:val="single" w:color="auto" w:sz="12" w:space="0"/>
                    <w:left w:val="single" w:color="auto" w:sz="4" w:space="0"/>
                    <w:bottom w:val="single" w:color="auto" w:sz="4" w:space="0"/>
                    <w:right w:val="single" w:color="auto" w:sz="4" w:space="0"/>
                  </w:tcBorders>
                  <w:shd w:val="clear"/>
                  <w:vAlign w:val="center"/>
                </w:tcPr>
                <w:p w14:paraId="1A3D04D9">
                  <w:pPr>
                    <w:keepNext w:val="0"/>
                    <w:keepLines w:val="0"/>
                    <w:widowControl w:val="0"/>
                    <w:suppressLineNumbers w:val="0"/>
                    <w:topLinePunct/>
                    <w:adjustRightInd w:val="0"/>
                    <w:snapToGrid w:val="0"/>
                    <w:spacing w:before="0" w:beforeAutospacing="0" w:after="0" w:afterAutospacing="0" w:line="300" w:lineRule="exact"/>
                    <w:ind w:left="0" w:right="0"/>
                    <w:jc w:val="center"/>
                    <w:rPr>
                      <w:color w:val="000000"/>
                      <w:kern w:val="0"/>
                      <w:szCs w:val="21"/>
                      <w:bdr w:val="none" w:color="auto" w:sz="0" w:space="0"/>
                      <w:lang w:val="en-US"/>
                    </w:rPr>
                  </w:pPr>
                  <w:r>
                    <w:rPr>
                      <w:rFonts w:hint="eastAsia" w:ascii="Calibri" w:hAnsi="Calibri" w:eastAsia="宋体" w:cs="宋体"/>
                      <w:color w:val="000000"/>
                      <w:kern w:val="0"/>
                      <w:sz w:val="21"/>
                      <w:szCs w:val="21"/>
                      <w:bdr w:val="none" w:color="auto" w:sz="0" w:space="0"/>
                      <w:lang w:val="en-US" w:eastAsia="zh-CN" w:bidi="ar"/>
                    </w:rPr>
                    <w:t>危险废物类别</w:t>
                  </w:r>
                </w:p>
              </w:tc>
              <w:tc>
                <w:tcPr>
                  <w:tcW w:w="1235" w:type="dxa"/>
                  <w:tcBorders>
                    <w:top w:val="single" w:color="auto" w:sz="12" w:space="0"/>
                    <w:left w:val="single" w:color="auto" w:sz="4" w:space="0"/>
                    <w:bottom w:val="single" w:color="auto" w:sz="4" w:space="0"/>
                    <w:right w:val="single" w:color="auto" w:sz="4" w:space="0"/>
                  </w:tcBorders>
                  <w:shd w:val="clear"/>
                  <w:vAlign w:val="center"/>
                </w:tcPr>
                <w:p w14:paraId="00B8ADBE">
                  <w:pPr>
                    <w:keepNext w:val="0"/>
                    <w:keepLines w:val="0"/>
                    <w:widowControl w:val="0"/>
                    <w:suppressLineNumbers w:val="0"/>
                    <w:topLinePunct/>
                    <w:adjustRightInd w:val="0"/>
                    <w:snapToGrid w:val="0"/>
                    <w:spacing w:before="0" w:beforeAutospacing="0" w:after="0" w:afterAutospacing="0" w:line="300" w:lineRule="exact"/>
                    <w:ind w:left="0" w:right="0"/>
                    <w:jc w:val="center"/>
                    <w:rPr>
                      <w:color w:val="000000"/>
                      <w:kern w:val="0"/>
                      <w:szCs w:val="21"/>
                      <w:bdr w:val="none" w:color="auto" w:sz="0" w:space="0"/>
                      <w:lang w:val="en-US"/>
                    </w:rPr>
                  </w:pPr>
                  <w:r>
                    <w:rPr>
                      <w:rFonts w:hint="eastAsia" w:ascii="Calibri" w:hAnsi="Calibri" w:eastAsia="宋体" w:cs="宋体"/>
                      <w:color w:val="000000"/>
                      <w:kern w:val="0"/>
                      <w:sz w:val="21"/>
                      <w:szCs w:val="21"/>
                      <w:bdr w:val="none" w:color="auto" w:sz="0" w:space="0"/>
                      <w:lang w:val="en-US" w:eastAsia="zh-CN" w:bidi="ar"/>
                    </w:rPr>
                    <w:t>危险废物代码</w:t>
                  </w:r>
                </w:p>
              </w:tc>
              <w:tc>
                <w:tcPr>
                  <w:tcW w:w="720" w:type="dxa"/>
                  <w:tcBorders>
                    <w:top w:val="single" w:color="auto" w:sz="12" w:space="0"/>
                    <w:left w:val="single" w:color="auto" w:sz="4" w:space="0"/>
                    <w:bottom w:val="single" w:color="auto" w:sz="4" w:space="0"/>
                    <w:right w:val="single" w:color="auto" w:sz="4" w:space="0"/>
                  </w:tcBorders>
                  <w:shd w:val="clear"/>
                  <w:vAlign w:val="center"/>
                </w:tcPr>
                <w:p w14:paraId="73E0A7E0">
                  <w:pPr>
                    <w:keepNext w:val="0"/>
                    <w:keepLines w:val="0"/>
                    <w:widowControl w:val="0"/>
                    <w:suppressLineNumbers w:val="0"/>
                    <w:topLinePunct/>
                    <w:adjustRightInd w:val="0"/>
                    <w:snapToGrid w:val="0"/>
                    <w:spacing w:before="0" w:beforeAutospacing="0" w:after="0" w:afterAutospacing="0" w:line="300" w:lineRule="exact"/>
                    <w:ind w:left="0" w:right="0"/>
                    <w:jc w:val="center"/>
                    <w:rPr>
                      <w:color w:val="000000"/>
                      <w:kern w:val="0"/>
                      <w:szCs w:val="21"/>
                      <w:bdr w:val="none" w:color="auto" w:sz="0" w:space="0"/>
                      <w:lang w:val="en-US"/>
                    </w:rPr>
                  </w:pPr>
                  <w:r>
                    <w:rPr>
                      <w:rFonts w:hint="eastAsia" w:ascii="Calibri" w:hAnsi="Calibri" w:eastAsia="宋体" w:cs="宋体"/>
                      <w:color w:val="000000"/>
                      <w:kern w:val="0"/>
                      <w:sz w:val="21"/>
                      <w:szCs w:val="21"/>
                      <w:bdr w:val="none" w:color="auto" w:sz="0" w:space="0"/>
                      <w:lang w:val="en-US" w:eastAsia="zh-CN" w:bidi="ar"/>
                    </w:rPr>
                    <w:t>位置</w:t>
                  </w:r>
                </w:p>
              </w:tc>
              <w:tc>
                <w:tcPr>
                  <w:tcW w:w="666" w:type="dxa"/>
                  <w:tcBorders>
                    <w:top w:val="single" w:color="auto" w:sz="12" w:space="0"/>
                    <w:left w:val="single" w:color="auto" w:sz="4" w:space="0"/>
                    <w:bottom w:val="single" w:color="auto" w:sz="4" w:space="0"/>
                    <w:right w:val="single" w:color="auto" w:sz="4" w:space="0"/>
                  </w:tcBorders>
                  <w:shd w:val="clear"/>
                  <w:vAlign w:val="center"/>
                </w:tcPr>
                <w:p w14:paraId="4F3E07FF">
                  <w:pPr>
                    <w:keepNext w:val="0"/>
                    <w:keepLines w:val="0"/>
                    <w:widowControl w:val="0"/>
                    <w:suppressLineNumbers w:val="0"/>
                    <w:topLinePunct/>
                    <w:adjustRightInd w:val="0"/>
                    <w:snapToGrid w:val="0"/>
                    <w:spacing w:before="0" w:beforeAutospacing="0" w:after="0" w:afterAutospacing="0" w:line="300" w:lineRule="exact"/>
                    <w:ind w:left="0" w:right="0"/>
                    <w:jc w:val="center"/>
                    <w:rPr>
                      <w:color w:val="000000"/>
                      <w:kern w:val="0"/>
                      <w:szCs w:val="21"/>
                      <w:bdr w:val="none" w:color="auto" w:sz="0" w:space="0"/>
                      <w:lang w:val="en-US"/>
                    </w:rPr>
                  </w:pPr>
                  <w:r>
                    <w:rPr>
                      <w:rFonts w:hint="eastAsia" w:ascii="Calibri" w:hAnsi="Calibri" w:eastAsia="宋体" w:cs="宋体"/>
                      <w:color w:val="000000"/>
                      <w:kern w:val="0"/>
                      <w:sz w:val="21"/>
                      <w:szCs w:val="21"/>
                      <w:bdr w:val="none" w:color="auto" w:sz="0" w:space="0"/>
                      <w:lang w:val="en-US" w:eastAsia="zh-CN" w:bidi="ar"/>
                    </w:rPr>
                    <w:t>占地面积</w:t>
                  </w:r>
                </w:p>
              </w:tc>
              <w:tc>
                <w:tcPr>
                  <w:tcW w:w="850" w:type="dxa"/>
                  <w:tcBorders>
                    <w:top w:val="single" w:color="auto" w:sz="12" w:space="0"/>
                    <w:left w:val="single" w:color="auto" w:sz="4" w:space="0"/>
                    <w:bottom w:val="single" w:color="auto" w:sz="4" w:space="0"/>
                    <w:right w:val="single" w:color="auto" w:sz="4" w:space="0"/>
                  </w:tcBorders>
                  <w:shd w:val="clear"/>
                  <w:vAlign w:val="center"/>
                </w:tcPr>
                <w:p w14:paraId="45022CD9">
                  <w:pPr>
                    <w:keepNext w:val="0"/>
                    <w:keepLines w:val="0"/>
                    <w:widowControl w:val="0"/>
                    <w:suppressLineNumbers w:val="0"/>
                    <w:topLinePunct/>
                    <w:adjustRightInd w:val="0"/>
                    <w:snapToGrid w:val="0"/>
                    <w:spacing w:before="0" w:beforeAutospacing="0" w:after="0" w:afterAutospacing="0" w:line="300" w:lineRule="exact"/>
                    <w:ind w:left="0" w:right="0"/>
                    <w:jc w:val="center"/>
                    <w:rPr>
                      <w:color w:val="000000"/>
                      <w:kern w:val="0"/>
                      <w:szCs w:val="21"/>
                      <w:bdr w:val="none" w:color="auto" w:sz="0" w:space="0"/>
                      <w:lang w:val="en-US"/>
                    </w:rPr>
                  </w:pPr>
                  <w:r>
                    <w:rPr>
                      <w:rFonts w:hint="eastAsia" w:ascii="Calibri" w:hAnsi="Calibri" w:eastAsia="宋体" w:cs="宋体"/>
                      <w:color w:val="000000"/>
                      <w:kern w:val="0"/>
                      <w:sz w:val="21"/>
                      <w:szCs w:val="21"/>
                      <w:bdr w:val="none" w:color="auto" w:sz="0" w:space="0"/>
                      <w:lang w:val="en-US" w:eastAsia="zh-CN" w:bidi="ar"/>
                    </w:rPr>
                    <w:t>贮存方式</w:t>
                  </w:r>
                </w:p>
              </w:tc>
              <w:tc>
                <w:tcPr>
                  <w:tcW w:w="646" w:type="dxa"/>
                  <w:tcBorders>
                    <w:top w:val="single" w:color="auto" w:sz="12" w:space="0"/>
                    <w:left w:val="single" w:color="auto" w:sz="4" w:space="0"/>
                    <w:bottom w:val="single" w:color="auto" w:sz="4" w:space="0"/>
                    <w:right w:val="single" w:color="auto" w:sz="4" w:space="0"/>
                  </w:tcBorders>
                  <w:shd w:val="clear"/>
                  <w:vAlign w:val="center"/>
                </w:tcPr>
                <w:p w14:paraId="701A946B">
                  <w:pPr>
                    <w:keepNext w:val="0"/>
                    <w:keepLines w:val="0"/>
                    <w:widowControl w:val="0"/>
                    <w:suppressLineNumbers w:val="0"/>
                    <w:topLinePunct/>
                    <w:adjustRightInd w:val="0"/>
                    <w:snapToGrid w:val="0"/>
                    <w:spacing w:before="0" w:beforeAutospacing="0" w:after="0" w:afterAutospacing="0" w:line="300" w:lineRule="exact"/>
                    <w:ind w:left="0" w:right="0"/>
                    <w:jc w:val="center"/>
                    <w:rPr>
                      <w:color w:val="000000"/>
                      <w:kern w:val="0"/>
                      <w:szCs w:val="21"/>
                      <w:bdr w:val="none" w:color="auto" w:sz="0" w:space="0"/>
                      <w:lang w:val="en-US"/>
                    </w:rPr>
                  </w:pPr>
                  <w:r>
                    <w:rPr>
                      <w:rFonts w:hint="eastAsia" w:ascii="Calibri" w:hAnsi="Calibri" w:eastAsia="宋体" w:cs="宋体"/>
                      <w:color w:val="000000"/>
                      <w:kern w:val="0"/>
                      <w:sz w:val="21"/>
                      <w:szCs w:val="21"/>
                      <w:bdr w:val="none" w:color="auto" w:sz="0" w:space="0"/>
                      <w:lang w:val="en-US" w:eastAsia="zh-CN" w:bidi="ar"/>
                    </w:rPr>
                    <w:t>贮存能力</w:t>
                  </w:r>
                </w:p>
              </w:tc>
              <w:tc>
                <w:tcPr>
                  <w:tcW w:w="722" w:type="dxa"/>
                  <w:tcBorders>
                    <w:top w:val="single" w:color="auto" w:sz="12" w:space="0"/>
                    <w:left w:val="single" w:color="auto" w:sz="4" w:space="0"/>
                    <w:bottom w:val="single" w:color="auto" w:sz="4" w:space="0"/>
                    <w:right w:val="nil"/>
                  </w:tcBorders>
                  <w:shd w:val="clear"/>
                  <w:vAlign w:val="center"/>
                </w:tcPr>
                <w:p w14:paraId="1C3DF1D8">
                  <w:pPr>
                    <w:keepNext w:val="0"/>
                    <w:keepLines w:val="0"/>
                    <w:widowControl w:val="0"/>
                    <w:suppressLineNumbers w:val="0"/>
                    <w:topLinePunct/>
                    <w:adjustRightInd w:val="0"/>
                    <w:snapToGrid w:val="0"/>
                    <w:spacing w:before="0" w:beforeAutospacing="0" w:after="0" w:afterAutospacing="0" w:line="300" w:lineRule="exact"/>
                    <w:ind w:left="0" w:right="0"/>
                    <w:jc w:val="center"/>
                    <w:rPr>
                      <w:color w:val="000000"/>
                      <w:kern w:val="0"/>
                      <w:szCs w:val="21"/>
                      <w:bdr w:val="none" w:color="auto" w:sz="0" w:space="0"/>
                      <w:lang w:val="en-US"/>
                    </w:rPr>
                  </w:pPr>
                  <w:r>
                    <w:rPr>
                      <w:rFonts w:hint="eastAsia" w:ascii="Calibri" w:hAnsi="Calibri" w:eastAsia="宋体" w:cs="宋体"/>
                      <w:color w:val="000000"/>
                      <w:kern w:val="0"/>
                      <w:sz w:val="21"/>
                      <w:szCs w:val="21"/>
                      <w:bdr w:val="none" w:color="auto" w:sz="0" w:space="0"/>
                      <w:lang w:val="en-US" w:eastAsia="zh-CN" w:bidi="ar"/>
                    </w:rPr>
                    <w:t>贮存周期</w:t>
                  </w:r>
                </w:p>
              </w:tc>
            </w:tr>
            <w:tr w14:paraId="1FA5F99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851" w:type="dxa"/>
                  <w:vMerge w:val="restart"/>
                  <w:tcBorders>
                    <w:top w:val="single" w:color="auto" w:sz="4" w:space="0"/>
                    <w:left w:val="nil"/>
                    <w:bottom w:val="single" w:color="auto" w:sz="12" w:space="0"/>
                    <w:right w:val="single" w:color="auto" w:sz="4" w:space="0"/>
                  </w:tcBorders>
                  <w:shd w:val="clear"/>
                  <w:vAlign w:val="center"/>
                </w:tcPr>
                <w:p w14:paraId="25FA8D76">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Calibri" w:hAnsi="宋体" w:eastAsia="宋体" w:cs="宋体"/>
                      <w:color w:val="000000"/>
                      <w:kern w:val="0"/>
                      <w:sz w:val="21"/>
                      <w:szCs w:val="21"/>
                      <w:bdr w:val="none" w:color="auto" w:sz="0" w:space="0"/>
                      <w:lang w:val="en-US" w:eastAsia="zh-CN" w:bidi="ar"/>
                    </w:rPr>
                    <w:t>危废贮存库</w:t>
                  </w:r>
                </w:p>
              </w:tc>
              <w:tc>
                <w:tcPr>
                  <w:tcW w:w="1276" w:type="dxa"/>
                  <w:tcBorders>
                    <w:top w:val="single" w:color="auto" w:sz="4" w:space="0"/>
                    <w:left w:val="single" w:color="auto" w:sz="4" w:space="0"/>
                    <w:bottom w:val="single" w:color="auto" w:sz="4" w:space="0"/>
                    <w:right w:val="single" w:color="auto" w:sz="4" w:space="0"/>
                  </w:tcBorders>
                  <w:shd w:val="clear"/>
                  <w:vAlign w:val="center"/>
                </w:tcPr>
                <w:p w14:paraId="23C85FC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废油桶</w:t>
                  </w:r>
                </w:p>
              </w:tc>
              <w:tc>
                <w:tcPr>
                  <w:tcW w:w="980" w:type="dxa"/>
                  <w:tcBorders>
                    <w:top w:val="single" w:color="auto" w:sz="4" w:space="0"/>
                    <w:left w:val="single" w:color="auto" w:sz="4" w:space="0"/>
                    <w:bottom w:val="single" w:color="auto" w:sz="4" w:space="0"/>
                    <w:right w:val="single" w:color="auto" w:sz="4" w:space="0"/>
                  </w:tcBorders>
                  <w:shd w:val="clear"/>
                  <w:vAlign w:val="center"/>
                </w:tcPr>
                <w:p w14:paraId="7C95D3EE">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HW08</w:t>
                  </w:r>
                </w:p>
              </w:tc>
              <w:tc>
                <w:tcPr>
                  <w:tcW w:w="1235" w:type="dxa"/>
                  <w:tcBorders>
                    <w:top w:val="single" w:color="auto" w:sz="4" w:space="0"/>
                    <w:left w:val="single" w:color="auto" w:sz="4" w:space="0"/>
                    <w:bottom w:val="single" w:color="auto" w:sz="4" w:space="0"/>
                    <w:right w:val="single" w:color="auto" w:sz="4" w:space="0"/>
                  </w:tcBorders>
                  <w:shd w:val="clear"/>
                  <w:vAlign w:val="center"/>
                </w:tcPr>
                <w:p w14:paraId="2CFB85F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900-249-08</w:t>
                  </w:r>
                </w:p>
              </w:tc>
              <w:tc>
                <w:tcPr>
                  <w:tcW w:w="720" w:type="dxa"/>
                  <w:vMerge w:val="restart"/>
                  <w:tcBorders>
                    <w:top w:val="single" w:color="auto" w:sz="4" w:space="0"/>
                    <w:left w:val="single" w:color="auto" w:sz="4" w:space="0"/>
                    <w:bottom w:val="single" w:color="auto" w:sz="12" w:space="0"/>
                    <w:right w:val="single" w:color="auto" w:sz="4" w:space="0"/>
                  </w:tcBorders>
                  <w:shd w:val="clear"/>
                  <w:vAlign w:val="center"/>
                </w:tcPr>
                <w:p w14:paraId="1871BF69">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1F</w:t>
                  </w:r>
                  <w:r>
                    <w:rPr>
                      <w:rFonts w:hint="eastAsia" w:ascii="Calibri" w:hAnsi="Calibri" w:eastAsia="宋体" w:cs="宋体"/>
                      <w:color w:val="000000"/>
                      <w:kern w:val="0"/>
                      <w:sz w:val="21"/>
                      <w:szCs w:val="21"/>
                      <w:bdr w:val="none" w:color="auto" w:sz="0" w:space="0"/>
                      <w:lang w:val="en-US" w:eastAsia="zh-CN" w:bidi="ar"/>
                    </w:rPr>
                    <w:t>厂房西南侧</w:t>
                  </w:r>
                </w:p>
              </w:tc>
              <w:tc>
                <w:tcPr>
                  <w:tcW w:w="666" w:type="dxa"/>
                  <w:vMerge w:val="restart"/>
                  <w:tcBorders>
                    <w:top w:val="single" w:color="auto" w:sz="4" w:space="0"/>
                    <w:left w:val="single" w:color="auto" w:sz="4" w:space="0"/>
                    <w:bottom w:val="single" w:color="auto" w:sz="12" w:space="0"/>
                    <w:right w:val="single" w:color="auto" w:sz="4" w:space="0"/>
                  </w:tcBorders>
                  <w:shd w:val="clear"/>
                  <w:vAlign w:val="center"/>
                </w:tcPr>
                <w:p w14:paraId="50230B55">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12m</w:t>
                  </w:r>
                  <w:r>
                    <w:rPr>
                      <w:rFonts w:hint="default" w:ascii="Times New Roman" w:hAnsi="Times New Roman" w:eastAsia="宋体" w:cs="Times New Roman"/>
                      <w:color w:val="000000"/>
                      <w:kern w:val="0"/>
                      <w:sz w:val="21"/>
                      <w:szCs w:val="21"/>
                      <w:bdr w:val="none" w:color="auto" w:sz="0" w:space="0"/>
                      <w:vertAlign w:val="superscript"/>
                      <w:lang w:val="en-US" w:eastAsia="zh-CN" w:bidi="ar"/>
                    </w:rPr>
                    <w:t>2</w:t>
                  </w:r>
                </w:p>
              </w:tc>
              <w:tc>
                <w:tcPr>
                  <w:tcW w:w="850" w:type="dxa"/>
                  <w:vMerge w:val="restart"/>
                  <w:tcBorders>
                    <w:top w:val="single" w:color="auto" w:sz="4" w:space="0"/>
                    <w:left w:val="single" w:color="auto" w:sz="4" w:space="0"/>
                    <w:bottom w:val="single" w:color="auto" w:sz="4" w:space="0"/>
                    <w:right w:val="single" w:color="auto" w:sz="4" w:space="0"/>
                  </w:tcBorders>
                  <w:shd w:val="clear"/>
                  <w:vAlign w:val="center"/>
                </w:tcPr>
                <w:p w14:paraId="6D9FADFE">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防渗地面的托盘上</w:t>
                  </w:r>
                </w:p>
              </w:tc>
              <w:tc>
                <w:tcPr>
                  <w:tcW w:w="646" w:type="dxa"/>
                  <w:vMerge w:val="restart"/>
                  <w:tcBorders>
                    <w:top w:val="single" w:color="auto" w:sz="4" w:space="0"/>
                    <w:left w:val="single" w:color="auto" w:sz="4" w:space="0"/>
                    <w:bottom w:val="single" w:color="auto" w:sz="12" w:space="0"/>
                    <w:right w:val="single" w:color="auto" w:sz="4" w:space="0"/>
                  </w:tcBorders>
                  <w:shd w:val="clear"/>
                  <w:vAlign w:val="center"/>
                </w:tcPr>
                <w:p w14:paraId="4A53BB35">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1t</w:t>
                  </w:r>
                </w:p>
              </w:tc>
              <w:tc>
                <w:tcPr>
                  <w:tcW w:w="722" w:type="dxa"/>
                  <w:vMerge w:val="restart"/>
                  <w:tcBorders>
                    <w:top w:val="single" w:color="auto" w:sz="4" w:space="0"/>
                    <w:left w:val="single" w:color="auto" w:sz="4" w:space="0"/>
                    <w:bottom w:val="single" w:color="auto" w:sz="12" w:space="0"/>
                    <w:right w:val="nil"/>
                  </w:tcBorders>
                  <w:shd w:val="clear"/>
                  <w:vAlign w:val="center"/>
                </w:tcPr>
                <w:p w14:paraId="20D30AA1">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3</w:t>
                  </w:r>
                  <w:r>
                    <w:rPr>
                      <w:rFonts w:hint="eastAsia" w:ascii="Times New Roman" w:hAnsi="Times New Roman" w:eastAsia="宋体" w:cs="宋体"/>
                      <w:color w:val="000000"/>
                      <w:kern w:val="0"/>
                      <w:sz w:val="21"/>
                      <w:szCs w:val="21"/>
                      <w:bdr w:val="none" w:color="auto" w:sz="0" w:space="0"/>
                      <w:lang w:val="en-US" w:eastAsia="zh-CN" w:bidi="ar"/>
                    </w:rPr>
                    <w:t>个月</w:t>
                  </w:r>
                </w:p>
              </w:tc>
            </w:tr>
            <w:tr w14:paraId="1235D28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851" w:type="dxa"/>
                  <w:vMerge w:val="continue"/>
                  <w:tcBorders>
                    <w:top w:val="single" w:color="auto" w:sz="4" w:space="0"/>
                    <w:left w:val="nil"/>
                    <w:bottom w:val="single" w:color="auto" w:sz="12" w:space="0"/>
                    <w:right w:val="single" w:color="auto" w:sz="4" w:space="0"/>
                  </w:tcBorders>
                  <w:shd w:val="clear"/>
                  <w:vAlign w:val="center"/>
                </w:tcPr>
                <w:p w14:paraId="3FBD0D20">
                  <w:pPr>
                    <w:rPr>
                      <w:rFonts w:hint="default" w:ascii="Calibri" w:hAnsi="Calibri" w:cs="Calibri"/>
                      <w:sz w:val="20"/>
                      <w:szCs w:val="20"/>
                    </w:rPr>
                  </w:pPr>
                </w:p>
              </w:tc>
              <w:tc>
                <w:tcPr>
                  <w:tcW w:w="1276" w:type="dxa"/>
                  <w:tcBorders>
                    <w:top w:val="single" w:color="auto" w:sz="4" w:space="0"/>
                    <w:left w:val="single" w:color="auto" w:sz="4" w:space="0"/>
                    <w:bottom w:val="single" w:color="auto" w:sz="4" w:space="0"/>
                    <w:right w:val="single" w:color="auto" w:sz="4" w:space="0"/>
                  </w:tcBorders>
                  <w:shd w:val="clear"/>
                  <w:vAlign w:val="center"/>
                </w:tcPr>
                <w:p w14:paraId="451C90F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废润滑油</w:t>
                  </w:r>
                </w:p>
              </w:tc>
              <w:tc>
                <w:tcPr>
                  <w:tcW w:w="980" w:type="dxa"/>
                  <w:tcBorders>
                    <w:top w:val="single" w:color="auto" w:sz="4" w:space="0"/>
                    <w:left w:val="single" w:color="auto" w:sz="4" w:space="0"/>
                    <w:bottom w:val="single" w:color="auto" w:sz="4" w:space="0"/>
                    <w:right w:val="single" w:color="auto" w:sz="4" w:space="0"/>
                  </w:tcBorders>
                  <w:shd w:val="clear"/>
                  <w:vAlign w:val="center"/>
                </w:tcPr>
                <w:p w14:paraId="62701EB5">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HW08</w:t>
                  </w:r>
                </w:p>
              </w:tc>
              <w:tc>
                <w:tcPr>
                  <w:tcW w:w="1235" w:type="dxa"/>
                  <w:tcBorders>
                    <w:top w:val="single" w:color="auto" w:sz="4" w:space="0"/>
                    <w:left w:val="single" w:color="auto" w:sz="4" w:space="0"/>
                    <w:bottom w:val="single" w:color="auto" w:sz="4" w:space="0"/>
                    <w:right w:val="single" w:color="auto" w:sz="4" w:space="0"/>
                  </w:tcBorders>
                  <w:shd w:val="clear"/>
                  <w:vAlign w:val="center"/>
                </w:tcPr>
                <w:p w14:paraId="273FEEE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900-217-08</w:t>
                  </w:r>
                </w:p>
              </w:tc>
              <w:tc>
                <w:tcPr>
                  <w:tcW w:w="720" w:type="dxa"/>
                  <w:vMerge w:val="continue"/>
                  <w:tcBorders>
                    <w:top w:val="single" w:color="auto" w:sz="4" w:space="0"/>
                    <w:left w:val="single" w:color="auto" w:sz="4" w:space="0"/>
                    <w:bottom w:val="single" w:color="auto" w:sz="12" w:space="0"/>
                    <w:right w:val="single" w:color="auto" w:sz="4" w:space="0"/>
                  </w:tcBorders>
                  <w:shd w:val="clear"/>
                  <w:vAlign w:val="center"/>
                </w:tcPr>
                <w:p w14:paraId="66EE3A85">
                  <w:pPr>
                    <w:rPr>
                      <w:rFonts w:hint="default" w:ascii="Calibri" w:hAnsi="Calibri" w:cs="Calibri"/>
                      <w:sz w:val="20"/>
                      <w:szCs w:val="20"/>
                    </w:rPr>
                  </w:pPr>
                </w:p>
              </w:tc>
              <w:tc>
                <w:tcPr>
                  <w:tcW w:w="666" w:type="dxa"/>
                  <w:vMerge w:val="continue"/>
                  <w:tcBorders>
                    <w:top w:val="single" w:color="auto" w:sz="4" w:space="0"/>
                    <w:left w:val="single" w:color="auto" w:sz="4" w:space="0"/>
                    <w:bottom w:val="single" w:color="auto" w:sz="12" w:space="0"/>
                    <w:right w:val="single" w:color="auto" w:sz="4" w:space="0"/>
                  </w:tcBorders>
                  <w:shd w:val="clear"/>
                  <w:vAlign w:val="center"/>
                </w:tcPr>
                <w:p w14:paraId="72EC5057">
                  <w:pPr>
                    <w:rPr>
                      <w:rFonts w:hint="default" w:ascii="Calibri" w:hAnsi="Calibri" w:cs="Calibri"/>
                      <w:sz w:val="20"/>
                      <w:szCs w:val="20"/>
                    </w:rPr>
                  </w:pPr>
                </w:p>
              </w:tc>
              <w:tc>
                <w:tcPr>
                  <w:tcW w:w="850" w:type="dxa"/>
                  <w:vMerge w:val="continue"/>
                  <w:tcBorders>
                    <w:top w:val="single" w:color="auto" w:sz="4" w:space="0"/>
                    <w:left w:val="single" w:color="auto" w:sz="4" w:space="0"/>
                    <w:bottom w:val="single" w:color="auto" w:sz="4" w:space="0"/>
                    <w:right w:val="single" w:color="auto" w:sz="4" w:space="0"/>
                  </w:tcBorders>
                  <w:shd w:val="clear"/>
                  <w:vAlign w:val="center"/>
                </w:tcPr>
                <w:p w14:paraId="26F5C30B">
                  <w:pPr>
                    <w:rPr>
                      <w:rFonts w:hint="default" w:ascii="Calibri" w:hAnsi="Calibri" w:cs="Calibri"/>
                      <w:sz w:val="20"/>
                      <w:szCs w:val="20"/>
                    </w:rPr>
                  </w:pPr>
                </w:p>
              </w:tc>
              <w:tc>
                <w:tcPr>
                  <w:tcW w:w="646" w:type="dxa"/>
                  <w:vMerge w:val="continue"/>
                  <w:tcBorders>
                    <w:top w:val="single" w:color="auto" w:sz="4" w:space="0"/>
                    <w:left w:val="single" w:color="auto" w:sz="4" w:space="0"/>
                    <w:bottom w:val="single" w:color="auto" w:sz="12" w:space="0"/>
                    <w:right w:val="single" w:color="auto" w:sz="4" w:space="0"/>
                  </w:tcBorders>
                  <w:shd w:val="clear"/>
                  <w:vAlign w:val="center"/>
                </w:tcPr>
                <w:p w14:paraId="4062ACBD">
                  <w:pPr>
                    <w:rPr>
                      <w:rFonts w:hint="default" w:ascii="Calibri" w:hAnsi="Calibri" w:cs="Calibri"/>
                      <w:sz w:val="20"/>
                      <w:szCs w:val="20"/>
                    </w:rPr>
                  </w:pPr>
                </w:p>
              </w:tc>
              <w:tc>
                <w:tcPr>
                  <w:tcW w:w="722" w:type="dxa"/>
                  <w:vMerge w:val="continue"/>
                  <w:tcBorders>
                    <w:top w:val="single" w:color="auto" w:sz="4" w:space="0"/>
                    <w:left w:val="single" w:color="auto" w:sz="4" w:space="0"/>
                    <w:bottom w:val="single" w:color="auto" w:sz="12" w:space="0"/>
                    <w:right w:val="nil"/>
                  </w:tcBorders>
                  <w:shd w:val="clear"/>
                  <w:vAlign w:val="center"/>
                </w:tcPr>
                <w:p w14:paraId="6DF6754B">
                  <w:pPr>
                    <w:rPr>
                      <w:rFonts w:hint="default" w:ascii="Calibri" w:hAnsi="Calibri" w:cs="Calibri"/>
                      <w:sz w:val="20"/>
                      <w:szCs w:val="20"/>
                    </w:rPr>
                  </w:pPr>
                </w:p>
              </w:tc>
            </w:tr>
            <w:tr w14:paraId="6164004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851" w:type="dxa"/>
                  <w:vMerge w:val="continue"/>
                  <w:tcBorders>
                    <w:top w:val="single" w:color="auto" w:sz="4" w:space="0"/>
                    <w:left w:val="nil"/>
                    <w:bottom w:val="single" w:color="auto" w:sz="12" w:space="0"/>
                    <w:right w:val="single" w:color="auto" w:sz="4" w:space="0"/>
                  </w:tcBorders>
                  <w:shd w:val="clear"/>
                  <w:vAlign w:val="center"/>
                </w:tcPr>
                <w:p w14:paraId="6C5383B2">
                  <w:pPr>
                    <w:rPr>
                      <w:rFonts w:hint="default" w:ascii="Calibri" w:hAnsi="Calibri" w:cs="Calibri"/>
                      <w:sz w:val="20"/>
                      <w:szCs w:val="20"/>
                    </w:rPr>
                  </w:pPr>
                </w:p>
              </w:tc>
              <w:tc>
                <w:tcPr>
                  <w:tcW w:w="1276" w:type="dxa"/>
                  <w:tcBorders>
                    <w:top w:val="single" w:color="auto" w:sz="4" w:space="0"/>
                    <w:left w:val="single" w:color="auto" w:sz="4" w:space="0"/>
                    <w:bottom w:val="single" w:color="auto" w:sz="4" w:space="0"/>
                    <w:right w:val="single" w:color="auto" w:sz="4" w:space="0"/>
                  </w:tcBorders>
                  <w:shd w:val="clear"/>
                  <w:vAlign w:val="center"/>
                </w:tcPr>
                <w:p w14:paraId="3382517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含油棉纱、手套</w:t>
                  </w:r>
                </w:p>
              </w:tc>
              <w:tc>
                <w:tcPr>
                  <w:tcW w:w="980" w:type="dxa"/>
                  <w:tcBorders>
                    <w:top w:val="single" w:color="auto" w:sz="4" w:space="0"/>
                    <w:left w:val="single" w:color="auto" w:sz="4" w:space="0"/>
                    <w:bottom w:val="single" w:color="auto" w:sz="4" w:space="0"/>
                    <w:right w:val="single" w:color="auto" w:sz="4" w:space="0"/>
                  </w:tcBorders>
                  <w:shd w:val="clear"/>
                  <w:vAlign w:val="center"/>
                </w:tcPr>
                <w:p w14:paraId="656F55CD">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HW49</w:t>
                  </w:r>
                </w:p>
              </w:tc>
              <w:tc>
                <w:tcPr>
                  <w:tcW w:w="1235" w:type="dxa"/>
                  <w:tcBorders>
                    <w:top w:val="single" w:color="auto" w:sz="4" w:space="0"/>
                    <w:left w:val="single" w:color="auto" w:sz="4" w:space="0"/>
                    <w:bottom w:val="single" w:color="auto" w:sz="4" w:space="0"/>
                    <w:right w:val="single" w:color="auto" w:sz="4" w:space="0"/>
                  </w:tcBorders>
                  <w:shd w:val="clear"/>
                  <w:vAlign w:val="center"/>
                </w:tcPr>
                <w:p w14:paraId="1BB8F713">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900-041-49</w:t>
                  </w:r>
                </w:p>
              </w:tc>
              <w:tc>
                <w:tcPr>
                  <w:tcW w:w="720" w:type="dxa"/>
                  <w:vMerge w:val="continue"/>
                  <w:tcBorders>
                    <w:top w:val="single" w:color="auto" w:sz="4" w:space="0"/>
                    <w:left w:val="single" w:color="auto" w:sz="4" w:space="0"/>
                    <w:bottom w:val="single" w:color="auto" w:sz="12" w:space="0"/>
                    <w:right w:val="single" w:color="auto" w:sz="4" w:space="0"/>
                  </w:tcBorders>
                  <w:shd w:val="clear"/>
                  <w:vAlign w:val="center"/>
                </w:tcPr>
                <w:p w14:paraId="40A5A37D">
                  <w:pPr>
                    <w:rPr>
                      <w:rFonts w:hint="default" w:ascii="Calibri" w:hAnsi="Calibri" w:cs="Calibri"/>
                      <w:sz w:val="20"/>
                      <w:szCs w:val="20"/>
                    </w:rPr>
                  </w:pPr>
                </w:p>
              </w:tc>
              <w:tc>
                <w:tcPr>
                  <w:tcW w:w="666" w:type="dxa"/>
                  <w:vMerge w:val="continue"/>
                  <w:tcBorders>
                    <w:top w:val="single" w:color="auto" w:sz="4" w:space="0"/>
                    <w:left w:val="single" w:color="auto" w:sz="4" w:space="0"/>
                    <w:bottom w:val="single" w:color="auto" w:sz="12" w:space="0"/>
                    <w:right w:val="single" w:color="auto" w:sz="4" w:space="0"/>
                  </w:tcBorders>
                  <w:shd w:val="clear"/>
                  <w:vAlign w:val="center"/>
                </w:tcPr>
                <w:p w14:paraId="484F8D25">
                  <w:pPr>
                    <w:rPr>
                      <w:rFonts w:hint="default" w:ascii="Calibri" w:hAnsi="Calibri" w:cs="Calibri"/>
                      <w:sz w:val="20"/>
                      <w:szCs w:val="20"/>
                    </w:rPr>
                  </w:pPr>
                </w:p>
              </w:tc>
              <w:tc>
                <w:tcPr>
                  <w:tcW w:w="850" w:type="dxa"/>
                  <w:vMerge w:val="restart"/>
                  <w:tcBorders>
                    <w:top w:val="single" w:color="auto" w:sz="4" w:space="0"/>
                    <w:left w:val="single" w:color="auto" w:sz="4" w:space="0"/>
                    <w:bottom w:val="single" w:color="auto" w:sz="12" w:space="0"/>
                    <w:right w:val="single" w:color="auto" w:sz="4" w:space="0"/>
                  </w:tcBorders>
                  <w:shd w:val="clear"/>
                  <w:vAlign w:val="center"/>
                </w:tcPr>
                <w:p w14:paraId="62D8030D">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袋装封存后放置在托盘上</w:t>
                  </w:r>
                </w:p>
              </w:tc>
              <w:tc>
                <w:tcPr>
                  <w:tcW w:w="646" w:type="dxa"/>
                  <w:vMerge w:val="continue"/>
                  <w:tcBorders>
                    <w:top w:val="single" w:color="auto" w:sz="4" w:space="0"/>
                    <w:left w:val="single" w:color="auto" w:sz="4" w:space="0"/>
                    <w:bottom w:val="single" w:color="auto" w:sz="12" w:space="0"/>
                    <w:right w:val="single" w:color="auto" w:sz="4" w:space="0"/>
                  </w:tcBorders>
                  <w:shd w:val="clear"/>
                  <w:vAlign w:val="center"/>
                </w:tcPr>
                <w:p w14:paraId="18087B18">
                  <w:pPr>
                    <w:rPr>
                      <w:rFonts w:hint="default" w:ascii="Calibri" w:hAnsi="Calibri" w:cs="Calibri"/>
                      <w:sz w:val="20"/>
                      <w:szCs w:val="20"/>
                    </w:rPr>
                  </w:pPr>
                </w:p>
              </w:tc>
              <w:tc>
                <w:tcPr>
                  <w:tcW w:w="722" w:type="dxa"/>
                  <w:vMerge w:val="continue"/>
                  <w:tcBorders>
                    <w:top w:val="single" w:color="auto" w:sz="4" w:space="0"/>
                    <w:left w:val="single" w:color="auto" w:sz="4" w:space="0"/>
                    <w:bottom w:val="single" w:color="auto" w:sz="12" w:space="0"/>
                    <w:right w:val="nil"/>
                  </w:tcBorders>
                  <w:shd w:val="clear"/>
                  <w:vAlign w:val="center"/>
                </w:tcPr>
                <w:p w14:paraId="6BAAA466">
                  <w:pPr>
                    <w:rPr>
                      <w:rFonts w:hint="default" w:ascii="Calibri" w:hAnsi="Calibri" w:cs="Calibri"/>
                      <w:sz w:val="20"/>
                      <w:szCs w:val="20"/>
                    </w:rPr>
                  </w:pPr>
                </w:p>
              </w:tc>
            </w:tr>
            <w:tr w14:paraId="588536A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851" w:type="dxa"/>
                  <w:vMerge w:val="continue"/>
                  <w:tcBorders>
                    <w:top w:val="single" w:color="auto" w:sz="4" w:space="0"/>
                    <w:left w:val="nil"/>
                    <w:bottom w:val="single" w:color="auto" w:sz="12" w:space="0"/>
                    <w:right w:val="single" w:color="auto" w:sz="4" w:space="0"/>
                  </w:tcBorders>
                  <w:shd w:val="clear"/>
                  <w:vAlign w:val="center"/>
                </w:tcPr>
                <w:p w14:paraId="2A840945">
                  <w:pPr>
                    <w:rPr>
                      <w:rFonts w:hint="default" w:ascii="Calibri" w:hAnsi="Calibri" w:cs="Calibri"/>
                      <w:sz w:val="20"/>
                      <w:szCs w:val="20"/>
                    </w:rPr>
                  </w:pPr>
                </w:p>
              </w:tc>
              <w:tc>
                <w:tcPr>
                  <w:tcW w:w="1276" w:type="dxa"/>
                  <w:tcBorders>
                    <w:top w:val="single" w:color="auto" w:sz="4" w:space="0"/>
                    <w:left w:val="single" w:color="auto" w:sz="4" w:space="0"/>
                    <w:bottom w:val="single" w:color="auto" w:sz="4" w:space="0"/>
                    <w:right w:val="single" w:color="auto" w:sz="4" w:space="0"/>
                  </w:tcBorders>
                  <w:shd w:val="clear"/>
                  <w:vAlign w:val="center"/>
                </w:tcPr>
                <w:p w14:paraId="76E8089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废活性炭</w:t>
                  </w:r>
                </w:p>
              </w:tc>
              <w:tc>
                <w:tcPr>
                  <w:tcW w:w="980" w:type="dxa"/>
                  <w:tcBorders>
                    <w:top w:val="single" w:color="auto" w:sz="4" w:space="0"/>
                    <w:left w:val="single" w:color="auto" w:sz="4" w:space="0"/>
                    <w:bottom w:val="single" w:color="auto" w:sz="4" w:space="0"/>
                    <w:right w:val="single" w:color="auto" w:sz="4" w:space="0"/>
                  </w:tcBorders>
                  <w:shd w:val="clear"/>
                  <w:vAlign w:val="center"/>
                </w:tcPr>
                <w:p w14:paraId="4A27D5C6">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HW49</w:t>
                  </w:r>
                </w:p>
              </w:tc>
              <w:tc>
                <w:tcPr>
                  <w:tcW w:w="1235" w:type="dxa"/>
                  <w:tcBorders>
                    <w:top w:val="single" w:color="auto" w:sz="4" w:space="0"/>
                    <w:left w:val="single" w:color="auto" w:sz="4" w:space="0"/>
                    <w:bottom w:val="single" w:color="auto" w:sz="4" w:space="0"/>
                    <w:right w:val="single" w:color="auto" w:sz="4" w:space="0"/>
                  </w:tcBorders>
                  <w:shd w:val="clear"/>
                  <w:vAlign w:val="center"/>
                </w:tcPr>
                <w:p w14:paraId="3CB2FEBA">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900-039-49</w:t>
                  </w:r>
                </w:p>
              </w:tc>
              <w:tc>
                <w:tcPr>
                  <w:tcW w:w="720" w:type="dxa"/>
                  <w:vMerge w:val="continue"/>
                  <w:tcBorders>
                    <w:top w:val="single" w:color="auto" w:sz="4" w:space="0"/>
                    <w:left w:val="single" w:color="auto" w:sz="4" w:space="0"/>
                    <w:bottom w:val="single" w:color="auto" w:sz="12" w:space="0"/>
                    <w:right w:val="single" w:color="auto" w:sz="4" w:space="0"/>
                  </w:tcBorders>
                  <w:shd w:val="clear"/>
                  <w:vAlign w:val="center"/>
                </w:tcPr>
                <w:p w14:paraId="183B77DD">
                  <w:pPr>
                    <w:rPr>
                      <w:rFonts w:hint="default" w:ascii="Calibri" w:hAnsi="Calibri" w:cs="Calibri"/>
                      <w:sz w:val="20"/>
                      <w:szCs w:val="20"/>
                    </w:rPr>
                  </w:pPr>
                </w:p>
              </w:tc>
              <w:tc>
                <w:tcPr>
                  <w:tcW w:w="666" w:type="dxa"/>
                  <w:vMerge w:val="continue"/>
                  <w:tcBorders>
                    <w:top w:val="single" w:color="auto" w:sz="4" w:space="0"/>
                    <w:left w:val="single" w:color="auto" w:sz="4" w:space="0"/>
                    <w:bottom w:val="single" w:color="auto" w:sz="12" w:space="0"/>
                    <w:right w:val="single" w:color="auto" w:sz="4" w:space="0"/>
                  </w:tcBorders>
                  <w:shd w:val="clear"/>
                  <w:vAlign w:val="center"/>
                </w:tcPr>
                <w:p w14:paraId="44831338">
                  <w:pPr>
                    <w:rPr>
                      <w:rFonts w:hint="default" w:ascii="Calibri" w:hAnsi="Calibri" w:cs="Calibri"/>
                      <w:sz w:val="20"/>
                      <w:szCs w:val="20"/>
                    </w:rPr>
                  </w:pPr>
                </w:p>
              </w:tc>
              <w:tc>
                <w:tcPr>
                  <w:tcW w:w="850" w:type="dxa"/>
                  <w:vMerge w:val="continue"/>
                  <w:tcBorders>
                    <w:top w:val="single" w:color="auto" w:sz="4" w:space="0"/>
                    <w:left w:val="single" w:color="auto" w:sz="4" w:space="0"/>
                    <w:bottom w:val="single" w:color="auto" w:sz="12" w:space="0"/>
                    <w:right w:val="single" w:color="auto" w:sz="4" w:space="0"/>
                  </w:tcBorders>
                  <w:shd w:val="clear"/>
                  <w:vAlign w:val="center"/>
                </w:tcPr>
                <w:p w14:paraId="081AFB1B">
                  <w:pPr>
                    <w:rPr>
                      <w:rFonts w:hint="default" w:ascii="Calibri" w:hAnsi="Calibri" w:cs="Calibri"/>
                      <w:sz w:val="20"/>
                      <w:szCs w:val="20"/>
                    </w:rPr>
                  </w:pPr>
                </w:p>
              </w:tc>
              <w:tc>
                <w:tcPr>
                  <w:tcW w:w="646" w:type="dxa"/>
                  <w:vMerge w:val="continue"/>
                  <w:tcBorders>
                    <w:top w:val="single" w:color="auto" w:sz="4" w:space="0"/>
                    <w:left w:val="single" w:color="auto" w:sz="4" w:space="0"/>
                    <w:bottom w:val="single" w:color="auto" w:sz="12" w:space="0"/>
                    <w:right w:val="single" w:color="auto" w:sz="4" w:space="0"/>
                  </w:tcBorders>
                  <w:shd w:val="clear"/>
                  <w:vAlign w:val="center"/>
                </w:tcPr>
                <w:p w14:paraId="48BE88D5">
                  <w:pPr>
                    <w:rPr>
                      <w:rFonts w:hint="default" w:ascii="Calibri" w:hAnsi="Calibri" w:cs="Calibri"/>
                      <w:sz w:val="20"/>
                      <w:szCs w:val="20"/>
                    </w:rPr>
                  </w:pPr>
                </w:p>
              </w:tc>
              <w:tc>
                <w:tcPr>
                  <w:tcW w:w="722" w:type="dxa"/>
                  <w:vMerge w:val="continue"/>
                  <w:tcBorders>
                    <w:top w:val="single" w:color="auto" w:sz="4" w:space="0"/>
                    <w:left w:val="single" w:color="auto" w:sz="4" w:space="0"/>
                    <w:bottom w:val="single" w:color="auto" w:sz="12" w:space="0"/>
                    <w:right w:val="nil"/>
                  </w:tcBorders>
                  <w:shd w:val="clear"/>
                  <w:vAlign w:val="center"/>
                </w:tcPr>
                <w:p w14:paraId="0AC01C12">
                  <w:pPr>
                    <w:rPr>
                      <w:rFonts w:hint="default" w:ascii="Calibri" w:hAnsi="Calibri" w:cs="Calibri"/>
                      <w:sz w:val="20"/>
                      <w:szCs w:val="20"/>
                    </w:rPr>
                  </w:pPr>
                </w:p>
              </w:tc>
            </w:tr>
            <w:tr w14:paraId="42F34D8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851" w:type="dxa"/>
                  <w:vMerge w:val="continue"/>
                  <w:tcBorders>
                    <w:top w:val="single" w:color="auto" w:sz="4" w:space="0"/>
                    <w:left w:val="nil"/>
                    <w:bottom w:val="single" w:color="auto" w:sz="12" w:space="0"/>
                    <w:right w:val="single" w:color="auto" w:sz="4" w:space="0"/>
                  </w:tcBorders>
                  <w:shd w:val="clear"/>
                  <w:vAlign w:val="center"/>
                </w:tcPr>
                <w:p w14:paraId="7B2B3ACC">
                  <w:pPr>
                    <w:rPr>
                      <w:rFonts w:hint="default" w:ascii="Calibri" w:hAnsi="Calibri" w:cs="Calibri"/>
                      <w:sz w:val="20"/>
                      <w:szCs w:val="20"/>
                    </w:rPr>
                  </w:pPr>
                </w:p>
              </w:tc>
              <w:tc>
                <w:tcPr>
                  <w:tcW w:w="1276" w:type="dxa"/>
                  <w:tcBorders>
                    <w:top w:val="single" w:color="auto" w:sz="4" w:space="0"/>
                    <w:left w:val="single" w:color="auto" w:sz="4" w:space="0"/>
                    <w:bottom w:val="single" w:color="auto" w:sz="4" w:space="0"/>
                    <w:right w:val="single" w:color="auto" w:sz="4" w:space="0"/>
                  </w:tcBorders>
                  <w:shd w:val="clear"/>
                  <w:vAlign w:val="center"/>
                </w:tcPr>
                <w:p w14:paraId="7B0CF63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涂胶切割工序布袋除尘器收集粉尘</w:t>
                  </w:r>
                </w:p>
              </w:tc>
              <w:tc>
                <w:tcPr>
                  <w:tcW w:w="980" w:type="dxa"/>
                  <w:tcBorders>
                    <w:top w:val="single" w:color="auto" w:sz="4" w:space="0"/>
                    <w:left w:val="single" w:color="auto" w:sz="4" w:space="0"/>
                    <w:bottom w:val="single" w:color="auto" w:sz="4" w:space="0"/>
                    <w:right w:val="single" w:color="auto" w:sz="4" w:space="0"/>
                  </w:tcBorders>
                  <w:shd w:val="clear"/>
                  <w:vAlign w:val="center"/>
                </w:tcPr>
                <w:p w14:paraId="506B5D53">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HW49</w:t>
                  </w:r>
                </w:p>
              </w:tc>
              <w:tc>
                <w:tcPr>
                  <w:tcW w:w="1235" w:type="dxa"/>
                  <w:tcBorders>
                    <w:top w:val="single" w:color="auto" w:sz="4" w:space="0"/>
                    <w:left w:val="single" w:color="auto" w:sz="4" w:space="0"/>
                    <w:bottom w:val="single" w:color="auto" w:sz="4" w:space="0"/>
                    <w:right w:val="single" w:color="auto" w:sz="4" w:space="0"/>
                  </w:tcBorders>
                  <w:shd w:val="clear"/>
                  <w:vAlign w:val="center"/>
                </w:tcPr>
                <w:p w14:paraId="5348AC85">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900-041-49</w:t>
                  </w:r>
                </w:p>
              </w:tc>
              <w:tc>
                <w:tcPr>
                  <w:tcW w:w="720" w:type="dxa"/>
                  <w:vMerge w:val="continue"/>
                  <w:tcBorders>
                    <w:top w:val="single" w:color="auto" w:sz="4" w:space="0"/>
                    <w:left w:val="single" w:color="auto" w:sz="4" w:space="0"/>
                    <w:bottom w:val="single" w:color="auto" w:sz="12" w:space="0"/>
                    <w:right w:val="single" w:color="auto" w:sz="4" w:space="0"/>
                  </w:tcBorders>
                  <w:shd w:val="clear"/>
                  <w:vAlign w:val="center"/>
                </w:tcPr>
                <w:p w14:paraId="39D74773">
                  <w:pPr>
                    <w:rPr>
                      <w:rFonts w:hint="default" w:ascii="Calibri" w:hAnsi="Calibri" w:cs="Calibri"/>
                      <w:sz w:val="20"/>
                      <w:szCs w:val="20"/>
                    </w:rPr>
                  </w:pPr>
                </w:p>
              </w:tc>
              <w:tc>
                <w:tcPr>
                  <w:tcW w:w="666" w:type="dxa"/>
                  <w:vMerge w:val="continue"/>
                  <w:tcBorders>
                    <w:top w:val="single" w:color="auto" w:sz="4" w:space="0"/>
                    <w:left w:val="single" w:color="auto" w:sz="4" w:space="0"/>
                    <w:bottom w:val="single" w:color="auto" w:sz="12" w:space="0"/>
                    <w:right w:val="single" w:color="auto" w:sz="4" w:space="0"/>
                  </w:tcBorders>
                  <w:shd w:val="clear"/>
                  <w:vAlign w:val="center"/>
                </w:tcPr>
                <w:p w14:paraId="4C2A227B">
                  <w:pPr>
                    <w:rPr>
                      <w:rFonts w:hint="default" w:ascii="Calibri" w:hAnsi="Calibri" w:cs="Calibri"/>
                      <w:sz w:val="20"/>
                      <w:szCs w:val="20"/>
                    </w:rPr>
                  </w:pPr>
                </w:p>
              </w:tc>
              <w:tc>
                <w:tcPr>
                  <w:tcW w:w="850" w:type="dxa"/>
                  <w:vMerge w:val="continue"/>
                  <w:tcBorders>
                    <w:top w:val="single" w:color="auto" w:sz="4" w:space="0"/>
                    <w:left w:val="single" w:color="auto" w:sz="4" w:space="0"/>
                    <w:bottom w:val="single" w:color="auto" w:sz="12" w:space="0"/>
                    <w:right w:val="single" w:color="auto" w:sz="4" w:space="0"/>
                  </w:tcBorders>
                  <w:shd w:val="clear"/>
                  <w:vAlign w:val="center"/>
                </w:tcPr>
                <w:p w14:paraId="42A6040C">
                  <w:pPr>
                    <w:rPr>
                      <w:rFonts w:hint="default" w:ascii="Calibri" w:hAnsi="Calibri" w:cs="Calibri"/>
                      <w:sz w:val="20"/>
                      <w:szCs w:val="20"/>
                    </w:rPr>
                  </w:pPr>
                </w:p>
              </w:tc>
              <w:tc>
                <w:tcPr>
                  <w:tcW w:w="646" w:type="dxa"/>
                  <w:vMerge w:val="continue"/>
                  <w:tcBorders>
                    <w:top w:val="single" w:color="auto" w:sz="4" w:space="0"/>
                    <w:left w:val="single" w:color="auto" w:sz="4" w:space="0"/>
                    <w:bottom w:val="single" w:color="auto" w:sz="12" w:space="0"/>
                    <w:right w:val="single" w:color="auto" w:sz="4" w:space="0"/>
                  </w:tcBorders>
                  <w:shd w:val="clear"/>
                  <w:vAlign w:val="center"/>
                </w:tcPr>
                <w:p w14:paraId="7C13FB29">
                  <w:pPr>
                    <w:rPr>
                      <w:rFonts w:hint="default" w:ascii="Calibri" w:hAnsi="Calibri" w:cs="Calibri"/>
                      <w:sz w:val="20"/>
                      <w:szCs w:val="20"/>
                    </w:rPr>
                  </w:pPr>
                </w:p>
              </w:tc>
              <w:tc>
                <w:tcPr>
                  <w:tcW w:w="722" w:type="dxa"/>
                  <w:vMerge w:val="continue"/>
                  <w:tcBorders>
                    <w:top w:val="single" w:color="auto" w:sz="4" w:space="0"/>
                    <w:left w:val="single" w:color="auto" w:sz="4" w:space="0"/>
                    <w:bottom w:val="single" w:color="auto" w:sz="12" w:space="0"/>
                    <w:right w:val="nil"/>
                  </w:tcBorders>
                  <w:shd w:val="clear"/>
                  <w:vAlign w:val="center"/>
                </w:tcPr>
                <w:p w14:paraId="2D4C7559">
                  <w:pPr>
                    <w:rPr>
                      <w:rFonts w:hint="default" w:ascii="Calibri" w:hAnsi="Calibri" w:cs="Calibri"/>
                      <w:sz w:val="20"/>
                      <w:szCs w:val="20"/>
                    </w:rPr>
                  </w:pPr>
                </w:p>
              </w:tc>
            </w:tr>
            <w:tr w14:paraId="134912D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851" w:type="dxa"/>
                  <w:vMerge w:val="continue"/>
                  <w:tcBorders>
                    <w:top w:val="single" w:color="auto" w:sz="4" w:space="0"/>
                    <w:left w:val="nil"/>
                    <w:bottom w:val="single" w:color="auto" w:sz="12" w:space="0"/>
                    <w:right w:val="single" w:color="auto" w:sz="4" w:space="0"/>
                  </w:tcBorders>
                  <w:shd w:val="clear"/>
                  <w:vAlign w:val="center"/>
                </w:tcPr>
                <w:p w14:paraId="69EB1DCB">
                  <w:pPr>
                    <w:rPr>
                      <w:rFonts w:hint="default" w:ascii="Calibri" w:hAnsi="Calibri" w:cs="Calibri"/>
                      <w:sz w:val="20"/>
                      <w:szCs w:val="20"/>
                    </w:rPr>
                  </w:pPr>
                </w:p>
              </w:tc>
              <w:tc>
                <w:tcPr>
                  <w:tcW w:w="1276" w:type="dxa"/>
                  <w:tcBorders>
                    <w:top w:val="single" w:color="auto" w:sz="4" w:space="0"/>
                    <w:left w:val="single" w:color="auto" w:sz="4" w:space="0"/>
                    <w:bottom w:val="single" w:color="auto" w:sz="4" w:space="0"/>
                    <w:right w:val="single" w:color="auto" w:sz="4" w:space="0"/>
                  </w:tcBorders>
                  <w:shd w:val="clear"/>
                  <w:vAlign w:val="center"/>
                </w:tcPr>
                <w:p w14:paraId="2776C87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废背胶处理剂空瓶</w:t>
                  </w:r>
                </w:p>
              </w:tc>
              <w:tc>
                <w:tcPr>
                  <w:tcW w:w="980" w:type="dxa"/>
                  <w:tcBorders>
                    <w:top w:val="single" w:color="auto" w:sz="4" w:space="0"/>
                    <w:left w:val="single" w:color="auto" w:sz="4" w:space="0"/>
                    <w:bottom w:val="single" w:color="auto" w:sz="4" w:space="0"/>
                    <w:right w:val="single" w:color="auto" w:sz="4" w:space="0"/>
                  </w:tcBorders>
                  <w:shd w:val="clear"/>
                  <w:vAlign w:val="center"/>
                </w:tcPr>
                <w:p w14:paraId="135DF2E7">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HW49</w:t>
                  </w:r>
                </w:p>
              </w:tc>
              <w:tc>
                <w:tcPr>
                  <w:tcW w:w="1235" w:type="dxa"/>
                  <w:tcBorders>
                    <w:top w:val="single" w:color="auto" w:sz="4" w:space="0"/>
                    <w:left w:val="single" w:color="auto" w:sz="4" w:space="0"/>
                    <w:bottom w:val="single" w:color="auto" w:sz="4" w:space="0"/>
                    <w:right w:val="single" w:color="auto" w:sz="4" w:space="0"/>
                  </w:tcBorders>
                  <w:shd w:val="clear"/>
                  <w:vAlign w:val="center"/>
                </w:tcPr>
                <w:p w14:paraId="5B3D8DA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900-041-49</w:t>
                  </w:r>
                </w:p>
              </w:tc>
              <w:tc>
                <w:tcPr>
                  <w:tcW w:w="720" w:type="dxa"/>
                  <w:vMerge w:val="continue"/>
                  <w:tcBorders>
                    <w:top w:val="single" w:color="auto" w:sz="4" w:space="0"/>
                    <w:left w:val="single" w:color="auto" w:sz="4" w:space="0"/>
                    <w:bottom w:val="single" w:color="auto" w:sz="12" w:space="0"/>
                    <w:right w:val="single" w:color="auto" w:sz="4" w:space="0"/>
                  </w:tcBorders>
                  <w:shd w:val="clear"/>
                  <w:vAlign w:val="center"/>
                </w:tcPr>
                <w:p w14:paraId="7737080E">
                  <w:pPr>
                    <w:rPr>
                      <w:rFonts w:hint="default" w:ascii="Calibri" w:hAnsi="Calibri" w:cs="Calibri"/>
                      <w:sz w:val="20"/>
                      <w:szCs w:val="20"/>
                    </w:rPr>
                  </w:pPr>
                </w:p>
              </w:tc>
              <w:tc>
                <w:tcPr>
                  <w:tcW w:w="666" w:type="dxa"/>
                  <w:vMerge w:val="continue"/>
                  <w:tcBorders>
                    <w:top w:val="single" w:color="auto" w:sz="4" w:space="0"/>
                    <w:left w:val="single" w:color="auto" w:sz="4" w:space="0"/>
                    <w:bottom w:val="single" w:color="auto" w:sz="12" w:space="0"/>
                    <w:right w:val="single" w:color="auto" w:sz="4" w:space="0"/>
                  </w:tcBorders>
                  <w:shd w:val="clear"/>
                  <w:vAlign w:val="center"/>
                </w:tcPr>
                <w:p w14:paraId="54DEE9E1">
                  <w:pPr>
                    <w:rPr>
                      <w:rFonts w:hint="default" w:ascii="Calibri" w:hAnsi="Calibri" w:cs="Calibri"/>
                      <w:sz w:val="20"/>
                      <w:szCs w:val="20"/>
                    </w:rPr>
                  </w:pPr>
                </w:p>
              </w:tc>
              <w:tc>
                <w:tcPr>
                  <w:tcW w:w="850" w:type="dxa"/>
                  <w:vMerge w:val="continue"/>
                  <w:tcBorders>
                    <w:top w:val="single" w:color="auto" w:sz="4" w:space="0"/>
                    <w:left w:val="single" w:color="auto" w:sz="4" w:space="0"/>
                    <w:bottom w:val="single" w:color="auto" w:sz="12" w:space="0"/>
                    <w:right w:val="single" w:color="auto" w:sz="4" w:space="0"/>
                  </w:tcBorders>
                  <w:shd w:val="clear"/>
                  <w:vAlign w:val="center"/>
                </w:tcPr>
                <w:p w14:paraId="7994312E">
                  <w:pPr>
                    <w:rPr>
                      <w:rFonts w:hint="default" w:ascii="Calibri" w:hAnsi="Calibri" w:cs="Calibri"/>
                      <w:sz w:val="20"/>
                      <w:szCs w:val="20"/>
                    </w:rPr>
                  </w:pPr>
                </w:p>
              </w:tc>
              <w:tc>
                <w:tcPr>
                  <w:tcW w:w="646" w:type="dxa"/>
                  <w:vMerge w:val="continue"/>
                  <w:tcBorders>
                    <w:top w:val="single" w:color="auto" w:sz="4" w:space="0"/>
                    <w:left w:val="single" w:color="auto" w:sz="4" w:space="0"/>
                    <w:bottom w:val="single" w:color="auto" w:sz="12" w:space="0"/>
                    <w:right w:val="single" w:color="auto" w:sz="4" w:space="0"/>
                  </w:tcBorders>
                  <w:shd w:val="clear"/>
                  <w:vAlign w:val="center"/>
                </w:tcPr>
                <w:p w14:paraId="5822BDBA">
                  <w:pPr>
                    <w:rPr>
                      <w:rFonts w:hint="default" w:ascii="Calibri" w:hAnsi="Calibri" w:cs="Calibri"/>
                      <w:sz w:val="20"/>
                      <w:szCs w:val="20"/>
                    </w:rPr>
                  </w:pPr>
                </w:p>
              </w:tc>
              <w:tc>
                <w:tcPr>
                  <w:tcW w:w="722" w:type="dxa"/>
                  <w:vMerge w:val="continue"/>
                  <w:tcBorders>
                    <w:top w:val="single" w:color="auto" w:sz="4" w:space="0"/>
                    <w:left w:val="single" w:color="auto" w:sz="4" w:space="0"/>
                    <w:bottom w:val="single" w:color="auto" w:sz="12" w:space="0"/>
                    <w:right w:val="nil"/>
                  </w:tcBorders>
                  <w:shd w:val="clear"/>
                  <w:vAlign w:val="center"/>
                </w:tcPr>
                <w:p w14:paraId="0D3F8B83">
                  <w:pPr>
                    <w:rPr>
                      <w:rFonts w:hint="default" w:ascii="Calibri" w:hAnsi="Calibri" w:cs="Calibri"/>
                      <w:sz w:val="20"/>
                      <w:szCs w:val="20"/>
                    </w:rPr>
                  </w:pPr>
                </w:p>
              </w:tc>
            </w:tr>
            <w:tr w14:paraId="2D33ED0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851" w:type="dxa"/>
                  <w:vMerge w:val="continue"/>
                  <w:tcBorders>
                    <w:top w:val="single" w:color="auto" w:sz="4" w:space="0"/>
                    <w:left w:val="nil"/>
                    <w:bottom w:val="single" w:color="auto" w:sz="12" w:space="0"/>
                    <w:right w:val="single" w:color="auto" w:sz="4" w:space="0"/>
                  </w:tcBorders>
                  <w:shd w:val="clear"/>
                  <w:vAlign w:val="center"/>
                </w:tcPr>
                <w:p w14:paraId="6C08E2BF">
                  <w:pPr>
                    <w:rPr>
                      <w:rFonts w:hint="default" w:ascii="Calibri" w:hAnsi="Calibri" w:cs="Calibri"/>
                      <w:sz w:val="20"/>
                      <w:szCs w:val="20"/>
                    </w:rPr>
                  </w:pPr>
                </w:p>
              </w:tc>
              <w:tc>
                <w:tcPr>
                  <w:tcW w:w="1276" w:type="dxa"/>
                  <w:tcBorders>
                    <w:top w:val="single" w:color="auto" w:sz="4" w:space="0"/>
                    <w:left w:val="single" w:color="auto" w:sz="4" w:space="0"/>
                    <w:bottom w:val="single" w:color="auto" w:sz="12" w:space="0"/>
                    <w:right w:val="single" w:color="auto" w:sz="4" w:space="0"/>
                  </w:tcBorders>
                  <w:shd w:val="clear"/>
                  <w:vAlign w:val="center"/>
                </w:tcPr>
                <w:p w14:paraId="0B43A54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废</w:t>
                  </w:r>
                  <w:r>
                    <w:rPr>
                      <w:rFonts w:hint="default" w:ascii="Times New Roman" w:hAnsi="Calibri" w:eastAsia="宋体" w:cs="Times New Roman"/>
                      <w:color w:val="000000"/>
                      <w:kern w:val="0"/>
                      <w:sz w:val="21"/>
                      <w:szCs w:val="21"/>
                      <w:bdr w:val="none" w:color="auto" w:sz="0" w:space="0"/>
                      <w:lang w:val="en-US" w:eastAsia="zh-CN" w:bidi="ar"/>
                    </w:rPr>
                    <w:t>UV</w:t>
                  </w:r>
                  <w:r>
                    <w:rPr>
                      <w:rFonts w:hint="eastAsia" w:ascii="Times New Roman" w:hAnsi="Calibri" w:eastAsia="宋体" w:cs="宋体"/>
                      <w:color w:val="000000"/>
                      <w:kern w:val="0"/>
                      <w:sz w:val="21"/>
                      <w:szCs w:val="21"/>
                      <w:bdr w:val="none" w:color="auto" w:sz="0" w:space="0"/>
                      <w:lang w:val="en-US" w:eastAsia="zh-CN" w:bidi="ar"/>
                    </w:rPr>
                    <w:t>灯管</w:t>
                  </w:r>
                </w:p>
              </w:tc>
              <w:tc>
                <w:tcPr>
                  <w:tcW w:w="980" w:type="dxa"/>
                  <w:tcBorders>
                    <w:top w:val="single" w:color="auto" w:sz="4" w:space="0"/>
                    <w:left w:val="single" w:color="auto" w:sz="4" w:space="0"/>
                    <w:bottom w:val="single" w:color="auto" w:sz="12" w:space="0"/>
                    <w:right w:val="single" w:color="auto" w:sz="4" w:space="0"/>
                  </w:tcBorders>
                  <w:shd w:val="clear"/>
                  <w:vAlign w:val="center"/>
                </w:tcPr>
                <w:p w14:paraId="7BD1C7EC">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HW29</w:t>
                  </w:r>
                </w:p>
              </w:tc>
              <w:tc>
                <w:tcPr>
                  <w:tcW w:w="1235" w:type="dxa"/>
                  <w:tcBorders>
                    <w:top w:val="single" w:color="auto" w:sz="4" w:space="0"/>
                    <w:left w:val="single" w:color="auto" w:sz="4" w:space="0"/>
                    <w:bottom w:val="single" w:color="auto" w:sz="12" w:space="0"/>
                    <w:right w:val="single" w:color="auto" w:sz="4" w:space="0"/>
                  </w:tcBorders>
                  <w:shd w:val="clear"/>
                  <w:vAlign w:val="center"/>
                </w:tcPr>
                <w:p w14:paraId="4246EBFE">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900-023-29</w:t>
                  </w:r>
                </w:p>
              </w:tc>
              <w:tc>
                <w:tcPr>
                  <w:tcW w:w="720" w:type="dxa"/>
                  <w:vMerge w:val="continue"/>
                  <w:tcBorders>
                    <w:top w:val="single" w:color="auto" w:sz="4" w:space="0"/>
                    <w:left w:val="single" w:color="auto" w:sz="4" w:space="0"/>
                    <w:bottom w:val="single" w:color="auto" w:sz="12" w:space="0"/>
                    <w:right w:val="single" w:color="auto" w:sz="4" w:space="0"/>
                  </w:tcBorders>
                  <w:shd w:val="clear"/>
                  <w:vAlign w:val="center"/>
                </w:tcPr>
                <w:p w14:paraId="6B145663">
                  <w:pPr>
                    <w:rPr>
                      <w:rFonts w:hint="default" w:ascii="Calibri" w:hAnsi="Calibri" w:cs="Calibri"/>
                      <w:sz w:val="20"/>
                      <w:szCs w:val="20"/>
                    </w:rPr>
                  </w:pPr>
                </w:p>
              </w:tc>
              <w:tc>
                <w:tcPr>
                  <w:tcW w:w="666" w:type="dxa"/>
                  <w:vMerge w:val="continue"/>
                  <w:tcBorders>
                    <w:top w:val="single" w:color="auto" w:sz="4" w:space="0"/>
                    <w:left w:val="single" w:color="auto" w:sz="4" w:space="0"/>
                    <w:bottom w:val="single" w:color="auto" w:sz="12" w:space="0"/>
                    <w:right w:val="single" w:color="auto" w:sz="4" w:space="0"/>
                  </w:tcBorders>
                  <w:shd w:val="clear"/>
                  <w:vAlign w:val="center"/>
                </w:tcPr>
                <w:p w14:paraId="4EEC2D4D">
                  <w:pPr>
                    <w:rPr>
                      <w:rFonts w:hint="default" w:ascii="Calibri" w:hAnsi="Calibri" w:cs="Calibri"/>
                      <w:sz w:val="20"/>
                      <w:szCs w:val="20"/>
                    </w:rPr>
                  </w:pPr>
                </w:p>
              </w:tc>
              <w:tc>
                <w:tcPr>
                  <w:tcW w:w="850" w:type="dxa"/>
                  <w:vMerge w:val="continue"/>
                  <w:tcBorders>
                    <w:top w:val="single" w:color="auto" w:sz="4" w:space="0"/>
                    <w:left w:val="single" w:color="auto" w:sz="4" w:space="0"/>
                    <w:bottom w:val="single" w:color="auto" w:sz="12" w:space="0"/>
                    <w:right w:val="single" w:color="auto" w:sz="4" w:space="0"/>
                  </w:tcBorders>
                  <w:shd w:val="clear"/>
                  <w:vAlign w:val="center"/>
                </w:tcPr>
                <w:p w14:paraId="0CCAD989">
                  <w:pPr>
                    <w:rPr>
                      <w:rFonts w:hint="default" w:ascii="Calibri" w:hAnsi="Calibri" w:cs="Calibri"/>
                      <w:sz w:val="20"/>
                      <w:szCs w:val="20"/>
                    </w:rPr>
                  </w:pPr>
                </w:p>
              </w:tc>
              <w:tc>
                <w:tcPr>
                  <w:tcW w:w="646" w:type="dxa"/>
                  <w:vMerge w:val="continue"/>
                  <w:tcBorders>
                    <w:top w:val="single" w:color="auto" w:sz="4" w:space="0"/>
                    <w:left w:val="single" w:color="auto" w:sz="4" w:space="0"/>
                    <w:bottom w:val="single" w:color="auto" w:sz="12" w:space="0"/>
                    <w:right w:val="single" w:color="auto" w:sz="4" w:space="0"/>
                  </w:tcBorders>
                  <w:shd w:val="clear"/>
                  <w:vAlign w:val="center"/>
                </w:tcPr>
                <w:p w14:paraId="5627BA00">
                  <w:pPr>
                    <w:rPr>
                      <w:rFonts w:hint="default" w:ascii="Calibri" w:hAnsi="Calibri" w:cs="Calibri"/>
                      <w:sz w:val="20"/>
                      <w:szCs w:val="20"/>
                    </w:rPr>
                  </w:pPr>
                </w:p>
              </w:tc>
              <w:tc>
                <w:tcPr>
                  <w:tcW w:w="722" w:type="dxa"/>
                  <w:vMerge w:val="continue"/>
                  <w:tcBorders>
                    <w:top w:val="single" w:color="auto" w:sz="4" w:space="0"/>
                    <w:left w:val="single" w:color="auto" w:sz="4" w:space="0"/>
                    <w:bottom w:val="single" w:color="auto" w:sz="12" w:space="0"/>
                    <w:right w:val="nil"/>
                  </w:tcBorders>
                  <w:shd w:val="clear"/>
                  <w:vAlign w:val="center"/>
                </w:tcPr>
                <w:p w14:paraId="7A482401">
                  <w:pPr>
                    <w:rPr>
                      <w:rFonts w:hint="default" w:ascii="Calibri" w:hAnsi="Calibri" w:cs="Calibri"/>
                      <w:sz w:val="20"/>
                      <w:szCs w:val="20"/>
                    </w:rPr>
                  </w:pPr>
                </w:p>
              </w:tc>
            </w:tr>
          </w:tbl>
          <w:p w14:paraId="40072B72">
            <w:pPr>
              <w:keepNext w:val="0"/>
              <w:keepLines w:val="0"/>
              <w:widowControl w:val="0"/>
              <w:suppressLineNumbers w:val="0"/>
              <w:snapToGrid w:val="0"/>
              <w:spacing w:before="0" w:beforeAutospacing="0" w:after="0" w:afterAutospacing="0" w:line="440" w:lineRule="exact"/>
              <w:ind w:left="0" w:right="0" w:firstLine="482"/>
              <w:jc w:val="both"/>
              <w:rPr>
                <w:rFonts w:hint="default" w:ascii="Times New Roman" w:hAnsi="Times New Roman" w:cs="Times New Roman"/>
                <w:color w:val="000000"/>
                <w:sz w:val="24"/>
                <w:szCs w:val="24"/>
                <w:bdr w:val="none" w:color="auto" w:sz="0" w:space="0"/>
                <w:lang w:val="en-US"/>
              </w:rPr>
            </w:pPr>
            <w:r>
              <w:rPr>
                <w:rFonts w:hint="eastAsia" w:ascii="Calibri" w:hAnsi="Calibri" w:eastAsia="宋体" w:cs="宋体"/>
                <w:color w:val="000000"/>
                <w:kern w:val="2"/>
                <w:sz w:val="24"/>
                <w:szCs w:val="24"/>
                <w:bdr w:val="none" w:color="auto" w:sz="0" w:space="0"/>
                <w:lang w:val="en-US" w:eastAsia="zh-CN" w:bidi="ar"/>
              </w:rPr>
              <w:t>根据《国家危险废物名录》</w:t>
            </w:r>
            <w:r>
              <w:rPr>
                <w:rFonts w:hint="default" w:ascii="Times New Roman" w:hAnsi="Times New Roman" w:eastAsia="宋体" w:cs="Times New Roman"/>
                <w:color w:val="000000"/>
                <w:kern w:val="2"/>
                <w:sz w:val="24"/>
                <w:szCs w:val="24"/>
                <w:bdr w:val="none" w:color="auto" w:sz="0" w:space="0"/>
                <w:lang w:val="en-US" w:eastAsia="zh-CN" w:bidi="ar"/>
              </w:rPr>
              <w:t>(2025</w:t>
            </w:r>
            <w:r>
              <w:rPr>
                <w:rFonts w:hint="eastAsia" w:ascii="Times New Roman" w:hAnsi="Calibri" w:eastAsia="宋体" w:cs="宋体"/>
                <w:color w:val="000000"/>
                <w:kern w:val="2"/>
                <w:sz w:val="24"/>
                <w:szCs w:val="24"/>
                <w:bdr w:val="none" w:color="auto" w:sz="0" w:space="0"/>
                <w:lang w:val="en-US" w:eastAsia="zh-CN" w:bidi="ar"/>
              </w:rPr>
              <w:t>年版</w:t>
            </w:r>
            <w:r>
              <w:rPr>
                <w:rFonts w:hint="default" w:ascii="Times New Roman" w:hAnsi="Times New Roman" w:eastAsia="宋体" w:cs="Times New Roman"/>
                <w:color w:val="000000"/>
                <w:kern w:val="2"/>
                <w:sz w:val="24"/>
                <w:szCs w:val="24"/>
                <w:bdr w:val="none" w:color="auto" w:sz="0" w:space="0"/>
                <w:lang w:val="en-US" w:eastAsia="zh-CN" w:bidi="ar"/>
              </w:rPr>
              <w:t>)</w:t>
            </w:r>
            <w:r>
              <w:rPr>
                <w:rFonts w:hint="eastAsia" w:ascii="Calibri" w:hAnsi="Calibri" w:eastAsia="宋体" w:cs="宋体"/>
                <w:color w:val="000000"/>
                <w:kern w:val="2"/>
                <w:sz w:val="24"/>
                <w:szCs w:val="24"/>
                <w:bdr w:val="none" w:color="auto" w:sz="0" w:space="0"/>
                <w:lang w:val="en-US" w:eastAsia="zh-CN" w:bidi="ar"/>
              </w:rPr>
              <w:t>，项目危险废物均存放废物暂存间，定期交有</w:t>
            </w:r>
            <w:r>
              <w:rPr>
                <w:rFonts w:hint="eastAsia" w:ascii="Times New Roman" w:hAnsi="Calibri" w:eastAsia="宋体" w:cs="宋体"/>
                <w:color w:val="000000"/>
                <w:kern w:val="2"/>
                <w:sz w:val="24"/>
                <w:szCs w:val="24"/>
                <w:bdr w:val="none" w:color="auto" w:sz="0" w:space="0"/>
                <w:lang w:val="en-US" w:eastAsia="zh-CN" w:bidi="ar"/>
              </w:rPr>
              <w:t>资质的单位妥善处理。</w:t>
            </w:r>
            <w:r>
              <w:rPr>
                <w:rFonts w:hint="eastAsia" w:ascii="Times New Roman" w:hAnsi="Times New Roman" w:eastAsia="宋体" w:cs="宋体"/>
                <w:color w:val="000000"/>
                <w:kern w:val="2"/>
                <w:sz w:val="24"/>
                <w:szCs w:val="24"/>
                <w:bdr w:val="none" w:color="auto" w:sz="0" w:space="0"/>
                <w:lang w:val="en-US" w:eastAsia="zh-CN" w:bidi="ar"/>
              </w:rPr>
              <w:t>危废贮存点设置</w:t>
            </w:r>
            <w:r>
              <w:rPr>
                <w:rFonts w:hint="eastAsia" w:ascii="Times New Roman" w:hAnsi="Times New Roman" w:eastAsia="宋体" w:cs="宋体"/>
                <w:color w:val="000000"/>
                <w:kern w:val="0"/>
                <w:sz w:val="24"/>
                <w:szCs w:val="24"/>
                <w:bdr w:val="none" w:color="auto" w:sz="0" w:space="0"/>
                <w:lang w:val="en-US" w:eastAsia="zh-CN" w:bidi="ar"/>
              </w:rPr>
              <w:t>要求：</w:t>
            </w:r>
          </w:p>
          <w:p w14:paraId="255B3EC1">
            <w:pPr>
              <w:keepNext w:val="0"/>
              <w:keepLines w:val="0"/>
              <w:widowControl w:val="0"/>
              <w:suppressLineNumbers w:val="0"/>
              <w:snapToGrid w:val="0"/>
              <w:spacing w:before="0" w:beforeAutospacing="0" w:after="0" w:afterAutospacing="0" w:line="440" w:lineRule="exact"/>
              <w:ind w:left="0" w:right="0" w:firstLine="482"/>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①</w:t>
            </w:r>
            <w:r>
              <w:rPr>
                <w:rFonts w:hint="eastAsia" w:ascii="Times New Roman" w:hAnsi="Times New Roman" w:eastAsia="宋体" w:cs="宋体"/>
                <w:color w:val="000000"/>
                <w:kern w:val="2"/>
                <w:sz w:val="24"/>
                <w:szCs w:val="24"/>
                <w:bdr w:val="none" w:color="auto" w:sz="0" w:space="0"/>
                <w:lang w:val="en-US" w:eastAsia="zh-CN" w:bidi="ar"/>
              </w:rPr>
              <w:t>危废贮存点</w:t>
            </w:r>
            <w:r>
              <w:rPr>
                <w:rFonts w:hint="eastAsia" w:ascii="Times New Roman" w:hAnsi="Calibri" w:eastAsia="宋体" w:cs="宋体"/>
                <w:color w:val="000000"/>
                <w:kern w:val="2"/>
                <w:sz w:val="24"/>
                <w:szCs w:val="24"/>
                <w:bdr w:val="none" w:color="auto" w:sz="0" w:space="0"/>
                <w:lang w:val="en-US" w:eastAsia="zh-CN" w:bidi="ar"/>
              </w:rPr>
              <w:t>应符合《危险废物贮存污染控制指标》</w:t>
            </w:r>
            <w:r>
              <w:rPr>
                <w:rFonts w:hint="default" w:ascii="Times New Roman" w:hAnsi="Calibri" w:eastAsia="宋体" w:cs="Times New Roman"/>
                <w:color w:val="000000"/>
                <w:kern w:val="2"/>
                <w:sz w:val="24"/>
                <w:szCs w:val="24"/>
                <w:bdr w:val="none" w:color="auto" w:sz="0" w:space="0"/>
                <w:lang w:val="en-US" w:eastAsia="zh-CN" w:bidi="ar"/>
              </w:rPr>
              <w:t>(GB18597-2023)</w:t>
            </w:r>
            <w:r>
              <w:rPr>
                <w:rFonts w:hint="eastAsia" w:ascii="Times New Roman" w:hAnsi="Calibri" w:eastAsia="宋体" w:cs="宋体"/>
                <w:color w:val="000000"/>
                <w:kern w:val="2"/>
                <w:sz w:val="24"/>
                <w:szCs w:val="24"/>
                <w:bdr w:val="none" w:color="auto" w:sz="0" w:space="0"/>
                <w:lang w:val="en-US" w:eastAsia="zh-CN" w:bidi="ar"/>
              </w:rPr>
              <w:t>相关要求，做到防风、防雨、防晒、防渗、防漏和防腐。应定期检查危险废物的贮存状况，及时清理贮存设施地面，更换破损泄漏的危险废物贮存容器和包装物，保证堆存危险废物的防雨、防风、防扬尘等设施功能完好；</w:t>
            </w:r>
            <w:r>
              <w:rPr>
                <w:rFonts w:hint="default" w:ascii="Times New Roman" w:hAnsi="Calibri" w:eastAsia="宋体" w:cs="Times New Roman"/>
                <w:color w:val="000000"/>
                <w:kern w:val="2"/>
                <w:sz w:val="24"/>
                <w:szCs w:val="24"/>
                <w:bdr w:val="none" w:color="auto" w:sz="0" w:space="0"/>
                <w:lang w:val="en-US" w:eastAsia="zh-CN" w:bidi="ar"/>
              </w:rPr>
              <w:t xml:space="preserve"> </w:t>
            </w:r>
          </w:p>
          <w:p w14:paraId="1598DEF3">
            <w:pPr>
              <w:keepNext w:val="0"/>
              <w:keepLines w:val="0"/>
              <w:widowControl w:val="0"/>
              <w:suppressLineNumbers w:val="0"/>
              <w:snapToGrid w:val="0"/>
              <w:spacing w:before="0" w:beforeAutospacing="0" w:after="0" w:afterAutospacing="0" w:line="440" w:lineRule="exact"/>
              <w:ind w:left="0" w:right="0" w:firstLine="482"/>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②应当使用符合标准的容器盛装危险废物；针对不同类别、形态、物理化学性质的危险废物，其容器和包装物应满足相应的防渗、防漏、防腐和强度等要求；装载危险废物的容器必须完好无损；盛装危险废物的容器材质和衬里要与危险废物相容</w:t>
            </w:r>
            <w:r>
              <w:rPr>
                <w:rFonts w:hint="default" w:ascii="Times New Roman" w:hAnsi="Calibri" w:eastAsia="宋体" w:cs="Times New Roman"/>
                <w:color w:val="000000"/>
                <w:kern w:val="2"/>
                <w:sz w:val="24"/>
                <w:szCs w:val="24"/>
                <w:bdr w:val="none" w:color="auto" w:sz="0" w:space="0"/>
                <w:lang w:val="en-US" w:eastAsia="zh-CN" w:bidi="ar"/>
              </w:rPr>
              <w:t>(</w:t>
            </w:r>
            <w:r>
              <w:rPr>
                <w:rFonts w:hint="eastAsia" w:ascii="Times New Roman" w:hAnsi="Calibri" w:eastAsia="宋体" w:cs="宋体"/>
                <w:color w:val="000000"/>
                <w:kern w:val="2"/>
                <w:sz w:val="24"/>
                <w:szCs w:val="24"/>
                <w:bdr w:val="none" w:color="auto" w:sz="0" w:space="0"/>
                <w:lang w:val="en-US" w:eastAsia="zh-CN" w:bidi="ar"/>
              </w:rPr>
              <w:t>不相互反应</w:t>
            </w:r>
            <w:r>
              <w:rPr>
                <w:rFonts w:hint="default" w:ascii="Times New Roman" w:hAnsi="Calibri" w:eastAsia="宋体" w:cs="Times New Roman"/>
                <w:color w:val="000000"/>
                <w:kern w:val="2"/>
                <w:sz w:val="24"/>
                <w:szCs w:val="24"/>
                <w:bdr w:val="none" w:color="auto" w:sz="0" w:space="0"/>
                <w:lang w:val="en-US" w:eastAsia="zh-CN" w:bidi="ar"/>
              </w:rPr>
              <w:t>)</w:t>
            </w:r>
            <w:r>
              <w:rPr>
                <w:rFonts w:hint="eastAsia" w:ascii="Times New Roman" w:hAnsi="Calibri" w:eastAsia="宋体" w:cs="宋体"/>
                <w:color w:val="000000"/>
                <w:kern w:val="2"/>
                <w:sz w:val="24"/>
                <w:szCs w:val="24"/>
                <w:bdr w:val="none" w:color="auto" w:sz="0" w:space="0"/>
                <w:lang w:val="en-US" w:eastAsia="zh-CN" w:bidi="ar"/>
              </w:rPr>
              <w:t>；</w:t>
            </w:r>
          </w:p>
          <w:p w14:paraId="5FB108B2">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③应按国家有关标准和规定建立危险废物管理台账并保存；建立贮存设施环境管理制度、管理人员岗位职责制度、设施运行操作制度、人员岗位培训制度等；</w:t>
            </w:r>
          </w:p>
          <w:p w14:paraId="7D31B245">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④应按危险废物类别分别采用符合标准的容器贮存，加上标签，由专人负责管理；按</w:t>
            </w:r>
            <w:r>
              <w:rPr>
                <w:rFonts w:hint="default" w:ascii="Times New Roman" w:hAnsi="Calibri" w:eastAsia="宋体" w:cs="Times New Roman"/>
                <w:color w:val="000000"/>
                <w:kern w:val="2"/>
                <w:sz w:val="24"/>
                <w:szCs w:val="24"/>
                <w:bdr w:val="none" w:color="auto" w:sz="0" w:space="0"/>
                <w:lang w:val="en-US" w:eastAsia="zh-CN" w:bidi="ar"/>
              </w:rPr>
              <w:t>HJ 1276</w:t>
            </w:r>
            <w:r>
              <w:rPr>
                <w:rFonts w:hint="eastAsia" w:ascii="Times New Roman" w:hAnsi="Calibri" w:eastAsia="宋体" w:cs="宋体"/>
                <w:color w:val="000000"/>
                <w:kern w:val="2"/>
                <w:sz w:val="24"/>
                <w:szCs w:val="24"/>
                <w:bdr w:val="none" w:color="auto" w:sz="0" w:space="0"/>
                <w:lang w:val="en-US" w:eastAsia="zh-CN" w:bidi="ar"/>
              </w:rPr>
              <w:t>的要求设置危险废物贮存设施或场所标志、危险废物</w:t>
            </w:r>
          </w:p>
          <w:p w14:paraId="4192EB9B">
            <w:pPr>
              <w:keepNext w:val="0"/>
              <w:keepLines w:val="0"/>
              <w:widowControl w:val="0"/>
              <w:suppressLineNumbers w:val="0"/>
              <w:snapToGrid w:val="0"/>
              <w:spacing w:before="0" w:beforeAutospacing="0" w:after="0" w:afterAutospacing="0" w:line="440" w:lineRule="exact"/>
              <w:ind w:left="0" w:right="0"/>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贮存分区标志和危险废物标签等危险废物识别标志；应配备通讯设备、照明设施、安全防护服装及工具，并设有应急防护设施。</w:t>
            </w:r>
          </w:p>
          <w:p w14:paraId="4FD4FE4A">
            <w:pPr>
              <w:keepNext w:val="0"/>
              <w:keepLines w:val="0"/>
              <w:widowControl w:val="0"/>
              <w:suppressLineNumbers w:val="0"/>
              <w:snapToGrid w:val="0"/>
              <w:spacing w:before="0" w:beforeAutospacing="0" w:after="0" w:afterAutospacing="0" w:line="440" w:lineRule="exact"/>
              <w:ind w:left="0" w:right="0" w:firstLine="482"/>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⑤在交有资质的危废处置单位清运处理时，应严格按照《危险废物转移联单管理办法》填写危险废物转移联单，并由双方单位保留备查。</w:t>
            </w:r>
          </w:p>
          <w:p w14:paraId="298EA627">
            <w:pPr>
              <w:keepNext w:val="0"/>
              <w:keepLines w:val="0"/>
              <w:widowControl w:val="0"/>
              <w:suppressLineNumbers w:val="0"/>
              <w:snapToGrid w:val="0"/>
              <w:spacing w:before="0" w:beforeAutospacing="0" w:after="0" w:afterAutospacing="0" w:line="440" w:lineRule="exact"/>
              <w:ind w:left="0" w:right="0" w:firstLine="482"/>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⑥建设单位应按照《危险废物规范化管理指标体系》，规范设置危险废物识别标志，制定危险废物管理计划，实施危险废物申报登记、转移联单等制度，按照规范贮存、利用、处置危险废物。</w:t>
            </w:r>
          </w:p>
          <w:p w14:paraId="14ABA8BA">
            <w:pPr>
              <w:keepNext w:val="0"/>
              <w:keepLines w:val="0"/>
              <w:widowControl w:val="0"/>
              <w:suppressLineNumbers w:val="0"/>
              <w:snapToGrid w:val="0"/>
              <w:spacing w:before="0" w:beforeAutospacing="0" w:after="0" w:afterAutospacing="0" w:line="440" w:lineRule="exact"/>
              <w:ind w:left="0" w:right="0" w:firstLine="482"/>
              <w:jc w:val="both"/>
              <w:rPr>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3</w:t>
            </w:r>
            <w:r>
              <w:rPr>
                <w:rFonts w:hint="eastAsia" w:ascii="Times New Roman" w:hAnsi="Calibri" w:eastAsia="宋体" w:cs="宋体"/>
                <w:color w:val="000000"/>
                <w:kern w:val="2"/>
                <w:sz w:val="24"/>
                <w:szCs w:val="24"/>
                <w:bdr w:val="none" w:color="auto" w:sz="0" w:space="0"/>
                <w:lang w:val="en-US" w:eastAsia="zh-CN" w:bidi="ar"/>
              </w:rPr>
              <w:t>、</w:t>
            </w:r>
            <w:r>
              <w:rPr>
                <w:rFonts w:hint="eastAsia" w:ascii="Calibri" w:hAnsi="Calibri" w:eastAsia="宋体" w:cs="宋体"/>
                <w:color w:val="000000"/>
                <w:kern w:val="2"/>
                <w:sz w:val="24"/>
                <w:szCs w:val="24"/>
                <w:bdr w:val="none" w:color="auto" w:sz="0" w:space="0"/>
                <w:lang w:val="en-US" w:eastAsia="zh-CN" w:bidi="ar"/>
              </w:rPr>
              <w:t>生活垃圾</w:t>
            </w:r>
          </w:p>
          <w:p w14:paraId="21721E8C">
            <w:pPr>
              <w:keepNext w:val="0"/>
              <w:keepLines w:val="0"/>
              <w:widowControl/>
              <w:suppressLineNumbers w:val="0"/>
              <w:spacing w:before="0" w:beforeAutospacing="0" w:after="0" w:afterAutospacing="0" w:line="440" w:lineRule="exact"/>
              <w:ind w:left="0" w:right="0" w:firstLine="480"/>
              <w:jc w:val="both"/>
              <w:rPr>
                <w:color w:val="000000"/>
                <w:sz w:val="24"/>
                <w:szCs w:val="24"/>
                <w:bdr w:val="none" w:color="auto" w:sz="0" w:space="0"/>
                <w:lang w:val="en-US"/>
              </w:rPr>
            </w:pPr>
            <w:r>
              <w:rPr>
                <w:rFonts w:hint="eastAsia" w:ascii="Calibri" w:hAnsi="Calibri" w:eastAsia="宋体" w:cs="宋体"/>
                <w:color w:val="000000"/>
                <w:kern w:val="2"/>
                <w:sz w:val="24"/>
                <w:szCs w:val="24"/>
                <w:bdr w:val="none" w:color="auto" w:sz="0" w:space="0"/>
                <w:lang w:val="en-US" w:eastAsia="zh-CN" w:bidi="ar"/>
              </w:rPr>
              <w:t>生活垃圾经分类收集后由环卫部门负责清运送当地垃圾填埋场处置。</w:t>
            </w:r>
          </w:p>
          <w:p w14:paraId="3ACDDEA3">
            <w:pPr>
              <w:keepNext w:val="0"/>
              <w:keepLines w:val="0"/>
              <w:widowControl/>
              <w:suppressLineNumbers w:val="0"/>
              <w:spacing w:before="0" w:beforeAutospacing="0" w:after="0" w:afterAutospacing="0" w:line="440" w:lineRule="exact"/>
              <w:ind w:left="0" w:right="0" w:firstLine="480"/>
              <w:jc w:val="both"/>
              <w:rPr>
                <w:rFonts w:hint="eastAsia" w:ascii="宋体" w:hAnsi="宋体" w:eastAsia="宋体" w:cs="宋体"/>
                <w:color w:val="000000"/>
                <w:kern w:val="0"/>
                <w:sz w:val="24"/>
                <w:szCs w:val="24"/>
                <w:bdr w:val="none" w:color="auto" w:sz="0" w:space="0"/>
                <w:lang w:val="en-US"/>
              </w:rPr>
            </w:pPr>
            <w:r>
              <w:rPr>
                <w:rFonts w:hint="eastAsia" w:ascii="Calibri" w:hAnsi="Calibri" w:eastAsia="宋体" w:cs="宋体"/>
                <w:color w:val="000000"/>
                <w:kern w:val="2"/>
                <w:sz w:val="24"/>
                <w:szCs w:val="24"/>
                <w:bdr w:val="none" w:color="auto" w:sz="0" w:space="0"/>
                <w:lang w:val="en-US" w:eastAsia="zh-CN" w:bidi="ar"/>
              </w:rPr>
              <w:t>扩建项目产生的固体废物</w:t>
            </w:r>
            <w:r>
              <w:rPr>
                <w:rFonts w:hint="eastAsia" w:ascii="宋体" w:hAnsi="宋体" w:eastAsia="宋体" w:cs="宋体"/>
                <w:color w:val="000000"/>
                <w:kern w:val="0"/>
                <w:sz w:val="24"/>
                <w:szCs w:val="24"/>
                <w:bdr w:val="none" w:color="auto" w:sz="0" w:space="0"/>
                <w:lang w:val="en-US" w:eastAsia="zh-CN" w:bidi="ar"/>
              </w:rPr>
              <w:t>去向明确，均得到妥善处理，可有效地防治固体废物的逸散和对环境造成二次污染，不会对环境造成影响。</w:t>
            </w:r>
          </w:p>
          <w:p w14:paraId="46A52A4A">
            <w:pPr>
              <w:keepNext w:val="0"/>
              <w:keepLines w:val="0"/>
              <w:widowControl w:val="0"/>
              <w:suppressLineNumbers w:val="0"/>
              <w:adjustRightInd w:val="0"/>
              <w:snapToGrid w:val="0"/>
              <w:spacing w:before="0" w:beforeAutospacing="0" w:after="0" w:afterAutospacing="0" w:line="440" w:lineRule="exact"/>
              <w:ind w:left="0" w:right="0"/>
              <w:jc w:val="left"/>
              <w:outlineLvl w:val="1"/>
              <w:rPr>
                <w:rFonts w:hint="default" w:ascii="Times New Roman" w:hAnsi="宋体" w:cs="Times New Roman"/>
                <w:b/>
                <w:bCs/>
                <w:color w:val="000000"/>
                <w:spacing w:val="-10"/>
                <w:sz w:val="24"/>
                <w:szCs w:val="24"/>
                <w:bdr w:val="none" w:color="auto" w:sz="0" w:space="0"/>
                <w:lang w:val="en-US"/>
              </w:rPr>
            </w:pPr>
            <w:r>
              <w:rPr>
                <w:rFonts w:hint="default" w:ascii="Times New Roman" w:hAnsi="宋体" w:eastAsia="宋体" w:cs="Times New Roman"/>
                <w:b/>
                <w:bCs/>
                <w:color w:val="000000"/>
                <w:spacing w:val="-10"/>
                <w:kern w:val="2"/>
                <w:sz w:val="24"/>
                <w:szCs w:val="24"/>
                <w:bdr w:val="none" w:color="auto" w:sz="0" w:space="0"/>
                <w:lang w:val="en-US" w:eastAsia="zh-CN" w:bidi="ar"/>
              </w:rPr>
              <w:t xml:space="preserve">4.6 </w:t>
            </w:r>
            <w:r>
              <w:rPr>
                <w:rFonts w:hint="eastAsia" w:ascii="Times New Roman" w:hAnsi="宋体" w:eastAsia="宋体" w:cs="宋体"/>
                <w:b/>
                <w:bCs/>
                <w:color w:val="000000"/>
                <w:spacing w:val="-10"/>
                <w:kern w:val="2"/>
                <w:sz w:val="24"/>
                <w:szCs w:val="24"/>
                <w:bdr w:val="none" w:color="auto" w:sz="0" w:space="0"/>
                <w:lang w:val="en-US" w:eastAsia="zh-CN" w:bidi="ar"/>
              </w:rPr>
              <w:t>污染物排放“三本账”</w:t>
            </w:r>
          </w:p>
          <w:p w14:paraId="791322D1">
            <w:pPr>
              <w:keepNext w:val="0"/>
              <w:keepLines w:val="0"/>
              <w:widowControl/>
              <w:suppressLineNumbers w:val="0"/>
              <w:spacing w:before="0" w:beforeAutospacing="0" w:after="0" w:afterAutospacing="0" w:line="440" w:lineRule="exact"/>
              <w:ind w:left="0" w:right="0" w:firstLine="480"/>
              <w:jc w:val="both"/>
              <w:rPr>
                <w:color w:val="000000"/>
                <w:sz w:val="24"/>
                <w:szCs w:val="24"/>
                <w:bdr w:val="none" w:color="auto" w:sz="0" w:space="0"/>
                <w:lang w:val="en-US"/>
              </w:rPr>
            </w:pPr>
            <w:r>
              <w:rPr>
                <w:rFonts w:hint="eastAsia" w:ascii="Calibri" w:hAnsi="Calibri" w:eastAsia="宋体" w:cs="宋体"/>
                <w:color w:val="000000"/>
                <w:kern w:val="2"/>
                <w:sz w:val="24"/>
                <w:szCs w:val="24"/>
                <w:bdr w:val="none" w:color="auto" w:sz="0" w:space="0"/>
                <w:lang w:val="en-US" w:eastAsia="zh-CN" w:bidi="ar"/>
              </w:rPr>
              <w:t>本项目为扩建项目，污染物有所增加，污染物排放“三本账”统计情况详见下表。</w:t>
            </w:r>
          </w:p>
          <w:p w14:paraId="193F43B1">
            <w:pPr>
              <w:keepNext w:val="0"/>
              <w:keepLines w:val="0"/>
              <w:widowControl w:val="0"/>
              <w:suppressLineNumbers w:val="0"/>
              <w:spacing w:before="0" w:beforeAutospacing="0" w:after="0" w:afterAutospacing="0" w:line="440" w:lineRule="exact"/>
              <w:ind w:left="0" w:right="0" w:firstLine="482"/>
              <w:jc w:val="center"/>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表</w:t>
            </w:r>
            <w:r>
              <w:rPr>
                <w:rFonts w:hint="default" w:ascii="Times New Roman" w:hAnsi="Times New Roman" w:eastAsia="宋体" w:cs="Times New Roman"/>
                <w:color w:val="000000"/>
                <w:kern w:val="2"/>
                <w:sz w:val="24"/>
                <w:szCs w:val="24"/>
                <w:bdr w:val="none" w:color="auto" w:sz="0" w:space="0"/>
                <w:lang w:val="en-US" w:eastAsia="zh-CN" w:bidi="ar"/>
              </w:rPr>
              <w:t xml:space="preserve">4.6-1 </w:t>
            </w:r>
            <w:r>
              <w:rPr>
                <w:rFonts w:hint="eastAsia" w:ascii="Times New Roman" w:hAnsi="Times New Roman" w:eastAsia="宋体" w:cs="宋体"/>
                <w:color w:val="000000"/>
                <w:kern w:val="2"/>
                <w:sz w:val="24"/>
                <w:szCs w:val="24"/>
                <w:bdr w:val="none" w:color="auto" w:sz="0" w:space="0"/>
                <w:lang w:val="en-US" w:eastAsia="zh-CN" w:bidi="ar"/>
              </w:rPr>
              <w:t>“三本账”统计情况（均以排入外环境计）</w:t>
            </w:r>
          </w:p>
          <w:tbl>
            <w:tblPr>
              <w:tblStyle w:val="18"/>
              <w:tblpPr w:leftFromText="180" w:rightFromText="180" w:vertAnchor="text" w:tblpXSpec="center" w:tblpY="1"/>
              <w:tblOverlap w:val="never"/>
              <w:tblW w:w="5000" w:type="pct"/>
              <w:tblInd w:w="8" w:type="dxa"/>
              <w:tblBorders>
                <w:top w:val="single" w:color="auto" w:sz="4" w:space="0"/>
                <w:left w:val="none" w:color="auto" w:sz="6" w:space="0"/>
                <w:bottom w:val="single" w:color="auto" w:sz="4" w:space="0"/>
                <w:right w:val="none" w:color="auto" w:sz="6" w:space="0"/>
                <w:insideH w:val="single" w:color="auto" w:sz="4" w:space="0"/>
                <w:insideV w:val="single" w:color="auto" w:sz="4" w:space="0"/>
              </w:tblBorders>
              <w:shd w:val="clear"/>
              <w:tblLayout w:type="fixed"/>
              <w:tblCellMar>
                <w:top w:w="0" w:type="dxa"/>
                <w:left w:w="108" w:type="dxa"/>
                <w:bottom w:w="0" w:type="dxa"/>
                <w:right w:w="108" w:type="dxa"/>
              </w:tblCellMar>
            </w:tblPr>
            <w:tblGrid>
              <w:gridCol w:w="691"/>
              <w:gridCol w:w="1277"/>
              <w:gridCol w:w="641"/>
              <w:gridCol w:w="1014"/>
              <w:gridCol w:w="1197"/>
              <w:gridCol w:w="1276"/>
              <w:gridCol w:w="850"/>
              <w:gridCol w:w="1000"/>
            </w:tblGrid>
            <w:tr w14:paraId="48A1B956">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shd w:val="clear"/>
                <w:tblCellMar>
                  <w:top w:w="0" w:type="dxa"/>
                  <w:left w:w="108" w:type="dxa"/>
                  <w:bottom w:w="0" w:type="dxa"/>
                  <w:right w:w="108" w:type="dxa"/>
                </w:tblCellMar>
              </w:tblPrEx>
              <w:trPr>
                <w:trHeight w:val="340" w:hRule="atLeast"/>
              </w:trPr>
              <w:tc>
                <w:tcPr>
                  <w:tcW w:w="691" w:type="dxa"/>
                  <w:tcBorders>
                    <w:top w:val="single" w:color="auto" w:sz="12" w:space="0"/>
                    <w:left w:val="nil"/>
                    <w:bottom w:val="single" w:color="auto" w:sz="4" w:space="0"/>
                    <w:right w:val="single" w:color="auto" w:sz="4" w:space="0"/>
                  </w:tcBorders>
                  <w:shd w:val="clear"/>
                  <w:vAlign w:val="center"/>
                </w:tcPr>
                <w:p w14:paraId="35DD858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类别</w:t>
                  </w:r>
                </w:p>
              </w:tc>
              <w:tc>
                <w:tcPr>
                  <w:tcW w:w="1277" w:type="dxa"/>
                  <w:tcBorders>
                    <w:top w:val="single" w:color="auto" w:sz="12" w:space="0"/>
                    <w:left w:val="single" w:color="auto" w:sz="4" w:space="0"/>
                    <w:bottom w:val="single" w:color="auto" w:sz="4" w:space="0"/>
                    <w:right w:val="single" w:color="auto" w:sz="4" w:space="0"/>
                  </w:tcBorders>
                  <w:shd w:val="clear"/>
                  <w:vAlign w:val="center"/>
                </w:tcPr>
                <w:p w14:paraId="392FF72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污染物名称</w:t>
                  </w:r>
                </w:p>
              </w:tc>
              <w:tc>
                <w:tcPr>
                  <w:tcW w:w="641" w:type="dxa"/>
                  <w:tcBorders>
                    <w:top w:val="single" w:color="auto" w:sz="12" w:space="0"/>
                    <w:left w:val="single" w:color="auto" w:sz="4" w:space="0"/>
                    <w:bottom w:val="single" w:color="auto" w:sz="4" w:space="0"/>
                    <w:right w:val="single" w:color="auto" w:sz="4" w:space="0"/>
                  </w:tcBorders>
                  <w:shd w:val="clear"/>
                  <w:vAlign w:val="center"/>
                </w:tcPr>
                <w:p w14:paraId="5D5BDC1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单位</w:t>
                  </w:r>
                </w:p>
              </w:tc>
              <w:tc>
                <w:tcPr>
                  <w:tcW w:w="1014" w:type="dxa"/>
                  <w:tcBorders>
                    <w:top w:val="single" w:color="auto" w:sz="12" w:space="0"/>
                    <w:left w:val="single" w:color="auto" w:sz="4" w:space="0"/>
                    <w:bottom w:val="single" w:color="auto" w:sz="4" w:space="0"/>
                    <w:right w:val="single" w:color="auto" w:sz="4" w:space="0"/>
                  </w:tcBorders>
                  <w:shd w:val="clear"/>
                  <w:vAlign w:val="center"/>
                </w:tcPr>
                <w:p w14:paraId="5DEE097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现有排放量</w:t>
                  </w:r>
                </w:p>
              </w:tc>
              <w:tc>
                <w:tcPr>
                  <w:tcW w:w="1197" w:type="dxa"/>
                  <w:tcBorders>
                    <w:top w:val="single" w:color="auto" w:sz="12" w:space="0"/>
                    <w:left w:val="single" w:color="auto" w:sz="4" w:space="0"/>
                    <w:bottom w:val="single" w:color="auto" w:sz="4" w:space="0"/>
                    <w:right w:val="single" w:color="auto" w:sz="4" w:space="0"/>
                  </w:tcBorders>
                  <w:shd w:val="clear"/>
                  <w:vAlign w:val="center"/>
                </w:tcPr>
                <w:p w14:paraId="7F30A1D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扩建后排放量</w:t>
                  </w:r>
                </w:p>
              </w:tc>
              <w:tc>
                <w:tcPr>
                  <w:tcW w:w="1276" w:type="dxa"/>
                  <w:tcBorders>
                    <w:top w:val="single" w:color="auto" w:sz="12" w:space="0"/>
                    <w:left w:val="single" w:color="auto" w:sz="4" w:space="0"/>
                    <w:bottom w:val="single" w:color="auto" w:sz="4" w:space="0"/>
                    <w:right w:val="single" w:color="auto" w:sz="4" w:space="0"/>
                  </w:tcBorders>
                  <w:shd w:val="clear"/>
                  <w:vAlign w:val="center"/>
                </w:tcPr>
                <w:p w14:paraId="4FE1C24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w:t>
                  </w:r>
                  <w:r>
                    <w:rPr>
                      <w:rFonts w:hint="eastAsia" w:ascii="Times New Roman" w:hAnsi="Calibri" w:eastAsia="宋体" w:cs="宋体"/>
                      <w:color w:val="000000"/>
                      <w:kern w:val="0"/>
                      <w:sz w:val="21"/>
                      <w:szCs w:val="21"/>
                      <w:bdr w:val="none" w:color="auto" w:sz="0" w:space="0"/>
                      <w:lang w:val="en-US" w:eastAsia="zh-CN" w:bidi="ar"/>
                    </w:rPr>
                    <w:t>以新带老</w:t>
                  </w:r>
                  <w:r>
                    <w:rPr>
                      <w:rFonts w:hint="eastAsia" w:ascii="Times New Roman" w:hAnsi="Times New Roman" w:eastAsia="宋体" w:cs="宋体"/>
                      <w:color w:val="000000"/>
                      <w:kern w:val="0"/>
                      <w:sz w:val="21"/>
                      <w:szCs w:val="21"/>
                      <w:bdr w:val="none" w:color="auto" w:sz="0" w:space="0"/>
                      <w:lang w:val="en-US" w:eastAsia="zh-CN" w:bidi="ar"/>
                    </w:rPr>
                    <w:t>”</w:t>
                  </w:r>
                  <w:r>
                    <w:rPr>
                      <w:rFonts w:hint="eastAsia" w:ascii="Times New Roman" w:hAnsi="Calibri" w:eastAsia="宋体" w:cs="宋体"/>
                      <w:color w:val="000000"/>
                      <w:kern w:val="0"/>
                      <w:sz w:val="21"/>
                      <w:szCs w:val="21"/>
                      <w:bdr w:val="none" w:color="auto" w:sz="0" w:space="0"/>
                      <w:lang w:val="en-US" w:eastAsia="zh-CN" w:bidi="ar"/>
                    </w:rPr>
                    <w:t>削减量</w:t>
                  </w:r>
                </w:p>
              </w:tc>
              <w:tc>
                <w:tcPr>
                  <w:tcW w:w="850" w:type="dxa"/>
                  <w:tcBorders>
                    <w:top w:val="single" w:color="auto" w:sz="12" w:space="0"/>
                    <w:left w:val="single" w:color="auto" w:sz="4" w:space="0"/>
                    <w:bottom w:val="single" w:color="auto" w:sz="4" w:space="0"/>
                    <w:right w:val="single" w:color="auto" w:sz="4" w:space="0"/>
                  </w:tcBorders>
                  <w:shd w:val="clear"/>
                  <w:vAlign w:val="center"/>
                </w:tcPr>
                <w:p w14:paraId="00E8F4E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全厂总排放量</w:t>
                  </w:r>
                </w:p>
              </w:tc>
              <w:tc>
                <w:tcPr>
                  <w:tcW w:w="1000" w:type="dxa"/>
                  <w:tcBorders>
                    <w:top w:val="single" w:color="auto" w:sz="12" w:space="0"/>
                    <w:left w:val="single" w:color="auto" w:sz="4" w:space="0"/>
                    <w:bottom w:val="single" w:color="auto" w:sz="4" w:space="0"/>
                    <w:right w:val="nil"/>
                  </w:tcBorders>
                  <w:shd w:val="clear"/>
                  <w:vAlign w:val="center"/>
                </w:tcPr>
                <w:p w14:paraId="25F8592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增减变化量</w:t>
                  </w:r>
                </w:p>
              </w:tc>
            </w:tr>
            <w:tr w14:paraId="05AB6B27">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91" w:type="dxa"/>
                  <w:vMerge w:val="restart"/>
                  <w:tcBorders>
                    <w:top w:val="nil"/>
                    <w:left w:val="nil"/>
                    <w:bottom w:val="single" w:color="auto" w:sz="4" w:space="0"/>
                    <w:right w:val="single" w:color="auto" w:sz="4" w:space="0"/>
                  </w:tcBorders>
                  <w:shd w:val="clear"/>
                  <w:vAlign w:val="center"/>
                </w:tcPr>
                <w:p w14:paraId="0F69BDD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废气</w:t>
                  </w:r>
                </w:p>
              </w:tc>
              <w:tc>
                <w:tcPr>
                  <w:tcW w:w="1277" w:type="dxa"/>
                  <w:tcBorders>
                    <w:top w:val="single" w:color="auto" w:sz="4" w:space="0"/>
                    <w:left w:val="single" w:color="auto" w:sz="4" w:space="0"/>
                    <w:bottom w:val="single" w:color="auto" w:sz="4" w:space="0"/>
                    <w:right w:val="single" w:color="auto" w:sz="4" w:space="0"/>
                  </w:tcBorders>
                  <w:shd w:val="clear"/>
                  <w:vAlign w:val="center"/>
                </w:tcPr>
                <w:p w14:paraId="1EFE3CE5">
                  <w:pPr>
                    <w:pStyle w:val="56"/>
                    <w:widowControl/>
                    <w:spacing w:line="300" w:lineRule="exact"/>
                    <w:rPr>
                      <w:rFonts w:hint="default" w:ascii="Times New Roman" w:hAnsi="Tahoma" w:cs="Tahoma"/>
                      <w:bCs/>
                      <w:color w:val="000000"/>
                      <w:bdr w:val="none" w:color="auto" w:sz="0" w:space="0"/>
                      <w:lang w:val="en-US"/>
                    </w:rPr>
                  </w:pPr>
                  <w:r>
                    <w:rPr>
                      <w:rFonts w:hint="eastAsia" w:ascii="Times New Roman" w:hAnsi="Tahoma" w:eastAsia="宋体" w:cs="宋体"/>
                      <w:bCs/>
                      <w:color w:val="000000"/>
                      <w:bdr w:val="none" w:color="auto" w:sz="0" w:space="0"/>
                    </w:rPr>
                    <w:t>颗粒物</w:t>
                  </w:r>
                </w:p>
              </w:tc>
              <w:tc>
                <w:tcPr>
                  <w:tcW w:w="641" w:type="dxa"/>
                  <w:tcBorders>
                    <w:top w:val="single" w:color="auto" w:sz="4" w:space="0"/>
                    <w:left w:val="single" w:color="auto" w:sz="4" w:space="0"/>
                    <w:bottom w:val="single" w:color="auto" w:sz="4" w:space="0"/>
                    <w:right w:val="single" w:color="auto" w:sz="4" w:space="0"/>
                  </w:tcBorders>
                  <w:shd w:val="clear"/>
                  <w:vAlign w:val="center"/>
                </w:tcPr>
                <w:p w14:paraId="0C44A7E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t/a</w:t>
                  </w:r>
                </w:p>
              </w:tc>
              <w:tc>
                <w:tcPr>
                  <w:tcW w:w="1014" w:type="dxa"/>
                  <w:tcBorders>
                    <w:top w:val="single" w:color="auto" w:sz="4" w:space="0"/>
                    <w:left w:val="single" w:color="auto" w:sz="4" w:space="0"/>
                    <w:bottom w:val="single" w:color="auto" w:sz="4" w:space="0"/>
                    <w:right w:val="single" w:color="auto" w:sz="4" w:space="0"/>
                  </w:tcBorders>
                  <w:shd w:val="clear"/>
                  <w:vAlign w:val="center"/>
                </w:tcPr>
                <w:p w14:paraId="3964C047">
                  <w:pPr>
                    <w:pStyle w:val="56"/>
                    <w:widowControl/>
                    <w:spacing w:line="300" w:lineRule="exact"/>
                    <w:rPr>
                      <w:rFonts w:hint="default" w:ascii="Times New Roman" w:hAnsi="Tahoma" w:cs="Tahoma"/>
                      <w:bCs/>
                      <w:color w:val="000000"/>
                      <w:bdr w:val="none" w:color="auto" w:sz="0" w:space="0"/>
                      <w:lang w:val="en-US"/>
                    </w:rPr>
                  </w:pPr>
                  <w:r>
                    <w:rPr>
                      <w:rFonts w:hint="default" w:ascii="Times New Roman" w:hAnsi="Tahoma" w:cs="Tahoma"/>
                      <w:bCs/>
                      <w:color w:val="000000"/>
                      <w:bdr w:val="none" w:color="auto" w:sz="0" w:space="0"/>
                      <w:lang w:val="en-US"/>
                    </w:rPr>
                    <w:t>0.015</w:t>
                  </w:r>
                </w:p>
              </w:tc>
              <w:tc>
                <w:tcPr>
                  <w:tcW w:w="1197" w:type="dxa"/>
                  <w:tcBorders>
                    <w:top w:val="single" w:color="auto" w:sz="4" w:space="0"/>
                    <w:left w:val="single" w:color="auto" w:sz="4" w:space="0"/>
                    <w:bottom w:val="single" w:color="auto" w:sz="4" w:space="0"/>
                    <w:right w:val="single" w:color="auto" w:sz="4" w:space="0"/>
                  </w:tcBorders>
                  <w:shd w:val="clear"/>
                  <w:vAlign w:val="center"/>
                </w:tcPr>
                <w:p w14:paraId="2067B298">
                  <w:pPr>
                    <w:keepNext w:val="0"/>
                    <w:keepLines w:val="0"/>
                    <w:widowControl w:val="0"/>
                    <w:suppressLineNumbers w:val="0"/>
                    <w:autoSpaceDE w:val="0"/>
                    <w:autoSpaceDN w:val="0"/>
                    <w:snapToGrid w:val="0"/>
                    <w:spacing w:before="0" w:beforeAutospacing="0" w:after="0" w:afterAutospacing="0" w:line="300" w:lineRule="exact"/>
                    <w:ind w:left="0" w:right="0"/>
                    <w:jc w:val="center"/>
                    <w:rPr>
                      <w:rFonts w:hint="default" w:ascii="Times New Roman" w:hAnsi="Calibri" w:cs="Times New Roman"/>
                      <w:color w:val="000000"/>
                      <w:szCs w:val="21"/>
                      <w:bdr w:val="none" w:color="auto" w:sz="0" w:space="0"/>
                      <w:lang w:val="en-US"/>
                    </w:rPr>
                  </w:pPr>
                  <w:r>
                    <w:rPr>
                      <w:rFonts w:hint="default" w:ascii="Times New Roman" w:hAnsi="Calibri" w:eastAsia="宋体" w:cs="Times New Roman"/>
                      <w:color w:val="000000"/>
                      <w:kern w:val="2"/>
                      <w:sz w:val="21"/>
                      <w:szCs w:val="21"/>
                      <w:bdr w:val="none" w:color="auto" w:sz="0" w:space="0"/>
                      <w:lang w:val="en-US" w:eastAsia="zh-CN" w:bidi="ar"/>
                    </w:rPr>
                    <w:t>0.048</w:t>
                  </w:r>
                </w:p>
              </w:tc>
              <w:tc>
                <w:tcPr>
                  <w:tcW w:w="1276" w:type="dxa"/>
                  <w:tcBorders>
                    <w:top w:val="single" w:color="auto" w:sz="4" w:space="0"/>
                    <w:left w:val="single" w:color="auto" w:sz="4" w:space="0"/>
                    <w:bottom w:val="single" w:color="auto" w:sz="4" w:space="0"/>
                    <w:right w:val="single" w:color="auto" w:sz="4" w:space="0"/>
                  </w:tcBorders>
                  <w:shd w:val="clear"/>
                  <w:vAlign w:val="center"/>
                </w:tcPr>
                <w:p w14:paraId="17EBC73D">
                  <w:pPr>
                    <w:pStyle w:val="56"/>
                    <w:widowControl/>
                    <w:spacing w:line="300" w:lineRule="exact"/>
                    <w:rPr>
                      <w:rFonts w:hint="default" w:ascii="Times New Roman" w:hAnsi="Tahoma" w:cs="Tahoma"/>
                      <w:bCs/>
                      <w:color w:val="000000"/>
                      <w:bdr w:val="none" w:color="auto" w:sz="0" w:space="0"/>
                      <w:lang w:val="en-US"/>
                    </w:rPr>
                  </w:pPr>
                  <w:r>
                    <w:rPr>
                      <w:rFonts w:hint="default" w:ascii="Times New Roman" w:hAnsi="Tahoma" w:cs="Tahoma"/>
                      <w:bCs/>
                      <w:color w:val="000000"/>
                      <w:bdr w:val="none" w:color="auto" w:sz="0" w:space="0"/>
                      <w:lang w:val="en-US"/>
                    </w:rPr>
                    <w:t>0.015</w:t>
                  </w:r>
                </w:p>
              </w:tc>
              <w:tc>
                <w:tcPr>
                  <w:tcW w:w="850" w:type="dxa"/>
                  <w:tcBorders>
                    <w:top w:val="single" w:color="auto" w:sz="4" w:space="0"/>
                    <w:left w:val="single" w:color="auto" w:sz="4" w:space="0"/>
                    <w:bottom w:val="single" w:color="auto" w:sz="4" w:space="0"/>
                    <w:right w:val="single" w:color="auto" w:sz="4" w:space="0"/>
                  </w:tcBorders>
                  <w:shd w:val="clear"/>
                  <w:vAlign w:val="center"/>
                </w:tcPr>
                <w:p w14:paraId="3F574B35">
                  <w:pPr>
                    <w:keepNext w:val="0"/>
                    <w:keepLines w:val="0"/>
                    <w:widowControl w:val="0"/>
                    <w:suppressLineNumbers w:val="0"/>
                    <w:autoSpaceDE w:val="0"/>
                    <w:autoSpaceDN w:val="0"/>
                    <w:snapToGrid w:val="0"/>
                    <w:spacing w:before="0" w:beforeAutospacing="0" w:after="0" w:afterAutospacing="0" w:line="300" w:lineRule="exact"/>
                    <w:ind w:left="0" w:right="0"/>
                    <w:jc w:val="center"/>
                    <w:rPr>
                      <w:rFonts w:hint="default" w:ascii="Times New Roman" w:hAnsi="Calibri" w:cs="Times New Roman"/>
                      <w:color w:val="000000"/>
                      <w:szCs w:val="21"/>
                      <w:bdr w:val="none" w:color="auto" w:sz="0" w:space="0"/>
                      <w:lang w:val="en-US"/>
                    </w:rPr>
                  </w:pPr>
                  <w:r>
                    <w:rPr>
                      <w:rFonts w:hint="default" w:ascii="Times New Roman" w:hAnsi="Calibri" w:eastAsia="宋体" w:cs="Times New Roman"/>
                      <w:color w:val="000000"/>
                      <w:kern w:val="2"/>
                      <w:sz w:val="21"/>
                      <w:szCs w:val="21"/>
                      <w:bdr w:val="none" w:color="auto" w:sz="0" w:space="0"/>
                      <w:lang w:val="en-US" w:eastAsia="zh-CN" w:bidi="ar"/>
                    </w:rPr>
                    <w:t>0.048</w:t>
                  </w:r>
                </w:p>
              </w:tc>
              <w:tc>
                <w:tcPr>
                  <w:tcW w:w="1000" w:type="dxa"/>
                  <w:tcBorders>
                    <w:top w:val="single" w:color="auto" w:sz="4" w:space="0"/>
                    <w:left w:val="single" w:color="auto" w:sz="4" w:space="0"/>
                    <w:bottom w:val="single" w:color="auto" w:sz="4" w:space="0"/>
                    <w:right w:val="nil"/>
                  </w:tcBorders>
                  <w:shd w:val="clear"/>
                  <w:vAlign w:val="center"/>
                </w:tcPr>
                <w:p w14:paraId="6CC1D488">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+0.033</w:t>
                  </w:r>
                </w:p>
              </w:tc>
            </w:tr>
            <w:tr w14:paraId="3EF496A8">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91" w:type="dxa"/>
                  <w:vMerge w:val="continue"/>
                  <w:tcBorders>
                    <w:top w:val="nil"/>
                    <w:left w:val="nil"/>
                    <w:bottom w:val="single" w:color="auto" w:sz="4" w:space="0"/>
                    <w:right w:val="single" w:color="auto" w:sz="4" w:space="0"/>
                  </w:tcBorders>
                  <w:shd w:val="clear"/>
                  <w:vAlign w:val="center"/>
                </w:tcPr>
                <w:p w14:paraId="1F30D623">
                  <w:pPr>
                    <w:rPr>
                      <w:rFonts w:hint="default" w:ascii="Calibri" w:hAnsi="Calibri" w:cs="Calibri"/>
                      <w:sz w:val="20"/>
                      <w:szCs w:val="20"/>
                    </w:rPr>
                  </w:pPr>
                </w:p>
              </w:tc>
              <w:tc>
                <w:tcPr>
                  <w:tcW w:w="1277" w:type="dxa"/>
                  <w:tcBorders>
                    <w:top w:val="single" w:color="auto" w:sz="4" w:space="0"/>
                    <w:left w:val="single" w:color="auto" w:sz="4" w:space="0"/>
                    <w:bottom w:val="single" w:color="auto" w:sz="4" w:space="0"/>
                    <w:right w:val="single" w:color="auto" w:sz="4" w:space="0"/>
                  </w:tcBorders>
                  <w:shd w:val="clear"/>
                  <w:vAlign w:val="center"/>
                </w:tcPr>
                <w:p w14:paraId="32A8AF62">
                  <w:pPr>
                    <w:pStyle w:val="56"/>
                    <w:widowControl/>
                    <w:spacing w:line="300" w:lineRule="exact"/>
                    <w:rPr>
                      <w:rFonts w:hint="default" w:ascii="Times New Roman" w:hAnsi="Tahoma" w:cs="Tahoma"/>
                      <w:bCs/>
                      <w:color w:val="000000"/>
                      <w:bdr w:val="none" w:color="auto" w:sz="0" w:space="0"/>
                      <w:lang w:val="en-US"/>
                    </w:rPr>
                  </w:pPr>
                  <w:r>
                    <w:rPr>
                      <w:rFonts w:hint="eastAsia" w:ascii="Times New Roman" w:hAnsi="Times New Roman" w:eastAsia="宋体" w:cs="宋体"/>
                      <w:color w:val="000000"/>
                      <w:bdr w:val="none" w:color="auto" w:sz="0" w:space="0"/>
                    </w:rPr>
                    <w:t>非甲烷总烃</w:t>
                  </w:r>
                </w:p>
              </w:tc>
              <w:tc>
                <w:tcPr>
                  <w:tcW w:w="641" w:type="dxa"/>
                  <w:tcBorders>
                    <w:top w:val="single" w:color="auto" w:sz="4" w:space="0"/>
                    <w:left w:val="single" w:color="auto" w:sz="4" w:space="0"/>
                    <w:bottom w:val="single" w:color="auto" w:sz="4" w:space="0"/>
                    <w:right w:val="single" w:color="auto" w:sz="4" w:space="0"/>
                  </w:tcBorders>
                  <w:shd w:val="clear"/>
                  <w:vAlign w:val="center"/>
                </w:tcPr>
                <w:p w14:paraId="2E758CF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t/a</w:t>
                  </w:r>
                </w:p>
              </w:tc>
              <w:tc>
                <w:tcPr>
                  <w:tcW w:w="1014" w:type="dxa"/>
                  <w:tcBorders>
                    <w:top w:val="single" w:color="auto" w:sz="4" w:space="0"/>
                    <w:left w:val="single" w:color="auto" w:sz="4" w:space="0"/>
                    <w:bottom w:val="single" w:color="auto" w:sz="4" w:space="0"/>
                    <w:right w:val="single" w:color="auto" w:sz="4" w:space="0"/>
                  </w:tcBorders>
                  <w:shd w:val="clear"/>
                  <w:vAlign w:val="center"/>
                </w:tcPr>
                <w:p w14:paraId="7CA50AFC">
                  <w:pPr>
                    <w:pStyle w:val="56"/>
                    <w:widowControl/>
                    <w:spacing w:line="300" w:lineRule="exact"/>
                    <w:rPr>
                      <w:rFonts w:hint="default" w:ascii="Times New Roman" w:hAnsi="Tahoma" w:cs="Tahoma"/>
                      <w:bCs/>
                      <w:color w:val="000000"/>
                      <w:bdr w:val="none" w:color="auto" w:sz="0" w:space="0"/>
                      <w:lang w:val="en-US"/>
                    </w:rPr>
                  </w:pPr>
                  <w:r>
                    <w:rPr>
                      <w:rFonts w:hint="default" w:ascii="Times New Roman" w:hAnsi="Tahoma" w:cs="Tahoma"/>
                      <w:bCs/>
                      <w:color w:val="000000"/>
                      <w:bdr w:val="none" w:color="auto" w:sz="0" w:space="0"/>
                      <w:lang w:val="en-US"/>
                    </w:rPr>
                    <w:t>0.028</w:t>
                  </w:r>
                </w:p>
              </w:tc>
              <w:tc>
                <w:tcPr>
                  <w:tcW w:w="1197" w:type="dxa"/>
                  <w:tcBorders>
                    <w:top w:val="single" w:color="auto" w:sz="4" w:space="0"/>
                    <w:left w:val="single" w:color="auto" w:sz="4" w:space="0"/>
                    <w:bottom w:val="single" w:color="auto" w:sz="4" w:space="0"/>
                    <w:right w:val="single" w:color="auto" w:sz="4" w:space="0"/>
                  </w:tcBorders>
                  <w:shd w:val="clear"/>
                  <w:vAlign w:val="center"/>
                </w:tcPr>
                <w:p w14:paraId="700F785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0.107</w:t>
                  </w:r>
                </w:p>
              </w:tc>
              <w:tc>
                <w:tcPr>
                  <w:tcW w:w="1276" w:type="dxa"/>
                  <w:tcBorders>
                    <w:top w:val="single" w:color="auto" w:sz="4" w:space="0"/>
                    <w:left w:val="single" w:color="auto" w:sz="4" w:space="0"/>
                    <w:bottom w:val="single" w:color="auto" w:sz="4" w:space="0"/>
                    <w:right w:val="single" w:color="auto" w:sz="4" w:space="0"/>
                  </w:tcBorders>
                  <w:shd w:val="clear"/>
                  <w:vAlign w:val="center"/>
                </w:tcPr>
                <w:p w14:paraId="62A266B3">
                  <w:pPr>
                    <w:pStyle w:val="56"/>
                    <w:widowControl/>
                    <w:spacing w:line="300" w:lineRule="exact"/>
                    <w:rPr>
                      <w:rFonts w:hint="default" w:ascii="Times New Roman" w:hAnsi="Tahoma" w:cs="Tahoma"/>
                      <w:bCs/>
                      <w:color w:val="000000"/>
                      <w:bdr w:val="none" w:color="auto" w:sz="0" w:space="0"/>
                      <w:lang w:val="en-US"/>
                    </w:rPr>
                  </w:pPr>
                  <w:r>
                    <w:rPr>
                      <w:rFonts w:hint="default" w:ascii="Times New Roman" w:hAnsi="Tahoma" w:cs="Tahoma"/>
                      <w:bCs/>
                      <w:color w:val="000000"/>
                      <w:bdr w:val="none" w:color="auto" w:sz="0" w:space="0"/>
                      <w:lang w:val="en-US"/>
                    </w:rPr>
                    <w:t>0.028</w:t>
                  </w:r>
                </w:p>
              </w:tc>
              <w:tc>
                <w:tcPr>
                  <w:tcW w:w="850" w:type="dxa"/>
                  <w:tcBorders>
                    <w:top w:val="single" w:color="auto" w:sz="4" w:space="0"/>
                    <w:left w:val="single" w:color="auto" w:sz="4" w:space="0"/>
                    <w:bottom w:val="single" w:color="auto" w:sz="4" w:space="0"/>
                    <w:right w:val="single" w:color="auto" w:sz="4" w:space="0"/>
                  </w:tcBorders>
                  <w:shd w:val="clear"/>
                  <w:vAlign w:val="center"/>
                </w:tcPr>
                <w:p w14:paraId="7FC6974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0.107</w:t>
                  </w:r>
                </w:p>
              </w:tc>
              <w:tc>
                <w:tcPr>
                  <w:tcW w:w="1000" w:type="dxa"/>
                  <w:tcBorders>
                    <w:top w:val="single" w:color="auto" w:sz="4" w:space="0"/>
                    <w:left w:val="single" w:color="auto" w:sz="4" w:space="0"/>
                    <w:bottom w:val="single" w:color="auto" w:sz="4" w:space="0"/>
                    <w:right w:val="nil"/>
                  </w:tcBorders>
                  <w:shd w:val="clear"/>
                  <w:vAlign w:val="center"/>
                </w:tcPr>
                <w:p w14:paraId="1FB3D8E2">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+0.079</w:t>
                  </w:r>
                </w:p>
              </w:tc>
            </w:tr>
            <w:tr w14:paraId="4E393EC1">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91" w:type="dxa"/>
                  <w:vMerge w:val="continue"/>
                  <w:tcBorders>
                    <w:top w:val="nil"/>
                    <w:left w:val="nil"/>
                    <w:bottom w:val="single" w:color="auto" w:sz="4" w:space="0"/>
                    <w:right w:val="single" w:color="auto" w:sz="4" w:space="0"/>
                  </w:tcBorders>
                  <w:shd w:val="clear"/>
                  <w:vAlign w:val="center"/>
                </w:tcPr>
                <w:p w14:paraId="1ED56270">
                  <w:pPr>
                    <w:rPr>
                      <w:rFonts w:hint="default" w:ascii="Calibri" w:hAnsi="Calibri" w:cs="Calibri"/>
                      <w:sz w:val="20"/>
                      <w:szCs w:val="20"/>
                    </w:rPr>
                  </w:pPr>
                </w:p>
              </w:tc>
              <w:tc>
                <w:tcPr>
                  <w:tcW w:w="1277" w:type="dxa"/>
                  <w:tcBorders>
                    <w:top w:val="single" w:color="auto" w:sz="4" w:space="0"/>
                    <w:left w:val="single" w:color="auto" w:sz="4" w:space="0"/>
                    <w:bottom w:val="single" w:color="auto" w:sz="4" w:space="0"/>
                    <w:right w:val="single" w:color="auto" w:sz="4" w:space="0"/>
                  </w:tcBorders>
                  <w:shd w:val="clear"/>
                  <w:vAlign w:val="center"/>
                </w:tcPr>
                <w:p w14:paraId="7A469DC1">
                  <w:pPr>
                    <w:pStyle w:val="56"/>
                    <w:widowControl/>
                    <w:spacing w:line="300" w:lineRule="exact"/>
                    <w:rPr>
                      <w:rFonts w:hint="default" w:ascii="Times New Roman" w:hAnsi="Tahoma" w:cs="Tahoma"/>
                      <w:bCs/>
                      <w:color w:val="000000"/>
                      <w:bdr w:val="none" w:color="auto" w:sz="0" w:space="0"/>
                      <w:lang w:val="en-US"/>
                    </w:rPr>
                  </w:pPr>
                  <w:r>
                    <w:rPr>
                      <w:rFonts w:hint="default" w:ascii="Times New Roman" w:hAnsi="Tahoma" w:cs="Tahoma"/>
                      <w:bCs/>
                      <w:color w:val="000000"/>
                      <w:bdr w:val="none" w:color="auto" w:sz="0" w:space="0"/>
                      <w:lang w:val="en-US"/>
                    </w:rPr>
                    <w:t>MDI</w:t>
                  </w:r>
                </w:p>
              </w:tc>
              <w:tc>
                <w:tcPr>
                  <w:tcW w:w="641" w:type="dxa"/>
                  <w:tcBorders>
                    <w:top w:val="single" w:color="auto" w:sz="4" w:space="0"/>
                    <w:left w:val="single" w:color="auto" w:sz="4" w:space="0"/>
                    <w:bottom w:val="single" w:color="auto" w:sz="4" w:space="0"/>
                    <w:right w:val="single" w:color="auto" w:sz="4" w:space="0"/>
                  </w:tcBorders>
                  <w:shd w:val="clear"/>
                  <w:vAlign w:val="center"/>
                </w:tcPr>
                <w:p w14:paraId="582AFB1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t/a</w:t>
                  </w:r>
                </w:p>
              </w:tc>
              <w:tc>
                <w:tcPr>
                  <w:tcW w:w="1014" w:type="dxa"/>
                  <w:tcBorders>
                    <w:top w:val="single" w:color="auto" w:sz="4" w:space="0"/>
                    <w:left w:val="single" w:color="auto" w:sz="4" w:space="0"/>
                    <w:bottom w:val="single" w:color="auto" w:sz="4" w:space="0"/>
                    <w:right w:val="single" w:color="auto" w:sz="4" w:space="0"/>
                  </w:tcBorders>
                  <w:shd w:val="clear"/>
                  <w:vAlign w:val="center"/>
                </w:tcPr>
                <w:p w14:paraId="1E39443C">
                  <w:pPr>
                    <w:pStyle w:val="56"/>
                    <w:widowControl/>
                    <w:spacing w:line="300" w:lineRule="exact"/>
                    <w:rPr>
                      <w:rFonts w:hint="default" w:ascii="Times New Roman" w:hAnsi="Tahoma" w:cs="Tahoma"/>
                      <w:bCs/>
                      <w:color w:val="000000"/>
                      <w:bdr w:val="none" w:color="auto" w:sz="0" w:space="0"/>
                      <w:lang w:val="en-US"/>
                    </w:rPr>
                  </w:pPr>
                  <w:r>
                    <w:rPr>
                      <w:rFonts w:hint="default" w:ascii="Times New Roman" w:hAnsi="Tahoma" w:cs="Tahoma"/>
                      <w:bCs/>
                      <w:color w:val="000000"/>
                      <w:bdr w:val="none" w:color="auto" w:sz="0" w:space="0"/>
                      <w:lang w:val="en-US"/>
                    </w:rPr>
                    <w:t>0.018</w:t>
                  </w:r>
                </w:p>
              </w:tc>
              <w:tc>
                <w:tcPr>
                  <w:tcW w:w="1197" w:type="dxa"/>
                  <w:tcBorders>
                    <w:top w:val="single" w:color="auto" w:sz="4" w:space="0"/>
                    <w:left w:val="single" w:color="auto" w:sz="4" w:space="0"/>
                    <w:bottom w:val="single" w:color="auto" w:sz="4" w:space="0"/>
                    <w:right w:val="single" w:color="auto" w:sz="4" w:space="0"/>
                  </w:tcBorders>
                  <w:shd w:val="clear"/>
                  <w:vAlign w:val="center"/>
                </w:tcPr>
                <w:p w14:paraId="3AFFEFA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0.030</w:t>
                  </w:r>
                </w:p>
              </w:tc>
              <w:tc>
                <w:tcPr>
                  <w:tcW w:w="1276" w:type="dxa"/>
                  <w:tcBorders>
                    <w:top w:val="single" w:color="auto" w:sz="4" w:space="0"/>
                    <w:left w:val="single" w:color="auto" w:sz="4" w:space="0"/>
                    <w:bottom w:val="single" w:color="auto" w:sz="4" w:space="0"/>
                    <w:right w:val="single" w:color="auto" w:sz="4" w:space="0"/>
                  </w:tcBorders>
                  <w:shd w:val="clear"/>
                  <w:vAlign w:val="center"/>
                </w:tcPr>
                <w:p w14:paraId="453672CB">
                  <w:pPr>
                    <w:pStyle w:val="56"/>
                    <w:widowControl/>
                    <w:spacing w:line="300" w:lineRule="exact"/>
                    <w:rPr>
                      <w:rFonts w:hint="default" w:ascii="Times New Roman" w:hAnsi="Tahoma" w:cs="Tahoma"/>
                      <w:bCs/>
                      <w:color w:val="000000"/>
                      <w:bdr w:val="none" w:color="auto" w:sz="0" w:space="0"/>
                      <w:lang w:val="en-US"/>
                    </w:rPr>
                  </w:pPr>
                  <w:r>
                    <w:rPr>
                      <w:rFonts w:hint="default" w:ascii="Times New Roman" w:hAnsi="Tahoma" w:cs="Tahoma"/>
                      <w:bCs/>
                      <w:color w:val="000000"/>
                      <w:bdr w:val="none" w:color="auto" w:sz="0" w:space="0"/>
                      <w:lang w:val="en-US"/>
                    </w:rPr>
                    <w:t>0.018</w:t>
                  </w:r>
                </w:p>
              </w:tc>
              <w:tc>
                <w:tcPr>
                  <w:tcW w:w="850" w:type="dxa"/>
                  <w:tcBorders>
                    <w:top w:val="single" w:color="auto" w:sz="4" w:space="0"/>
                    <w:left w:val="single" w:color="auto" w:sz="4" w:space="0"/>
                    <w:bottom w:val="single" w:color="auto" w:sz="4" w:space="0"/>
                    <w:right w:val="single" w:color="auto" w:sz="4" w:space="0"/>
                  </w:tcBorders>
                  <w:shd w:val="clear"/>
                  <w:vAlign w:val="center"/>
                </w:tcPr>
                <w:p w14:paraId="6246DE5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0.030</w:t>
                  </w:r>
                </w:p>
              </w:tc>
              <w:tc>
                <w:tcPr>
                  <w:tcW w:w="1000" w:type="dxa"/>
                  <w:tcBorders>
                    <w:top w:val="single" w:color="auto" w:sz="4" w:space="0"/>
                    <w:left w:val="single" w:color="auto" w:sz="4" w:space="0"/>
                    <w:bottom w:val="single" w:color="auto" w:sz="4" w:space="0"/>
                    <w:right w:val="nil"/>
                  </w:tcBorders>
                  <w:shd w:val="clear"/>
                  <w:vAlign w:val="center"/>
                </w:tcPr>
                <w:p w14:paraId="54BA57B8">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+0.012</w:t>
                  </w:r>
                </w:p>
              </w:tc>
            </w:tr>
            <w:tr w14:paraId="3BF74992">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91" w:type="dxa"/>
                  <w:vMerge w:val="restart"/>
                  <w:tcBorders>
                    <w:top w:val="nil"/>
                    <w:left w:val="nil"/>
                    <w:bottom w:val="single" w:color="auto" w:sz="4" w:space="0"/>
                    <w:right w:val="single" w:color="auto" w:sz="4" w:space="0"/>
                  </w:tcBorders>
                  <w:shd w:val="clear"/>
                  <w:vAlign w:val="center"/>
                </w:tcPr>
                <w:p w14:paraId="3A8781F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废水</w:t>
                  </w:r>
                </w:p>
              </w:tc>
              <w:tc>
                <w:tcPr>
                  <w:tcW w:w="1277" w:type="dxa"/>
                  <w:tcBorders>
                    <w:top w:val="single" w:color="auto" w:sz="4" w:space="0"/>
                    <w:left w:val="nil"/>
                    <w:bottom w:val="single" w:color="auto" w:sz="4" w:space="0"/>
                    <w:right w:val="single" w:color="auto" w:sz="4" w:space="0"/>
                  </w:tcBorders>
                  <w:shd w:val="clear"/>
                  <w:vAlign w:val="center"/>
                </w:tcPr>
                <w:p w14:paraId="6AB61A8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废水量</w:t>
                  </w:r>
                </w:p>
              </w:tc>
              <w:tc>
                <w:tcPr>
                  <w:tcW w:w="641" w:type="dxa"/>
                  <w:tcBorders>
                    <w:top w:val="single" w:color="auto" w:sz="4" w:space="0"/>
                    <w:left w:val="nil"/>
                    <w:bottom w:val="single" w:color="auto" w:sz="4" w:space="0"/>
                    <w:right w:val="single" w:color="auto" w:sz="4" w:space="0"/>
                  </w:tcBorders>
                  <w:shd w:val="clear"/>
                  <w:vAlign w:val="center"/>
                </w:tcPr>
                <w:p w14:paraId="02F8F9A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m</w:t>
                  </w:r>
                  <w:r>
                    <w:rPr>
                      <w:rFonts w:hint="default" w:ascii="Times New Roman" w:hAnsi="Times New Roman" w:eastAsia="宋体" w:cs="Times New Roman"/>
                      <w:color w:val="000000"/>
                      <w:kern w:val="0"/>
                      <w:sz w:val="21"/>
                      <w:szCs w:val="21"/>
                      <w:bdr w:val="none" w:color="auto" w:sz="0" w:space="0"/>
                      <w:vertAlign w:val="superscript"/>
                      <w:lang w:val="en-US" w:eastAsia="zh-CN" w:bidi="ar"/>
                    </w:rPr>
                    <w:t>3</w:t>
                  </w:r>
                  <w:r>
                    <w:rPr>
                      <w:rFonts w:hint="default" w:ascii="Times New Roman" w:hAnsi="Times New Roman" w:eastAsia="宋体" w:cs="Times New Roman"/>
                      <w:color w:val="000000"/>
                      <w:kern w:val="0"/>
                      <w:sz w:val="21"/>
                      <w:szCs w:val="21"/>
                      <w:bdr w:val="none" w:color="auto" w:sz="0" w:space="0"/>
                      <w:lang w:val="en-US" w:eastAsia="zh-CN" w:bidi="ar"/>
                    </w:rPr>
                    <w:t>/a</w:t>
                  </w:r>
                </w:p>
              </w:tc>
              <w:tc>
                <w:tcPr>
                  <w:tcW w:w="1014" w:type="dxa"/>
                  <w:tcBorders>
                    <w:top w:val="single" w:color="auto" w:sz="4" w:space="0"/>
                    <w:left w:val="nil"/>
                    <w:bottom w:val="single" w:color="auto" w:sz="4" w:space="0"/>
                    <w:right w:val="single" w:color="auto" w:sz="4" w:space="0"/>
                  </w:tcBorders>
                  <w:shd w:val="clear"/>
                  <w:vAlign w:val="center"/>
                </w:tcPr>
                <w:p w14:paraId="3134019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750</w:t>
                  </w:r>
                </w:p>
              </w:tc>
              <w:tc>
                <w:tcPr>
                  <w:tcW w:w="1197" w:type="dxa"/>
                  <w:tcBorders>
                    <w:top w:val="single" w:color="auto" w:sz="4" w:space="0"/>
                    <w:left w:val="nil"/>
                    <w:bottom w:val="single" w:color="auto" w:sz="4" w:space="0"/>
                    <w:right w:val="single" w:color="auto" w:sz="4" w:space="0"/>
                  </w:tcBorders>
                  <w:shd w:val="clear"/>
                  <w:vAlign w:val="center"/>
                </w:tcPr>
                <w:p w14:paraId="63ED1DD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877.5</w:t>
                  </w:r>
                </w:p>
              </w:tc>
              <w:tc>
                <w:tcPr>
                  <w:tcW w:w="1276" w:type="dxa"/>
                  <w:tcBorders>
                    <w:top w:val="single" w:color="auto" w:sz="4" w:space="0"/>
                    <w:left w:val="nil"/>
                    <w:bottom w:val="single" w:color="auto" w:sz="4" w:space="0"/>
                    <w:right w:val="single" w:color="auto" w:sz="4" w:space="0"/>
                  </w:tcBorders>
                  <w:shd w:val="clear"/>
                  <w:vAlign w:val="center"/>
                </w:tcPr>
                <w:p w14:paraId="3B2365A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750</w:t>
                  </w:r>
                </w:p>
              </w:tc>
              <w:tc>
                <w:tcPr>
                  <w:tcW w:w="850" w:type="dxa"/>
                  <w:tcBorders>
                    <w:top w:val="single" w:color="auto" w:sz="4" w:space="0"/>
                    <w:left w:val="nil"/>
                    <w:bottom w:val="single" w:color="auto" w:sz="4" w:space="0"/>
                    <w:right w:val="single" w:color="auto" w:sz="4" w:space="0"/>
                  </w:tcBorders>
                  <w:shd w:val="clear"/>
                  <w:vAlign w:val="center"/>
                </w:tcPr>
                <w:p w14:paraId="6510C48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877.5</w:t>
                  </w:r>
                </w:p>
              </w:tc>
              <w:tc>
                <w:tcPr>
                  <w:tcW w:w="1000" w:type="dxa"/>
                  <w:tcBorders>
                    <w:top w:val="single" w:color="auto" w:sz="4" w:space="0"/>
                    <w:left w:val="nil"/>
                    <w:bottom w:val="single" w:color="auto" w:sz="4" w:space="0"/>
                    <w:right w:val="nil"/>
                  </w:tcBorders>
                  <w:shd w:val="clear"/>
                  <w:vAlign w:val="center"/>
                </w:tcPr>
                <w:p w14:paraId="5868BD4C">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+127.5</w:t>
                  </w:r>
                </w:p>
              </w:tc>
            </w:tr>
            <w:tr w14:paraId="0A70CF34">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691" w:type="dxa"/>
                  <w:vMerge w:val="continue"/>
                  <w:tcBorders>
                    <w:top w:val="nil"/>
                    <w:left w:val="nil"/>
                    <w:bottom w:val="single" w:color="auto" w:sz="4" w:space="0"/>
                    <w:right w:val="single" w:color="auto" w:sz="4" w:space="0"/>
                  </w:tcBorders>
                  <w:shd w:val="clear"/>
                  <w:vAlign w:val="center"/>
                </w:tcPr>
                <w:p w14:paraId="664CEC6E">
                  <w:pPr>
                    <w:rPr>
                      <w:rFonts w:hint="default" w:ascii="Calibri" w:hAnsi="Calibri" w:cs="Calibri"/>
                      <w:sz w:val="20"/>
                      <w:szCs w:val="20"/>
                    </w:rPr>
                  </w:pPr>
                </w:p>
              </w:tc>
              <w:tc>
                <w:tcPr>
                  <w:tcW w:w="1277" w:type="dxa"/>
                  <w:tcBorders>
                    <w:top w:val="single" w:color="auto" w:sz="4" w:space="0"/>
                    <w:left w:val="nil"/>
                    <w:bottom w:val="single" w:color="auto" w:sz="4" w:space="0"/>
                    <w:right w:val="single" w:color="auto" w:sz="4" w:space="0"/>
                  </w:tcBorders>
                  <w:shd w:val="clear"/>
                  <w:vAlign w:val="center"/>
                </w:tcPr>
                <w:p w14:paraId="5507E5E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COD</w:t>
                  </w:r>
                </w:p>
              </w:tc>
              <w:tc>
                <w:tcPr>
                  <w:tcW w:w="641" w:type="dxa"/>
                  <w:tcBorders>
                    <w:top w:val="single" w:color="auto" w:sz="4" w:space="0"/>
                    <w:left w:val="nil"/>
                    <w:bottom w:val="single" w:color="auto" w:sz="4" w:space="0"/>
                    <w:right w:val="single" w:color="auto" w:sz="4" w:space="0"/>
                  </w:tcBorders>
                  <w:shd w:val="clear"/>
                  <w:vAlign w:val="center"/>
                </w:tcPr>
                <w:p w14:paraId="1FD7814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t/a</w:t>
                  </w:r>
                </w:p>
              </w:tc>
              <w:tc>
                <w:tcPr>
                  <w:tcW w:w="1014" w:type="dxa"/>
                  <w:tcBorders>
                    <w:top w:val="single" w:color="auto" w:sz="4" w:space="0"/>
                    <w:left w:val="nil"/>
                    <w:bottom w:val="single" w:color="auto" w:sz="4" w:space="0"/>
                    <w:right w:val="single" w:color="auto" w:sz="4" w:space="0"/>
                  </w:tcBorders>
                  <w:shd w:val="clear"/>
                  <w:vAlign w:val="center"/>
                </w:tcPr>
                <w:p w14:paraId="014456D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0.045</w:t>
                  </w:r>
                </w:p>
              </w:tc>
              <w:tc>
                <w:tcPr>
                  <w:tcW w:w="1197" w:type="dxa"/>
                  <w:tcBorders>
                    <w:top w:val="single" w:color="auto" w:sz="4" w:space="0"/>
                    <w:left w:val="nil"/>
                    <w:bottom w:val="single" w:color="auto" w:sz="4" w:space="0"/>
                    <w:right w:val="single" w:color="auto" w:sz="4" w:space="0"/>
                  </w:tcBorders>
                  <w:shd w:val="clear"/>
                  <w:vAlign w:val="center"/>
                </w:tcPr>
                <w:p w14:paraId="47F63DA3">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 xml:space="preserve">0.053 </w:t>
                  </w:r>
                </w:p>
              </w:tc>
              <w:tc>
                <w:tcPr>
                  <w:tcW w:w="1276" w:type="dxa"/>
                  <w:tcBorders>
                    <w:top w:val="single" w:color="auto" w:sz="4" w:space="0"/>
                    <w:left w:val="nil"/>
                    <w:bottom w:val="single" w:color="auto" w:sz="4" w:space="0"/>
                    <w:right w:val="single" w:color="auto" w:sz="4" w:space="0"/>
                  </w:tcBorders>
                  <w:shd w:val="clear"/>
                  <w:vAlign w:val="center"/>
                </w:tcPr>
                <w:p w14:paraId="6C15AB9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0.045</w:t>
                  </w:r>
                </w:p>
              </w:tc>
              <w:tc>
                <w:tcPr>
                  <w:tcW w:w="850" w:type="dxa"/>
                  <w:tcBorders>
                    <w:top w:val="single" w:color="auto" w:sz="4" w:space="0"/>
                    <w:left w:val="nil"/>
                    <w:bottom w:val="single" w:color="auto" w:sz="4" w:space="0"/>
                    <w:right w:val="single" w:color="auto" w:sz="4" w:space="0"/>
                  </w:tcBorders>
                  <w:shd w:val="clear"/>
                  <w:vAlign w:val="center"/>
                </w:tcPr>
                <w:p w14:paraId="4492314E">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 xml:space="preserve">0.053 </w:t>
                  </w:r>
                </w:p>
              </w:tc>
              <w:tc>
                <w:tcPr>
                  <w:tcW w:w="1000" w:type="dxa"/>
                  <w:tcBorders>
                    <w:top w:val="single" w:color="auto" w:sz="4" w:space="0"/>
                    <w:left w:val="nil"/>
                    <w:bottom w:val="single" w:color="auto" w:sz="4" w:space="0"/>
                    <w:right w:val="nil"/>
                  </w:tcBorders>
                  <w:shd w:val="clear"/>
                  <w:vAlign w:val="center"/>
                </w:tcPr>
                <w:p w14:paraId="4696AC40">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+0.008</w:t>
                  </w:r>
                </w:p>
              </w:tc>
            </w:tr>
            <w:tr w14:paraId="0646E8E2">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691" w:type="dxa"/>
                  <w:vMerge w:val="continue"/>
                  <w:tcBorders>
                    <w:top w:val="nil"/>
                    <w:left w:val="nil"/>
                    <w:bottom w:val="single" w:color="auto" w:sz="4" w:space="0"/>
                    <w:right w:val="single" w:color="auto" w:sz="4" w:space="0"/>
                  </w:tcBorders>
                  <w:shd w:val="clear"/>
                  <w:vAlign w:val="center"/>
                </w:tcPr>
                <w:p w14:paraId="02CCDE71">
                  <w:pPr>
                    <w:rPr>
                      <w:rFonts w:hint="default" w:ascii="Calibri" w:hAnsi="Calibri" w:cs="Calibri"/>
                      <w:sz w:val="20"/>
                      <w:szCs w:val="20"/>
                    </w:rPr>
                  </w:pPr>
                </w:p>
              </w:tc>
              <w:tc>
                <w:tcPr>
                  <w:tcW w:w="1277" w:type="dxa"/>
                  <w:tcBorders>
                    <w:top w:val="single" w:color="auto" w:sz="4" w:space="0"/>
                    <w:left w:val="nil"/>
                    <w:bottom w:val="single" w:color="auto" w:sz="4" w:space="0"/>
                    <w:right w:val="single" w:color="auto" w:sz="4" w:space="0"/>
                  </w:tcBorders>
                  <w:shd w:val="clear"/>
                  <w:vAlign w:val="center"/>
                </w:tcPr>
                <w:p w14:paraId="1F94960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BOD</w:t>
                  </w:r>
                  <w:r>
                    <w:rPr>
                      <w:rFonts w:hint="default" w:ascii="Times New Roman" w:hAnsi="Times New Roman" w:eastAsia="宋体" w:cs="Times New Roman"/>
                      <w:color w:val="000000"/>
                      <w:kern w:val="0"/>
                      <w:sz w:val="21"/>
                      <w:szCs w:val="21"/>
                      <w:bdr w:val="none" w:color="auto" w:sz="0" w:space="0"/>
                      <w:vertAlign w:val="subscript"/>
                      <w:lang w:val="en-US" w:eastAsia="zh-CN" w:bidi="ar"/>
                    </w:rPr>
                    <w:t>5</w:t>
                  </w:r>
                </w:p>
              </w:tc>
              <w:tc>
                <w:tcPr>
                  <w:tcW w:w="641" w:type="dxa"/>
                  <w:tcBorders>
                    <w:top w:val="single" w:color="auto" w:sz="4" w:space="0"/>
                    <w:left w:val="nil"/>
                    <w:bottom w:val="single" w:color="auto" w:sz="4" w:space="0"/>
                    <w:right w:val="single" w:color="auto" w:sz="4" w:space="0"/>
                  </w:tcBorders>
                  <w:shd w:val="clear"/>
                  <w:vAlign w:val="center"/>
                </w:tcPr>
                <w:p w14:paraId="5AA6503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t/a</w:t>
                  </w:r>
                </w:p>
              </w:tc>
              <w:tc>
                <w:tcPr>
                  <w:tcW w:w="1014" w:type="dxa"/>
                  <w:tcBorders>
                    <w:top w:val="single" w:color="auto" w:sz="4" w:space="0"/>
                    <w:left w:val="nil"/>
                    <w:bottom w:val="single" w:color="auto" w:sz="4" w:space="0"/>
                    <w:right w:val="single" w:color="auto" w:sz="4" w:space="0"/>
                  </w:tcBorders>
                  <w:shd w:val="clear"/>
                  <w:vAlign w:val="center"/>
                </w:tcPr>
                <w:p w14:paraId="4893936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0.015</w:t>
                  </w:r>
                </w:p>
              </w:tc>
              <w:tc>
                <w:tcPr>
                  <w:tcW w:w="1197" w:type="dxa"/>
                  <w:tcBorders>
                    <w:top w:val="single" w:color="auto" w:sz="4" w:space="0"/>
                    <w:left w:val="nil"/>
                    <w:bottom w:val="single" w:color="auto" w:sz="4" w:space="0"/>
                    <w:right w:val="single" w:color="auto" w:sz="4" w:space="0"/>
                  </w:tcBorders>
                  <w:shd w:val="clear"/>
                  <w:vAlign w:val="center"/>
                </w:tcPr>
                <w:p w14:paraId="55706A66">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 xml:space="preserve">0.018 </w:t>
                  </w:r>
                </w:p>
              </w:tc>
              <w:tc>
                <w:tcPr>
                  <w:tcW w:w="1276" w:type="dxa"/>
                  <w:tcBorders>
                    <w:top w:val="single" w:color="auto" w:sz="4" w:space="0"/>
                    <w:left w:val="nil"/>
                    <w:bottom w:val="single" w:color="auto" w:sz="4" w:space="0"/>
                    <w:right w:val="single" w:color="auto" w:sz="4" w:space="0"/>
                  </w:tcBorders>
                  <w:shd w:val="clear"/>
                  <w:vAlign w:val="center"/>
                </w:tcPr>
                <w:p w14:paraId="4262F1A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0.015</w:t>
                  </w:r>
                </w:p>
              </w:tc>
              <w:tc>
                <w:tcPr>
                  <w:tcW w:w="850" w:type="dxa"/>
                  <w:tcBorders>
                    <w:top w:val="single" w:color="auto" w:sz="4" w:space="0"/>
                    <w:left w:val="nil"/>
                    <w:bottom w:val="single" w:color="auto" w:sz="4" w:space="0"/>
                    <w:right w:val="single" w:color="auto" w:sz="4" w:space="0"/>
                  </w:tcBorders>
                  <w:shd w:val="clear"/>
                  <w:vAlign w:val="center"/>
                </w:tcPr>
                <w:p w14:paraId="7D2D8323">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 xml:space="preserve">0.018 </w:t>
                  </w:r>
                </w:p>
              </w:tc>
              <w:tc>
                <w:tcPr>
                  <w:tcW w:w="1000" w:type="dxa"/>
                  <w:tcBorders>
                    <w:top w:val="single" w:color="auto" w:sz="4" w:space="0"/>
                    <w:left w:val="nil"/>
                    <w:bottom w:val="single" w:color="auto" w:sz="4" w:space="0"/>
                    <w:right w:val="nil"/>
                  </w:tcBorders>
                  <w:shd w:val="clear"/>
                  <w:vAlign w:val="center"/>
                </w:tcPr>
                <w:p w14:paraId="61D86682">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+0.003</w:t>
                  </w:r>
                </w:p>
              </w:tc>
            </w:tr>
            <w:tr w14:paraId="57E4E23F">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691" w:type="dxa"/>
                  <w:vMerge w:val="continue"/>
                  <w:tcBorders>
                    <w:top w:val="nil"/>
                    <w:left w:val="nil"/>
                    <w:bottom w:val="single" w:color="auto" w:sz="4" w:space="0"/>
                    <w:right w:val="single" w:color="auto" w:sz="4" w:space="0"/>
                  </w:tcBorders>
                  <w:shd w:val="clear"/>
                  <w:vAlign w:val="center"/>
                </w:tcPr>
                <w:p w14:paraId="44E8B156">
                  <w:pPr>
                    <w:rPr>
                      <w:rFonts w:hint="default" w:ascii="Calibri" w:hAnsi="Calibri" w:cs="Calibri"/>
                      <w:sz w:val="20"/>
                      <w:szCs w:val="20"/>
                    </w:rPr>
                  </w:pPr>
                </w:p>
              </w:tc>
              <w:tc>
                <w:tcPr>
                  <w:tcW w:w="1277" w:type="dxa"/>
                  <w:tcBorders>
                    <w:top w:val="single" w:color="auto" w:sz="4" w:space="0"/>
                    <w:left w:val="nil"/>
                    <w:bottom w:val="single" w:color="auto" w:sz="4" w:space="0"/>
                    <w:right w:val="single" w:color="auto" w:sz="4" w:space="0"/>
                  </w:tcBorders>
                  <w:shd w:val="clear"/>
                  <w:vAlign w:val="center"/>
                </w:tcPr>
                <w:p w14:paraId="0CB39EA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Calibri" w:eastAsia="宋体" w:cs="Times New Roman"/>
                      <w:color w:val="000000"/>
                      <w:kern w:val="0"/>
                      <w:sz w:val="21"/>
                      <w:szCs w:val="21"/>
                      <w:bdr w:val="none" w:color="auto" w:sz="0" w:space="0"/>
                      <w:lang w:val="en-US" w:eastAsia="zh-CN" w:bidi="ar"/>
                    </w:rPr>
                    <w:t>SS</w:t>
                  </w:r>
                </w:p>
              </w:tc>
              <w:tc>
                <w:tcPr>
                  <w:tcW w:w="641" w:type="dxa"/>
                  <w:tcBorders>
                    <w:top w:val="single" w:color="auto" w:sz="4" w:space="0"/>
                    <w:left w:val="nil"/>
                    <w:bottom w:val="single" w:color="auto" w:sz="4" w:space="0"/>
                    <w:right w:val="single" w:color="auto" w:sz="4" w:space="0"/>
                  </w:tcBorders>
                  <w:shd w:val="clear"/>
                  <w:vAlign w:val="center"/>
                </w:tcPr>
                <w:p w14:paraId="0388AE3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t/a</w:t>
                  </w:r>
                </w:p>
              </w:tc>
              <w:tc>
                <w:tcPr>
                  <w:tcW w:w="1014" w:type="dxa"/>
                  <w:tcBorders>
                    <w:top w:val="single" w:color="auto" w:sz="4" w:space="0"/>
                    <w:left w:val="nil"/>
                    <w:bottom w:val="single" w:color="auto" w:sz="4" w:space="0"/>
                    <w:right w:val="single" w:color="auto" w:sz="4" w:space="0"/>
                  </w:tcBorders>
                  <w:shd w:val="clear"/>
                  <w:vAlign w:val="center"/>
                </w:tcPr>
                <w:p w14:paraId="1B10738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0.015</w:t>
                  </w:r>
                </w:p>
              </w:tc>
              <w:tc>
                <w:tcPr>
                  <w:tcW w:w="1197" w:type="dxa"/>
                  <w:tcBorders>
                    <w:top w:val="single" w:color="auto" w:sz="4" w:space="0"/>
                    <w:left w:val="nil"/>
                    <w:bottom w:val="single" w:color="auto" w:sz="4" w:space="0"/>
                    <w:right w:val="single" w:color="auto" w:sz="4" w:space="0"/>
                  </w:tcBorders>
                  <w:shd w:val="clear"/>
                  <w:vAlign w:val="center"/>
                </w:tcPr>
                <w:p w14:paraId="193BA578">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 xml:space="preserve">0.018 </w:t>
                  </w:r>
                </w:p>
              </w:tc>
              <w:tc>
                <w:tcPr>
                  <w:tcW w:w="1276" w:type="dxa"/>
                  <w:tcBorders>
                    <w:top w:val="single" w:color="auto" w:sz="4" w:space="0"/>
                    <w:left w:val="nil"/>
                    <w:bottom w:val="single" w:color="auto" w:sz="4" w:space="0"/>
                    <w:right w:val="single" w:color="auto" w:sz="4" w:space="0"/>
                  </w:tcBorders>
                  <w:shd w:val="clear"/>
                  <w:vAlign w:val="center"/>
                </w:tcPr>
                <w:p w14:paraId="16C71AC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0.015</w:t>
                  </w:r>
                </w:p>
              </w:tc>
              <w:tc>
                <w:tcPr>
                  <w:tcW w:w="850" w:type="dxa"/>
                  <w:tcBorders>
                    <w:top w:val="single" w:color="auto" w:sz="4" w:space="0"/>
                    <w:left w:val="nil"/>
                    <w:bottom w:val="single" w:color="auto" w:sz="4" w:space="0"/>
                    <w:right w:val="single" w:color="auto" w:sz="4" w:space="0"/>
                  </w:tcBorders>
                  <w:shd w:val="clear"/>
                  <w:vAlign w:val="center"/>
                </w:tcPr>
                <w:p w14:paraId="5D059A5F">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 xml:space="preserve">0.018 </w:t>
                  </w:r>
                </w:p>
              </w:tc>
              <w:tc>
                <w:tcPr>
                  <w:tcW w:w="1000" w:type="dxa"/>
                  <w:tcBorders>
                    <w:top w:val="single" w:color="auto" w:sz="4" w:space="0"/>
                    <w:left w:val="nil"/>
                    <w:bottom w:val="single" w:color="auto" w:sz="4" w:space="0"/>
                    <w:right w:val="nil"/>
                  </w:tcBorders>
                  <w:shd w:val="clear"/>
                  <w:vAlign w:val="center"/>
                </w:tcPr>
                <w:p w14:paraId="091486A1">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+0.003</w:t>
                  </w:r>
                </w:p>
              </w:tc>
            </w:tr>
            <w:tr w14:paraId="765AE228">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91" w:type="dxa"/>
                  <w:vMerge w:val="continue"/>
                  <w:tcBorders>
                    <w:top w:val="nil"/>
                    <w:left w:val="nil"/>
                    <w:bottom w:val="single" w:color="auto" w:sz="4" w:space="0"/>
                    <w:right w:val="single" w:color="auto" w:sz="4" w:space="0"/>
                  </w:tcBorders>
                  <w:shd w:val="clear"/>
                  <w:vAlign w:val="center"/>
                </w:tcPr>
                <w:p w14:paraId="4F65F835">
                  <w:pPr>
                    <w:rPr>
                      <w:rFonts w:hint="default" w:ascii="Calibri" w:hAnsi="Calibri" w:cs="Calibri"/>
                      <w:sz w:val="20"/>
                      <w:szCs w:val="20"/>
                    </w:rPr>
                  </w:pPr>
                </w:p>
              </w:tc>
              <w:tc>
                <w:tcPr>
                  <w:tcW w:w="1277" w:type="dxa"/>
                  <w:tcBorders>
                    <w:top w:val="single" w:color="auto" w:sz="4" w:space="0"/>
                    <w:left w:val="nil"/>
                    <w:bottom w:val="single" w:color="auto" w:sz="4" w:space="0"/>
                    <w:right w:val="single" w:color="auto" w:sz="4" w:space="0"/>
                  </w:tcBorders>
                  <w:shd w:val="clear"/>
                  <w:vAlign w:val="center"/>
                </w:tcPr>
                <w:p w14:paraId="7467E37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氨氮</w:t>
                  </w:r>
                </w:p>
              </w:tc>
              <w:tc>
                <w:tcPr>
                  <w:tcW w:w="641" w:type="dxa"/>
                  <w:tcBorders>
                    <w:top w:val="single" w:color="auto" w:sz="4" w:space="0"/>
                    <w:left w:val="nil"/>
                    <w:bottom w:val="single" w:color="auto" w:sz="4" w:space="0"/>
                    <w:right w:val="single" w:color="auto" w:sz="4" w:space="0"/>
                  </w:tcBorders>
                  <w:shd w:val="clear"/>
                  <w:vAlign w:val="center"/>
                </w:tcPr>
                <w:p w14:paraId="72F424C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t/a</w:t>
                  </w:r>
                </w:p>
              </w:tc>
              <w:tc>
                <w:tcPr>
                  <w:tcW w:w="1014" w:type="dxa"/>
                  <w:tcBorders>
                    <w:top w:val="single" w:color="auto" w:sz="4" w:space="0"/>
                    <w:left w:val="nil"/>
                    <w:bottom w:val="single" w:color="auto" w:sz="4" w:space="0"/>
                    <w:right w:val="single" w:color="auto" w:sz="4" w:space="0"/>
                  </w:tcBorders>
                  <w:shd w:val="clear"/>
                  <w:vAlign w:val="center"/>
                </w:tcPr>
                <w:p w14:paraId="1F64725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0.006</w:t>
                  </w:r>
                </w:p>
              </w:tc>
              <w:tc>
                <w:tcPr>
                  <w:tcW w:w="1197" w:type="dxa"/>
                  <w:tcBorders>
                    <w:top w:val="single" w:color="auto" w:sz="4" w:space="0"/>
                    <w:left w:val="nil"/>
                    <w:bottom w:val="single" w:color="auto" w:sz="4" w:space="0"/>
                    <w:right w:val="single" w:color="auto" w:sz="4" w:space="0"/>
                  </w:tcBorders>
                  <w:shd w:val="clear"/>
                  <w:vAlign w:val="center"/>
                </w:tcPr>
                <w:p w14:paraId="0755CA6D">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 xml:space="preserve">0.007 </w:t>
                  </w:r>
                </w:p>
              </w:tc>
              <w:tc>
                <w:tcPr>
                  <w:tcW w:w="1276" w:type="dxa"/>
                  <w:tcBorders>
                    <w:top w:val="single" w:color="auto" w:sz="4" w:space="0"/>
                    <w:left w:val="nil"/>
                    <w:bottom w:val="single" w:color="auto" w:sz="4" w:space="0"/>
                    <w:right w:val="single" w:color="auto" w:sz="4" w:space="0"/>
                  </w:tcBorders>
                  <w:shd w:val="clear"/>
                  <w:vAlign w:val="center"/>
                </w:tcPr>
                <w:p w14:paraId="18616B8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0.006</w:t>
                  </w:r>
                </w:p>
              </w:tc>
              <w:tc>
                <w:tcPr>
                  <w:tcW w:w="850" w:type="dxa"/>
                  <w:tcBorders>
                    <w:top w:val="single" w:color="auto" w:sz="4" w:space="0"/>
                    <w:left w:val="nil"/>
                    <w:bottom w:val="single" w:color="auto" w:sz="4" w:space="0"/>
                    <w:right w:val="single" w:color="auto" w:sz="4" w:space="0"/>
                  </w:tcBorders>
                  <w:shd w:val="clear"/>
                  <w:vAlign w:val="center"/>
                </w:tcPr>
                <w:p w14:paraId="181A96A0">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 xml:space="preserve">0.007 </w:t>
                  </w:r>
                </w:p>
              </w:tc>
              <w:tc>
                <w:tcPr>
                  <w:tcW w:w="1000" w:type="dxa"/>
                  <w:tcBorders>
                    <w:top w:val="single" w:color="auto" w:sz="4" w:space="0"/>
                    <w:left w:val="nil"/>
                    <w:bottom w:val="single" w:color="auto" w:sz="4" w:space="0"/>
                    <w:right w:val="nil"/>
                  </w:tcBorders>
                  <w:shd w:val="clear"/>
                  <w:vAlign w:val="center"/>
                </w:tcPr>
                <w:p w14:paraId="2767A7D1">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+0.001</w:t>
                  </w:r>
                </w:p>
              </w:tc>
            </w:tr>
            <w:tr w14:paraId="3FA7BBF4">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dxa"/>
                  <w:vMerge w:val="restart"/>
                  <w:tcBorders>
                    <w:top w:val="nil"/>
                    <w:left w:val="nil"/>
                    <w:bottom w:val="single" w:color="auto" w:sz="12" w:space="0"/>
                    <w:right w:val="single" w:color="auto" w:sz="4" w:space="0"/>
                  </w:tcBorders>
                  <w:shd w:val="clear"/>
                  <w:vAlign w:val="center"/>
                </w:tcPr>
                <w:p w14:paraId="10241EE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固体废物</w:t>
                  </w:r>
                </w:p>
              </w:tc>
              <w:tc>
                <w:tcPr>
                  <w:tcW w:w="1277" w:type="dxa"/>
                  <w:tcBorders>
                    <w:top w:val="single" w:color="auto" w:sz="4" w:space="0"/>
                    <w:left w:val="nil"/>
                    <w:bottom w:val="single" w:color="auto" w:sz="4" w:space="0"/>
                    <w:right w:val="single" w:color="auto" w:sz="4" w:space="0"/>
                  </w:tcBorders>
                  <w:shd w:val="clear"/>
                  <w:vAlign w:val="center"/>
                </w:tcPr>
                <w:p w14:paraId="1F456EC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一般工业</w:t>
                  </w:r>
                </w:p>
                <w:p w14:paraId="76B13AF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固废</w:t>
                  </w:r>
                </w:p>
              </w:tc>
              <w:tc>
                <w:tcPr>
                  <w:tcW w:w="641" w:type="dxa"/>
                  <w:tcBorders>
                    <w:top w:val="single" w:color="auto" w:sz="4" w:space="0"/>
                    <w:left w:val="nil"/>
                    <w:bottom w:val="single" w:color="auto" w:sz="4" w:space="0"/>
                    <w:right w:val="single" w:color="auto" w:sz="4" w:space="0"/>
                  </w:tcBorders>
                  <w:shd w:val="clear"/>
                  <w:vAlign w:val="center"/>
                </w:tcPr>
                <w:p w14:paraId="50AB2E9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t/a</w:t>
                  </w:r>
                </w:p>
              </w:tc>
              <w:tc>
                <w:tcPr>
                  <w:tcW w:w="1014" w:type="dxa"/>
                  <w:tcBorders>
                    <w:top w:val="single" w:color="auto" w:sz="4" w:space="0"/>
                    <w:left w:val="nil"/>
                    <w:bottom w:val="single" w:color="auto" w:sz="4" w:space="0"/>
                    <w:right w:val="single" w:color="auto" w:sz="4" w:space="0"/>
                  </w:tcBorders>
                  <w:shd w:val="clear"/>
                  <w:vAlign w:val="center"/>
                </w:tcPr>
                <w:p w14:paraId="4D54534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11.955</w:t>
                  </w:r>
                </w:p>
              </w:tc>
              <w:tc>
                <w:tcPr>
                  <w:tcW w:w="1197" w:type="dxa"/>
                  <w:tcBorders>
                    <w:top w:val="single" w:color="auto" w:sz="4" w:space="0"/>
                    <w:left w:val="nil"/>
                    <w:bottom w:val="single" w:color="auto" w:sz="4" w:space="0"/>
                    <w:right w:val="single" w:color="auto" w:sz="4" w:space="0"/>
                  </w:tcBorders>
                  <w:shd w:val="clear"/>
                  <w:vAlign w:val="center"/>
                </w:tcPr>
                <w:p w14:paraId="2C7A965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12.913</w:t>
                  </w:r>
                </w:p>
              </w:tc>
              <w:tc>
                <w:tcPr>
                  <w:tcW w:w="1276" w:type="dxa"/>
                  <w:tcBorders>
                    <w:top w:val="single" w:color="auto" w:sz="4" w:space="0"/>
                    <w:left w:val="nil"/>
                    <w:bottom w:val="single" w:color="auto" w:sz="4" w:space="0"/>
                    <w:right w:val="single" w:color="auto" w:sz="4" w:space="0"/>
                  </w:tcBorders>
                  <w:shd w:val="clear"/>
                  <w:vAlign w:val="center"/>
                </w:tcPr>
                <w:p w14:paraId="006A62E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11.955</w:t>
                  </w:r>
                </w:p>
              </w:tc>
              <w:tc>
                <w:tcPr>
                  <w:tcW w:w="850" w:type="dxa"/>
                  <w:tcBorders>
                    <w:top w:val="single" w:color="auto" w:sz="4" w:space="0"/>
                    <w:left w:val="nil"/>
                    <w:bottom w:val="single" w:color="auto" w:sz="4" w:space="0"/>
                    <w:right w:val="single" w:color="auto" w:sz="4" w:space="0"/>
                  </w:tcBorders>
                  <w:shd w:val="clear"/>
                  <w:vAlign w:val="center"/>
                </w:tcPr>
                <w:p w14:paraId="7A5FDF5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12.913</w:t>
                  </w:r>
                </w:p>
              </w:tc>
              <w:tc>
                <w:tcPr>
                  <w:tcW w:w="1000" w:type="dxa"/>
                  <w:tcBorders>
                    <w:top w:val="single" w:color="auto" w:sz="4" w:space="0"/>
                    <w:left w:val="nil"/>
                    <w:bottom w:val="single" w:color="auto" w:sz="4" w:space="0"/>
                    <w:right w:val="nil"/>
                  </w:tcBorders>
                  <w:shd w:val="clear"/>
                  <w:vAlign w:val="center"/>
                </w:tcPr>
                <w:p w14:paraId="6A2C493B">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+0.958</w:t>
                  </w:r>
                </w:p>
              </w:tc>
            </w:tr>
            <w:tr w14:paraId="139FBE27">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dxa"/>
                  <w:vMerge w:val="continue"/>
                  <w:tcBorders>
                    <w:top w:val="nil"/>
                    <w:left w:val="nil"/>
                    <w:bottom w:val="single" w:color="auto" w:sz="12" w:space="0"/>
                    <w:right w:val="single" w:color="auto" w:sz="4" w:space="0"/>
                  </w:tcBorders>
                  <w:shd w:val="clear"/>
                  <w:vAlign w:val="center"/>
                </w:tcPr>
                <w:p w14:paraId="2DC583F3">
                  <w:pPr>
                    <w:rPr>
                      <w:rFonts w:hint="default" w:ascii="Calibri" w:hAnsi="Calibri" w:cs="Calibri"/>
                      <w:sz w:val="20"/>
                      <w:szCs w:val="20"/>
                    </w:rPr>
                  </w:pPr>
                </w:p>
              </w:tc>
              <w:tc>
                <w:tcPr>
                  <w:tcW w:w="1277" w:type="dxa"/>
                  <w:tcBorders>
                    <w:top w:val="single" w:color="auto" w:sz="4" w:space="0"/>
                    <w:left w:val="nil"/>
                    <w:bottom w:val="single" w:color="auto" w:sz="4" w:space="0"/>
                    <w:right w:val="single" w:color="auto" w:sz="4" w:space="0"/>
                  </w:tcBorders>
                  <w:shd w:val="clear"/>
                  <w:vAlign w:val="center"/>
                </w:tcPr>
                <w:p w14:paraId="46A06FF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危险废物</w:t>
                  </w:r>
                </w:p>
              </w:tc>
              <w:tc>
                <w:tcPr>
                  <w:tcW w:w="641" w:type="dxa"/>
                  <w:tcBorders>
                    <w:top w:val="single" w:color="auto" w:sz="4" w:space="0"/>
                    <w:left w:val="nil"/>
                    <w:bottom w:val="single" w:color="auto" w:sz="4" w:space="0"/>
                    <w:right w:val="single" w:color="auto" w:sz="4" w:space="0"/>
                  </w:tcBorders>
                  <w:shd w:val="clear"/>
                  <w:vAlign w:val="center"/>
                </w:tcPr>
                <w:p w14:paraId="7560C8B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t/a</w:t>
                  </w:r>
                </w:p>
              </w:tc>
              <w:tc>
                <w:tcPr>
                  <w:tcW w:w="1014" w:type="dxa"/>
                  <w:tcBorders>
                    <w:top w:val="single" w:color="auto" w:sz="4" w:space="0"/>
                    <w:left w:val="nil"/>
                    <w:bottom w:val="single" w:color="auto" w:sz="4" w:space="0"/>
                    <w:right w:val="single" w:color="auto" w:sz="4" w:space="0"/>
                  </w:tcBorders>
                  <w:shd w:val="clear"/>
                  <w:vAlign w:val="center"/>
                </w:tcPr>
                <w:p w14:paraId="6DB9780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0.721</w:t>
                  </w:r>
                </w:p>
              </w:tc>
              <w:tc>
                <w:tcPr>
                  <w:tcW w:w="1197" w:type="dxa"/>
                  <w:tcBorders>
                    <w:top w:val="single" w:color="auto" w:sz="4" w:space="0"/>
                    <w:left w:val="nil"/>
                    <w:bottom w:val="single" w:color="auto" w:sz="4" w:space="0"/>
                    <w:right w:val="single" w:color="auto" w:sz="4" w:space="0"/>
                  </w:tcBorders>
                  <w:shd w:val="clear"/>
                  <w:vAlign w:val="center"/>
                </w:tcPr>
                <w:p w14:paraId="7B5C5F2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2.628</w:t>
                  </w:r>
                </w:p>
              </w:tc>
              <w:tc>
                <w:tcPr>
                  <w:tcW w:w="1276" w:type="dxa"/>
                  <w:tcBorders>
                    <w:top w:val="single" w:color="auto" w:sz="4" w:space="0"/>
                    <w:left w:val="nil"/>
                    <w:bottom w:val="single" w:color="auto" w:sz="4" w:space="0"/>
                    <w:right w:val="single" w:color="auto" w:sz="4" w:space="0"/>
                  </w:tcBorders>
                  <w:shd w:val="clear"/>
                  <w:vAlign w:val="center"/>
                </w:tcPr>
                <w:p w14:paraId="1732189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0.721</w:t>
                  </w:r>
                </w:p>
              </w:tc>
              <w:tc>
                <w:tcPr>
                  <w:tcW w:w="850" w:type="dxa"/>
                  <w:tcBorders>
                    <w:top w:val="single" w:color="auto" w:sz="4" w:space="0"/>
                    <w:left w:val="nil"/>
                    <w:bottom w:val="single" w:color="auto" w:sz="4" w:space="0"/>
                    <w:right w:val="single" w:color="auto" w:sz="4" w:space="0"/>
                  </w:tcBorders>
                  <w:shd w:val="clear"/>
                  <w:vAlign w:val="center"/>
                </w:tcPr>
                <w:p w14:paraId="1AAF0B1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2.628</w:t>
                  </w:r>
                </w:p>
              </w:tc>
              <w:tc>
                <w:tcPr>
                  <w:tcW w:w="1000" w:type="dxa"/>
                  <w:tcBorders>
                    <w:top w:val="single" w:color="auto" w:sz="4" w:space="0"/>
                    <w:left w:val="nil"/>
                    <w:bottom w:val="single" w:color="auto" w:sz="4" w:space="0"/>
                    <w:right w:val="nil"/>
                  </w:tcBorders>
                  <w:shd w:val="clear"/>
                  <w:vAlign w:val="center"/>
                </w:tcPr>
                <w:p w14:paraId="14E45F2C">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+1.907</w:t>
                  </w:r>
                </w:p>
              </w:tc>
            </w:tr>
            <w:tr w14:paraId="45E4D3FE">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dxa"/>
                  <w:vMerge w:val="continue"/>
                  <w:tcBorders>
                    <w:top w:val="nil"/>
                    <w:left w:val="nil"/>
                    <w:bottom w:val="single" w:color="auto" w:sz="12" w:space="0"/>
                    <w:right w:val="single" w:color="auto" w:sz="4" w:space="0"/>
                  </w:tcBorders>
                  <w:shd w:val="clear"/>
                  <w:vAlign w:val="center"/>
                </w:tcPr>
                <w:p w14:paraId="0A62391B">
                  <w:pPr>
                    <w:rPr>
                      <w:rFonts w:hint="default" w:ascii="Calibri" w:hAnsi="Calibri" w:cs="Calibri"/>
                      <w:sz w:val="20"/>
                      <w:szCs w:val="20"/>
                    </w:rPr>
                  </w:pPr>
                </w:p>
              </w:tc>
              <w:tc>
                <w:tcPr>
                  <w:tcW w:w="1277" w:type="dxa"/>
                  <w:tcBorders>
                    <w:top w:val="single" w:color="auto" w:sz="4" w:space="0"/>
                    <w:left w:val="nil"/>
                    <w:bottom w:val="single" w:color="auto" w:sz="12" w:space="0"/>
                    <w:right w:val="single" w:color="auto" w:sz="4" w:space="0"/>
                  </w:tcBorders>
                  <w:shd w:val="clear"/>
                  <w:vAlign w:val="center"/>
                </w:tcPr>
                <w:p w14:paraId="4A17FC4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Calibri" w:eastAsia="宋体" w:cs="宋体"/>
                      <w:color w:val="000000"/>
                      <w:kern w:val="0"/>
                      <w:sz w:val="21"/>
                      <w:szCs w:val="21"/>
                      <w:bdr w:val="none" w:color="auto" w:sz="0" w:space="0"/>
                      <w:lang w:val="en-US" w:eastAsia="zh-CN" w:bidi="ar"/>
                    </w:rPr>
                    <w:t>生活垃圾</w:t>
                  </w:r>
                </w:p>
              </w:tc>
              <w:tc>
                <w:tcPr>
                  <w:tcW w:w="641" w:type="dxa"/>
                  <w:tcBorders>
                    <w:top w:val="single" w:color="auto" w:sz="4" w:space="0"/>
                    <w:left w:val="nil"/>
                    <w:bottom w:val="single" w:color="auto" w:sz="12" w:space="0"/>
                    <w:right w:val="single" w:color="auto" w:sz="4" w:space="0"/>
                  </w:tcBorders>
                  <w:shd w:val="clear"/>
                  <w:vAlign w:val="center"/>
                </w:tcPr>
                <w:p w14:paraId="177583E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t/a</w:t>
                  </w:r>
                </w:p>
              </w:tc>
              <w:tc>
                <w:tcPr>
                  <w:tcW w:w="1014" w:type="dxa"/>
                  <w:tcBorders>
                    <w:top w:val="single" w:color="auto" w:sz="4" w:space="0"/>
                    <w:left w:val="nil"/>
                    <w:bottom w:val="single" w:color="auto" w:sz="12" w:space="0"/>
                    <w:right w:val="single" w:color="auto" w:sz="4" w:space="0"/>
                  </w:tcBorders>
                  <w:shd w:val="clear"/>
                  <w:vAlign w:val="center"/>
                </w:tcPr>
                <w:p w14:paraId="6B98B42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7.5</w:t>
                  </w:r>
                </w:p>
              </w:tc>
              <w:tc>
                <w:tcPr>
                  <w:tcW w:w="1197" w:type="dxa"/>
                  <w:tcBorders>
                    <w:top w:val="single" w:color="auto" w:sz="4" w:space="0"/>
                    <w:left w:val="nil"/>
                    <w:bottom w:val="single" w:color="auto" w:sz="12" w:space="0"/>
                    <w:right w:val="single" w:color="auto" w:sz="4" w:space="0"/>
                  </w:tcBorders>
                  <w:shd w:val="clear"/>
                  <w:vAlign w:val="center"/>
                </w:tcPr>
                <w:p w14:paraId="762EE04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9.75</w:t>
                  </w:r>
                </w:p>
              </w:tc>
              <w:tc>
                <w:tcPr>
                  <w:tcW w:w="1276" w:type="dxa"/>
                  <w:tcBorders>
                    <w:top w:val="single" w:color="auto" w:sz="4" w:space="0"/>
                    <w:left w:val="nil"/>
                    <w:bottom w:val="single" w:color="auto" w:sz="12" w:space="0"/>
                    <w:right w:val="single" w:color="auto" w:sz="4" w:space="0"/>
                  </w:tcBorders>
                  <w:shd w:val="clear"/>
                  <w:vAlign w:val="center"/>
                </w:tcPr>
                <w:p w14:paraId="17C5F10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7.5</w:t>
                  </w:r>
                </w:p>
              </w:tc>
              <w:tc>
                <w:tcPr>
                  <w:tcW w:w="850" w:type="dxa"/>
                  <w:tcBorders>
                    <w:top w:val="single" w:color="auto" w:sz="4" w:space="0"/>
                    <w:left w:val="nil"/>
                    <w:bottom w:val="single" w:color="auto" w:sz="12" w:space="0"/>
                    <w:right w:val="single" w:color="auto" w:sz="4" w:space="0"/>
                  </w:tcBorders>
                  <w:shd w:val="clear"/>
                  <w:vAlign w:val="center"/>
                </w:tcPr>
                <w:p w14:paraId="5329B92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9.75</w:t>
                  </w:r>
                </w:p>
              </w:tc>
              <w:tc>
                <w:tcPr>
                  <w:tcW w:w="1000" w:type="dxa"/>
                  <w:tcBorders>
                    <w:top w:val="single" w:color="auto" w:sz="4" w:space="0"/>
                    <w:left w:val="nil"/>
                    <w:bottom w:val="single" w:color="auto" w:sz="12" w:space="0"/>
                    <w:right w:val="nil"/>
                  </w:tcBorders>
                  <w:shd w:val="clear"/>
                  <w:vAlign w:val="center"/>
                </w:tcPr>
                <w:p w14:paraId="1980713E">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+2.25</w:t>
                  </w:r>
                </w:p>
              </w:tc>
            </w:tr>
          </w:tbl>
          <w:p w14:paraId="24B7E79B">
            <w:pPr>
              <w:keepNext w:val="0"/>
              <w:keepLines w:val="0"/>
              <w:widowControl w:val="0"/>
              <w:suppressLineNumbers w:val="0"/>
              <w:adjustRightInd w:val="0"/>
              <w:snapToGrid w:val="0"/>
              <w:spacing w:before="0" w:beforeAutospacing="0" w:after="0" w:afterAutospacing="0" w:line="440" w:lineRule="exact"/>
              <w:ind w:left="0" w:right="0"/>
              <w:jc w:val="left"/>
              <w:outlineLvl w:val="1"/>
              <w:rPr>
                <w:rFonts w:hint="default" w:ascii="Times New Roman" w:hAnsi="宋体" w:cs="Times New Roman"/>
                <w:b/>
                <w:bCs/>
                <w:color w:val="000000"/>
                <w:spacing w:val="-10"/>
                <w:sz w:val="24"/>
                <w:szCs w:val="24"/>
                <w:bdr w:val="none" w:color="auto" w:sz="0" w:space="0"/>
                <w:lang w:val="en-US"/>
              </w:rPr>
            </w:pPr>
            <w:r>
              <w:rPr>
                <w:rFonts w:hint="default" w:ascii="Times New Roman" w:hAnsi="宋体" w:eastAsia="宋体" w:cs="Times New Roman"/>
                <w:b/>
                <w:bCs/>
                <w:color w:val="000000"/>
                <w:spacing w:val="-10"/>
                <w:kern w:val="2"/>
                <w:sz w:val="24"/>
                <w:szCs w:val="24"/>
                <w:bdr w:val="none" w:color="auto" w:sz="0" w:space="0"/>
                <w:lang w:val="en-US" w:eastAsia="zh-CN" w:bidi="ar"/>
              </w:rPr>
              <w:t xml:space="preserve">4.7 </w:t>
            </w:r>
            <w:r>
              <w:rPr>
                <w:rFonts w:hint="eastAsia" w:ascii="Times New Roman" w:hAnsi="宋体" w:eastAsia="宋体" w:cs="宋体"/>
                <w:b/>
                <w:bCs/>
                <w:color w:val="000000"/>
                <w:spacing w:val="-10"/>
                <w:kern w:val="2"/>
                <w:sz w:val="24"/>
                <w:szCs w:val="24"/>
                <w:bdr w:val="none" w:color="auto" w:sz="0" w:space="0"/>
                <w:lang w:val="en-US" w:eastAsia="zh-CN" w:bidi="ar"/>
              </w:rPr>
              <w:t>地下水和土壤</w:t>
            </w:r>
          </w:p>
          <w:p w14:paraId="6F2CC1A0">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color w:val="000000"/>
                <w:kern w:val="0"/>
                <w:sz w:val="24"/>
                <w:szCs w:val="24"/>
                <w:bdr w:val="none" w:color="auto" w:sz="0" w:space="0"/>
                <w:lang w:val="en-US"/>
              </w:rPr>
            </w:pPr>
            <w:r>
              <w:rPr>
                <w:rFonts w:hint="eastAsia" w:ascii="Calibri" w:hAnsi="宋体" w:eastAsia="宋体" w:cs="宋体"/>
                <w:color w:val="000000"/>
                <w:kern w:val="0"/>
                <w:sz w:val="24"/>
                <w:szCs w:val="24"/>
                <w:bdr w:val="none" w:color="auto" w:sz="0" w:space="0"/>
                <w:lang w:val="en-US" w:eastAsia="zh-CN" w:bidi="ar"/>
              </w:rPr>
              <w:t>扩建项目不涉及重金属及持久性污染物排放，亦不涉及剧毒化学品，地下水环境不敏感。同时，厂区根据</w:t>
            </w:r>
            <w:r>
              <w:rPr>
                <w:rFonts w:hint="eastAsia" w:ascii="Calibri" w:hAnsi="Calibri" w:eastAsia="宋体" w:cs="宋体"/>
                <w:color w:val="000000"/>
                <w:kern w:val="0"/>
                <w:sz w:val="24"/>
                <w:szCs w:val="24"/>
                <w:bdr w:val="none" w:color="auto" w:sz="0" w:space="0"/>
                <w:lang w:val="en-US" w:eastAsia="zh-CN" w:bidi="ar"/>
              </w:rPr>
              <w:t>各生产功能单元可能泄漏至地面区域的污染物性质和生产单元的构筑方式，已划分了重点防渗区和简单防渗区。</w:t>
            </w:r>
          </w:p>
          <w:p w14:paraId="03B0E1E9">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color w:val="000000"/>
                <w:kern w:val="0"/>
                <w:sz w:val="24"/>
                <w:szCs w:val="24"/>
                <w:bdr w:val="none" w:color="auto" w:sz="0" w:space="0"/>
                <w:lang w:val="en-US"/>
              </w:rPr>
            </w:pPr>
            <w:r>
              <w:rPr>
                <w:rFonts w:hint="eastAsia" w:ascii="Calibri" w:hAnsi="Calibri" w:eastAsia="宋体" w:cs="宋体"/>
                <w:color w:val="000000"/>
                <w:kern w:val="0"/>
                <w:sz w:val="24"/>
                <w:szCs w:val="24"/>
                <w:bdr w:val="none" w:color="auto" w:sz="0" w:space="0"/>
                <w:lang w:val="en-US" w:eastAsia="zh-CN" w:bidi="ar"/>
              </w:rPr>
              <w:t>重点防渗区为危废贮存库和辅料间，</w:t>
            </w:r>
            <w:r>
              <w:rPr>
                <w:rFonts w:hint="eastAsia" w:ascii="Times New Roman" w:hAnsi="Times New Roman" w:eastAsia="宋体" w:cs="宋体"/>
                <w:color w:val="000000"/>
                <w:kern w:val="2"/>
                <w:sz w:val="24"/>
                <w:szCs w:val="24"/>
                <w:bdr w:val="none" w:color="auto" w:sz="0" w:space="0"/>
                <w:lang w:val="en-US" w:eastAsia="zh-CN" w:bidi="ar"/>
              </w:rPr>
              <w:t>参照《危险废物贮存污染控制标准》</w:t>
            </w:r>
            <w:r>
              <w:rPr>
                <w:rFonts w:hint="default" w:ascii="Times New Roman" w:hAnsi="Times New Roman" w:eastAsia="宋体" w:cs="Times New Roman"/>
                <w:color w:val="000000"/>
                <w:kern w:val="2"/>
                <w:sz w:val="24"/>
                <w:szCs w:val="24"/>
                <w:bdr w:val="none" w:color="auto" w:sz="0" w:space="0"/>
                <w:lang w:val="en-US" w:eastAsia="zh-CN" w:bidi="ar"/>
              </w:rPr>
              <w:t>(GB18597</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2023)</w:t>
            </w:r>
            <w:r>
              <w:rPr>
                <w:rFonts w:hint="eastAsia" w:ascii="Times New Roman" w:hAnsi="Times New Roman" w:eastAsia="宋体" w:cs="宋体"/>
                <w:color w:val="000000"/>
                <w:kern w:val="2"/>
                <w:sz w:val="24"/>
                <w:szCs w:val="24"/>
                <w:bdr w:val="none" w:color="auto" w:sz="0" w:space="0"/>
                <w:lang w:val="en-US" w:eastAsia="zh-CN" w:bidi="ar"/>
              </w:rPr>
              <w:t>中相关要求重点污染防治区防渗技术要求</w:t>
            </w:r>
            <w:r>
              <w:rPr>
                <w:rFonts w:hint="eastAsia" w:ascii="Calibri" w:hAnsi="宋体" w:eastAsia="宋体" w:cs="宋体"/>
                <w:color w:val="000000"/>
                <w:kern w:val="0"/>
                <w:sz w:val="24"/>
                <w:szCs w:val="24"/>
                <w:bdr w:val="none" w:color="auto" w:sz="0" w:space="0"/>
                <w:lang w:val="en-US" w:eastAsia="zh-CN" w:bidi="ar"/>
              </w:rPr>
              <w:t>采取防风、防晒、防雨、防漏、防渗、防腐措施，</w:t>
            </w:r>
            <w:r>
              <w:rPr>
                <w:rFonts w:hint="eastAsia" w:ascii="Times New Roman" w:hAnsi="Times New Roman" w:eastAsia="宋体" w:cs="宋体"/>
                <w:color w:val="000000"/>
                <w:kern w:val="2"/>
                <w:sz w:val="24"/>
                <w:szCs w:val="24"/>
                <w:bdr w:val="none" w:color="auto" w:sz="0" w:space="0"/>
                <w:lang w:val="en-US" w:eastAsia="zh-CN" w:bidi="ar"/>
              </w:rPr>
              <w:t>设置了相关托盘，</w:t>
            </w:r>
            <w:r>
              <w:rPr>
                <w:rFonts w:hint="eastAsia" w:ascii="Calibri" w:hAnsi="宋体" w:eastAsia="宋体" w:cs="宋体"/>
                <w:color w:val="000000"/>
                <w:kern w:val="0"/>
                <w:sz w:val="24"/>
                <w:szCs w:val="24"/>
                <w:bdr w:val="none" w:color="auto" w:sz="0" w:space="0"/>
                <w:lang w:val="en-US" w:eastAsia="zh-CN" w:bidi="ar"/>
              </w:rPr>
              <w:t>并张贴有相应标识标牌；简单防渗区主要为一般固废区和车间重点防渗区以外的区域，厂房地面已做好硬化。</w:t>
            </w:r>
          </w:p>
          <w:p w14:paraId="5710A1DD">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Ansi="宋体"/>
                <w:color w:val="000000"/>
                <w:kern w:val="0"/>
                <w:sz w:val="24"/>
                <w:szCs w:val="24"/>
                <w:bdr w:val="none" w:color="auto" w:sz="0" w:space="0"/>
                <w:lang w:val="en-US"/>
              </w:rPr>
            </w:pPr>
            <w:r>
              <w:rPr>
                <w:rFonts w:hint="eastAsia" w:ascii="Calibri" w:hAnsi="宋体" w:eastAsia="宋体" w:cs="宋体"/>
                <w:color w:val="000000"/>
                <w:kern w:val="0"/>
                <w:sz w:val="24"/>
                <w:szCs w:val="24"/>
                <w:bdr w:val="none" w:color="auto" w:sz="0" w:space="0"/>
                <w:lang w:val="en-US" w:eastAsia="zh-CN" w:bidi="ar"/>
              </w:rPr>
              <w:t>因此，扩建项目</w:t>
            </w:r>
            <w:r>
              <w:rPr>
                <w:rFonts w:hint="eastAsia" w:ascii="Times New Roman" w:hAnsi="Times New Roman" w:eastAsia="宋体" w:cs="宋体"/>
                <w:color w:val="000000"/>
                <w:kern w:val="2"/>
                <w:sz w:val="24"/>
                <w:szCs w:val="24"/>
                <w:bdr w:val="none" w:color="auto" w:sz="0" w:space="0"/>
                <w:lang w:val="en-US" w:eastAsia="zh-CN" w:bidi="ar"/>
              </w:rPr>
              <w:t>在确保各项防渗措施得到落实，并加强维护和厂区环境管理的前提下，可有效</w:t>
            </w:r>
            <w:r>
              <w:rPr>
                <w:rFonts w:hint="eastAsia" w:ascii="Calibri" w:hAnsi="宋体" w:eastAsia="宋体" w:cs="宋体"/>
                <w:color w:val="000000"/>
                <w:kern w:val="0"/>
                <w:sz w:val="24"/>
                <w:szCs w:val="24"/>
                <w:bdr w:val="none" w:color="auto" w:sz="0" w:space="0"/>
                <w:lang w:val="en-US" w:eastAsia="zh-CN" w:bidi="ar"/>
              </w:rPr>
              <w:t>避免产生污染土壤及地下水环境影响途径，不会对土壤及地下水环境产生</w:t>
            </w:r>
            <w:r>
              <w:rPr>
                <w:rFonts w:hint="eastAsia" w:ascii="Times New Roman" w:hAnsi="Times New Roman" w:eastAsia="宋体" w:cs="宋体"/>
                <w:color w:val="000000"/>
                <w:kern w:val="2"/>
                <w:sz w:val="24"/>
                <w:szCs w:val="24"/>
                <w:bdr w:val="none" w:color="auto" w:sz="0" w:space="0"/>
                <w:lang w:val="en-US" w:eastAsia="zh-CN" w:bidi="ar"/>
              </w:rPr>
              <w:t>明显</w:t>
            </w:r>
            <w:r>
              <w:rPr>
                <w:rFonts w:hint="eastAsia" w:ascii="Calibri" w:hAnsi="宋体" w:eastAsia="宋体" w:cs="宋体"/>
                <w:color w:val="000000"/>
                <w:kern w:val="0"/>
                <w:sz w:val="24"/>
                <w:szCs w:val="24"/>
                <w:bdr w:val="none" w:color="auto" w:sz="0" w:space="0"/>
                <w:lang w:val="en-US" w:eastAsia="zh-CN" w:bidi="ar"/>
              </w:rPr>
              <w:t>影响。</w:t>
            </w:r>
          </w:p>
          <w:p w14:paraId="41DEBE11">
            <w:pPr>
              <w:keepNext w:val="0"/>
              <w:keepLines w:val="0"/>
              <w:widowControl w:val="0"/>
              <w:suppressLineNumbers w:val="0"/>
              <w:adjustRightInd w:val="0"/>
              <w:snapToGrid w:val="0"/>
              <w:spacing w:before="0" w:beforeAutospacing="0" w:after="0" w:afterAutospacing="0" w:line="440" w:lineRule="exact"/>
              <w:ind w:left="0" w:right="0"/>
              <w:jc w:val="left"/>
              <w:outlineLvl w:val="1"/>
              <w:rPr>
                <w:rFonts w:hint="default" w:ascii="Times New Roman" w:hAnsi="宋体" w:cs="Times New Roman"/>
                <w:b/>
                <w:bCs/>
                <w:color w:val="000000"/>
                <w:spacing w:val="-10"/>
                <w:sz w:val="24"/>
                <w:szCs w:val="24"/>
                <w:bdr w:val="none" w:color="auto" w:sz="0" w:space="0"/>
                <w:lang w:val="en-US"/>
              </w:rPr>
            </w:pPr>
            <w:r>
              <w:rPr>
                <w:rFonts w:hint="default" w:ascii="Times New Roman" w:hAnsi="宋体" w:eastAsia="宋体" w:cs="Times New Roman"/>
                <w:b/>
                <w:bCs/>
                <w:color w:val="000000"/>
                <w:spacing w:val="-10"/>
                <w:kern w:val="2"/>
                <w:sz w:val="24"/>
                <w:szCs w:val="24"/>
                <w:bdr w:val="none" w:color="auto" w:sz="0" w:space="0"/>
                <w:lang w:val="en-US" w:eastAsia="zh-CN" w:bidi="ar"/>
              </w:rPr>
              <w:t xml:space="preserve">4.8 </w:t>
            </w:r>
            <w:r>
              <w:rPr>
                <w:rFonts w:hint="eastAsia" w:ascii="Times New Roman" w:hAnsi="宋体" w:eastAsia="宋体" w:cs="宋体"/>
                <w:b/>
                <w:bCs/>
                <w:color w:val="000000"/>
                <w:spacing w:val="-10"/>
                <w:kern w:val="2"/>
                <w:sz w:val="24"/>
                <w:szCs w:val="24"/>
                <w:bdr w:val="none" w:color="auto" w:sz="0" w:space="0"/>
                <w:lang w:val="en-US" w:eastAsia="zh-CN" w:bidi="ar"/>
              </w:rPr>
              <w:t>环境风险</w:t>
            </w:r>
          </w:p>
          <w:p w14:paraId="79B10975">
            <w:pPr>
              <w:keepNext w:val="0"/>
              <w:keepLines w:val="0"/>
              <w:widowControl w:val="0"/>
              <w:suppressLineNumbers w:val="0"/>
              <w:snapToGrid w:val="0"/>
              <w:spacing w:before="0" w:beforeAutospacing="0" w:after="0" w:afterAutospacing="0" w:line="440" w:lineRule="exact"/>
              <w:ind w:left="0" w:right="0" w:firstLine="482"/>
              <w:jc w:val="both"/>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1</w:t>
            </w:r>
            <w:r>
              <w:rPr>
                <w:rFonts w:hint="eastAsia" w:ascii="Times New Roman" w:hAnsi="Calibri" w:eastAsia="宋体" w:cs="宋体"/>
                <w:color w:val="000000"/>
                <w:kern w:val="2"/>
                <w:sz w:val="24"/>
                <w:szCs w:val="24"/>
                <w:bdr w:val="none" w:color="auto" w:sz="0" w:space="0"/>
                <w:lang w:val="en-US" w:eastAsia="zh-CN" w:bidi="ar"/>
              </w:rPr>
              <w:t>、环境风险物质</w:t>
            </w:r>
          </w:p>
          <w:p w14:paraId="795F8F0D">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bCs/>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对照</w:t>
            </w:r>
            <w:bookmarkStart w:id="53" w:name="OLE_LINK57"/>
            <w:bookmarkStart w:id="54" w:name="OLE_LINK58"/>
            <w:r>
              <w:rPr>
                <w:rFonts w:hint="eastAsia" w:ascii="Times New Roman" w:hAnsi="Times New Roman" w:eastAsia="宋体" w:cs="宋体"/>
                <w:color w:val="000000"/>
                <w:kern w:val="2"/>
                <w:sz w:val="24"/>
                <w:szCs w:val="24"/>
                <w:bdr w:val="none" w:color="auto" w:sz="0" w:space="0"/>
                <w:lang w:val="en-US" w:eastAsia="zh-CN" w:bidi="ar"/>
              </w:rPr>
              <w:t>《建设项目环境风险评价技术导则》</w:t>
            </w:r>
            <w:r>
              <w:rPr>
                <w:rFonts w:hint="default" w:ascii="Times New Roman" w:hAnsi="Times New Roman" w:eastAsia="宋体" w:cs="Times New Roman"/>
                <w:color w:val="000000"/>
                <w:kern w:val="2"/>
                <w:sz w:val="24"/>
                <w:szCs w:val="24"/>
                <w:bdr w:val="none" w:color="auto" w:sz="0" w:space="0"/>
                <w:lang w:val="en-US" w:eastAsia="zh-CN" w:bidi="ar"/>
              </w:rPr>
              <w:t>(HJ169-2018)</w:t>
            </w:r>
            <w:bookmarkEnd w:id="53"/>
            <w:bookmarkEnd w:id="54"/>
            <w:r>
              <w:rPr>
                <w:rFonts w:hint="eastAsia" w:ascii="Times New Roman" w:hAnsi="Times New Roman" w:eastAsia="宋体" w:cs="宋体"/>
                <w:color w:val="000000"/>
                <w:kern w:val="2"/>
                <w:sz w:val="24"/>
                <w:szCs w:val="24"/>
                <w:bdr w:val="none" w:color="auto" w:sz="0" w:space="0"/>
                <w:lang w:val="en-US" w:eastAsia="zh-CN" w:bidi="ar"/>
              </w:rPr>
              <w:t>附录</w:t>
            </w:r>
            <w:r>
              <w:rPr>
                <w:rFonts w:hint="default" w:ascii="Times New Roman" w:hAnsi="Times New Roman" w:eastAsia="宋体" w:cs="Times New Roman"/>
                <w:color w:val="000000"/>
                <w:kern w:val="2"/>
                <w:sz w:val="24"/>
                <w:szCs w:val="24"/>
                <w:bdr w:val="none" w:color="auto" w:sz="0" w:space="0"/>
                <w:lang w:val="en-US" w:eastAsia="zh-CN" w:bidi="ar"/>
              </w:rPr>
              <w:t>B</w:t>
            </w:r>
            <w:r>
              <w:rPr>
                <w:rFonts w:hint="eastAsia" w:ascii="Times New Roman" w:hAnsi="Times New Roman" w:eastAsia="宋体" w:cs="宋体"/>
                <w:color w:val="000000"/>
                <w:kern w:val="2"/>
                <w:sz w:val="24"/>
                <w:szCs w:val="24"/>
                <w:bdr w:val="none" w:color="auto" w:sz="0" w:space="0"/>
                <w:lang w:val="en-US" w:eastAsia="zh-CN" w:bidi="ar"/>
              </w:rPr>
              <w:t>和《突发环境事件风险物质及临界量清单》</w:t>
            </w:r>
            <w:r>
              <w:rPr>
                <w:rFonts w:hint="eastAsia" w:ascii="Calibri" w:hAnsi="Calibri" w:eastAsia="宋体" w:cs="宋体"/>
                <w:color w:val="000000"/>
                <w:kern w:val="2"/>
                <w:sz w:val="24"/>
                <w:szCs w:val="24"/>
                <w:bdr w:val="none" w:color="auto" w:sz="0" w:space="0"/>
                <w:lang w:val="en-US" w:eastAsia="zh-CN" w:bidi="ar"/>
              </w:rPr>
              <w:t>，扩建项目潜在的风险物质</w:t>
            </w:r>
            <w:r>
              <w:rPr>
                <w:rFonts w:hint="eastAsia" w:ascii="Calibri" w:hAnsi="宋体" w:eastAsia="宋体" w:cs="宋体"/>
                <w:color w:val="000000"/>
                <w:kern w:val="0"/>
                <w:sz w:val="24"/>
                <w:szCs w:val="24"/>
                <w:bdr w:val="none" w:color="auto" w:sz="0" w:space="0"/>
                <w:lang w:val="en-US" w:eastAsia="zh-CN" w:bidi="ar"/>
              </w:rPr>
              <w:t>主要为：</w:t>
            </w:r>
            <w:r>
              <w:rPr>
                <w:rFonts w:hint="eastAsia" w:ascii="Calibri" w:hAnsi="Calibri" w:eastAsia="宋体" w:cs="宋体"/>
                <w:color w:val="000000"/>
                <w:kern w:val="2"/>
                <w:sz w:val="24"/>
                <w:szCs w:val="24"/>
                <w:bdr w:val="none" w:color="auto" w:sz="0" w:space="0"/>
                <w:lang w:val="en-US" w:eastAsia="zh-CN" w:bidi="ar"/>
              </w:rPr>
              <w:t>背胶处理剂、废润滑油、</w:t>
            </w:r>
            <w:r>
              <w:rPr>
                <w:rFonts w:hint="default" w:ascii="Times New Roman" w:hAnsi="Times New Roman" w:eastAsia="宋体" w:cs="Times New Roman"/>
                <w:color w:val="000000"/>
                <w:kern w:val="2"/>
                <w:sz w:val="24"/>
                <w:szCs w:val="24"/>
                <w:bdr w:val="none" w:color="auto" w:sz="0" w:space="0"/>
                <w:lang w:val="en-US" w:eastAsia="zh-CN" w:bidi="ar"/>
              </w:rPr>
              <w:t>UV</w:t>
            </w:r>
            <w:r>
              <w:rPr>
                <w:rFonts w:hint="eastAsia" w:ascii="Times New Roman" w:hAnsi="Calibri" w:eastAsia="宋体" w:cs="宋体"/>
                <w:color w:val="000000"/>
                <w:kern w:val="2"/>
                <w:sz w:val="24"/>
                <w:szCs w:val="24"/>
                <w:bdr w:val="none" w:color="auto" w:sz="0" w:space="0"/>
                <w:lang w:val="en-US" w:eastAsia="zh-CN" w:bidi="ar"/>
              </w:rPr>
              <w:t>灯管、废活性炭</w:t>
            </w:r>
            <w:r>
              <w:rPr>
                <w:rFonts w:hint="eastAsia" w:ascii="Calibri" w:hAnsi="Calibri" w:eastAsia="宋体" w:cs="宋体"/>
                <w:color w:val="000000"/>
                <w:kern w:val="2"/>
                <w:sz w:val="24"/>
                <w:szCs w:val="24"/>
                <w:bdr w:val="none" w:color="auto" w:sz="0" w:space="0"/>
                <w:lang w:val="en-US" w:eastAsia="zh-CN" w:bidi="ar"/>
              </w:rPr>
              <w:t>。项目原材料各种泡棉具有易燃性，</w:t>
            </w:r>
            <w:r>
              <w:rPr>
                <w:rFonts w:hint="eastAsia" w:ascii="Calibri" w:hAnsi="宋体" w:eastAsia="宋体" w:cs="宋体"/>
                <w:color w:val="000000"/>
                <w:kern w:val="0"/>
                <w:sz w:val="24"/>
                <w:szCs w:val="24"/>
                <w:bdr w:val="none" w:color="auto" w:sz="0" w:space="0"/>
                <w:lang w:val="en-US" w:eastAsia="zh-CN" w:bidi="ar"/>
              </w:rPr>
              <w:t>因此本评价将原材料泡棉作为风险物质。</w:t>
            </w:r>
          </w:p>
          <w:p w14:paraId="579FF821">
            <w:pPr>
              <w:keepNext w:val="0"/>
              <w:keepLines w:val="0"/>
              <w:widowControl w:val="0"/>
              <w:suppressLineNumbers w:val="0"/>
              <w:snapToGrid w:val="0"/>
              <w:spacing w:before="0" w:beforeAutospacing="0" w:after="0" w:afterAutospacing="0" w:line="440" w:lineRule="exact"/>
              <w:ind w:left="0" w:right="0" w:firstLine="480"/>
              <w:jc w:val="center"/>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表</w:t>
            </w:r>
            <w:r>
              <w:rPr>
                <w:rFonts w:hint="default" w:ascii="Times New Roman" w:hAnsi="Calibri" w:eastAsia="宋体" w:cs="Times New Roman"/>
                <w:color w:val="000000"/>
                <w:kern w:val="2"/>
                <w:sz w:val="24"/>
                <w:szCs w:val="24"/>
                <w:bdr w:val="none" w:color="auto" w:sz="0" w:space="0"/>
                <w:lang w:val="en-US" w:eastAsia="zh-CN" w:bidi="ar"/>
              </w:rPr>
              <w:t xml:space="preserve">4.7-2  </w:t>
            </w:r>
            <w:r>
              <w:rPr>
                <w:rFonts w:hint="eastAsia" w:ascii="Times New Roman" w:hAnsi="Calibri" w:eastAsia="宋体" w:cs="宋体"/>
                <w:color w:val="000000"/>
                <w:kern w:val="2"/>
                <w:sz w:val="24"/>
                <w:szCs w:val="24"/>
                <w:bdr w:val="none" w:color="auto" w:sz="0" w:space="0"/>
                <w:lang w:val="en-US" w:eastAsia="zh-CN" w:bidi="ar"/>
              </w:rPr>
              <w:t>项目风险物质统计</w:t>
            </w:r>
          </w:p>
          <w:tbl>
            <w:tblPr>
              <w:tblStyle w:val="18"/>
              <w:tblpPr w:leftFromText="180" w:rightFromText="180" w:vertAnchor="text" w:tblpXSpec="center" w:tblpY="1"/>
              <w:tblOverlap w:val="never"/>
              <w:tblW w:w="5000" w:type="pct"/>
              <w:tblInd w:w="8"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Layout w:type="fixed"/>
              <w:tblCellMar>
                <w:top w:w="0" w:type="dxa"/>
                <w:left w:w="108" w:type="dxa"/>
                <w:bottom w:w="0" w:type="dxa"/>
                <w:right w:w="108" w:type="dxa"/>
              </w:tblCellMar>
            </w:tblPr>
            <w:tblGrid>
              <w:gridCol w:w="1488"/>
              <w:gridCol w:w="1631"/>
              <w:gridCol w:w="1676"/>
              <w:gridCol w:w="1584"/>
              <w:gridCol w:w="1567"/>
            </w:tblGrid>
            <w:tr w14:paraId="04903AC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tblCellMar>
                  <w:top w:w="0" w:type="dxa"/>
                  <w:left w:w="108" w:type="dxa"/>
                  <w:bottom w:w="0" w:type="dxa"/>
                  <w:right w:w="108" w:type="dxa"/>
                </w:tblCellMar>
              </w:tblPrEx>
              <w:tc>
                <w:tcPr>
                  <w:tcW w:w="1488" w:type="dxa"/>
                  <w:tcBorders>
                    <w:top w:val="single" w:color="auto" w:sz="12" w:space="0"/>
                    <w:left w:val="nil"/>
                    <w:bottom w:val="single" w:color="auto" w:sz="4" w:space="0"/>
                    <w:right w:val="single" w:color="auto" w:sz="4" w:space="0"/>
                  </w:tcBorders>
                  <w:shd w:val="clear"/>
                  <w:vAlign w:val="center"/>
                </w:tcPr>
                <w:p w14:paraId="06CE324D">
                  <w:pPr>
                    <w:keepNext w:val="0"/>
                    <w:keepLines w:val="0"/>
                    <w:widowControl w:val="0"/>
                    <w:suppressLineNumbers w:val="0"/>
                    <w:adjustRightInd w:val="0"/>
                    <w:snapToGrid w:val="0"/>
                    <w:spacing w:before="0" w:beforeAutospacing="0" w:after="0" w:afterAutospacing="0" w:line="300" w:lineRule="exact"/>
                    <w:ind w:left="0" w:right="0"/>
                    <w:jc w:val="center"/>
                    <w:rPr>
                      <w:bCs/>
                      <w:color w:val="000000"/>
                      <w:szCs w:val="21"/>
                      <w:bdr w:val="none" w:color="auto" w:sz="0" w:space="0"/>
                      <w:lang w:val="en-US"/>
                    </w:rPr>
                  </w:pPr>
                  <w:r>
                    <w:rPr>
                      <w:rFonts w:hint="eastAsia" w:ascii="Calibri" w:hAnsi="宋体" w:eastAsia="宋体" w:cs="宋体"/>
                      <w:bCs/>
                      <w:color w:val="000000"/>
                      <w:kern w:val="2"/>
                      <w:sz w:val="21"/>
                      <w:szCs w:val="21"/>
                      <w:bdr w:val="none" w:color="auto" w:sz="0" w:space="0"/>
                      <w:lang w:val="en-US" w:eastAsia="zh-CN" w:bidi="ar"/>
                    </w:rPr>
                    <w:t>名称</w:t>
                  </w:r>
                </w:p>
              </w:tc>
              <w:tc>
                <w:tcPr>
                  <w:tcW w:w="1631" w:type="dxa"/>
                  <w:tcBorders>
                    <w:top w:val="single" w:color="auto" w:sz="12" w:space="0"/>
                    <w:left w:val="single" w:color="auto" w:sz="4" w:space="0"/>
                    <w:bottom w:val="single" w:color="auto" w:sz="4" w:space="0"/>
                    <w:right w:val="single" w:color="auto" w:sz="4" w:space="0"/>
                  </w:tcBorders>
                  <w:shd w:val="clear"/>
                  <w:vAlign w:val="center"/>
                </w:tcPr>
                <w:p w14:paraId="2175C0B3">
                  <w:pPr>
                    <w:keepNext w:val="0"/>
                    <w:keepLines w:val="0"/>
                    <w:widowControl w:val="0"/>
                    <w:suppressLineNumbers w:val="0"/>
                    <w:adjustRightInd w:val="0"/>
                    <w:snapToGrid w:val="0"/>
                    <w:spacing w:before="0" w:beforeAutospacing="0" w:after="0" w:afterAutospacing="0" w:line="300" w:lineRule="exact"/>
                    <w:ind w:left="0" w:right="0"/>
                    <w:jc w:val="center"/>
                    <w:rPr>
                      <w:bCs/>
                      <w:color w:val="000000"/>
                      <w:szCs w:val="21"/>
                      <w:bdr w:val="none" w:color="auto" w:sz="0" w:space="0"/>
                      <w:lang w:val="en-US"/>
                    </w:rPr>
                  </w:pPr>
                  <w:r>
                    <w:rPr>
                      <w:rFonts w:hint="eastAsia" w:ascii="Calibri" w:hAnsi="宋体" w:eastAsia="宋体" w:cs="宋体"/>
                      <w:bCs/>
                      <w:color w:val="000000"/>
                      <w:kern w:val="2"/>
                      <w:sz w:val="21"/>
                      <w:szCs w:val="21"/>
                      <w:bdr w:val="none" w:color="auto" w:sz="0" w:space="0"/>
                      <w:lang w:val="en-US" w:eastAsia="zh-CN" w:bidi="ar"/>
                    </w:rPr>
                    <w:t>储存位置</w:t>
                  </w:r>
                </w:p>
              </w:tc>
              <w:tc>
                <w:tcPr>
                  <w:tcW w:w="1676" w:type="dxa"/>
                  <w:tcBorders>
                    <w:top w:val="single" w:color="auto" w:sz="12" w:space="0"/>
                    <w:left w:val="single" w:color="auto" w:sz="4" w:space="0"/>
                    <w:bottom w:val="single" w:color="auto" w:sz="4" w:space="0"/>
                    <w:right w:val="single" w:color="auto" w:sz="4" w:space="0"/>
                  </w:tcBorders>
                  <w:shd w:val="clear"/>
                  <w:vAlign w:val="center"/>
                </w:tcPr>
                <w:p w14:paraId="2D4F50F6">
                  <w:pPr>
                    <w:keepNext w:val="0"/>
                    <w:keepLines w:val="0"/>
                    <w:widowControl w:val="0"/>
                    <w:suppressLineNumbers w:val="0"/>
                    <w:adjustRightInd w:val="0"/>
                    <w:snapToGrid w:val="0"/>
                    <w:spacing w:before="0" w:beforeAutospacing="0" w:after="0" w:afterAutospacing="0" w:line="300" w:lineRule="exact"/>
                    <w:ind w:left="0" w:right="0"/>
                    <w:jc w:val="center"/>
                    <w:rPr>
                      <w:bCs/>
                      <w:color w:val="000000"/>
                      <w:szCs w:val="21"/>
                      <w:bdr w:val="none" w:color="auto" w:sz="0" w:space="0"/>
                      <w:lang w:val="en-US"/>
                    </w:rPr>
                  </w:pPr>
                  <w:r>
                    <w:rPr>
                      <w:rFonts w:hint="eastAsia" w:ascii="Calibri" w:hAnsi="宋体" w:eastAsia="宋体" w:cs="宋体"/>
                      <w:bCs/>
                      <w:color w:val="000000"/>
                      <w:kern w:val="2"/>
                      <w:sz w:val="21"/>
                      <w:szCs w:val="21"/>
                      <w:bdr w:val="none" w:color="auto" w:sz="0" w:space="0"/>
                      <w:lang w:val="en-US" w:eastAsia="zh-CN" w:bidi="ar"/>
                    </w:rPr>
                    <w:t>储存方式</w:t>
                  </w:r>
                </w:p>
              </w:tc>
              <w:tc>
                <w:tcPr>
                  <w:tcW w:w="1584" w:type="dxa"/>
                  <w:tcBorders>
                    <w:top w:val="single" w:color="auto" w:sz="12" w:space="0"/>
                    <w:left w:val="single" w:color="auto" w:sz="4" w:space="0"/>
                    <w:bottom w:val="single" w:color="auto" w:sz="4" w:space="0"/>
                    <w:right w:val="single" w:color="auto" w:sz="4" w:space="0"/>
                  </w:tcBorders>
                  <w:shd w:val="clear"/>
                  <w:vAlign w:val="center"/>
                </w:tcPr>
                <w:p w14:paraId="42AD0CC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Times New Roman" w:eastAsia="宋体" w:cs="宋体"/>
                      <w:bCs/>
                      <w:color w:val="000000"/>
                      <w:kern w:val="2"/>
                      <w:sz w:val="21"/>
                      <w:szCs w:val="21"/>
                      <w:bdr w:val="none" w:color="auto" w:sz="0" w:space="0"/>
                      <w:lang w:val="en-US" w:eastAsia="zh-CN" w:bidi="ar"/>
                    </w:rPr>
                    <w:t>最大储存量（</w:t>
                  </w:r>
                  <w:r>
                    <w:rPr>
                      <w:rFonts w:hint="default" w:ascii="Times New Roman" w:hAnsi="Times New Roman" w:eastAsia="宋体" w:cs="Times New Roman"/>
                      <w:bCs/>
                      <w:color w:val="000000"/>
                      <w:kern w:val="2"/>
                      <w:sz w:val="21"/>
                      <w:szCs w:val="21"/>
                      <w:bdr w:val="none" w:color="auto" w:sz="0" w:space="0"/>
                      <w:lang w:val="en-US" w:eastAsia="zh-CN" w:bidi="ar"/>
                    </w:rPr>
                    <w:t>t</w:t>
                  </w:r>
                  <w:r>
                    <w:rPr>
                      <w:rFonts w:hint="eastAsia" w:ascii="Times New Roman" w:hAnsi="Times New Roman" w:eastAsia="宋体" w:cs="宋体"/>
                      <w:bCs/>
                      <w:color w:val="000000"/>
                      <w:kern w:val="2"/>
                      <w:sz w:val="21"/>
                      <w:szCs w:val="21"/>
                      <w:bdr w:val="none" w:color="auto" w:sz="0" w:space="0"/>
                      <w:lang w:val="en-US" w:eastAsia="zh-CN" w:bidi="ar"/>
                    </w:rPr>
                    <w:t>）</w:t>
                  </w:r>
                </w:p>
              </w:tc>
              <w:tc>
                <w:tcPr>
                  <w:tcW w:w="1567" w:type="dxa"/>
                  <w:tcBorders>
                    <w:top w:val="single" w:color="auto" w:sz="12" w:space="0"/>
                    <w:left w:val="single" w:color="auto" w:sz="4" w:space="0"/>
                    <w:bottom w:val="single" w:color="auto" w:sz="4" w:space="0"/>
                    <w:right w:val="nil"/>
                  </w:tcBorders>
                  <w:shd w:val="clear"/>
                  <w:vAlign w:val="center"/>
                </w:tcPr>
                <w:p w14:paraId="195E216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Times New Roman" w:eastAsia="宋体" w:cs="宋体"/>
                      <w:bCs/>
                      <w:color w:val="000000"/>
                      <w:kern w:val="2"/>
                      <w:sz w:val="21"/>
                      <w:szCs w:val="21"/>
                      <w:bdr w:val="none" w:color="auto" w:sz="0" w:space="0"/>
                      <w:lang w:val="en-US" w:eastAsia="zh-CN" w:bidi="ar"/>
                    </w:rPr>
                    <w:t>备注</w:t>
                  </w:r>
                </w:p>
              </w:tc>
            </w:tr>
            <w:tr w14:paraId="705B451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488" w:type="dxa"/>
                  <w:tcBorders>
                    <w:top w:val="single" w:color="auto" w:sz="4" w:space="0"/>
                    <w:left w:val="nil"/>
                    <w:bottom w:val="single" w:color="auto" w:sz="4" w:space="0"/>
                    <w:right w:val="single" w:color="auto" w:sz="4" w:space="0"/>
                  </w:tcBorders>
                  <w:shd w:val="clear"/>
                  <w:vAlign w:val="center"/>
                </w:tcPr>
                <w:p w14:paraId="28206227">
                  <w:pPr>
                    <w:keepNext w:val="0"/>
                    <w:keepLines w:val="0"/>
                    <w:widowControl w:val="0"/>
                    <w:suppressLineNumbers w:val="0"/>
                    <w:adjustRightInd w:val="0"/>
                    <w:snapToGrid w:val="0"/>
                    <w:spacing w:before="0" w:beforeAutospacing="0" w:after="0" w:afterAutospacing="0" w:line="300" w:lineRule="exact"/>
                    <w:ind w:left="0" w:right="0"/>
                    <w:jc w:val="center"/>
                    <w:rPr>
                      <w:bCs/>
                      <w:color w:val="000000"/>
                      <w:szCs w:val="21"/>
                      <w:bdr w:val="none" w:color="auto" w:sz="0" w:space="0"/>
                      <w:lang w:val="en-US"/>
                    </w:rPr>
                  </w:pPr>
                  <w:r>
                    <w:rPr>
                      <w:rFonts w:hint="eastAsia" w:ascii="Calibri" w:hAnsi="宋体" w:eastAsia="宋体" w:cs="宋体"/>
                      <w:bCs/>
                      <w:color w:val="000000"/>
                      <w:kern w:val="2"/>
                      <w:sz w:val="21"/>
                      <w:szCs w:val="21"/>
                      <w:bdr w:val="none" w:color="auto" w:sz="0" w:space="0"/>
                      <w:lang w:val="en-US" w:eastAsia="zh-CN" w:bidi="ar"/>
                    </w:rPr>
                    <w:t>背胶处理剂</w:t>
                  </w:r>
                </w:p>
              </w:tc>
              <w:tc>
                <w:tcPr>
                  <w:tcW w:w="1631" w:type="dxa"/>
                  <w:tcBorders>
                    <w:top w:val="single" w:color="auto" w:sz="4" w:space="0"/>
                    <w:left w:val="single" w:color="auto" w:sz="4" w:space="0"/>
                    <w:bottom w:val="single" w:color="auto" w:sz="4" w:space="0"/>
                    <w:right w:val="single" w:color="auto" w:sz="4" w:space="0"/>
                  </w:tcBorders>
                  <w:shd w:val="clear"/>
                  <w:vAlign w:val="center"/>
                </w:tcPr>
                <w:p w14:paraId="1DC963D3">
                  <w:pPr>
                    <w:keepNext w:val="0"/>
                    <w:keepLines w:val="0"/>
                    <w:widowControl w:val="0"/>
                    <w:suppressLineNumbers w:val="0"/>
                    <w:adjustRightInd w:val="0"/>
                    <w:snapToGrid w:val="0"/>
                    <w:spacing w:before="0" w:beforeAutospacing="0" w:after="0" w:afterAutospacing="0" w:line="300" w:lineRule="exact"/>
                    <w:ind w:left="0" w:right="0"/>
                    <w:jc w:val="center"/>
                    <w:rPr>
                      <w:bCs/>
                      <w:color w:val="000000"/>
                      <w:szCs w:val="21"/>
                      <w:bdr w:val="none" w:color="auto" w:sz="0" w:space="0"/>
                      <w:lang w:val="en-US"/>
                    </w:rPr>
                  </w:pPr>
                  <w:r>
                    <w:rPr>
                      <w:rFonts w:hint="eastAsia" w:ascii="Calibri" w:hAnsi="宋体" w:eastAsia="宋体" w:cs="宋体"/>
                      <w:bCs/>
                      <w:color w:val="000000"/>
                      <w:kern w:val="2"/>
                      <w:sz w:val="21"/>
                      <w:szCs w:val="21"/>
                      <w:bdr w:val="none" w:color="auto" w:sz="0" w:space="0"/>
                      <w:lang w:val="en-US" w:eastAsia="zh-CN" w:bidi="ar"/>
                    </w:rPr>
                    <w:t>辅料间</w:t>
                  </w:r>
                </w:p>
              </w:tc>
              <w:tc>
                <w:tcPr>
                  <w:tcW w:w="1676" w:type="dxa"/>
                  <w:tcBorders>
                    <w:top w:val="single" w:color="auto" w:sz="4" w:space="0"/>
                    <w:left w:val="single" w:color="auto" w:sz="4" w:space="0"/>
                    <w:bottom w:val="single" w:color="auto" w:sz="4" w:space="0"/>
                    <w:right w:val="single" w:color="auto" w:sz="4" w:space="0"/>
                  </w:tcBorders>
                  <w:shd w:val="clear"/>
                  <w:vAlign w:val="center"/>
                </w:tcPr>
                <w:p w14:paraId="5D853D1A">
                  <w:pPr>
                    <w:keepNext w:val="0"/>
                    <w:keepLines w:val="0"/>
                    <w:widowControl w:val="0"/>
                    <w:suppressLineNumbers w:val="0"/>
                    <w:adjustRightInd w:val="0"/>
                    <w:snapToGrid w:val="0"/>
                    <w:spacing w:before="0" w:beforeAutospacing="0" w:after="0" w:afterAutospacing="0" w:line="300" w:lineRule="exact"/>
                    <w:ind w:left="0" w:right="0"/>
                    <w:jc w:val="center"/>
                    <w:rPr>
                      <w:bCs/>
                      <w:color w:val="000000"/>
                      <w:szCs w:val="21"/>
                      <w:bdr w:val="none" w:color="auto" w:sz="0" w:space="0"/>
                      <w:lang w:val="en-US"/>
                    </w:rPr>
                  </w:pPr>
                  <w:r>
                    <w:rPr>
                      <w:rFonts w:hint="eastAsia" w:ascii="Calibri" w:hAnsi="宋体" w:eastAsia="宋体" w:cs="宋体"/>
                      <w:bCs/>
                      <w:color w:val="000000"/>
                      <w:kern w:val="2"/>
                      <w:sz w:val="21"/>
                      <w:szCs w:val="21"/>
                      <w:bdr w:val="none" w:color="auto" w:sz="0" w:space="0"/>
                      <w:lang w:val="en-US" w:eastAsia="zh-CN" w:bidi="ar"/>
                    </w:rPr>
                    <w:t>包装桶储存</w:t>
                  </w:r>
                </w:p>
              </w:tc>
              <w:tc>
                <w:tcPr>
                  <w:tcW w:w="1584" w:type="dxa"/>
                  <w:tcBorders>
                    <w:top w:val="single" w:color="auto" w:sz="4" w:space="0"/>
                    <w:left w:val="single" w:color="auto" w:sz="4" w:space="0"/>
                    <w:bottom w:val="single" w:color="auto" w:sz="4" w:space="0"/>
                    <w:right w:val="single" w:color="auto" w:sz="4" w:space="0"/>
                  </w:tcBorders>
                  <w:shd w:val="clear"/>
                  <w:vAlign w:val="center"/>
                </w:tcPr>
                <w:p w14:paraId="688504C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0.05</w:t>
                  </w:r>
                </w:p>
              </w:tc>
              <w:tc>
                <w:tcPr>
                  <w:tcW w:w="1567" w:type="dxa"/>
                  <w:tcBorders>
                    <w:top w:val="single" w:color="auto" w:sz="4" w:space="0"/>
                    <w:left w:val="single" w:color="auto" w:sz="4" w:space="0"/>
                    <w:bottom w:val="single" w:color="auto" w:sz="4" w:space="0"/>
                    <w:right w:val="nil"/>
                  </w:tcBorders>
                  <w:shd w:val="clear"/>
                  <w:vAlign w:val="center"/>
                </w:tcPr>
                <w:p w14:paraId="6D89BBA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Times New Roman" w:eastAsia="宋体" w:cs="宋体"/>
                      <w:bCs/>
                      <w:color w:val="000000"/>
                      <w:kern w:val="2"/>
                      <w:sz w:val="21"/>
                      <w:szCs w:val="21"/>
                      <w:bdr w:val="none" w:color="auto" w:sz="0" w:space="0"/>
                      <w:lang w:val="en-US" w:eastAsia="zh-CN" w:bidi="ar"/>
                    </w:rPr>
                    <w:t>常温常压储存</w:t>
                  </w:r>
                </w:p>
              </w:tc>
            </w:tr>
            <w:tr w14:paraId="35D8121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488" w:type="dxa"/>
                  <w:tcBorders>
                    <w:top w:val="single" w:color="auto" w:sz="4" w:space="0"/>
                    <w:left w:val="nil"/>
                    <w:bottom w:val="single" w:color="auto" w:sz="4" w:space="0"/>
                    <w:right w:val="single" w:color="auto" w:sz="4" w:space="0"/>
                  </w:tcBorders>
                  <w:shd w:val="clear"/>
                  <w:vAlign w:val="center"/>
                </w:tcPr>
                <w:p w14:paraId="43DA9DDA">
                  <w:pPr>
                    <w:keepNext w:val="0"/>
                    <w:keepLines w:val="0"/>
                    <w:widowControl w:val="0"/>
                    <w:suppressLineNumbers w:val="0"/>
                    <w:adjustRightInd w:val="0"/>
                    <w:snapToGrid w:val="0"/>
                    <w:spacing w:before="0" w:beforeAutospacing="0" w:after="0" w:afterAutospacing="0"/>
                    <w:ind w:left="0" w:right="0"/>
                    <w:jc w:val="center"/>
                    <w:rPr>
                      <w:rFonts w:hAnsi="宋体"/>
                      <w:bCs/>
                      <w:color w:val="000000"/>
                      <w:szCs w:val="21"/>
                      <w:bdr w:val="none" w:color="auto" w:sz="0" w:space="0"/>
                      <w:lang w:val="en-US"/>
                    </w:rPr>
                  </w:pPr>
                  <w:r>
                    <w:rPr>
                      <w:rFonts w:hint="eastAsia" w:ascii="Calibri" w:hAnsi="宋体" w:eastAsia="宋体" w:cs="宋体"/>
                      <w:bCs/>
                      <w:color w:val="000000"/>
                      <w:kern w:val="2"/>
                      <w:sz w:val="21"/>
                      <w:szCs w:val="21"/>
                      <w:bdr w:val="none" w:color="auto" w:sz="0" w:space="0"/>
                      <w:lang w:val="en-US" w:eastAsia="zh-CN" w:bidi="ar"/>
                    </w:rPr>
                    <w:t>废活性炭</w:t>
                  </w:r>
                </w:p>
              </w:tc>
              <w:tc>
                <w:tcPr>
                  <w:tcW w:w="1631" w:type="dxa"/>
                  <w:vMerge w:val="restart"/>
                  <w:tcBorders>
                    <w:top w:val="single" w:color="auto" w:sz="4" w:space="0"/>
                    <w:left w:val="single" w:color="auto" w:sz="4" w:space="0"/>
                    <w:bottom w:val="single" w:color="auto" w:sz="4" w:space="0"/>
                    <w:right w:val="single" w:color="auto" w:sz="4" w:space="0"/>
                  </w:tcBorders>
                  <w:shd w:val="clear"/>
                  <w:vAlign w:val="center"/>
                </w:tcPr>
                <w:p w14:paraId="4689FD8C">
                  <w:pPr>
                    <w:keepNext w:val="0"/>
                    <w:keepLines w:val="0"/>
                    <w:widowControl w:val="0"/>
                    <w:suppressLineNumbers w:val="0"/>
                    <w:adjustRightInd w:val="0"/>
                    <w:snapToGrid w:val="0"/>
                    <w:spacing w:before="0" w:beforeAutospacing="0" w:after="0" w:afterAutospacing="0"/>
                    <w:ind w:left="0" w:right="0"/>
                    <w:jc w:val="center"/>
                    <w:rPr>
                      <w:rFonts w:hAnsi="宋体"/>
                      <w:bCs/>
                      <w:color w:val="000000"/>
                      <w:szCs w:val="21"/>
                      <w:bdr w:val="none" w:color="auto" w:sz="0" w:space="0"/>
                      <w:lang w:val="en-US"/>
                    </w:rPr>
                  </w:pPr>
                  <w:r>
                    <w:rPr>
                      <w:rFonts w:hint="eastAsia" w:ascii="Calibri" w:hAnsi="宋体" w:eastAsia="宋体" w:cs="宋体"/>
                      <w:bCs/>
                      <w:color w:val="000000"/>
                      <w:kern w:val="2"/>
                      <w:sz w:val="21"/>
                      <w:szCs w:val="21"/>
                      <w:bdr w:val="none" w:color="auto" w:sz="0" w:space="0"/>
                      <w:lang w:val="en-US" w:eastAsia="zh-CN" w:bidi="ar"/>
                    </w:rPr>
                    <w:t>危废贮存库</w:t>
                  </w:r>
                </w:p>
              </w:tc>
              <w:tc>
                <w:tcPr>
                  <w:tcW w:w="1676" w:type="dxa"/>
                  <w:vMerge w:val="restart"/>
                  <w:tcBorders>
                    <w:top w:val="single" w:color="auto" w:sz="4" w:space="0"/>
                    <w:left w:val="single" w:color="auto" w:sz="4" w:space="0"/>
                    <w:bottom w:val="single" w:color="auto" w:sz="4" w:space="0"/>
                    <w:right w:val="single" w:color="auto" w:sz="4" w:space="0"/>
                  </w:tcBorders>
                  <w:shd w:val="clear"/>
                  <w:vAlign w:val="center"/>
                </w:tcPr>
                <w:p w14:paraId="7DC85FF1">
                  <w:pPr>
                    <w:keepNext w:val="0"/>
                    <w:keepLines w:val="0"/>
                    <w:widowControl w:val="0"/>
                    <w:suppressLineNumbers w:val="0"/>
                    <w:adjustRightInd w:val="0"/>
                    <w:snapToGrid w:val="0"/>
                    <w:spacing w:before="0" w:beforeAutospacing="0" w:after="0" w:afterAutospacing="0"/>
                    <w:ind w:left="0" w:right="0"/>
                    <w:jc w:val="center"/>
                    <w:rPr>
                      <w:rFonts w:hAnsi="宋体"/>
                      <w:bCs/>
                      <w:color w:val="000000"/>
                      <w:szCs w:val="21"/>
                      <w:bdr w:val="none" w:color="auto" w:sz="0" w:space="0"/>
                      <w:lang w:val="en-US"/>
                    </w:rPr>
                  </w:pPr>
                  <w:r>
                    <w:rPr>
                      <w:rFonts w:hint="eastAsia" w:ascii="Calibri" w:hAnsi="宋体" w:eastAsia="宋体" w:cs="宋体"/>
                      <w:bCs/>
                      <w:color w:val="000000"/>
                      <w:kern w:val="2"/>
                      <w:sz w:val="21"/>
                      <w:szCs w:val="21"/>
                      <w:bdr w:val="none" w:color="auto" w:sz="0" w:space="0"/>
                      <w:lang w:val="en-US" w:eastAsia="zh-CN" w:bidi="ar"/>
                    </w:rPr>
                    <w:t>袋装封存</w:t>
                  </w:r>
                </w:p>
              </w:tc>
              <w:tc>
                <w:tcPr>
                  <w:tcW w:w="1584" w:type="dxa"/>
                  <w:tcBorders>
                    <w:top w:val="single" w:color="auto" w:sz="4" w:space="0"/>
                    <w:left w:val="single" w:color="auto" w:sz="4" w:space="0"/>
                    <w:bottom w:val="single" w:color="auto" w:sz="4" w:space="0"/>
                    <w:right w:val="single" w:color="auto" w:sz="4" w:space="0"/>
                  </w:tcBorders>
                  <w:shd w:val="clear"/>
                  <w:vAlign w:val="center"/>
                </w:tcPr>
                <w:p w14:paraId="6AF8A2C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2.494</w:t>
                  </w:r>
                </w:p>
              </w:tc>
              <w:tc>
                <w:tcPr>
                  <w:tcW w:w="1567" w:type="dxa"/>
                  <w:tcBorders>
                    <w:top w:val="single" w:color="auto" w:sz="4" w:space="0"/>
                    <w:left w:val="single" w:color="auto" w:sz="4" w:space="0"/>
                    <w:bottom w:val="single" w:color="auto" w:sz="4" w:space="0"/>
                    <w:right w:val="nil"/>
                  </w:tcBorders>
                  <w:shd w:val="clear"/>
                  <w:vAlign w:val="center"/>
                </w:tcPr>
                <w:p w14:paraId="1FF656B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bookmarkStart w:id="55" w:name="OLE_LINK61"/>
                  <w:r>
                    <w:rPr>
                      <w:rFonts w:hint="eastAsia" w:ascii="Times New Roman" w:hAnsi="Times New Roman" w:eastAsia="宋体" w:cs="宋体"/>
                      <w:bCs/>
                      <w:color w:val="000000"/>
                      <w:kern w:val="2"/>
                      <w:sz w:val="21"/>
                      <w:szCs w:val="21"/>
                      <w:bdr w:val="none" w:color="auto" w:sz="0" w:space="0"/>
                      <w:lang w:val="en-US" w:eastAsia="zh-CN" w:bidi="ar"/>
                    </w:rPr>
                    <w:t>常温常压储存</w:t>
                  </w:r>
                  <w:bookmarkEnd w:id="55"/>
                </w:p>
              </w:tc>
            </w:tr>
            <w:tr w14:paraId="3308495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488" w:type="dxa"/>
                  <w:tcBorders>
                    <w:top w:val="single" w:color="auto" w:sz="4" w:space="0"/>
                    <w:left w:val="nil"/>
                    <w:bottom w:val="single" w:color="auto" w:sz="4" w:space="0"/>
                    <w:right w:val="single" w:color="auto" w:sz="4" w:space="0"/>
                  </w:tcBorders>
                  <w:shd w:val="clear"/>
                  <w:vAlign w:val="center"/>
                </w:tcPr>
                <w:p w14:paraId="091A73AF">
                  <w:pPr>
                    <w:keepNext w:val="0"/>
                    <w:keepLines w:val="0"/>
                    <w:widowControl w:val="0"/>
                    <w:suppressLineNumbers w:val="0"/>
                    <w:adjustRightInd w:val="0"/>
                    <w:snapToGrid w:val="0"/>
                    <w:spacing w:before="0" w:beforeAutospacing="0" w:after="0" w:afterAutospacing="0"/>
                    <w:ind w:left="0" w:right="0"/>
                    <w:jc w:val="center"/>
                    <w:rPr>
                      <w:rFonts w:hAnsi="宋体"/>
                      <w:bCs/>
                      <w:color w:val="000000"/>
                      <w:szCs w:val="21"/>
                      <w:bdr w:val="none" w:color="auto" w:sz="0" w:space="0"/>
                      <w:lang w:val="en-US"/>
                    </w:rPr>
                  </w:pPr>
                  <w:bookmarkStart w:id="56" w:name="_Hlk191913821"/>
                  <w:r>
                    <w:rPr>
                      <w:rFonts w:hint="eastAsia" w:ascii="Calibri" w:hAnsi="宋体" w:eastAsia="宋体" w:cs="宋体"/>
                      <w:bCs/>
                      <w:color w:val="000000"/>
                      <w:kern w:val="2"/>
                      <w:sz w:val="21"/>
                      <w:szCs w:val="21"/>
                      <w:bdr w:val="none" w:color="auto" w:sz="0" w:space="0"/>
                      <w:lang w:val="en-US" w:eastAsia="zh-CN" w:bidi="ar"/>
                    </w:rPr>
                    <w:t>废背胶处理剂空瓶</w:t>
                  </w:r>
                </w:p>
              </w:tc>
              <w:tc>
                <w:tcPr>
                  <w:tcW w:w="1631" w:type="dxa"/>
                  <w:vMerge w:val="continue"/>
                  <w:tcBorders>
                    <w:top w:val="single" w:color="auto" w:sz="4" w:space="0"/>
                    <w:left w:val="single" w:color="auto" w:sz="4" w:space="0"/>
                    <w:bottom w:val="single" w:color="auto" w:sz="4" w:space="0"/>
                    <w:right w:val="single" w:color="auto" w:sz="4" w:space="0"/>
                  </w:tcBorders>
                  <w:shd w:val="clear"/>
                  <w:vAlign w:val="center"/>
                </w:tcPr>
                <w:p w14:paraId="6FEE3F38">
                  <w:pPr>
                    <w:rPr>
                      <w:rFonts w:hint="default" w:ascii="Calibri" w:hAnsi="Calibri" w:cs="Calibri"/>
                      <w:sz w:val="20"/>
                      <w:szCs w:val="20"/>
                    </w:rPr>
                  </w:pPr>
                </w:p>
              </w:tc>
              <w:tc>
                <w:tcPr>
                  <w:tcW w:w="1676" w:type="dxa"/>
                  <w:vMerge w:val="continue"/>
                  <w:tcBorders>
                    <w:top w:val="single" w:color="auto" w:sz="4" w:space="0"/>
                    <w:left w:val="single" w:color="auto" w:sz="4" w:space="0"/>
                    <w:bottom w:val="single" w:color="auto" w:sz="4" w:space="0"/>
                    <w:right w:val="single" w:color="auto" w:sz="4" w:space="0"/>
                  </w:tcBorders>
                  <w:shd w:val="clear"/>
                  <w:vAlign w:val="center"/>
                </w:tcPr>
                <w:p w14:paraId="2F17D007">
                  <w:pPr>
                    <w:rPr>
                      <w:rFonts w:hint="default" w:ascii="Calibri" w:hAnsi="Calibri" w:cs="Calibri"/>
                      <w:sz w:val="20"/>
                      <w:szCs w:val="20"/>
                    </w:rPr>
                  </w:pPr>
                </w:p>
              </w:tc>
              <w:tc>
                <w:tcPr>
                  <w:tcW w:w="1584" w:type="dxa"/>
                  <w:tcBorders>
                    <w:top w:val="single" w:color="auto" w:sz="4" w:space="0"/>
                    <w:left w:val="single" w:color="auto" w:sz="4" w:space="0"/>
                    <w:bottom w:val="single" w:color="auto" w:sz="4" w:space="0"/>
                    <w:right w:val="single" w:color="auto" w:sz="4" w:space="0"/>
                  </w:tcBorders>
                  <w:shd w:val="clear"/>
                  <w:vAlign w:val="center"/>
                </w:tcPr>
                <w:p w14:paraId="0BE423B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0.01</w:t>
                  </w:r>
                </w:p>
              </w:tc>
              <w:tc>
                <w:tcPr>
                  <w:tcW w:w="1567" w:type="dxa"/>
                  <w:tcBorders>
                    <w:top w:val="single" w:color="auto" w:sz="4" w:space="0"/>
                    <w:left w:val="single" w:color="auto" w:sz="4" w:space="0"/>
                    <w:bottom w:val="single" w:color="auto" w:sz="4" w:space="0"/>
                    <w:right w:val="nil"/>
                  </w:tcBorders>
                  <w:shd w:val="clear"/>
                  <w:vAlign w:val="center"/>
                </w:tcPr>
                <w:p w14:paraId="29EE70B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Times New Roman" w:eastAsia="宋体" w:cs="宋体"/>
                      <w:bCs/>
                      <w:color w:val="000000"/>
                      <w:kern w:val="2"/>
                      <w:sz w:val="21"/>
                      <w:szCs w:val="21"/>
                      <w:bdr w:val="none" w:color="auto" w:sz="0" w:space="0"/>
                      <w:lang w:val="en-US" w:eastAsia="zh-CN" w:bidi="ar"/>
                    </w:rPr>
                    <w:t>常温常压储存</w:t>
                  </w:r>
                </w:p>
              </w:tc>
            </w:tr>
            <w:bookmarkEnd w:id="56"/>
            <w:tr w14:paraId="2255617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488" w:type="dxa"/>
                  <w:tcBorders>
                    <w:top w:val="single" w:color="auto" w:sz="4" w:space="0"/>
                    <w:left w:val="nil"/>
                    <w:bottom w:val="single" w:color="auto" w:sz="4" w:space="0"/>
                    <w:right w:val="single" w:color="auto" w:sz="4" w:space="0"/>
                  </w:tcBorders>
                  <w:shd w:val="clear"/>
                  <w:vAlign w:val="center"/>
                </w:tcPr>
                <w:p w14:paraId="499057D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Times New Roman" w:eastAsia="宋体" w:cs="宋体"/>
                      <w:bCs/>
                      <w:color w:val="000000"/>
                      <w:kern w:val="2"/>
                      <w:sz w:val="21"/>
                      <w:szCs w:val="21"/>
                      <w:bdr w:val="none" w:color="auto" w:sz="0" w:space="0"/>
                      <w:lang w:val="en-US" w:eastAsia="zh-CN" w:bidi="ar"/>
                    </w:rPr>
                    <w:t>废</w:t>
                  </w:r>
                  <w:r>
                    <w:rPr>
                      <w:rFonts w:hint="default" w:ascii="Times New Roman" w:hAnsi="Times New Roman" w:eastAsia="宋体" w:cs="Times New Roman"/>
                      <w:bCs/>
                      <w:color w:val="000000"/>
                      <w:kern w:val="2"/>
                      <w:sz w:val="21"/>
                      <w:szCs w:val="21"/>
                      <w:bdr w:val="none" w:color="auto" w:sz="0" w:space="0"/>
                      <w:lang w:val="en-US" w:eastAsia="zh-CN" w:bidi="ar"/>
                    </w:rPr>
                    <w:t>UV</w:t>
                  </w:r>
                  <w:r>
                    <w:rPr>
                      <w:rFonts w:hint="eastAsia" w:ascii="Times New Roman" w:hAnsi="Times New Roman" w:eastAsia="宋体" w:cs="宋体"/>
                      <w:bCs/>
                      <w:color w:val="000000"/>
                      <w:kern w:val="2"/>
                      <w:sz w:val="21"/>
                      <w:szCs w:val="21"/>
                      <w:bdr w:val="none" w:color="auto" w:sz="0" w:space="0"/>
                      <w:lang w:val="en-US" w:eastAsia="zh-CN" w:bidi="ar"/>
                    </w:rPr>
                    <w:t>灯管</w:t>
                  </w:r>
                </w:p>
              </w:tc>
              <w:tc>
                <w:tcPr>
                  <w:tcW w:w="1631" w:type="dxa"/>
                  <w:vMerge w:val="continue"/>
                  <w:tcBorders>
                    <w:top w:val="single" w:color="auto" w:sz="4" w:space="0"/>
                    <w:left w:val="single" w:color="auto" w:sz="4" w:space="0"/>
                    <w:bottom w:val="single" w:color="auto" w:sz="4" w:space="0"/>
                    <w:right w:val="single" w:color="auto" w:sz="4" w:space="0"/>
                  </w:tcBorders>
                  <w:shd w:val="clear"/>
                  <w:vAlign w:val="center"/>
                </w:tcPr>
                <w:p w14:paraId="6DFFC0AD">
                  <w:pPr>
                    <w:rPr>
                      <w:rFonts w:hint="default" w:ascii="Calibri" w:hAnsi="Calibri" w:cs="Calibri"/>
                      <w:sz w:val="20"/>
                      <w:szCs w:val="20"/>
                    </w:rPr>
                  </w:pPr>
                </w:p>
              </w:tc>
              <w:tc>
                <w:tcPr>
                  <w:tcW w:w="1676" w:type="dxa"/>
                  <w:vMerge w:val="continue"/>
                  <w:tcBorders>
                    <w:top w:val="single" w:color="auto" w:sz="4" w:space="0"/>
                    <w:left w:val="single" w:color="auto" w:sz="4" w:space="0"/>
                    <w:bottom w:val="single" w:color="auto" w:sz="4" w:space="0"/>
                    <w:right w:val="single" w:color="auto" w:sz="4" w:space="0"/>
                  </w:tcBorders>
                  <w:shd w:val="clear"/>
                  <w:vAlign w:val="center"/>
                </w:tcPr>
                <w:p w14:paraId="1F38E431">
                  <w:pPr>
                    <w:rPr>
                      <w:rFonts w:hint="default" w:ascii="Calibri" w:hAnsi="Calibri" w:cs="Calibri"/>
                      <w:sz w:val="20"/>
                      <w:szCs w:val="20"/>
                    </w:rPr>
                  </w:pPr>
                </w:p>
              </w:tc>
              <w:tc>
                <w:tcPr>
                  <w:tcW w:w="1584" w:type="dxa"/>
                  <w:tcBorders>
                    <w:top w:val="single" w:color="auto" w:sz="4" w:space="0"/>
                    <w:left w:val="single" w:color="auto" w:sz="4" w:space="0"/>
                    <w:bottom w:val="single" w:color="auto" w:sz="4" w:space="0"/>
                    <w:right w:val="single" w:color="auto" w:sz="4" w:space="0"/>
                  </w:tcBorders>
                  <w:shd w:val="clear"/>
                  <w:vAlign w:val="center"/>
                </w:tcPr>
                <w:p w14:paraId="7ACD6A1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0.01</w:t>
                  </w:r>
                </w:p>
              </w:tc>
              <w:tc>
                <w:tcPr>
                  <w:tcW w:w="1567" w:type="dxa"/>
                  <w:tcBorders>
                    <w:top w:val="single" w:color="auto" w:sz="4" w:space="0"/>
                    <w:left w:val="single" w:color="auto" w:sz="4" w:space="0"/>
                    <w:bottom w:val="single" w:color="auto" w:sz="4" w:space="0"/>
                    <w:right w:val="nil"/>
                  </w:tcBorders>
                  <w:shd w:val="clear"/>
                  <w:vAlign w:val="center"/>
                </w:tcPr>
                <w:p w14:paraId="0ABF388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Times New Roman" w:eastAsia="宋体" w:cs="宋体"/>
                      <w:bCs/>
                      <w:color w:val="000000"/>
                      <w:kern w:val="2"/>
                      <w:sz w:val="21"/>
                      <w:szCs w:val="21"/>
                      <w:bdr w:val="none" w:color="auto" w:sz="0" w:space="0"/>
                      <w:lang w:val="en-US" w:eastAsia="zh-CN" w:bidi="ar"/>
                    </w:rPr>
                    <w:t>常温常压储存</w:t>
                  </w:r>
                </w:p>
              </w:tc>
            </w:tr>
            <w:tr w14:paraId="71E90DC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488" w:type="dxa"/>
                  <w:tcBorders>
                    <w:top w:val="single" w:color="auto" w:sz="4" w:space="0"/>
                    <w:left w:val="nil"/>
                    <w:bottom w:val="single" w:color="auto" w:sz="4" w:space="0"/>
                    <w:right w:val="single" w:color="auto" w:sz="4" w:space="0"/>
                  </w:tcBorders>
                  <w:shd w:val="clear"/>
                  <w:vAlign w:val="center"/>
                </w:tcPr>
                <w:p w14:paraId="07C199AF">
                  <w:pPr>
                    <w:keepNext w:val="0"/>
                    <w:keepLines w:val="0"/>
                    <w:widowControl w:val="0"/>
                    <w:suppressLineNumbers w:val="0"/>
                    <w:adjustRightInd w:val="0"/>
                    <w:snapToGrid w:val="0"/>
                    <w:spacing w:before="0" w:beforeAutospacing="0" w:after="0" w:afterAutospacing="0"/>
                    <w:ind w:left="0" w:right="0"/>
                    <w:jc w:val="center"/>
                    <w:rPr>
                      <w:bCs/>
                      <w:color w:val="000000"/>
                      <w:szCs w:val="21"/>
                      <w:bdr w:val="none" w:color="auto" w:sz="0" w:space="0"/>
                      <w:lang w:val="en-US"/>
                    </w:rPr>
                  </w:pPr>
                  <w:r>
                    <w:rPr>
                      <w:rFonts w:hint="eastAsia" w:ascii="Calibri" w:hAnsi="宋体" w:eastAsia="宋体" w:cs="宋体"/>
                      <w:bCs/>
                      <w:color w:val="000000"/>
                      <w:kern w:val="2"/>
                      <w:sz w:val="21"/>
                      <w:szCs w:val="21"/>
                      <w:bdr w:val="none" w:color="auto" w:sz="0" w:space="0"/>
                      <w:lang w:val="en-US" w:eastAsia="zh-CN" w:bidi="ar"/>
                    </w:rPr>
                    <w:t>废润滑油</w:t>
                  </w:r>
                </w:p>
              </w:tc>
              <w:tc>
                <w:tcPr>
                  <w:tcW w:w="1631" w:type="dxa"/>
                  <w:vMerge w:val="continue"/>
                  <w:tcBorders>
                    <w:top w:val="single" w:color="auto" w:sz="4" w:space="0"/>
                    <w:left w:val="single" w:color="auto" w:sz="4" w:space="0"/>
                    <w:bottom w:val="single" w:color="auto" w:sz="4" w:space="0"/>
                    <w:right w:val="single" w:color="auto" w:sz="4" w:space="0"/>
                  </w:tcBorders>
                  <w:shd w:val="clear"/>
                  <w:vAlign w:val="center"/>
                </w:tcPr>
                <w:p w14:paraId="674AFCA6">
                  <w:pPr>
                    <w:rPr>
                      <w:rFonts w:hint="default" w:ascii="Calibri" w:hAnsi="Calibri" w:cs="Calibri"/>
                      <w:sz w:val="20"/>
                      <w:szCs w:val="20"/>
                    </w:rPr>
                  </w:pPr>
                </w:p>
              </w:tc>
              <w:tc>
                <w:tcPr>
                  <w:tcW w:w="1676" w:type="dxa"/>
                  <w:tcBorders>
                    <w:top w:val="single" w:color="auto" w:sz="4" w:space="0"/>
                    <w:left w:val="single" w:color="auto" w:sz="4" w:space="0"/>
                    <w:bottom w:val="single" w:color="auto" w:sz="4" w:space="0"/>
                    <w:right w:val="single" w:color="auto" w:sz="4" w:space="0"/>
                  </w:tcBorders>
                  <w:shd w:val="clear"/>
                  <w:vAlign w:val="center"/>
                </w:tcPr>
                <w:p w14:paraId="75F2CBAA">
                  <w:pPr>
                    <w:keepNext w:val="0"/>
                    <w:keepLines w:val="0"/>
                    <w:widowControl w:val="0"/>
                    <w:suppressLineNumbers w:val="0"/>
                    <w:adjustRightInd w:val="0"/>
                    <w:snapToGrid w:val="0"/>
                    <w:spacing w:before="0" w:beforeAutospacing="0" w:after="0" w:afterAutospacing="0"/>
                    <w:ind w:left="0" w:right="0"/>
                    <w:jc w:val="center"/>
                    <w:rPr>
                      <w:bCs/>
                      <w:color w:val="000000"/>
                      <w:szCs w:val="21"/>
                      <w:bdr w:val="none" w:color="auto" w:sz="0" w:space="0"/>
                      <w:lang w:val="en-US"/>
                    </w:rPr>
                  </w:pPr>
                  <w:r>
                    <w:rPr>
                      <w:rFonts w:hint="eastAsia" w:ascii="Calibri" w:hAnsi="宋体" w:eastAsia="宋体" w:cs="宋体"/>
                      <w:bCs/>
                      <w:color w:val="000000"/>
                      <w:kern w:val="2"/>
                      <w:sz w:val="21"/>
                      <w:szCs w:val="21"/>
                      <w:bdr w:val="none" w:color="auto" w:sz="0" w:space="0"/>
                      <w:lang w:val="en-US" w:eastAsia="zh-CN" w:bidi="ar"/>
                    </w:rPr>
                    <w:t>专用容器密封收集</w:t>
                  </w:r>
                </w:p>
              </w:tc>
              <w:tc>
                <w:tcPr>
                  <w:tcW w:w="1584" w:type="dxa"/>
                  <w:tcBorders>
                    <w:top w:val="single" w:color="auto" w:sz="4" w:space="0"/>
                    <w:left w:val="single" w:color="auto" w:sz="4" w:space="0"/>
                    <w:bottom w:val="single" w:color="auto" w:sz="4" w:space="0"/>
                    <w:right w:val="single" w:color="auto" w:sz="4" w:space="0"/>
                  </w:tcBorders>
                  <w:shd w:val="clear"/>
                  <w:vAlign w:val="center"/>
                </w:tcPr>
                <w:p w14:paraId="0ADF4FA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0.036</w:t>
                  </w:r>
                </w:p>
              </w:tc>
              <w:tc>
                <w:tcPr>
                  <w:tcW w:w="1567" w:type="dxa"/>
                  <w:tcBorders>
                    <w:top w:val="single" w:color="auto" w:sz="4" w:space="0"/>
                    <w:left w:val="single" w:color="auto" w:sz="4" w:space="0"/>
                    <w:bottom w:val="single" w:color="auto" w:sz="4" w:space="0"/>
                    <w:right w:val="nil"/>
                  </w:tcBorders>
                  <w:shd w:val="clear"/>
                  <w:vAlign w:val="center"/>
                </w:tcPr>
                <w:p w14:paraId="1442AF1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eastAsia" w:ascii="Times New Roman" w:hAnsi="Times New Roman" w:eastAsia="宋体" w:cs="宋体"/>
                      <w:bCs/>
                      <w:color w:val="000000"/>
                      <w:kern w:val="2"/>
                      <w:sz w:val="21"/>
                      <w:szCs w:val="21"/>
                      <w:bdr w:val="none" w:color="auto" w:sz="0" w:space="0"/>
                      <w:lang w:val="en-US" w:eastAsia="zh-CN" w:bidi="ar"/>
                    </w:rPr>
                    <w:t>常温常压储存</w:t>
                  </w:r>
                </w:p>
              </w:tc>
            </w:tr>
            <w:tr w14:paraId="2F55E46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488" w:type="dxa"/>
                  <w:tcBorders>
                    <w:top w:val="single" w:color="auto" w:sz="4" w:space="0"/>
                    <w:left w:val="nil"/>
                    <w:bottom w:val="single" w:color="auto" w:sz="12" w:space="0"/>
                    <w:right w:val="single" w:color="auto" w:sz="4" w:space="0"/>
                  </w:tcBorders>
                  <w:shd w:val="clear"/>
                  <w:vAlign w:val="center"/>
                </w:tcPr>
                <w:p w14:paraId="0F2E66F3">
                  <w:pPr>
                    <w:keepNext w:val="0"/>
                    <w:keepLines w:val="0"/>
                    <w:widowControl w:val="0"/>
                    <w:suppressLineNumbers w:val="0"/>
                    <w:adjustRightInd w:val="0"/>
                    <w:snapToGrid w:val="0"/>
                    <w:spacing w:before="0" w:beforeAutospacing="0" w:after="0" w:afterAutospacing="0" w:line="300" w:lineRule="exact"/>
                    <w:ind w:left="0" w:right="0"/>
                    <w:jc w:val="center"/>
                    <w:rPr>
                      <w:rFonts w:hAnsi="宋体"/>
                      <w:bCs/>
                      <w:color w:val="000000"/>
                      <w:szCs w:val="21"/>
                      <w:bdr w:val="none" w:color="auto" w:sz="0" w:space="0"/>
                      <w:lang w:val="en-US"/>
                    </w:rPr>
                  </w:pPr>
                  <w:r>
                    <w:rPr>
                      <w:rFonts w:hint="eastAsia" w:ascii="Calibri" w:hAnsi="宋体" w:eastAsia="宋体" w:cs="宋体"/>
                      <w:bCs/>
                      <w:color w:val="000000"/>
                      <w:kern w:val="2"/>
                      <w:sz w:val="21"/>
                      <w:szCs w:val="21"/>
                      <w:bdr w:val="none" w:color="auto" w:sz="0" w:space="0"/>
                      <w:lang w:val="en-US" w:eastAsia="zh-CN" w:bidi="ar"/>
                    </w:rPr>
                    <w:t>原料泡棉</w:t>
                  </w:r>
                </w:p>
              </w:tc>
              <w:tc>
                <w:tcPr>
                  <w:tcW w:w="1631" w:type="dxa"/>
                  <w:tcBorders>
                    <w:top w:val="single" w:color="auto" w:sz="4" w:space="0"/>
                    <w:left w:val="single" w:color="auto" w:sz="4" w:space="0"/>
                    <w:bottom w:val="single" w:color="auto" w:sz="12" w:space="0"/>
                    <w:right w:val="single" w:color="auto" w:sz="4" w:space="0"/>
                  </w:tcBorders>
                  <w:shd w:val="clear"/>
                  <w:vAlign w:val="center"/>
                </w:tcPr>
                <w:p w14:paraId="02E1980A">
                  <w:pPr>
                    <w:keepNext w:val="0"/>
                    <w:keepLines w:val="0"/>
                    <w:widowControl w:val="0"/>
                    <w:suppressLineNumbers w:val="0"/>
                    <w:adjustRightInd w:val="0"/>
                    <w:snapToGrid w:val="0"/>
                    <w:spacing w:before="0" w:beforeAutospacing="0" w:after="0" w:afterAutospacing="0" w:line="300" w:lineRule="exact"/>
                    <w:ind w:left="0" w:right="0"/>
                    <w:jc w:val="center"/>
                    <w:rPr>
                      <w:rFonts w:hAnsi="宋体"/>
                      <w:bCs/>
                      <w:color w:val="000000"/>
                      <w:szCs w:val="21"/>
                      <w:bdr w:val="none" w:color="auto" w:sz="0" w:space="0"/>
                      <w:lang w:val="en-US"/>
                    </w:rPr>
                  </w:pPr>
                  <w:r>
                    <w:rPr>
                      <w:rFonts w:hint="eastAsia" w:ascii="Calibri" w:hAnsi="宋体" w:eastAsia="宋体" w:cs="宋体"/>
                      <w:bCs/>
                      <w:color w:val="000000"/>
                      <w:kern w:val="2"/>
                      <w:sz w:val="21"/>
                      <w:szCs w:val="21"/>
                      <w:bdr w:val="none" w:color="auto" w:sz="0" w:space="0"/>
                      <w:lang w:val="en-US" w:eastAsia="zh-CN" w:bidi="ar"/>
                    </w:rPr>
                    <w:t>原材料库房</w:t>
                  </w:r>
                </w:p>
              </w:tc>
              <w:tc>
                <w:tcPr>
                  <w:tcW w:w="1676" w:type="dxa"/>
                  <w:tcBorders>
                    <w:top w:val="single" w:color="auto" w:sz="4" w:space="0"/>
                    <w:left w:val="single" w:color="auto" w:sz="4" w:space="0"/>
                    <w:bottom w:val="single" w:color="auto" w:sz="12" w:space="0"/>
                    <w:right w:val="single" w:color="auto" w:sz="4" w:space="0"/>
                  </w:tcBorders>
                  <w:shd w:val="clear"/>
                  <w:vAlign w:val="center"/>
                </w:tcPr>
                <w:p w14:paraId="177FCDC6">
                  <w:pPr>
                    <w:keepNext w:val="0"/>
                    <w:keepLines w:val="0"/>
                    <w:widowControl w:val="0"/>
                    <w:suppressLineNumbers w:val="0"/>
                    <w:adjustRightInd w:val="0"/>
                    <w:snapToGrid w:val="0"/>
                    <w:spacing w:before="0" w:beforeAutospacing="0" w:after="0" w:afterAutospacing="0" w:line="300" w:lineRule="exact"/>
                    <w:ind w:left="0" w:right="0"/>
                    <w:jc w:val="center"/>
                    <w:rPr>
                      <w:rFonts w:hAnsi="宋体"/>
                      <w:bCs/>
                      <w:color w:val="000000"/>
                      <w:szCs w:val="21"/>
                      <w:bdr w:val="none" w:color="auto" w:sz="0" w:space="0"/>
                      <w:lang w:val="en-US"/>
                    </w:rPr>
                  </w:pPr>
                  <w:r>
                    <w:rPr>
                      <w:rFonts w:hint="eastAsia" w:ascii="Calibri" w:hAnsi="宋体" w:eastAsia="宋体" w:cs="宋体"/>
                      <w:bCs/>
                      <w:color w:val="000000"/>
                      <w:kern w:val="2"/>
                      <w:sz w:val="21"/>
                      <w:szCs w:val="21"/>
                      <w:bdr w:val="none" w:color="auto" w:sz="0" w:space="0"/>
                      <w:lang w:val="en-US" w:eastAsia="zh-CN" w:bidi="ar"/>
                    </w:rPr>
                    <w:t>袋装存储</w:t>
                  </w:r>
                </w:p>
              </w:tc>
              <w:tc>
                <w:tcPr>
                  <w:tcW w:w="1584" w:type="dxa"/>
                  <w:tcBorders>
                    <w:top w:val="single" w:color="auto" w:sz="4" w:space="0"/>
                    <w:left w:val="single" w:color="auto" w:sz="4" w:space="0"/>
                    <w:bottom w:val="single" w:color="auto" w:sz="12" w:space="0"/>
                    <w:right w:val="single" w:color="auto" w:sz="4" w:space="0"/>
                  </w:tcBorders>
                  <w:shd w:val="clear"/>
                  <w:vAlign w:val="center"/>
                </w:tcPr>
                <w:p w14:paraId="39858F7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3000m</w:t>
                  </w:r>
                  <w:r>
                    <w:rPr>
                      <w:rFonts w:hint="default" w:ascii="Times New Roman" w:hAnsi="Times New Roman" w:eastAsia="宋体" w:cs="Times New Roman"/>
                      <w:color w:val="000000"/>
                      <w:kern w:val="2"/>
                      <w:sz w:val="21"/>
                      <w:szCs w:val="21"/>
                      <w:bdr w:val="none" w:color="auto" w:sz="0" w:space="0"/>
                      <w:vertAlign w:val="superscript"/>
                      <w:lang w:val="en-US" w:eastAsia="zh-CN" w:bidi="ar"/>
                    </w:rPr>
                    <w:t>2</w:t>
                  </w:r>
                </w:p>
              </w:tc>
              <w:tc>
                <w:tcPr>
                  <w:tcW w:w="1567" w:type="dxa"/>
                  <w:tcBorders>
                    <w:top w:val="single" w:color="auto" w:sz="4" w:space="0"/>
                    <w:left w:val="single" w:color="auto" w:sz="4" w:space="0"/>
                    <w:bottom w:val="single" w:color="auto" w:sz="12" w:space="0"/>
                    <w:right w:val="nil"/>
                  </w:tcBorders>
                  <w:shd w:val="clear"/>
                  <w:vAlign w:val="center"/>
                </w:tcPr>
                <w:p w14:paraId="7407F5F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bdr w:val="none" w:color="auto" w:sz="0" w:space="0"/>
                      <w:lang w:val="en-US"/>
                    </w:rPr>
                  </w:pPr>
                  <w:r>
                    <w:rPr>
                      <w:rFonts w:hint="default" w:ascii="Times New Roman" w:hAnsi="Times New Roman" w:eastAsia="宋体" w:cs="Times New Roman"/>
                      <w:bCs/>
                      <w:color w:val="000000"/>
                      <w:kern w:val="2"/>
                      <w:sz w:val="21"/>
                      <w:szCs w:val="21"/>
                      <w:bdr w:val="none" w:color="auto" w:sz="0" w:space="0"/>
                      <w:lang w:val="en-US" w:eastAsia="zh-CN" w:bidi="ar"/>
                    </w:rPr>
                    <w:t>/</w:t>
                  </w:r>
                </w:p>
              </w:tc>
            </w:tr>
          </w:tbl>
          <w:p w14:paraId="589407A4">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2</w:t>
            </w:r>
            <w:r>
              <w:rPr>
                <w:rFonts w:hint="eastAsia" w:ascii="Times New Roman" w:hAnsi="Times New Roman" w:eastAsia="宋体" w:cs="宋体"/>
                <w:color w:val="000000"/>
                <w:kern w:val="2"/>
                <w:sz w:val="24"/>
                <w:szCs w:val="24"/>
                <w:bdr w:val="none" w:color="auto" w:sz="0" w:space="0"/>
                <w:lang w:val="en-US" w:eastAsia="zh-CN" w:bidi="ar"/>
              </w:rPr>
              <w:t>、环境风险潜势初判</w:t>
            </w:r>
          </w:p>
          <w:p w14:paraId="45B98E14">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根据《建设项目环境风险评价技术导则》</w:t>
            </w:r>
            <w:r>
              <w:rPr>
                <w:rFonts w:hint="default" w:ascii="Times New Roman" w:hAnsi="Times New Roman" w:eastAsia="宋体" w:cs="Times New Roman"/>
                <w:color w:val="000000"/>
                <w:kern w:val="2"/>
                <w:sz w:val="24"/>
                <w:szCs w:val="24"/>
                <w:bdr w:val="none" w:color="auto" w:sz="0" w:space="0"/>
                <w:lang w:val="en-US" w:eastAsia="zh-CN" w:bidi="ar"/>
              </w:rPr>
              <w:t>(HJ 169-2018)</w:t>
            </w:r>
            <w:r>
              <w:rPr>
                <w:rFonts w:hint="eastAsia" w:ascii="Times New Roman" w:hAnsi="Times New Roman" w:eastAsia="宋体" w:cs="宋体"/>
                <w:color w:val="000000"/>
                <w:kern w:val="2"/>
                <w:sz w:val="24"/>
                <w:szCs w:val="24"/>
                <w:bdr w:val="none" w:color="auto" w:sz="0" w:space="0"/>
                <w:lang w:val="en-US" w:eastAsia="zh-CN" w:bidi="ar"/>
              </w:rPr>
              <w:t>附录</w:t>
            </w:r>
            <w:r>
              <w:rPr>
                <w:rFonts w:hint="default" w:ascii="Times New Roman" w:hAnsi="Times New Roman" w:eastAsia="宋体" w:cs="Times New Roman"/>
                <w:color w:val="000000"/>
                <w:kern w:val="2"/>
                <w:sz w:val="24"/>
                <w:szCs w:val="24"/>
                <w:bdr w:val="none" w:color="auto" w:sz="0" w:space="0"/>
                <w:lang w:val="en-US" w:eastAsia="zh-CN" w:bidi="ar"/>
              </w:rPr>
              <w:t>B</w:t>
            </w:r>
            <w:r>
              <w:rPr>
                <w:rFonts w:hint="eastAsia" w:ascii="Times New Roman" w:hAnsi="Times New Roman" w:eastAsia="宋体" w:cs="宋体"/>
                <w:color w:val="000000"/>
                <w:kern w:val="2"/>
                <w:sz w:val="24"/>
                <w:szCs w:val="24"/>
                <w:bdr w:val="none" w:color="auto" w:sz="0" w:space="0"/>
                <w:lang w:val="en-US" w:eastAsia="zh-CN" w:bidi="ar"/>
              </w:rPr>
              <w:t>：背胶处理剂按危害水环境物质（急性毒性类别</w:t>
            </w:r>
            <w:r>
              <w:rPr>
                <w:rFonts w:hint="default" w:ascii="Times New Roman" w:hAnsi="Times New Roman" w:eastAsia="宋体" w:cs="Times New Roman"/>
                <w:color w:val="000000"/>
                <w:kern w:val="2"/>
                <w:sz w:val="24"/>
                <w:szCs w:val="24"/>
                <w:bdr w:val="none" w:color="auto" w:sz="0" w:space="0"/>
                <w:lang w:val="en-US" w:eastAsia="zh-CN" w:bidi="ar"/>
              </w:rPr>
              <w:t>1</w:t>
            </w:r>
            <w:r>
              <w:rPr>
                <w:rFonts w:hint="eastAsia" w:ascii="Times New Roman" w:hAnsi="Times New Roman" w:eastAsia="宋体" w:cs="宋体"/>
                <w:color w:val="000000"/>
                <w:kern w:val="2"/>
                <w:sz w:val="24"/>
                <w:szCs w:val="24"/>
                <w:bdr w:val="none" w:color="auto" w:sz="0" w:space="0"/>
                <w:lang w:val="en-US" w:eastAsia="zh-CN" w:bidi="ar"/>
              </w:rPr>
              <w:t>）推荐临界量取</w:t>
            </w:r>
            <w:r>
              <w:rPr>
                <w:rFonts w:hint="default" w:ascii="Times New Roman" w:hAnsi="Times New Roman" w:eastAsia="宋体" w:cs="Times New Roman"/>
                <w:color w:val="000000"/>
                <w:kern w:val="2"/>
                <w:sz w:val="24"/>
                <w:szCs w:val="24"/>
                <w:bdr w:val="none" w:color="auto" w:sz="0" w:space="0"/>
                <w:lang w:val="en-US" w:eastAsia="zh-CN" w:bidi="ar"/>
              </w:rPr>
              <w:t>100t</w:t>
            </w:r>
            <w:r>
              <w:rPr>
                <w:rFonts w:hint="eastAsia" w:ascii="Times New Roman" w:hAnsi="Times New Roman" w:eastAsia="宋体" w:cs="宋体"/>
                <w:color w:val="000000"/>
                <w:kern w:val="2"/>
                <w:sz w:val="24"/>
                <w:szCs w:val="24"/>
                <w:bdr w:val="none" w:color="auto" w:sz="0" w:space="0"/>
                <w:lang w:val="en-US" w:eastAsia="zh-CN" w:bidi="ar"/>
              </w:rPr>
              <w:t>；废润滑油临界量取</w:t>
            </w:r>
            <w:r>
              <w:rPr>
                <w:rFonts w:hint="default" w:ascii="Times New Roman" w:hAnsi="Times New Roman" w:eastAsia="宋体" w:cs="Times New Roman"/>
                <w:color w:val="000000"/>
                <w:kern w:val="2"/>
                <w:sz w:val="24"/>
                <w:szCs w:val="24"/>
                <w:bdr w:val="none" w:color="auto" w:sz="0" w:space="0"/>
                <w:lang w:val="en-US" w:eastAsia="zh-CN" w:bidi="ar"/>
              </w:rPr>
              <w:t>2500t</w:t>
            </w:r>
            <w:r>
              <w:rPr>
                <w:rFonts w:hint="eastAsia" w:ascii="Times New Roman" w:hAnsi="Times New Roman" w:eastAsia="宋体" w:cs="宋体"/>
                <w:color w:val="000000"/>
                <w:kern w:val="2"/>
                <w:sz w:val="24"/>
                <w:szCs w:val="24"/>
                <w:bdr w:val="none" w:color="auto" w:sz="0" w:space="0"/>
                <w:lang w:val="en-US" w:eastAsia="zh-CN" w:bidi="ar"/>
              </w:rPr>
              <w:t>；废活性炭和废</w:t>
            </w:r>
            <w:r>
              <w:rPr>
                <w:rFonts w:hint="default" w:ascii="Times New Roman" w:hAnsi="Times New Roman" w:eastAsia="宋体" w:cs="Times New Roman"/>
                <w:color w:val="000000"/>
                <w:kern w:val="2"/>
                <w:sz w:val="24"/>
                <w:szCs w:val="24"/>
                <w:bdr w:val="none" w:color="auto" w:sz="0" w:space="0"/>
                <w:lang w:val="en-US" w:eastAsia="zh-CN" w:bidi="ar"/>
              </w:rPr>
              <w:t>UV</w:t>
            </w:r>
            <w:r>
              <w:rPr>
                <w:rFonts w:hint="eastAsia" w:ascii="Times New Roman" w:hAnsi="Times New Roman" w:eastAsia="宋体" w:cs="宋体"/>
                <w:color w:val="000000"/>
                <w:kern w:val="2"/>
                <w:sz w:val="24"/>
                <w:szCs w:val="24"/>
                <w:bdr w:val="none" w:color="auto" w:sz="0" w:space="0"/>
                <w:lang w:val="en-US" w:eastAsia="zh-CN" w:bidi="ar"/>
              </w:rPr>
              <w:t>灯管按健康危险急性毒性物质（类别</w:t>
            </w:r>
            <w:r>
              <w:rPr>
                <w:rFonts w:hint="default" w:ascii="Times New Roman" w:hAnsi="Times New Roman" w:eastAsia="宋体" w:cs="Times New Roman"/>
                <w:color w:val="000000"/>
                <w:kern w:val="2"/>
                <w:sz w:val="24"/>
                <w:szCs w:val="24"/>
                <w:bdr w:val="none" w:color="auto" w:sz="0" w:space="0"/>
                <w:lang w:val="en-US" w:eastAsia="zh-CN" w:bidi="ar"/>
              </w:rPr>
              <w:t>2</w:t>
            </w:r>
            <w:r>
              <w:rPr>
                <w:rFonts w:hint="eastAsia" w:ascii="Times New Roman" w:hAnsi="Times New Roman" w:eastAsia="宋体" w:cs="宋体"/>
                <w:color w:val="000000"/>
                <w:kern w:val="2"/>
                <w:sz w:val="24"/>
                <w:szCs w:val="24"/>
                <w:bdr w:val="none" w:color="auto" w:sz="0" w:space="0"/>
                <w:lang w:val="en-US" w:eastAsia="zh-CN" w:bidi="ar"/>
              </w:rPr>
              <w:t>，类别</w:t>
            </w:r>
            <w:r>
              <w:rPr>
                <w:rFonts w:hint="default" w:ascii="Times New Roman" w:hAnsi="Times New Roman" w:eastAsia="宋体" w:cs="Times New Roman"/>
                <w:color w:val="000000"/>
                <w:kern w:val="2"/>
                <w:sz w:val="24"/>
                <w:szCs w:val="24"/>
                <w:bdr w:val="none" w:color="auto" w:sz="0" w:space="0"/>
                <w:lang w:val="en-US" w:eastAsia="zh-CN" w:bidi="ar"/>
              </w:rPr>
              <w:t>3</w:t>
            </w:r>
            <w:r>
              <w:rPr>
                <w:rFonts w:hint="eastAsia" w:ascii="Times New Roman" w:hAnsi="Times New Roman" w:eastAsia="宋体" w:cs="宋体"/>
                <w:color w:val="000000"/>
                <w:kern w:val="2"/>
                <w:sz w:val="24"/>
                <w:szCs w:val="24"/>
                <w:bdr w:val="none" w:color="auto" w:sz="0" w:space="0"/>
                <w:lang w:val="en-US" w:eastAsia="zh-CN" w:bidi="ar"/>
              </w:rPr>
              <w:t>）推荐临界量取</w:t>
            </w:r>
            <w:r>
              <w:rPr>
                <w:rFonts w:hint="default" w:ascii="Times New Roman" w:hAnsi="Times New Roman" w:eastAsia="宋体" w:cs="Times New Roman"/>
                <w:color w:val="000000"/>
                <w:kern w:val="2"/>
                <w:sz w:val="24"/>
                <w:szCs w:val="24"/>
                <w:bdr w:val="none" w:color="auto" w:sz="0" w:space="0"/>
                <w:lang w:val="en-US" w:eastAsia="zh-CN" w:bidi="ar"/>
              </w:rPr>
              <w:t>50t</w:t>
            </w:r>
            <w:r>
              <w:rPr>
                <w:rFonts w:hint="eastAsia" w:ascii="Times New Roman" w:hAnsi="Times New Roman" w:eastAsia="宋体" w:cs="宋体"/>
                <w:color w:val="000000"/>
                <w:kern w:val="2"/>
                <w:sz w:val="24"/>
                <w:szCs w:val="24"/>
                <w:bdr w:val="none" w:color="auto" w:sz="0" w:space="0"/>
                <w:lang w:val="en-US" w:eastAsia="zh-CN" w:bidi="ar"/>
              </w:rPr>
              <w:t>；泡棉不在附录</w:t>
            </w:r>
            <w:r>
              <w:rPr>
                <w:rFonts w:hint="default" w:ascii="Times New Roman" w:hAnsi="Times New Roman" w:eastAsia="宋体" w:cs="Times New Roman"/>
                <w:color w:val="000000"/>
                <w:kern w:val="2"/>
                <w:sz w:val="24"/>
                <w:szCs w:val="24"/>
                <w:bdr w:val="none" w:color="auto" w:sz="0" w:space="0"/>
                <w:lang w:val="en-US" w:eastAsia="zh-CN" w:bidi="ar"/>
              </w:rPr>
              <w:t>B</w:t>
            </w:r>
            <w:r>
              <w:rPr>
                <w:rFonts w:hint="eastAsia" w:ascii="Times New Roman" w:hAnsi="Times New Roman" w:eastAsia="宋体" w:cs="宋体"/>
                <w:color w:val="000000"/>
                <w:kern w:val="2"/>
                <w:sz w:val="24"/>
                <w:szCs w:val="24"/>
                <w:bdr w:val="none" w:color="auto" w:sz="0" w:space="0"/>
                <w:lang w:val="en-US" w:eastAsia="zh-CN" w:bidi="ar"/>
              </w:rPr>
              <w:t>中，本评价仅对泡棉的风险性进行定性分析，不对泡棉</w:t>
            </w:r>
            <w:r>
              <w:rPr>
                <w:rFonts w:hint="default" w:ascii="Times New Roman" w:hAnsi="Times New Roman" w:eastAsia="宋体" w:cs="Times New Roman"/>
                <w:color w:val="000000"/>
                <w:kern w:val="2"/>
                <w:sz w:val="24"/>
                <w:szCs w:val="24"/>
                <w:bdr w:val="none" w:color="auto" w:sz="0" w:space="0"/>
                <w:lang w:val="en-US" w:eastAsia="zh-CN" w:bidi="ar"/>
              </w:rPr>
              <w:t>Q</w:t>
            </w:r>
            <w:r>
              <w:rPr>
                <w:rFonts w:hint="eastAsia" w:ascii="Times New Roman" w:hAnsi="Times New Roman" w:eastAsia="宋体" w:cs="宋体"/>
                <w:color w:val="000000"/>
                <w:kern w:val="2"/>
                <w:sz w:val="24"/>
                <w:szCs w:val="24"/>
                <w:bdr w:val="none" w:color="auto" w:sz="0" w:space="0"/>
                <w:lang w:val="en-US" w:eastAsia="zh-CN" w:bidi="ar"/>
              </w:rPr>
              <w:t>值进行核算。</w:t>
            </w:r>
          </w:p>
          <w:p w14:paraId="59EBBE28">
            <w:pPr>
              <w:keepNext w:val="0"/>
              <w:keepLines w:val="0"/>
              <w:widowControl w:val="0"/>
              <w:suppressLineNumbers w:val="0"/>
              <w:snapToGrid w:val="0"/>
              <w:spacing w:before="0" w:beforeAutospacing="0" w:after="0" w:afterAutospacing="0" w:line="440" w:lineRule="exact"/>
              <w:ind w:left="0" w:right="0" w:firstLine="480"/>
              <w:jc w:val="center"/>
              <w:rPr>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表</w:t>
            </w:r>
            <w:r>
              <w:rPr>
                <w:rFonts w:hint="default" w:ascii="Times New Roman" w:hAnsi="Times New Roman" w:eastAsia="宋体" w:cs="Times New Roman"/>
                <w:color w:val="000000"/>
                <w:kern w:val="2"/>
                <w:sz w:val="24"/>
                <w:szCs w:val="24"/>
                <w:bdr w:val="none" w:color="auto" w:sz="0" w:space="0"/>
                <w:lang w:val="en-US" w:eastAsia="zh-CN" w:bidi="ar"/>
              </w:rPr>
              <w:t xml:space="preserve">4.7-3 </w:t>
            </w:r>
            <w:r>
              <w:rPr>
                <w:rFonts w:hint="eastAsia" w:ascii="Times New Roman" w:hAnsi="Calibri" w:eastAsia="宋体" w:cs="宋体"/>
                <w:color w:val="000000"/>
                <w:kern w:val="2"/>
                <w:sz w:val="24"/>
                <w:szCs w:val="24"/>
                <w:bdr w:val="none" w:color="auto" w:sz="0" w:space="0"/>
                <w:lang w:val="en-US" w:eastAsia="zh-CN" w:bidi="ar"/>
              </w:rPr>
              <w:t>环境风险物质</w:t>
            </w:r>
            <w:r>
              <w:rPr>
                <w:rFonts w:hint="default" w:ascii="Times New Roman" w:hAnsi="Calibri" w:eastAsia="宋体" w:cs="Times New Roman"/>
                <w:color w:val="000000"/>
                <w:kern w:val="2"/>
                <w:sz w:val="24"/>
                <w:szCs w:val="24"/>
                <w:bdr w:val="none" w:color="auto" w:sz="0" w:space="0"/>
                <w:lang w:val="en-US" w:eastAsia="zh-CN" w:bidi="ar"/>
              </w:rPr>
              <w:t>Q</w:t>
            </w:r>
            <w:r>
              <w:rPr>
                <w:rFonts w:hint="eastAsia" w:ascii="Times New Roman" w:hAnsi="Calibri" w:eastAsia="宋体" w:cs="宋体"/>
                <w:color w:val="000000"/>
                <w:kern w:val="2"/>
                <w:sz w:val="24"/>
                <w:szCs w:val="24"/>
                <w:bdr w:val="none" w:color="auto" w:sz="0" w:space="0"/>
                <w:lang w:val="en-US" w:eastAsia="zh-CN" w:bidi="ar"/>
              </w:rPr>
              <w:t>值计算</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tblLayout w:type="fixed"/>
              <w:tblCellMar>
                <w:top w:w="0" w:type="dxa"/>
                <w:left w:w="108" w:type="dxa"/>
                <w:bottom w:w="0" w:type="dxa"/>
                <w:right w:w="108" w:type="dxa"/>
              </w:tblCellMar>
            </w:tblPr>
            <w:tblGrid>
              <w:gridCol w:w="757"/>
              <w:gridCol w:w="1569"/>
              <w:gridCol w:w="1275"/>
              <w:gridCol w:w="1844"/>
              <w:gridCol w:w="1276"/>
              <w:gridCol w:w="1226"/>
            </w:tblGrid>
            <w:tr w14:paraId="072183BE">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tblCellMar>
                  <w:top w:w="0" w:type="dxa"/>
                  <w:left w:w="108" w:type="dxa"/>
                  <w:bottom w:w="0" w:type="dxa"/>
                  <w:right w:w="108" w:type="dxa"/>
                </w:tblCellMar>
              </w:tblPrEx>
              <w:trPr>
                <w:trHeight w:val="299" w:hRule="atLeast"/>
                <w:jc w:val="center"/>
              </w:trPr>
              <w:tc>
                <w:tcPr>
                  <w:tcW w:w="757" w:type="dxa"/>
                  <w:tcBorders>
                    <w:top w:val="single" w:color="auto" w:sz="12" w:space="0"/>
                    <w:left w:val="nil"/>
                    <w:bottom w:val="single" w:color="auto" w:sz="6" w:space="0"/>
                    <w:right w:val="single" w:color="auto" w:sz="6" w:space="0"/>
                  </w:tcBorders>
                  <w:shd w:val="clear"/>
                  <w:vAlign w:val="center"/>
                </w:tcPr>
                <w:p w14:paraId="7A02237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bdr w:val="none" w:color="auto" w:sz="0" w:space="0"/>
                      <w:lang w:val="en-US"/>
                    </w:rPr>
                  </w:pPr>
                  <w:r>
                    <w:rPr>
                      <w:rFonts w:hint="eastAsia" w:ascii="Times New Roman" w:hAnsi="宋体" w:eastAsia="宋体" w:cs="宋体"/>
                      <w:color w:val="000000"/>
                      <w:kern w:val="0"/>
                      <w:sz w:val="21"/>
                      <w:szCs w:val="24"/>
                      <w:bdr w:val="none" w:color="auto" w:sz="0" w:space="0"/>
                      <w:lang w:val="en-US" w:eastAsia="zh-CN" w:bidi="ar"/>
                    </w:rPr>
                    <w:t>序号</w:t>
                  </w:r>
                </w:p>
              </w:tc>
              <w:tc>
                <w:tcPr>
                  <w:tcW w:w="1569" w:type="dxa"/>
                  <w:tcBorders>
                    <w:top w:val="single" w:color="auto" w:sz="12" w:space="0"/>
                    <w:left w:val="single" w:color="auto" w:sz="6" w:space="0"/>
                    <w:bottom w:val="single" w:color="auto" w:sz="6" w:space="0"/>
                    <w:right w:val="single" w:color="auto" w:sz="6" w:space="0"/>
                  </w:tcBorders>
                  <w:shd w:val="clear"/>
                  <w:vAlign w:val="center"/>
                </w:tcPr>
                <w:p w14:paraId="6F5221D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bdr w:val="none" w:color="auto" w:sz="0" w:space="0"/>
                      <w:lang w:val="en-US"/>
                    </w:rPr>
                  </w:pPr>
                  <w:r>
                    <w:rPr>
                      <w:rFonts w:hint="eastAsia" w:ascii="Times New Roman" w:hAnsi="宋体" w:eastAsia="宋体" w:cs="宋体"/>
                      <w:color w:val="000000"/>
                      <w:kern w:val="0"/>
                      <w:sz w:val="21"/>
                      <w:szCs w:val="24"/>
                      <w:bdr w:val="none" w:color="auto" w:sz="0" w:space="0"/>
                      <w:lang w:val="en-US" w:eastAsia="zh-CN" w:bidi="ar"/>
                    </w:rPr>
                    <w:t>危险物质名称</w:t>
                  </w:r>
                </w:p>
              </w:tc>
              <w:tc>
                <w:tcPr>
                  <w:tcW w:w="1275" w:type="dxa"/>
                  <w:tcBorders>
                    <w:top w:val="single" w:color="auto" w:sz="12" w:space="0"/>
                    <w:left w:val="single" w:color="auto" w:sz="6" w:space="0"/>
                    <w:bottom w:val="single" w:color="auto" w:sz="6" w:space="0"/>
                    <w:right w:val="single" w:color="auto" w:sz="6" w:space="0"/>
                  </w:tcBorders>
                  <w:shd w:val="clear"/>
                  <w:vAlign w:val="center"/>
                </w:tcPr>
                <w:p w14:paraId="3041C05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bdr w:val="none" w:color="auto" w:sz="0" w:space="0"/>
                      <w:lang w:val="en-US"/>
                    </w:rPr>
                  </w:pPr>
                  <w:r>
                    <w:rPr>
                      <w:rFonts w:hint="eastAsia" w:ascii="Times New Roman" w:hAnsi="Times New Roman" w:eastAsia="宋体" w:cs="宋体"/>
                      <w:color w:val="000000"/>
                      <w:kern w:val="0"/>
                      <w:sz w:val="21"/>
                      <w:szCs w:val="24"/>
                      <w:bdr w:val="none" w:color="auto" w:sz="0" w:space="0"/>
                      <w:lang w:val="en-US" w:eastAsia="zh-CN" w:bidi="ar"/>
                    </w:rPr>
                    <w:t>所在位置</w:t>
                  </w:r>
                </w:p>
              </w:tc>
              <w:tc>
                <w:tcPr>
                  <w:tcW w:w="1843" w:type="dxa"/>
                  <w:tcBorders>
                    <w:top w:val="single" w:color="auto" w:sz="12" w:space="0"/>
                    <w:left w:val="single" w:color="auto" w:sz="6" w:space="0"/>
                    <w:bottom w:val="single" w:color="auto" w:sz="6" w:space="0"/>
                    <w:right w:val="single" w:color="auto" w:sz="6" w:space="0"/>
                  </w:tcBorders>
                  <w:shd w:val="clear"/>
                  <w:vAlign w:val="center"/>
                </w:tcPr>
                <w:p w14:paraId="4D0D0AD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bdr w:val="none" w:color="auto" w:sz="0" w:space="0"/>
                      <w:lang w:val="en-US"/>
                    </w:rPr>
                  </w:pPr>
                  <w:r>
                    <w:rPr>
                      <w:rFonts w:hint="eastAsia" w:ascii="Times New Roman" w:hAnsi="宋体" w:eastAsia="宋体" w:cs="宋体"/>
                      <w:color w:val="000000"/>
                      <w:kern w:val="0"/>
                      <w:sz w:val="21"/>
                      <w:szCs w:val="24"/>
                      <w:bdr w:val="none" w:color="auto" w:sz="0" w:space="0"/>
                      <w:lang w:val="en-US" w:eastAsia="zh-CN" w:bidi="ar"/>
                    </w:rPr>
                    <w:t>最大存在总量</w:t>
                  </w:r>
                  <w:r>
                    <w:rPr>
                      <w:rFonts w:hint="default" w:ascii="Times New Roman" w:hAnsi="Times New Roman" w:eastAsia="宋体" w:cs="Times New Roman"/>
                      <w:color w:val="000000"/>
                      <w:kern w:val="0"/>
                      <w:sz w:val="21"/>
                      <w:szCs w:val="24"/>
                      <w:bdr w:val="none" w:color="auto" w:sz="0" w:space="0"/>
                      <w:lang w:val="en-US" w:eastAsia="zh-CN" w:bidi="ar"/>
                    </w:rPr>
                    <w:t>q</w:t>
                  </w:r>
                  <w:r>
                    <w:rPr>
                      <w:rFonts w:hint="default" w:ascii="Times New Roman" w:hAnsi="Times New Roman" w:eastAsia="宋体" w:cs="Times New Roman"/>
                      <w:color w:val="000000"/>
                      <w:kern w:val="0"/>
                      <w:sz w:val="21"/>
                      <w:szCs w:val="24"/>
                      <w:bdr w:val="none" w:color="auto" w:sz="0" w:space="0"/>
                      <w:vertAlign w:val="subscript"/>
                      <w:lang w:val="en-US" w:eastAsia="zh-CN" w:bidi="ar"/>
                    </w:rPr>
                    <w:t>n</w:t>
                  </w:r>
                  <w:r>
                    <w:rPr>
                      <w:rFonts w:hint="default" w:ascii="Times New Roman" w:hAnsi="Times New Roman" w:eastAsia="宋体" w:cs="Times New Roman"/>
                      <w:color w:val="000000"/>
                      <w:kern w:val="0"/>
                      <w:sz w:val="21"/>
                      <w:szCs w:val="24"/>
                      <w:bdr w:val="none" w:color="auto" w:sz="0" w:space="0"/>
                      <w:lang w:val="en-US" w:eastAsia="zh-CN" w:bidi="ar"/>
                    </w:rPr>
                    <w:t>/t</w:t>
                  </w:r>
                </w:p>
              </w:tc>
              <w:tc>
                <w:tcPr>
                  <w:tcW w:w="1276" w:type="dxa"/>
                  <w:tcBorders>
                    <w:top w:val="single" w:color="auto" w:sz="12" w:space="0"/>
                    <w:left w:val="single" w:color="auto" w:sz="6" w:space="0"/>
                    <w:bottom w:val="single" w:color="auto" w:sz="6" w:space="0"/>
                    <w:right w:val="single" w:color="auto" w:sz="6" w:space="0"/>
                  </w:tcBorders>
                  <w:shd w:val="clear"/>
                  <w:vAlign w:val="center"/>
                </w:tcPr>
                <w:p w14:paraId="5D69BDB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bdr w:val="none" w:color="auto" w:sz="0" w:space="0"/>
                      <w:lang w:val="en-US"/>
                    </w:rPr>
                  </w:pPr>
                  <w:r>
                    <w:rPr>
                      <w:rFonts w:hint="eastAsia" w:ascii="Times New Roman" w:hAnsi="宋体" w:eastAsia="宋体" w:cs="宋体"/>
                      <w:color w:val="000000"/>
                      <w:kern w:val="0"/>
                      <w:sz w:val="21"/>
                      <w:szCs w:val="24"/>
                      <w:bdr w:val="none" w:color="auto" w:sz="0" w:space="0"/>
                      <w:lang w:val="en-US" w:eastAsia="zh-CN" w:bidi="ar"/>
                    </w:rPr>
                    <w:t>临界量</w:t>
                  </w:r>
                  <w:r>
                    <w:rPr>
                      <w:rFonts w:hint="default" w:ascii="Times New Roman" w:hAnsi="Times New Roman" w:eastAsia="宋体" w:cs="Times New Roman"/>
                      <w:color w:val="000000"/>
                      <w:kern w:val="0"/>
                      <w:sz w:val="21"/>
                      <w:szCs w:val="24"/>
                      <w:bdr w:val="none" w:color="auto" w:sz="0" w:space="0"/>
                      <w:lang w:val="en-US" w:eastAsia="zh-CN" w:bidi="ar"/>
                    </w:rPr>
                    <w:t>Qn/t</w:t>
                  </w:r>
                </w:p>
              </w:tc>
              <w:tc>
                <w:tcPr>
                  <w:tcW w:w="1226" w:type="dxa"/>
                  <w:tcBorders>
                    <w:top w:val="single" w:color="auto" w:sz="12" w:space="0"/>
                    <w:left w:val="single" w:color="auto" w:sz="6" w:space="0"/>
                    <w:bottom w:val="single" w:color="auto" w:sz="6" w:space="0"/>
                    <w:right w:val="nil"/>
                  </w:tcBorders>
                  <w:shd w:val="clear"/>
                  <w:vAlign w:val="center"/>
                </w:tcPr>
                <w:p w14:paraId="4237FD5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bdr w:val="none" w:color="auto" w:sz="0" w:space="0"/>
                      <w:lang w:val="en-US"/>
                    </w:rPr>
                  </w:pPr>
                  <w:r>
                    <w:rPr>
                      <w:rFonts w:hint="default" w:ascii="Times New Roman" w:hAnsi="Times New Roman" w:eastAsia="宋体" w:cs="Times New Roman"/>
                      <w:color w:val="000000"/>
                      <w:kern w:val="0"/>
                      <w:sz w:val="21"/>
                      <w:szCs w:val="24"/>
                      <w:bdr w:val="none" w:color="auto" w:sz="0" w:space="0"/>
                      <w:lang w:val="en-US" w:eastAsia="zh-CN" w:bidi="ar"/>
                    </w:rPr>
                    <w:t>Q</w:t>
                  </w:r>
                  <w:r>
                    <w:rPr>
                      <w:rFonts w:hint="eastAsia" w:ascii="Times New Roman" w:hAnsi="宋体" w:eastAsia="宋体" w:cs="宋体"/>
                      <w:color w:val="000000"/>
                      <w:kern w:val="0"/>
                      <w:sz w:val="21"/>
                      <w:szCs w:val="24"/>
                      <w:bdr w:val="none" w:color="auto" w:sz="0" w:space="0"/>
                      <w:lang w:val="en-US" w:eastAsia="zh-CN" w:bidi="ar"/>
                    </w:rPr>
                    <w:t>值</w:t>
                  </w:r>
                </w:p>
              </w:tc>
            </w:tr>
            <w:tr w14:paraId="6408E9C7">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757" w:type="dxa"/>
                  <w:tcBorders>
                    <w:top w:val="single" w:color="auto" w:sz="6" w:space="0"/>
                    <w:left w:val="nil"/>
                    <w:bottom w:val="single" w:color="auto" w:sz="6" w:space="0"/>
                    <w:right w:val="single" w:color="auto" w:sz="6" w:space="0"/>
                  </w:tcBorders>
                  <w:shd w:val="clear"/>
                  <w:vAlign w:val="center"/>
                </w:tcPr>
                <w:p w14:paraId="7E07C68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bdr w:val="none" w:color="auto" w:sz="0" w:space="0"/>
                      <w:lang w:val="en-US"/>
                    </w:rPr>
                  </w:pPr>
                  <w:r>
                    <w:rPr>
                      <w:rFonts w:hint="default" w:ascii="Times New Roman" w:hAnsi="Times New Roman" w:eastAsia="宋体" w:cs="Times New Roman"/>
                      <w:color w:val="000000"/>
                      <w:kern w:val="0"/>
                      <w:sz w:val="21"/>
                      <w:szCs w:val="24"/>
                      <w:bdr w:val="none" w:color="auto" w:sz="0" w:space="0"/>
                      <w:lang w:val="en-US" w:eastAsia="zh-CN" w:bidi="ar"/>
                    </w:rPr>
                    <w:t>1</w:t>
                  </w:r>
                </w:p>
              </w:tc>
              <w:tc>
                <w:tcPr>
                  <w:tcW w:w="1569" w:type="dxa"/>
                  <w:tcBorders>
                    <w:top w:val="single" w:color="auto" w:sz="6" w:space="0"/>
                    <w:left w:val="single" w:color="auto" w:sz="6" w:space="0"/>
                    <w:bottom w:val="single" w:color="auto" w:sz="6" w:space="0"/>
                    <w:right w:val="single" w:color="auto" w:sz="6" w:space="0"/>
                  </w:tcBorders>
                  <w:shd w:val="clear"/>
                  <w:vAlign w:val="center"/>
                </w:tcPr>
                <w:p w14:paraId="46C0195A">
                  <w:pPr>
                    <w:keepNext w:val="0"/>
                    <w:keepLines w:val="0"/>
                    <w:widowControl/>
                    <w:suppressLineNumbers w:val="0"/>
                    <w:spacing w:before="0" w:beforeAutospacing="0" w:after="0" w:afterAutospacing="0"/>
                    <w:ind w:left="0" w:right="0"/>
                    <w:jc w:val="center"/>
                    <w:rPr>
                      <w:rFonts w:hint="default" w:ascii="Times New Roman" w:hAnsi="宋体" w:cs="Times New Roman"/>
                      <w:color w:val="000000"/>
                      <w:kern w:val="0"/>
                      <w:bdr w:val="none" w:color="auto" w:sz="0" w:space="0"/>
                      <w:lang w:val="en-US"/>
                    </w:rPr>
                  </w:pPr>
                  <w:r>
                    <w:rPr>
                      <w:rFonts w:hint="eastAsia" w:ascii="Calibri" w:hAnsi="Calibri" w:eastAsia="宋体" w:cs="宋体"/>
                      <w:color w:val="000000"/>
                      <w:kern w:val="2"/>
                      <w:sz w:val="21"/>
                      <w:szCs w:val="24"/>
                      <w:bdr w:val="none" w:color="auto" w:sz="0" w:space="0"/>
                      <w:lang w:val="en-US" w:eastAsia="zh-CN" w:bidi="ar"/>
                    </w:rPr>
                    <w:t>背胶处理剂</w:t>
                  </w:r>
                </w:p>
              </w:tc>
              <w:tc>
                <w:tcPr>
                  <w:tcW w:w="1275" w:type="dxa"/>
                  <w:tcBorders>
                    <w:top w:val="single" w:color="auto" w:sz="6" w:space="0"/>
                    <w:left w:val="single" w:color="auto" w:sz="6" w:space="0"/>
                    <w:bottom w:val="single" w:color="auto" w:sz="6" w:space="0"/>
                    <w:right w:val="single" w:color="auto" w:sz="6" w:space="0"/>
                  </w:tcBorders>
                  <w:shd w:val="clear"/>
                  <w:vAlign w:val="center"/>
                </w:tcPr>
                <w:p w14:paraId="7338E7B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bdr w:val="none" w:color="auto" w:sz="0" w:space="0"/>
                      <w:lang w:val="en-US"/>
                    </w:rPr>
                  </w:pPr>
                  <w:r>
                    <w:rPr>
                      <w:rFonts w:hint="eastAsia" w:ascii="Calibri" w:hAnsi="宋体" w:eastAsia="宋体" w:cs="宋体"/>
                      <w:bCs/>
                      <w:color w:val="000000"/>
                      <w:kern w:val="2"/>
                      <w:sz w:val="21"/>
                      <w:szCs w:val="21"/>
                      <w:bdr w:val="none" w:color="auto" w:sz="0" w:space="0"/>
                      <w:lang w:val="en-US" w:eastAsia="zh-CN" w:bidi="ar"/>
                    </w:rPr>
                    <w:t>辅料间</w:t>
                  </w:r>
                </w:p>
              </w:tc>
              <w:tc>
                <w:tcPr>
                  <w:tcW w:w="1843" w:type="dxa"/>
                  <w:tcBorders>
                    <w:top w:val="single" w:color="auto" w:sz="6" w:space="0"/>
                    <w:left w:val="single" w:color="auto" w:sz="6" w:space="0"/>
                    <w:bottom w:val="single" w:color="auto" w:sz="6" w:space="0"/>
                    <w:right w:val="single" w:color="auto" w:sz="6" w:space="0"/>
                  </w:tcBorders>
                  <w:shd w:val="clear"/>
                  <w:vAlign w:val="center"/>
                </w:tcPr>
                <w:p w14:paraId="32050C3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bdr w:val="none" w:color="auto" w:sz="0" w:space="0"/>
                      <w:lang w:val="en-US"/>
                    </w:rPr>
                  </w:pPr>
                  <w:r>
                    <w:rPr>
                      <w:rFonts w:hint="default" w:ascii="Times New Roman" w:hAnsi="Times New Roman" w:eastAsia="宋体" w:cs="Times New Roman"/>
                      <w:color w:val="000000"/>
                      <w:kern w:val="0"/>
                      <w:sz w:val="21"/>
                      <w:szCs w:val="24"/>
                      <w:bdr w:val="none" w:color="auto" w:sz="0" w:space="0"/>
                      <w:lang w:val="en-US" w:eastAsia="zh-CN" w:bidi="ar"/>
                    </w:rPr>
                    <w:t>0.05</w:t>
                  </w:r>
                </w:p>
              </w:tc>
              <w:tc>
                <w:tcPr>
                  <w:tcW w:w="1276" w:type="dxa"/>
                  <w:tcBorders>
                    <w:top w:val="single" w:color="auto" w:sz="6" w:space="0"/>
                    <w:left w:val="single" w:color="auto" w:sz="6" w:space="0"/>
                    <w:bottom w:val="single" w:color="auto" w:sz="6" w:space="0"/>
                    <w:right w:val="single" w:color="auto" w:sz="6" w:space="0"/>
                  </w:tcBorders>
                  <w:shd w:val="clear"/>
                  <w:vAlign w:val="center"/>
                </w:tcPr>
                <w:p w14:paraId="31C34A1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bdr w:val="none" w:color="auto" w:sz="0" w:space="0"/>
                      <w:lang w:val="en-US"/>
                    </w:rPr>
                  </w:pPr>
                  <w:r>
                    <w:rPr>
                      <w:rFonts w:hint="default" w:ascii="Times New Roman" w:hAnsi="Times New Roman" w:eastAsia="宋体" w:cs="Times New Roman"/>
                      <w:color w:val="000000"/>
                      <w:kern w:val="0"/>
                      <w:sz w:val="21"/>
                      <w:szCs w:val="24"/>
                      <w:bdr w:val="none" w:color="auto" w:sz="0" w:space="0"/>
                      <w:lang w:val="en-US" w:eastAsia="zh-CN" w:bidi="ar"/>
                    </w:rPr>
                    <w:t>100</w:t>
                  </w:r>
                </w:p>
              </w:tc>
              <w:tc>
                <w:tcPr>
                  <w:tcW w:w="1226" w:type="dxa"/>
                  <w:tcBorders>
                    <w:top w:val="single" w:color="auto" w:sz="6" w:space="0"/>
                    <w:left w:val="single" w:color="auto" w:sz="6" w:space="0"/>
                    <w:bottom w:val="single" w:color="auto" w:sz="6" w:space="0"/>
                    <w:right w:val="nil"/>
                  </w:tcBorders>
                  <w:shd w:val="clear"/>
                  <w:vAlign w:val="center"/>
                </w:tcPr>
                <w:p w14:paraId="118194FE">
                  <w:pPr>
                    <w:pStyle w:val="28"/>
                    <w:widowControl/>
                    <w:rPr>
                      <w:color w:val="000000"/>
                      <w:bdr w:val="none" w:color="auto" w:sz="0" w:space="0"/>
                      <w:lang w:val="en-US"/>
                    </w:rPr>
                  </w:pPr>
                  <w:r>
                    <w:rPr>
                      <w:color w:val="000000"/>
                      <w:bdr w:val="none" w:color="auto" w:sz="0" w:space="0"/>
                      <w:lang w:val="en-US"/>
                    </w:rPr>
                    <w:t>0.0005</w:t>
                  </w:r>
                </w:p>
              </w:tc>
            </w:tr>
            <w:tr w14:paraId="748E9192">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757" w:type="dxa"/>
                  <w:tcBorders>
                    <w:top w:val="single" w:color="auto" w:sz="6" w:space="0"/>
                    <w:left w:val="nil"/>
                    <w:bottom w:val="single" w:color="auto" w:sz="6" w:space="0"/>
                    <w:right w:val="single" w:color="auto" w:sz="6" w:space="0"/>
                  </w:tcBorders>
                  <w:shd w:val="clear"/>
                  <w:vAlign w:val="center"/>
                </w:tcPr>
                <w:p w14:paraId="2E00531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bdr w:val="none" w:color="auto" w:sz="0" w:space="0"/>
                      <w:lang w:val="en-US"/>
                    </w:rPr>
                  </w:pPr>
                  <w:r>
                    <w:rPr>
                      <w:rFonts w:hint="default" w:ascii="Times New Roman" w:hAnsi="Times New Roman" w:eastAsia="宋体" w:cs="Times New Roman"/>
                      <w:color w:val="000000"/>
                      <w:kern w:val="0"/>
                      <w:sz w:val="21"/>
                      <w:szCs w:val="24"/>
                      <w:bdr w:val="none" w:color="auto" w:sz="0" w:space="0"/>
                      <w:lang w:val="en-US" w:eastAsia="zh-CN" w:bidi="ar"/>
                    </w:rPr>
                    <w:t>2</w:t>
                  </w:r>
                </w:p>
              </w:tc>
              <w:tc>
                <w:tcPr>
                  <w:tcW w:w="1569" w:type="dxa"/>
                  <w:tcBorders>
                    <w:top w:val="single" w:color="auto" w:sz="6" w:space="0"/>
                    <w:left w:val="single" w:color="auto" w:sz="6" w:space="0"/>
                    <w:bottom w:val="single" w:color="auto" w:sz="6" w:space="0"/>
                    <w:right w:val="single" w:color="auto" w:sz="6" w:space="0"/>
                  </w:tcBorders>
                  <w:shd w:val="clear"/>
                  <w:vAlign w:val="center"/>
                </w:tcPr>
                <w:p w14:paraId="70007D9A">
                  <w:pPr>
                    <w:keepNext w:val="0"/>
                    <w:keepLines w:val="0"/>
                    <w:widowControl/>
                    <w:suppressLineNumbers w:val="0"/>
                    <w:spacing w:before="0" w:beforeAutospacing="0" w:after="0" w:afterAutospacing="0"/>
                    <w:ind w:left="0" w:right="0"/>
                    <w:jc w:val="center"/>
                    <w:rPr>
                      <w:color w:val="000000"/>
                      <w:bdr w:val="none" w:color="auto" w:sz="0" w:space="0"/>
                      <w:lang w:val="en-US"/>
                    </w:rPr>
                  </w:pPr>
                  <w:r>
                    <w:rPr>
                      <w:rFonts w:hint="eastAsia" w:ascii="Calibri" w:hAnsi="宋体" w:eastAsia="宋体" w:cs="宋体"/>
                      <w:bCs/>
                      <w:color w:val="000000"/>
                      <w:kern w:val="2"/>
                      <w:sz w:val="21"/>
                      <w:szCs w:val="21"/>
                      <w:bdr w:val="none" w:color="auto" w:sz="0" w:space="0"/>
                      <w:lang w:val="en-US" w:eastAsia="zh-CN" w:bidi="ar"/>
                    </w:rPr>
                    <w:t>废润滑油</w:t>
                  </w:r>
                </w:p>
              </w:tc>
              <w:tc>
                <w:tcPr>
                  <w:tcW w:w="1275" w:type="dxa"/>
                  <w:vMerge w:val="restart"/>
                  <w:tcBorders>
                    <w:top w:val="single" w:color="auto" w:sz="6" w:space="0"/>
                    <w:left w:val="single" w:color="auto" w:sz="6" w:space="0"/>
                    <w:bottom w:val="single" w:color="auto" w:sz="6" w:space="0"/>
                    <w:right w:val="single" w:color="auto" w:sz="6" w:space="0"/>
                  </w:tcBorders>
                  <w:shd w:val="clear"/>
                  <w:vAlign w:val="center"/>
                </w:tcPr>
                <w:p w14:paraId="17E74B40">
                  <w:pPr>
                    <w:keepNext w:val="0"/>
                    <w:keepLines w:val="0"/>
                    <w:widowControl/>
                    <w:suppressLineNumbers w:val="0"/>
                    <w:spacing w:before="0" w:beforeAutospacing="0" w:after="0" w:afterAutospacing="0"/>
                    <w:ind w:left="0" w:right="0"/>
                    <w:jc w:val="center"/>
                    <w:rPr>
                      <w:rFonts w:hAnsi="宋体"/>
                      <w:bCs/>
                      <w:color w:val="000000"/>
                      <w:szCs w:val="21"/>
                      <w:bdr w:val="none" w:color="auto" w:sz="0" w:space="0"/>
                      <w:lang w:val="en-US"/>
                    </w:rPr>
                  </w:pPr>
                  <w:r>
                    <w:rPr>
                      <w:rFonts w:hint="eastAsia" w:ascii="Calibri" w:hAnsi="宋体" w:eastAsia="宋体" w:cs="宋体"/>
                      <w:bCs/>
                      <w:color w:val="000000"/>
                      <w:kern w:val="2"/>
                      <w:sz w:val="21"/>
                      <w:szCs w:val="21"/>
                      <w:bdr w:val="none" w:color="auto" w:sz="0" w:space="0"/>
                      <w:lang w:val="en-US" w:eastAsia="zh-CN" w:bidi="ar"/>
                    </w:rPr>
                    <w:t>危废贮存库</w:t>
                  </w:r>
                </w:p>
              </w:tc>
              <w:tc>
                <w:tcPr>
                  <w:tcW w:w="1843" w:type="dxa"/>
                  <w:tcBorders>
                    <w:top w:val="single" w:color="auto" w:sz="6" w:space="0"/>
                    <w:left w:val="single" w:color="auto" w:sz="6" w:space="0"/>
                    <w:bottom w:val="single" w:color="auto" w:sz="6" w:space="0"/>
                    <w:right w:val="single" w:color="auto" w:sz="6" w:space="0"/>
                  </w:tcBorders>
                  <w:shd w:val="clear"/>
                  <w:vAlign w:val="center"/>
                </w:tcPr>
                <w:p w14:paraId="654B852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bdr w:val="none" w:color="auto" w:sz="0" w:space="0"/>
                      <w:lang w:val="en-US"/>
                    </w:rPr>
                  </w:pPr>
                  <w:r>
                    <w:rPr>
                      <w:rFonts w:hint="default" w:ascii="Times New Roman" w:hAnsi="Times New Roman" w:eastAsia="宋体" w:cs="Times New Roman"/>
                      <w:color w:val="000000"/>
                      <w:kern w:val="0"/>
                      <w:sz w:val="21"/>
                      <w:szCs w:val="24"/>
                      <w:bdr w:val="none" w:color="auto" w:sz="0" w:space="0"/>
                      <w:lang w:val="en-US" w:eastAsia="zh-CN" w:bidi="ar"/>
                    </w:rPr>
                    <w:t>0.036</w:t>
                  </w:r>
                </w:p>
              </w:tc>
              <w:tc>
                <w:tcPr>
                  <w:tcW w:w="1276" w:type="dxa"/>
                  <w:tcBorders>
                    <w:top w:val="single" w:color="auto" w:sz="6" w:space="0"/>
                    <w:left w:val="single" w:color="auto" w:sz="6" w:space="0"/>
                    <w:bottom w:val="single" w:color="auto" w:sz="6" w:space="0"/>
                    <w:right w:val="single" w:color="auto" w:sz="6" w:space="0"/>
                  </w:tcBorders>
                  <w:shd w:val="clear"/>
                  <w:vAlign w:val="center"/>
                </w:tcPr>
                <w:p w14:paraId="07A34E3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bdr w:val="none" w:color="auto" w:sz="0" w:space="0"/>
                      <w:lang w:val="en-US"/>
                    </w:rPr>
                  </w:pPr>
                  <w:r>
                    <w:rPr>
                      <w:rFonts w:hint="default" w:ascii="Times New Roman" w:hAnsi="Times New Roman" w:eastAsia="宋体" w:cs="Times New Roman"/>
                      <w:color w:val="000000"/>
                      <w:kern w:val="0"/>
                      <w:sz w:val="21"/>
                      <w:szCs w:val="24"/>
                      <w:bdr w:val="none" w:color="auto" w:sz="0" w:space="0"/>
                      <w:lang w:val="en-US" w:eastAsia="zh-CN" w:bidi="ar"/>
                    </w:rPr>
                    <w:t>2500</w:t>
                  </w:r>
                </w:p>
              </w:tc>
              <w:tc>
                <w:tcPr>
                  <w:tcW w:w="1226" w:type="dxa"/>
                  <w:tcBorders>
                    <w:top w:val="single" w:color="auto" w:sz="6" w:space="0"/>
                    <w:left w:val="single" w:color="auto" w:sz="6" w:space="0"/>
                    <w:bottom w:val="single" w:color="auto" w:sz="6" w:space="0"/>
                    <w:right w:val="nil"/>
                  </w:tcBorders>
                  <w:shd w:val="clear"/>
                  <w:vAlign w:val="center"/>
                </w:tcPr>
                <w:p w14:paraId="06B8B104">
                  <w:pPr>
                    <w:pStyle w:val="28"/>
                    <w:widowControl/>
                    <w:rPr>
                      <w:snapToGrid w:val="0"/>
                      <w:color w:val="000000"/>
                      <w:bdr w:val="none" w:color="auto" w:sz="0" w:space="0"/>
                      <w:lang w:val="en-US"/>
                    </w:rPr>
                  </w:pPr>
                  <w:r>
                    <w:rPr>
                      <w:snapToGrid w:val="0"/>
                      <w:color w:val="000000"/>
                      <w:bdr w:val="none" w:color="auto" w:sz="0" w:space="0"/>
                      <w:lang w:val="en-US"/>
                    </w:rPr>
                    <w:t>0.000014</w:t>
                  </w:r>
                </w:p>
              </w:tc>
            </w:tr>
            <w:tr w14:paraId="4283763C">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107" w:hRule="atLeast"/>
                <w:jc w:val="center"/>
              </w:trPr>
              <w:tc>
                <w:tcPr>
                  <w:tcW w:w="757" w:type="dxa"/>
                  <w:tcBorders>
                    <w:top w:val="single" w:color="auto" w:sz="6" w:space="0"/>
                    <w:left w:val="nil"/>
                    <w:bottom w:val="single" w:color="auto" w:sz="6" w:space="0"/>
                    <w:right w:val="single" w:color="auto" w:sz="6" w:space="0"/>
                  </w:tcBorders>
                  <w:shd w:val="clear"/>
                  <w:vAlign w:val="center"/>
                </w:tcPr>
                <w:p w14:paraId="09CEDC3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bdr w:val="none" w:color="auto" w:sz="0" w:space="0"/>
                      <w:lang w:val="en-US"/>
                    </w:rPr>
                  </w:pPr>
                  <w:r>
                    <w:rPr>
                      <w:rFonts w:hint="default" w:ascii="Times New Roman" w:hAnsi="Times New Roman" w:eastAsia="宋体" w:cs="Times New Roman"/>
                      <w:color w:val="000000"/>
                      <w:kern w:val="0"/>
                      <w:sz w:val="21"/>
                      <w:szCs w:val="24"/>
                      <w:bdr w:val="none" w:color="auto" w:sz="0" w:space="0"/>
                      <w:lang w:val="en-US" w:eastAsia="zh-CN" w:bidi="ar"/>
                    </w:rPr>
                    <w:t>3</w:t>
                  </w:r>
                </w:p>
              </w:tc>
              <w:tc>
                <w:tcPr>
                  <w:tcW w:w="1569" w:type="dxa"/>
                  <w:tcBorders>
                    <w:top w:val="single" w:color="auto" w:sz="6" w:space="0"/>
                    <w:left w:val="single" w:color="auto" w:sz="6" w:space="0"/>
                    <w:bottom w:val="single" w:color="auto" w:sz="6" w:space="0"/>
                    <w:right w:val="single" w:color="auto" w:sz="6" w:space="0"/>
                  </w:tcBorders>
                  <w:shd w:val="clear"/>
                  <w:vAlign w:val="center"/>
                </w:tcPr>
                <w:p w14:paraId="6BCFEEAB">
                  <w:pPr>
                    <w:keepNext w:val="0"/>
                    <w:keepLines w:val="0"/>
                    <w:widowControl/>
                    <w:suppressLineNumbers w:val="0"/>
                    <w:spacing w:before="0" w:beforeAutospacing="0" w:after="0" w:afterAutospacing="0"/>
                    <w:ind w:left="0" w:right="0"/>
                    <w:jc w:val="center"/>
                    <w:rPr>
                      <w:rFonts w:hAnsi="宋体"/>
                      <w:bCs/>
                      <w:color w:val="000000"/>
                      <w:szCs w:val="21"/>
                      <w:bdr w:val="none" w:color="auto" w:sz="0" w:space="0"/>
                      <w:lang w:val="en-US"/>
                    </w:rPr>
                  </w:pPr>
                  <w:r>
                    <w:rPr>
                      <w:rFonts w:hint="eastAsia" w:ascii="Calibri" w:hAnsi="宋体" w:eastAsia="宋体" w:cs="宋体"/>
                      <w:bCs/>
                      <w:color w:val="000000"/>
                      <w:kern w:val="2"/>
                      <w:sz w:val="21"/>
                      <w:szCs w:val="21"/>
                      <w:bdr w:val="none" w:color="auto" w:sz="0" w:space="0"/>
                      <w:lang w:val="en-US" w:eastAsia="zh-CN" w:bidi="ar"/>
                    </w:rPr>
                    <w:t>废活性炭</w:t>
                  </w:r>
                </w:p>
              </w:tc>
              <w:tc>
                <w:tcPr>
                  <w:tcW w:w="1275" w:type="dxa"/>
                  <w:vMerge w:val="continue"/>
                  <w:tcBorders>
                    <w:top w:val="single" w:color="auto" w:sz="6" w:space="0"/>
                    <w:left w:val="single" w:color="auto" w:sz="6" w:space="0"/>
                    <w:bottom w:val="single" w:color="auto" w:sz="6" w:space="0"/>
                    <w:right w:val="single" w:color="auto" w:sz="6" w:space="0"/>
                  </w:tcBorders>
                  <w:shd w:val="clear"/>
                  <w:vAlign w:val="center"/>
                </w:tcPr>
                <w:p w14:paraId="717A2FF0">
                  <w:pPr>
                    <w:rPr>
                      <w:rFonts w:hint="default" w:ascii="Calibri" w:hAnsi="Calibri" w:cs="Calibri"/>
                      <w:sz w:val="20"/>
                      <w:szCs w:val="20"/>
                    </w:rPr>
                  </w:pPr>
                </w:p>
              </w:tc>
              <w:tc>
                <w:tcPr>
                  <w:tcW w:w="1843" w:type="dxa"/>
                  <w:tcBorders>
                    <w:top w:val="single" w:color="auto" w:sz="6" w:space="0"/>
                    <w:left w:val="single" w:color="auto" w:sz="6" w:space="0"/>
                    <w:bottom w:val="single" w:color="auto" w:sz="6" w:space="0"/>
                    <w:right w:val="single" w:color="auto" w:sz="6" w:space="0"/>
                  </w:tcBorders>
                  <w:shd w:val="clear"/>
                  <w:vAlign w:val="center"/>
                </w:tcPr>
                <w:p w14:paraId="5E83621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bdr w:val="none" w:color="auto" w:sz="0" w:space="0"/>
                      <w:lang w:val="en-US"/>
                    </w:rPr>
                  </w:pPr>
                  <w:r>
                    <w:rPr>
                      <w:rFonts w:hint="default" w:ascii="Times New Roman" w:hAnsi="Times New Roman" w:eastAsia="宋体" w:cs="Times New Roman"/>
                      <w:color w:val="000000"/>
                      <w:kern w:val="0"/>
                      <w:sz w:val="21"/>
                      <w:szCs w:val="24"/>
                      <w:bdr w:val="none" w:color="auto" w:sz="0" w:space="0"/>
                      <w:lang w:val="en-US" w:eastAsia="zh-CN" w:bidi="ar"/>
                    </w:rPr>
                    <w:t>2.494</w:t>
                  </w:r>
                </w:p>
              </w:tc>
              <w:tc>
                <w:tcPr>
                  <w:tcW w:w="1276" w:type="dxa"/>
                  <w:tcBorders>
                    <w:top w:val="single" w:color="auto" w:sz="6" w:space="0"/>
                    <w:left w:val="single" w:color="auto" w:sz="6" w:space="0"/>
                    <w:bottom w:val="single" w:color="auto" w:sz="6" w:space="0"/>
                    <w:right w:val="single" w:color="auto" w:sz="6" w:space="0"/>
                  </w:tcBorders>
                  <w:shd w:val="clear"/>
                  <w:vAlign w:val="center"/>
                </w:tcPr>
                <w:p w14:paraId="221AF9C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bdr w:val="none" w:color="auto" w:sz="0" w:space="0"/>
                      <w:lang w:val="en-US"/>
                    </w:rPr>
                  </w:pPr>
                  <w:r>
                    <w:rPr>
                      <w:rFonts w:hint="default" w:ascii="Times New Roman" w:hAnsi="Times New Roman" w:eastAsia="宋体" w:cs="Times New Roman"/>
                      <w:color w:val="000000"/>
                      <w:kern w:val="0"/>
                      <w:sz w:val="21"/>
                      <w:szCs w:val="24"/>
                      <w:bdr w:val="none" w:color="auto" w:sz="0" w:space="0"/>
                      <w:lang w:val="en-US" w:eastAsia="zh-CN" w:bidi="ar"/>
                    </w:rPr>
                    <w:t>50</w:t>
                  </w:r>
                </w:p>
              </w:tc>
              <w:tc>
                <w:tcPr>
                  <w:tcW w:w="1226" w:type="dxa"/>
                  <w:tcBorders>
                    <w:top w:val="single" w:color="auto" w:sz="6" w:space="0"/>
                    <w:left w:val="single" w:color="auto" w:sz="6" w:space="0"/>
                    <w:bottom w:val="single" w:color="auto" w:sz="6" w:space="0"/>
                    <w:right w:val="nil"/>
                  </w:tcBorders>
                  <w:shd w:val="clear"/>
                  <w:vAlign w:val="center"/>
                </w:tcPr>
                <w:p w14:paraId="335C3E98">
                  <w:pPr>
                    <w:pStyle w:val="28"/>
                    <w:widowControl/>
                    <w:rPr>
                      <w:snapToGrid w:val="0"/>
                      <w:color w:val="000000"/>
                      <w:bdr w:val="none" w:color="auto" w:sz="0" w:space="0"/>
                      <w:lang w:val="en-US"/>
                    </w:rPr>
                  </w:pPr>
                  <w:r>
                    <w:rPr>
                      <w:snapToGrid w:val="0"/>
                      <w:color w:val="000000"/>
                      <w:bdr w:val="none" w:color="auto" w:sz="0" w:space="0"/>
                      <w:lang w:val="en-US"/>
                    </w:rPr>
                    <w:t>0.04988</w:t>
                  </w:r>
                </w:p>
              </w:tc>
            </w:tr>
            <w:tr w14:paraId="54073D8B">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757" w:type="dxa"/>
                  <w:tcBorders>
                    <w:top w:val="single" w:color="auto" w:sz="6" w:space="0"/>
                    <w:left w:val="nil"/>
                    <w:bottom w:val="single" w:color="auto" w:sz="6" w:space="0"/>
                    <w:right w:val="single" w:color="auto" w:sz="6" w:space="0"/>
                  </w:tcBorders>
                  <w:shd w:val="clear"/>
                  <w:vAlign w:val="center"/>
                </w:tcPr>
                <w:p w14:paraId="1FA35F0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bdr w:val="none" w:color="auto" w:sz="0" w:space="0"/>
                      <w:lang w:val="en-US"/>
                    </w:rPr>
                  </w:pPr>
                  <w:r>
                    <w:rPr>
                      <w:rFonts w:hint="default" w:ascii="Times New Roman" w:hAnsi="Times New Roman" w:eastAsia="宋体" w:cs="Times New Roman"/>
                      <w:color w:val="000000"/>
                      <w:kern w:val="0"/>
                      <w:sz w:val="21"/>
                      <w:szCs w:val="24"/>
                      <w:bdr w:val="none" w:color="auto" w:sz="0" w:space="0"/>
                      <w:lang w:val="en-US" w:eastAsia="zh-CN" w:bidi="ar"/>
                    </w:rPr>
                    <w:t>4</w:t>
                  </w:r>
                </w:p>
              </w:tc>
              <w:tc>
                <w:tcPr>
                  <w:tcW w:w="1569" w:type="dxa"/>
                  <w:tcBorders>
                    <w:top w:val="single" w:color="auto" w:sz="6" w:space="0"/>
                    <w:left w:val="single" w:color="auto" w:sz="6" w:space="0"/>
                    <w:bottom w:val="single" w:color="auto" w:sz="6" w:space="0"/>
                    <w:right w:val="single" w:color="auto" w:sz="6" w:space="0"/>
                  </w:tcBorders>
                  <w:shd w:val="clear"/>
                  <w:vAlign w:val="center"/>
                </w:tcPr>
                <w:p w14:paraId="5A262EF1">
                  <w:pPr>
                    <w:keepNext w:val="0"/>
                    <w:keepLines w:val="0"/>
                    <w:widowControl/>
                    <w:suppressLineNumbers w:val="0"/>
                    <w:spacing w:before="0" w:beforeAutospacing="0" w:after="0" w:afterAutospacing="0"/>
                    <w:ind w:left="0" w:right="0"/>
                    <w:jc w:val="center"/>
                    <w:rPr>
                      <w:rFonts w:hAnsi="宋体"/>
                      <w:bCs/>
                      <w:color w:val="000000"/>
                      <w:szCs w:val="21"/>
                      <w:bdr w:val="none" w:color="auto" w:sz="0" w:space="0"/>
                      <w:lang w:val="en-US"/>
                    </w:rPr>
                  </w:pPr>
                  <w:r>
                    <w:rPr>
                      <w:rFonts w:hint="eastAsia" w:ascii="Calibri" w:hAnsi="宋体" w:eastAsia="宋体" w:cs="宋体"/>
                      <w:bCs/>
                      <w:color w:val="000000"/>
                      <w:kern w:val="2"/>
                      <w:sz w:val="21"/>
                      <w:szCs w:val="21"/>
                      <w:bdr w:val="none" w:color="auto" w:sz="0" w:space="0"/>
                      <w:lang w:val="en-US" w:eastAsia="zh-CN" w:bidi="ar"/>
                    </w:rPr>
                    <w:t>废</w:t>
                  </w:r>
                  <w:r>
                    <w:rPr>
                      <w:rFonts w:hint="default" w:ascii="Times New Roman" w:hAnsi="Times New Roman" w:eastAsia="宋体" w:cs="Times New Roman"/>
                      <w:bCs/>
                      <w:color w:val="000000"/>
                      <w:kern w:val="2"/>
                      <w:sz w:val="21"/>
                      <w:szCs w:val="21"/>
                      <w:bdr w:val="none" w:color="auto" w:sz="0" w:space="0"/>
                      <w:lang w:val="en-US" w:eastAsia="zh-CN" w:bidi="ar"/>
                    </w:rPr>
                    <w:t>UV</w:t>
                  </w:r>
                  <w:r>
                    <w:rPr>
                      <w:rFonts w:hint="eastAsia" w:ascii="Calibri" w:hAnsi="宋体" w:eastAsia="宋体" w:cs="宋体"/>
                      <w:bCs/>
                      <w:color w:val="000000"/>
                      <w:kern w:val="2"/>
                      <w:sz w:val="21"/>
                      <w:szCs w:val="21"/>
                      <w:bdr w:val="none" w:color="auto" w:sz="0" w:space="0"/>
                      <w:lang w:val="en-US" w:eastAsia="zh-CN" w:bidi="ar"/>
                    </w:rPr>
                    <w:t>灯管</w:t>
                  </w:r>
                </w:p>
              </w:tc>
              <w:tc>
                <w:tcPr>
                  <w:tcW w:w="1275" w:type="dxa"/>
                  <w:vMerge w:val="continue"/>
                  <w:tcBorders>
                    <w:top w:val="single" w:color="auto" w:sz="6" w:space="0"/>
                    <w:left w:val="single" w:color="auto" w:sz="6" w:space="0"/>
                    <w:bottom w:val="single" w:color="auto" w:sz="6" w:space="0"/>
                    <w:right w:val="single" w:color="auto" w:sz="6" w:space="0"/>
                  </w:tcBorders>
                  <w:shd w:val="clear"/>
                  <w:vAlign w:val="center"/>
                </w:tcPr>
                <w:p w14:paraId="3D497629">
                  <w:pPr>
                    <w:rPr>
                      <w:rFonts w:hint="default" w:ascii="Calibri" w:hAnsi="Calibri" w:cs="Calibri"/>
                      <w:sz w:val="20"/>
                      <w:szCs w:val="20"/>
                    </w:rPr>
                  </w:pPr>
                </w:p>
              </w:tc>
              <w:tc>
                <w:tcPr>
                  <w:tcW w:w="1843" w:type="dxa"/>
                  <w:tcBorders>
                    <w:top w:val="single" w:color="auto" w:sz="6" w:space="0"/>
                    <w:left w:val="single" w:color="auto" w:sz="6" w:space="0"/>
                    <w:bottom w:val="single" w:color="auto" w:sz="6" w:space="0"/>
                    <w:right w:val="single" w:color="auto" w:sz="6" w:space="0"/>
                  </w:tcBorders>
                  <w:shd w:val="clear"/>
                  <w:vAlign w:val="center"/>
                </w:tcPr>
                <w:p w14:paraId="016A5C3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bdr w:val="none" w:color="auto" w:sz="0" w:space="0"/>
                      <w:lang w:val="en-US"/>
                    </w:rPr>
                  </w:pPr>
                  <w:r>
                    <w:rPr>
                      <w:rFonts w:hint="default" w:ascii="Times New Roman" w:hAnsi="Times New Roman" w:eastAsia="宋体" w:cs="Times New Roman"/>
                      <w:color w:val="000000"/>
                      <w:kern w:val="0"/>
                      <w:sz w:val="21"/>
                      <w:szCs w:val="24"/>
                      <w:bdr w:val="none" w:color="auto" w:sz="0" w:space="0"/>
                      <w:lang w:val="en-US" w:eastAsia="zh-CN" w:bidi="ar"/>
                    </w:rPr>
                    <w:t>0.01</w:t>
                  </w:r>
                </w:p>
              </w:tc>
              <w:tc>
                <w:tcPr>
                  <w:tcW w:w="1276" w:type="dxa"/>
                  <w:tcBorders>
                    <w:top w:val="single" w:color="auto" w:sz="6" w:space="0"/>
                    <w:left w:val="single" w:color="auto" w:sz="6" w:space="0"/>
                    <w:bottom w:val="single" w:color="auto" w:sz="6" w:space="0"/>
                    <w:right w:val="single" w:color="auto" w:sz="6" w:space="0"/>
                  </w:tcBorders>
                  <w:shd w:val="clear"/>
                  <w:vAlign w:val="center"/>
                </w:tcPr>
                <w:p w14:paraId="79BD046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bdr w:val="none" w:color="auto" w:sz="0" w:space="0"/>
                      <w:lang w:val="en-US"/>
                    </w:rPr>
                  </w:pPr>
                  <w:r>
                    <w:rPr>
                      <w:rFonts w:hint="default" w:ascii="Times New Roman" w:hAnsi="Times New Roman" w:eastAsia="宋体" w:cs="Times New Roman"/>
                      <w:color w:val="000000"/>
                      <w:kern w:val="0"/>
                      <w:sz w:val="21"/>
                      <w:szCs w:val="24"/>
                      <w:bdr w:val="none" w:color="auto" w:sz="0" w:space="0"/>
                      <w:lang w:val="en-US" w:eastAsia="zh-CN" w:bidi="ar"/>
                    </w:rPr>
                    <w:t>50</w:t>
                  </w:r>
                </w:p>
              </w:tc>
              <w:tc>
                <w:tcPr>
                  <w:tcW w:w="1226" w:type="dxa"/>
                  <w:tcBorders>
                    <w:top w:val="single" w:color="auto" w:sz="6" w:space="0"/>
                    <w:left w:val="single" w:color="auto" w:sz="6" w:space="0"/>
                    <w:bottom w:val="single" w:color="auto" w:sz="6" w:space="0"/>
                    <w:right w:val="nil"/>
                  </w:tcBorders>
                  <w:shd w:val="clear"/>
                  <w:vAlign w:val="center"/>
                </w:tcPr>
                <w:p w14:paraId="38F8716A">
                  <w:pPr>
                    <w:pStyle w:val="28"/>
                    <w:widowControl/>
                    <w:rPr>
                      <w:snapToGrid w:val="0"/>
                      <w:color w:val="000000"/>
                      <w:bdr w:val="none" w:color="auto" w:sz="0" w:space="0"/>
                      <w:lang w:val="en-US"/>
                    </w:rPr>
                  </w:pPr>
                  <w:r>
                    <w:rPr>
                      <w:snapToGrid w:val="0"/>
                      <w:color w:val="000000"/>
                      <w:bdr w:val="none" w:color="auto" w:sz="0" w:space="0"/>
                      <w:lang w:val="en-US"/>
                    </w:rPr>
                    <w:t>0.0002</w:t>
                  </w:r>
                </w:p>
              </w:tc>
            </w:tr>
            <w:tr w14:paraId="30378E81">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757" w:type="dxa"/>
                  <w:tcBorders>
                    <w:top w:val="single" w:color="auto" w:sz="6" w:space="0"/>
                    <w:left w:val="nil"/>
                    <w:bottom w:val="single" w:color="auto" w:sz="6" w:space="0"/>
                    <w:right w:val="single" w:color="auto" w:sz="6" w:space="0"/>
                  </w:tcBorders>
                  <w:shd w:val="clear"/>
                  <w:vAlign w:val="center"/>
                </w:tcPr>
                <w:p w14:paraId="46ACF08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bdr w:val="none" w:color="auto" w:sz="0" w:space="0"/>
                      <w:lang w:val="en-US"/>
                    </w:rPr>
                  </w:pPr>
                  <w:r>
                    <w:rPr>
                      <w:rFonts w:hint="default" w:ascii="Times New Roman" w:hAnsi="Times New Roman" w:eastAsia="宋体" w:cs="Times New Roman"/>
                      <w:color w:val="000000"/>
                      <w:kern w:val="0"/>
                      <w:sz w:val="21"/>
                      <w:szCs w:val="24"/>
                      <w:bdr w:val="none" w:color="auto" w:sz="0" w:space="0"/>
                      <w:lang w:val="en-US" w:eastAsia="zh-CN" w:bidi="ar"/>
                    </w:rPr>
                    <w:t>5</w:t>
                  </w:r>
                </w:p>
              </w:tc>
              <w:tc>
                <w:tcPr>
                  <w:tcW w:w="1569" w:type="dxa"/>
                  <w:tcBorders>
                    <w:top w:val="single" w:color="auto" w:sz="6" w:space="0"/>
                    <w:left w:val="single" w:color="auto" w:sz="6" w:space="0"/>
                    <w:bottom w:val="single" w:color="auto" w:sz="6" w:space="0"/>
                    <w:right w:val="single" w:color="auto" w:sz="6" w:space="0"/>
                  </w:tcBorders>
                  <w:shd w:val="clear"/>
                  <w:vAlign w:val="center"/>
                </w:tcPr>
                <w:p w14:paraId="6F5FDE9F">
                  <w:pPr>
                    <w:keepNext w:val="0"/>
                    <w:keepLines w:val="0"/>
                    <w:widowControl w:val="0"/>
                    <w:suppressLineNumbers w:val="0"/>
                    <w:adjustRightInd w:val="0"/>
                    <w:snapToGrid w:val="0"/>
                    <w:spacing w:before="0" w:beforeAutospacing="0" w:after="0" w:afterAutospacing="0"/>
                    <w:ind w:left="0" w:right="0"/>
                    <w:jc w:val="center"/>
                    <w:rPr>
                      <w:rFonts w:hAnsi="宋体"/>
                      <w:bCs/>
                      <w:color w:val="000000"/>
                      <w:szCs w:val="21"/>
                      <w:bdr w:val="none" w:color="auto" w:sz="0" w:space="0"/>
                      <w:lang w:val="en-US"/>
                    </w:rPr>
                  </w:pPr>
                  <w:r>
                    <w:rPr>
                      <w:rFonts w:hint="eastAsia" w:ascii="Calibri" w:hAnsi="宋体" w:eastAsia="宋体" w:cs="宋体"/>
                      <w:bCs/>
                      <w:color w:val="000000"/>
                      <w:kern w:val="2"/>
                      <w:sz w:val="21"/>
                      <w:szCs w:val="21"/>
                      <w:bdr w:val="none" w:color="auto" w:sz="0" w:space="0"/>
                      <w:lang w:val="en-US" w:eastAsia="zh-CN" w:bidi="ar"/>
                    </w:rPr>
                    <w:t>废背胶处理剂空瓶</w:t>
                  </w:r>
                </w:p>
              </w:tc>
              <w:tc>
                <w:tcPr>
                  <w:tcW w:w="1275" w:type="dxa"/>
                  <w:vMerge w:val="continue"/>
                  <w:tcBorders>
                    <w:top w:val="single" w:color="auto" w:sz="6" w:space="0"/>
                    <w:left w:val="single" w:color="auto" w:sz="6" w:space="0"/>
                    <w:bottom w:val="single" w:color="auto" w:sz="6" w:space="0"/>
                    <w:right w:val="single" w:color="auto" w:sz="6" w:space="0"/>
                  </w:tcBorders>
                  <w:shd w:val="clear"/>
                  <w:vAlign w:val="center"/>
                </w:tcPr>
                <w:p w14:paraId="7000D943">
                  <w:pPr>
                    <w:rPr>
                      <w:rFonts w:hint="default" w:ascii="Calibri" w:hAnsi="Calibri" w:cs="Calibri"/>
                      <w:sz w:val="20"/>
                      <w:szCs w:val="20"/>
                    </w:rPr>
                  </w:pPr>
                </w:p>
              </w:tc>
              <w:tc>
                <w:tcPr>
                  <w:tcW w:w="1843" w:type="dxa"/>
                  <w:tcBorders>
                    <w:top w:val="single" w:color="auto" w:sz="6" w:space="0"/>
                    <w:left w:val="single" w:color="auto" w:sz="6" w:space="0"/>
                    <w:bottom w:val="single" w:color="auto" w:sz="6" w:space="0"/>
                    <w:right w:val="single" w:color="auto" w:sz="6" w:space="0"/>
                  </w:tcBorders>
                  <w:shd w:val="clear"/>
                  <w:vAlign w:val="center"/>
                </w:tcPr>
                <w:p w14:paraId="4D9373B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bdr w:val="none" w:color="auto" w:sz="0" w:space="0"/>
                      <w:lang w:val="en-US"/>
                    </w:rPr>
                  </w:pPr>
                  <w:r>
                    <w:rPr>
                      <w:rFonts w:hint="default" w:ascii="Times New Roman" w:hAnsi="Times New Roman" w:eastAsia="宋体" w:cs="Times New Roman"/>
                      <w:color w:val="000000"/>
                      <w:kern w:val="0"/>
                      <w:sz w:val="21"/>
                      <w:szCs w:val="24"/>
                      <w:bdr w:val="none" w:color="auto" w:sz="0" w:space="0"/>
                      <w:lang w:val="en-US" w:eastAsia="zh-CN" w:bidi="ar"/>
                    </w:rPr>
                    <w:t>0.01</w:t>
                  </w:r>
                </w:p>
              </w:tc>
              <w:tc>
                <w:tcPr>
                  <w:tcW w:w="1276" w:type="dxa"/>
                  <w:tcBorders>
                    <w:top w:val="single" w:color="auto" w:sz="6" w:space="0"/>
                    <w:left w:val="single" w:color="auto" w:sz="6" w:space="0"/>
                    <w:bottom w:val="single" w:color="auto" w:sz="6" w:space="0"/>
                    <w:right w:val="single" w:color="auto" w:sz="6" w:space="0"/>
                  </w:tcBorders>
                  <w:shd w:val="clear"/>
                  <w:vAlign w:val="center"/>
                </w:tcPr>
                <w:p w14:paraId="4115E1F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bdr w:val="none" w:color="auto" w:sz="0" w:space="0"/>
                      <w:lang w:val="en-US"/>
                    </w:rPr>
                  </w:pPr>
                  <w:r>
                    <w:rPr>
                      <w:rFonts w:hint="default" w:ascii="Times New Roman" w:hAnsi="Times New Roman" w:eastAsia="宋体" w:cs="Times New Roman"/>
                      <w:color w:val="000000"/>
                      <w:kern w:val="0"/>
                      <w:sz w:val="21"/>
                      <w:szCs w:val="24"/>
                      <w:bdr w:val="none" w:color="auto" w:sz="0" w:space="0"/>
                      <w:lang w:val="en-US" w:eastAsia="zh-CN" w:bidi="ar"/>
                    </w:rPr>
                    <w:t>100</w:t>
                  </w:r>
                </w:p>
              </w:tc>
              <w:tc>
                <w:tcPr>
                  <w:tcW w:w="1226" w:type="dxa"/>
                  <w:tcBorders>
                    <w:top w:val="single" w:color="auto" w:sz="6" w:space="0"/>
                    <w:left w:val="single" w:color="auto" w:sz="6" w:space="0"/>
                    <w:bottom w:val="single" w:color="auto" w:sz="6" w:space="0"/>
                    <w:right w:val="nil"/>
                  </w:tcBorders>
                  <w:shd w:val="clear"/>
                  <w:vAlign w:val="center"/>
                </w:tcPr>
                <w:p w14:paraId="29536FB6">
                  <w:pPr>
                    <w:pStyle w:val="28"/>
                    <w:widowControl/>
                    <w:rPr>
                      <w:snapToGrid w:val="0"/>
                      <w:color w:val="000000"/>
                      <w:bdr w:val="none" w:color="auto" w:sz="0" w:space="0"/>
                      <w:lang w:val="en-US"/>
                    </w:rPr>
                  </w:pPr>
                  <w:r>
                    <w:rPr>
                      <w:snapToGrid w:val="0"/>
                      <w:color w:val="000000"/>
                      <w:bdr w:val="none" w:color="auto" w:sz="0" w:space="0"/>
                      <w:lang w:val="en-US"/>
                    </w:rPr>
                    <w:t>0.0001</w:t>
                  </w:r>
                </w:p>
              </w:tc>
            </w:tr>
            <w:tr w14:paraId="22C336A0">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757" w:type="dxa"/>
                  <w:tcBorders>
                    <w:top w:val="single" w:color="auto" w:sz="6" w:space="0"/>
                    <w:left w:val="nil"/>
                    <w:bottom w:val="single" w:color="auto" w:sz="12" w:space="0"/>
                    <w:right w:val="single" w:color="auto" w:sz="6" w:space="0"/>
                  </w:tcBorders>
                  <w:shd w:val="clear"/>
                  <w:vAlign w:val="center"/>
                </w:tcPr>
                <w:p w14:paraId="20F14B7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bdr w:val="none" w:color="auto" w:sz="0" w:space="0"/>
                      <w:lang w:val="en-US"/>
                    </w:rPr>
                  </w:pPr>
                  <w:r>
                    <w:rPr>
                      <w:rFonts w:hint="default" w:ascii="Times New Roman" w:hAnsi="Times New Roman" w:eastAsia="宋体" w:cs="Times New Roman"/>
                      <w:color w:val="000000"/>
                      <w:kern w:val="0"/>
                      <w:sz w:val="21"/>
                      <w:szCs w:val="24"/>
                      <w:bdr w:val="none" w:color="auto" w:sz="0" w:space="0"/>
                      <w:lang w:val="en-US" w:eastAsia="zh-CN" w:bidi="ar"/>
                    </w:rPr>
                    <w:t>6</w:t>
                  </w:r>
                </w:p>
              </w:tc>
              <w:tc>
                <w:tcPr>
                  <w:tcW w:w="1569" w:type="dxa"/>
                  <w:tcBorders>
                    <w:top w:val="single" w:color="auto" w:sz="6" w:space="0"/>
                    <w:left w:val="single" w:color="auto" w:sz="6" w:space="0"/>
                    <w:bottom w:val="single" w:color="auto" w:sz="12" w:space="0"/>
                    <w:right w:val="single" w:color="auto" w:sz="6" w:space="0"/>
                  </w:tcBorders>
                  <w:shd w:val="clear"/>
                  <w:vAlign w:val="center"/>
                </w:tcPr>
                <w:p w14:paraId="48AC6DC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bdr w:val="none" w:color="auto" w:sz="0" w:space="0"/>
                      <w:lang w:val="en-US"/>
                    </w:rPr>
                  </w:pPr>
                  <w:r>
                    <w:rPr>
                      <w:rFonts w:hint="eastAsia" w:ascii="Times New Roman" w:hAnsi="宋体" w:eastAsia="宋体" w:cs="宋体"/>
                      <w:color w:val="000000"/>
                      <w:kern w:val="0"/>
                      <w:sz w:val="21"/>
                      <w:szCs w:val="24"/>
                      <w:bdr w:val="none" w:color="auto" w:sz="0" w:space="0"/>
                      <w:lang w:val="en-US" w:eastAsia="zh-CN" w:bidi="ar"/>
                    </w:rPr>
                    <w:t>合计</w:t>
                  </w:r>
                </w:p>
              </w:tc>
              <w:tc>
                <w:tcPr>
                  <w:tcW w:w="1275" w:type="dxa"/>
                  <w:tcBorders>
                    <w:top w:val="single" w:color="auto" w:sz="6" w:space="0"/>
                    <w:left w:val="single" w:color="auto" w:sz="6" w:space="0"/>
                    <w:bottom w:val="single" w:color="auto" w:sz="12" w:space="0"/>
                    <w:right w:val="single" w:color="auto" w:sz="6" w:space="0"/>
                  </w:tcBorders>
                  <w:shd w:val="clear"/>
                  <w:vAlign w:val="center"/>
                </w:tcPr>
                <w:p w14:paraId="4722BDF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bdr w:val="none" w:color="auto" w:sz="0" w:space="0"/>
                      <w:lang w:val="en-US"/>
                    </w:rPr>
                  </w:pPr>
                  <w:r>
                    <w:rPr>
                      <w:rFonts w:hint="default" w:ascii="Times New Roman" w:hAnsi="Times New Roman" w:eastAsia="宋体" w:cs="Times New Roman"/>
                      <w:color w:val="000000"/>
                      <w:kern w:val="0"/>
                      <w:sz w:val="21"/>
                      <w:szCs w:val="24"/>
                      <w:bdr w:val="none" w:color="auto" w:sz="0" w:space="0"/>
                      <w:lang w:val="en-US" w:eastAsia="zh-CN" w:bidi="ar"/>
                    </w:rPr>
                    <w:t>/</w:t>
                  </w:r>
                </w:p>
              </w:tc>
              <w:tc>
                <w:tcPr>
                  <w:tcW w:w="1843" w:type="dxa"/>
                  <w:tcBorders>
                    <w:top w:val="single" w:color="auto" w:sz="6" w:space="0"/>
                    <w:left w:val="single" w:color="auto" w:sz="6" w:space="0"/>
                    <w:bottom w:val="single" w:color="auto" w:sz="12" w:space="0"/>
                    <w:right w:val="single" w:color="auto" w:sz="6" w:space="0"/>
                  </w:tcBorders>
                  <w:shd w:val="clear"/>
                  <w:vAlign w:val="center"/>
                </w:tcPr>
                <w:p w14:paraId="13037DE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bdr w:val="none" w:color="auto" w:sz="0" w:space="0"/>
                      <w:lang w:val="en-US"/>
                    </w:rPr>
                  </w:pPr>
                  <w:r>
                    <w:rPr>
                      <w:rFonts w:hint="default" w:ascii="Times New Roman" w:hAnsi="Times New Roman" w:eastAsia="宋体" w:cs="Times New Roman"/>
                      <w:color w:val="000000"/>
                      <w:kern w:val="0"/>
                      <w:sz w:val="21"/>
                      <w:szCs w:val="24"/>
                      <w:bdr w:val="none" w:color="auto" w:sz="0" w:space="0"/>
                      <w:lang w:val="en-US" w:eastAsia="zh-CN" w:bidi="ar"/>
                    </w:rPr>
                    <w:t>/</w:t>
                  </w:r>
                </w:p>
              </w:tc>
              <w:tc>
                <w:tcPr>
                  <w:tcW w:w="1276" w:type="dxa"/>
                  <w:tcBorders>
                    <w:top w:val="single" w:color="auto" w:sz="6" w:space="0"/>
                    <w:left w:val="single" w:color="auto" w:sz="6" w:space="0"/>
                    <w:bottom w:val="single" w:color="auto" w:sz="12" w:space="0"/>
                    <w:right w:val="single" w:color="auto" w:sz="6" w:space="0"/>
                  </w:tcBorders>
                  <w:shd w:val="clear"/>
                  <w:vAlign w:val="center"/>
                </w:tcPr>
                <w:p w14:paraId="1C1A749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bdr w:val="none" w:color="auto" w:sz="0" w:space="0"/>
                      <w:lang w:val="en-US"/>
                    </w:rPr>
                  </w:pPr>
                  <w:r>
                    <w:rPr>
                      <w:rFonts w:hint="default" w:ascii="Times New Roman" w:hAnsi="Times New Roman" w:eastAsia="宋体" w:cs="Times New Roman"/>
                      <w:color w:val="000000"/>
                      <w:kern w:val="0"/>
                      <w:sz w:val="21"/>
                      <w:szCs w:val="24"/>
                      <w:bdr w:val="none" w:color="auto" w:sz="0" w:space="0"/>
                      <w:lang w:val="en-US" w:eastAsia="zh-CN" w:bidi="ar"/>
                    </w:rPr>
                    <w:t>/</w:t>
                  </w:r>
                </w:p>
              </w:tc>
              <w:tc>
                <w:tcPr>
                  <w:tcW w:w="1226" w:type="dxa"/>
                  <w:tcBorders>
                    <w:top w:val="single" w:color="auto" w:sz="6" w:space="0"/>
                    <w:left w:val="single" w:color="auto" w:sz="6" w:space="0"/>
                    <w:bottom w:val="single" w:color="auto" w:sz="12" w:space="0"/>
                    <w:right w:val="nil"/>
                  </w:tcBorders>
                  <w:shd w:val="clear"/>
                  <w:vAlign w:val="center"/>
                </w:tcPr>
                <w:p w14:paraId="544FB6EA">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0.0506944</w:t>
                  </w:r>
                </w:p>
              </w:tc>
            </w:tr>
          </w:tbl>
          <w:p w14:paraId="39917F08">
            <w:pPr>
              <w:keepNext w:val="0"/>
              <w:keepLines w:val="0"/>
              <w:widowControl w:val="0"/>
              <w:suppressLineNumbers w:val="0"/>
              <w:adjustRightInd w:val="0"/>
              <w:snapToGrid w:val="0"/>
              <w:spacing w:before="0" w:beforeAutospacing="0" w:after="0" w:afterAutospacing="0" w:line="460" w:lineRule="exact"/>
              <w:ind w:left="0" w:right="0" w:firstLine="482"/>
              <w:jc w:val="both"/>
              <w:rPr>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扩建项目</w:t>
            </w:r>
            <w:r>
              <w:rPr>
                <w:rFonts w:hint="default" w:ascii="Times New Roman" w:hAnsi="Times New Roman" w:eastAsia="宋体" w:cs="Times New Roman"/>
                <w:color w:val="000000"/>
                <w:kern w:val="2"/>
                <w:sz w:val="24"/>
                <w:szCs w:val="24"/>
                <w:bdr w:val="none" w:color="auto" w:sz="0" w:space="0"/>
                <w:lang w:val="en-US" w:eastAsia="zh-CN" w:bidi="ar"/>
              </w:rPr>
              <w:t>Q</w:t>
            </w:r>
            <w:r>
              <w:rPr>
                <w:rFonts w:hint="eastAsia" w:ascii="Times New Roman" w:hAnsi="Calibri" w:eastAsia="宋体" w:cs="宋体"/>
                <w:color w:val="000000"/>
                <w:kern w:val="2"/>
                <w:sz w:val="24"/>
                <w:szCs w:val="24"/>
                <w:bdr w:val="none" w:color="auto" w:sz="0" w:space="0"/>
                <w:lang w:val="en-US" w:eastAsia="zh-CN" w:bidi="ar"/>
              </w:rPr>
              <w:t>值</w:t>
            </w:r>
            <w:r>
              <w:rPr>
                <w:rFonts w:hint="eastAsia" w:ascii="Times New Roman" w:hAnsi="Times New Roman" w:eastAsia="宋体" w:cs="宋体"/>
                <w:color w:val="000000"/>
                <w:kern w:val="2"/>
                <w:sz w:val="24"/>
                <w:szCs w:val="24"/>
                <w:bdr w:val="none" w:color="auto" w:sz="0" w:space="0"/>
                <w:lang w:val="en-US" w:eastAsia="zh-CN" w:bidi="ar"/>
              </w:rPr>
              <w:t>小于</w:t>
            </w:r>
            <w:r>
              <w:rPr>
                <w:rFonts w:hint="default" w:ascii="Times New Roman" w:hAnsi="Times New Roman" w:eastAsia="宋体" w:cs="Times New Roman"/>
                <w:color w:val="000000"/>
                <w:kern w:val="2"/>
                <w:sz w:val="24"/>
                <w:szCs w:val="24"/>
                <w:bdr w:val="none" w:color="auto" w:sz="0" w:space="0"/>
                <w:lang w:val="en-US" w:eastAsia="zh-CN" w:bidi="ar"/>
              </w:rPr>
              <w:t>1</w:t>
            </w:r>
            <w:r>
              <w:rPr>
                <w:rFonts w:hint="eastAsia" w:ascii="Times New Roman" w:hAnsi="Times New Roman" w:eastAsia="宋体" w:cs="宋体"/>
                <w:color w:val="000000"/>
                <w:kern w:val="2"/>
                <w:sz w:val="24"/>
                <w:szCs w:val="24"/>
                <w:bdr w:val="none" w:color="auto" w:sz="0" w:space="0"/>
                <w:lang w:val="en-US" w:eastAsia="zh-CN" w:bidi="ar"/>
              </w:rPr>
              <w:t>，项目的风险潜势为</w:t>
            </w:r>
            <w:r>
              <w:rPr>
                <w:rFonts w:hint="default" w:ascii="Times New Roman" w:hAnsi="Times New Roman" w:eastAsia="宋体" w:cs="Times New Roman"/>
                <w:color w:val="000000"/>
                <w:kern w:val="2"/>
                <w:sz w:val="24"/>
                <w:szCs w:val="24"/>
                <w:bdr w:val="none" w:color="auto" w:sz="0" w:space="0"/>
                <w:lang w:val="en-US" w:eastAsia="zh-CN" w:bidi="ar"/>
              </w:rPr>
              <w:t>I</w:t>
            </w:r>
            <w:r>
              <w:rPr>
                <w:rFonts w:hint="eastAsia" w:ascii="Times New Roman" w:hAnsi="Calibri" w:eastAsia="宋体" w:cs="宋体"/>
                <w:color w:val="000000"/>
                <w:kern w:val="2"/>
                <w:sz w:val="24"/>
                <w:szCs w:val="24"/>
                <w:bdr w:val="none" w:color="auto" w:sz="0" w:space="0"/>
                <w:lang w:val="en-US" w:eastAsia="zh-CN" w:bidi="ar"/>
              </w:rPr>
              <w:t>。</w:t>
            </w:r>
            <w:r>
              <w:rPr>
                <w:rFonts w:hint="eastAsia" w:ascii="Calibri" w:hAnsi="Calibri" w:eastAsia="宋体" w:cs="宋体"/>
                <w:color w:val="000000"/>
                <w:kern w:val="2"/>
                <w:sz w:val="24"/>
                <w:szCs w:val="24"/>
                <w:bdr w:val="none" w:color="auto" w:sz="0" w:space="0"/>
                <w:lang w:val="en-US" w:eastAsia="zh-CN" w:bidi="ar"/>
              </w:rPr>
              <w:t>环境风险评价为简单分析。</w:t>
            </w:r>
          </w:p>
          <w:p w14:paraId="33B0AF86">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3</w:t>
            </w:r>
            <w:r>
              <w:rPr>
                <w:rFonts w:hint="eastAsia" w:ascii="Times New Roman" w:hAnsi="Times New Roman" w:eastAsia="宋体" w:cs="宋体"/>
                <w:color w:val="000000"/>
                <w:kern w:val="2"/>
                <w:sz w:val="24"/>
                <w:szCs w:val="24"/>
                <w:bdr w:val="none" w:color="auto" w:sz="0" w:space="0"/>
                <w:lang w:val="en-US" w:eastAsia="zh-CN" w:bidi="ar"/>
              </w:rPr>
              <w:t>、风险防范措施</w:t>
            </w:r>
          </w:p>
          <w:p w14:paraId="499EAE76">
            <w:pPr>
              <w:pStyle w:val="25"/>
              <w:widowControl/>
              <w:ind w:left="0" w:firstLine="480"/>
              <w:rPr>
                <w:rFonts w:hAnsi="宋体"/>
                <w:color w:val="000000"/>
                <w:kern w:val="0"/>
                <w:bdr w:val="none" w:color="auto" w:sz="0" w:space="0"/>
                <w:lang w:val="en-US"/>
              </w:rPr>
            </w:pPr>
            <w:r>
              <w:rPr>
                <w:rFonts w:hint="eastAsia" w:ascii="Times New Roman" w:hAnsi="Times New Roman" w:eastAsia="宋体" w:cs="宋体"/>
                <w:color w:val="000000"/>
                <w:kern w:val="0"/>
                <w:bdr w:val="none" w:color="auto" w:sz="0" w:space="0"/>
              </w:rPr>
              <w:t>（</w:t>
            </w:r>
            <w:r>
              <w:rPr>
                <w:color w:val="000000"/>
                <w:kern w:val="0"/>
                <w:bdr w:val="none" w:color="auto" w:sz="0" w:space="0"/>
                <w:lang w:val="en-US"/>
              </w:rPr>
              <w:t>1</w:t>
            </w:r>
            <w:r>
              <w:rPr>
                <w:rFonts w:hint="eastAsia" w:ascii="Times New Roman" w:hAnsi="Times New Roman" w:eastAsia="宋体" w:cs="宋体"/>
                <w:color w:val="000000"/>
                <w:kern w:val="0"/>
                <w:bdr w:val="none" w:color="auto" w:sz="0" w:space="0"/>
              </w:rPr>
              <w:t>）辅料间</w:t>
            </w:r>
            <w:r>
              <w:rPr>
                <w:rFonts w:hint="eastAsia" w:ascii="Times New Roman" w:hAnsi="宋体" w:eastAsia="宋体" w:cs="宋体"/>
                <w:color w:val="000000"/>
                <w:kern w:val="0"/>
                <w:bdr w:val="none" w:color="auto" w:sz="0" w:space="0"/>
              </w:rPr>
              <w:t>：辅料间中存放有液态胶水，为了防止胶水泄漏，要求胶水存放间地面作重点防渗处理，并设置托盘，便于对泄露液体物料的收集和转移。同时胶水辅料暂存间内应长期储备足量消防沙、收集桶等应急物资，当出现胶水泄漏事故时及时用消防沙处理。</w:t>
            </w:r>
          </w:p>
          <w:p w14:paraId="565C5863">
            <w:pPr>
              <w:pStyle w:val="25"/>
              <w:widowControl/>
              <w:ind w:left="0" w:firstLine="480"/>
              <w:rPr>
                <w:rFonts w:hAnsi="宋体"/>
                <w:color w:val="000000"/>
                <w:kern w:val="0"/>
                <w:bdr w:val="none" w:color="auto" w:sz="0" w:space="0"/>
                <w:lang w:val="en-US"/>
              </w:rPr>
            </w:pPr>
            <w:r>
              <w:rPr>
                <w:rFonts w:hint="eastAsia" w:ascii="Times New Roman" w:hAnsi="Times New Roman" w:eastAsia="宋体" w:cs="宋体"/>
                <w:color w:val="000000"/>
                <w:bdr w:val="none" w:color="auto" w:sz="0" w:space="0"/>
              </w:rPr>
              <w:t>（</w:t>
            </w:r>
            <w:r>
              <w:rPr>
                <w:color w:val="000000"/>
                <w:bdr w:val="none" w:color="auto" w:sz="0" w:space="0"/>
                <w:lang w:val="en-US"/>
              </w:rPr>
              <w:t>2</w:t>
            </w:r>
            <w:r>
              <w:rPr>
                <w:rFonts w:hint="eastAsia" w:ascii="Times New Roman" w:hAnsi="Times New Roman" w:eastAsia="宋体" w:cs="宋体"/>
                <w:color w:val="000000"/>
                <w:bdr w:val="none" w:color="auto" w:sz="0" w:space="0"/>
              </w:rPr>
              <w:t>）危废贮存库：</w:t>
            </w:r>
            <w:r>
              <w:rPr>
                <w:rFonts w:hint="eastAsia" w:ascii="Times New Roman" w:hAnsi="宋体" w:eastAsia="宋体" w:cs="宋体"/>
                <w:color w:val="000000"/>
                <w:kern w:val="0"/>
                <w:bdr w:val="none" w:color="auto" w:sz="0" w:space="0"/>
              </w:rPr>
              <w:t>应设置为重点防渗区，危险废物分类收集，分区存放，避免不相容的危险品混放，防止泄漏、流失。泄漏物用容器回收并密封，置于安全场所。危险废物贮存间主要存放</w:t>
            </w:r>
            <w:r>
              <w:rPr>
                <w:rFonts w:hint="eastAsia" w:ascii="Times New Roman" w:hAnsi="Times New Roman" w:eastAsia="宋体" w:cs="宋体"/>
                <w:color w:val="000000"/>
                <w:kern w:val="0"/>
                <w:szCs w:val="21"/>
                <w:bdr w:val="none" w:color="auto" w:sz="0" w:space="0"/>
              </w:rPr>
              <w:t>废背胶处理剂空瓶</w:t>
            </w:r>
            <w:r>
              <w:rPr>
                <w:rFonts w:hint="eastAsia" w:ascii="Times New Roman" w:hAnsi="宋体" w:eastAsia="宋体" w:cs="宋体"/>
                <w:color w:val="000000"/>
                <w:kern w:val="0"/>
                <w:bdr w:val="none" w:color="auto" w:sz="0" w:space="0"/>
              </w:rPr>
              <w:t>、废</w:t>
            </w:r>
            <w:r>
              <w:rPr>
                <w:rFonts w:hAnsi="宋体"/>
                <w:color w:val="000000"/>
                <w:kern w:val="0"/>
                <w:bdr w:val="none" w:color="auto" w:sz="0" w:space="0"/>
                <w:lang w:val="en-US"/>
              </w:rPr>
              <w:t>UV</w:t>
            </w:r>
            <w:r>
              <w:rPr>
                <w:rFonts w:hint="eastAsia" w:ascii="Times New Roman" w:hAnsi="宋体" w:eastAsia="宋体" w:cs="宋体"/>
                <w:color w:val="000000"/>
                <w:kern w:val="0"/>
                <w:bdr w:val="none" w:color="auto" w:sz="0" w:space="0"/>
              </w:rPr>
              <w:t>灯管、废活性炭等。根据《挥发性有机物无组织排放控制标准》（</w:t>
            </w:r>
            <w:r>
              <w:rPr>
                <w:rFonts w:hAnsi="宋体"/>
                <w:color w:val="000000"/>
                <w:kern w:val="0"/>
                <w:bdr w:val="none" w:color="auto" w:sz="0" w:space="0"/>
                <w:lang w:val="en-US"/>
              </w:rPr>
              <w:t>GB37822-2019</w:t>
            </w:r>
            <w:r>
              <w:rPr>
                <w:rFonts w:hint="eastAsia" w:ascii="Times New Roman" w:hAnsi="宋体" w:eastAsia="宋体" w:cs="宋体"/>
                <w:color w:val="000000"/>
                <w:kern w:val="0"/>
                <w:bdr w:val="none" w:color="auto" w:sz="0" w:space="0"/>
              </w:rPr>
              <w:t>）要求，废油桶应封口密闭后放置于防渗地面的托盘上；废活性炭和</w:t>
            </w:r>
            <w:r>
              <w:rPr>
                <w:rFonts w:hAnsi="宋体"/>
                <w:color w:val="000000"/>
                <w:kern w:val="0"/>
                <w:bdr w:val="none" w:color="auto" w:sz="0" w:space="0"/>
                <w:lang w:val="en-US"/>
              </w:rPr>
              <w:t>UV</w:t>
            </w:r>
            <w:r>
              <w:rPr>
                <w:rFonts w:hint="eastAsia" w:ascii="Times New Roman" w:hAnsi="宋体" w:eastAsia="宋体" w:cs="宋体"/>
                <w:color w:val="000000"/>
                <w:kern w:val="0"/>
                <w:bdr w:val="none" w:color="auto" w:sz="0" w:space="0"/>
              </w:rPr>
              <w:t>灯管需袋装封存后置于防渗地面，同时危废暂存间需保持密闭。</w:t>
            </w:r>
          </w:p>
          <w:p w14:paraId="75B181A8">
            <w:pPr>
              <w:pStyle w:val="25"/>
              <w:widowControl/>
              <w:ind w:left="0" w:firstLine="480"/>
              <w:rPr>
                <w:color w:val="000000"/>
                <w:bdr w:val="none" w:color="auto" w:sz="0" w:space="0"/>
                <w:lang w:val="en-US"/>
              </w:rPr>
            </w:pPr>
            <w:r>
              <w:rPr>
                <w:rFonts w:hint="eastAsia" w:ascii="Times New Roman" w:hAnsi="Times New Roman" w:eastAsia="宋体" w:cs="宋体"/>
                <w:color w:val="000000"/>
                <w:bdr w:val="none" w:color="auto" w:sz="0" w:space="0"/>
              </w:rPr>
              <w:t>（</w:t>
            </w:r>
            <w:r>
              <w:rPr>
                <w:color w:val="000000"/>
                <w:bdr w:val="none" w:color="auto" w:sz="0" w:space="0"/>
                <w:lang w:val="en-US"/>
              </w:rPr>
              <w:t>3</w:t>
            </w:r>
            <w:r>
              <w:rPr>
                <w:rFonts w:hint="eastAsia" w:ascii="Times New Roman" w:hAnsi="Times New Roman" w:eastAsia="宋体" w:cs="宋体"/>
                <w:color w:val="000000"/>
                <w:bdr w:val="none" w:color="auto" w:sz="0" w:space="0"/>
              </w:rPr>
              <w:t>）火灾防范：生产车间内严禁烟火、携带火种，明显位置张贴防火安全警示标示，落实安全管理责任。</w:t>
            </w:r>
          </w:p>
          <w:p w14:paraId="2471CB93">
            <w:pPr>
              <w:pStyle w:val="25"/>
              <w:widowControl/>
              <w:ind w:left="0" w:firstLine="480"/>
              <w:rPr>
                <w:color w:val="000000"/>
                <w:bdr w:val="none" w:color="auto" w:sz="0" w:space="0"/>
                <w:lang w:val="en-US"/>
              </w:rPr>
            </w:pPr>
            <w:r>
              <w:rPr>
                <w:rFonts w:hint="eastAsia" w:ascii="Times New Roman" w:hAnsi="Times New Roman" w:eastAsia="宋体" w:cs="宋体"/>
                <w:color w:val="000000"/>
                <w:bdr w:val="none" w:color="auto" w:sz="0" w:space="0"/>
              </w:rPr>
              <w:t>（</w:t>
            </w:r>
            <w:r>
              <w:rPr>
                <w:color w:val="000000"/>
                <w:bdr w:val="none" w:color="auto" w:sz="0" w:space="0"/>
                <w:lang w:val="en-US"/>
              </w:rPr>
              <w:t>4</w:t>
            </w:r>
            <w:r>
              <w:rPr>
                <w:rFonts w:hint="eastAsia" w:ascii="Times New Roman" w:hAnsi="Times New Roman" w:eastAsia="宋体" w:cs="宋体"/>
                <w:color w:val="000000"/>
                <w:bdr w:val="none" w:color="auto" w:sz="0" w:space="0"/>
              </w:rPr>
              <w:t>）风险管理：建议企业建立健全的各级管理机制和机构，全面落实安全生产责任制，并严格执行。对过时的安全管理制度、岗位安全操作规程和作业安全规程，按相关的法律、法规有关规定予以补充和完善，持续改进。严格执行安全监督检查制度。</w:t>
            </w:r>
          </w:p>
          <w:p w14:paraId="300CD5F8">
            <w:pPr>
              <w:pStyle w:val="25"/>
              <w:widowControl/>
              <w:ind w:left="0" w:firstLine="480"/>
              <w:rPr>
                <w:color w:val="000000"/>
                <w:bdr w:val="none" w:color="auto" w:sz="0" w:space="0"/>
                <w:lang w:val="en-US"/>
              </w:rPr>
            </w:pPr>
            <w:r>
              <w:rPr>
                <w:rFonts w:hint="eastAsia" w:ascii="Times New Roman" w:hAnsi="Times New Roman" w:eastAsia="宋体" w:cs="宋体"/>
                <w:color w:val="000000"/>
                <w:bdr w:val="none" w:color="auto" w:sz="0" w:space="0"/>
              </w:rPr>
              <w:t>（</w:t>
            </w:r>
            <w:r>
              <w:rPr>
                <w:color w:val="000000"/>
                <w:bdr w:val="none" w:color="auto" w:sz="0" w:space="0"/>
                <w:lang w:val="en-US"/>
              </w:rPr>
              <w:t>5</w:t>
            </w:r>
            <w:r>
              <w:rPr>
                <w:rFonts w:hint="eastAsia" w:ascii="Times New Roman" w:hAnsi="Times New Roman" w:eastAsia="宋体" w:cs="宋体"/>
                <w:color w:val="000000"/>
                <w:bdr w:val="none" w:color="auto" w:sz="0" w:space="0"/>
              </w:rPr>
              <w:t>）安全检查：认真作好安全检查记录，对发现的异常情况、安全隐患必须及时报告并在符合安全条件的情况下立即整改。</w:t>
            </w:r>
          </w:p>
          <w:p w14:paraId="2CF48588">
            <w:pPr>
              <w:pStyle w:val="25"/>
              <w:widowControl/>
              <w:ind w:left="0" w:firstLine="480"/>
              <w:rPr>
                <w:color w:val="000000"/>
                <w:bdr w:val="none" w:color="auto" w:sz="0" w:space="0"/>
                <w:lang w:val="en-US"/>
              </w:rPr>
            </w:pPr>
            <w:r>
              <w:rPr>
                <w:rFonts w:hint="eastAsia" w:ascii="Times New Roman" w:hAnsi="Times New Roman" w:eastAsia="宋体" w:cs="宋体"/>
                <w:color w:val="000000"/>
                <w:bdr w:val="none" w:color="auto" w:sz="0" w:space="0"/>
              </w:rPr>
              <w:t>（</w:t>
            </w:r>
            <w:r>
              <w:rPr>
                <w:color w:val="000000"/>
                <w:bdr w:val="none" w:color="auto" w:sz="0" w:space="0"/>
                <w:lang w:val="en-US"/>
              </w:rPr>
              <w:t>6</w:t>
            </w:r>
            <w:r>
              <w:rPr>
                <w:rFonts w:hint="eastAsia" w:ascii="Times New Roman" w:hAnsi="Times New Roman" w:eastAsia="宋体" w:cs="宋体"/>
                <w:color w:val="000000"/>
                <w:bdr w:val="none" w:color="auto" w:sz="0" w:space="0"/>
              </w:rPr>
              <w:t>）</w:t>
            </w:r>
            <w:r>
              <w:rPr>
                <w:color w:val="000000"/>
                <w:bdr w:val="none" w:color="auto" w:sz="0" w:space="0"/>
                <w:lang w:val="en-US"/>
              </w:rPr>
              <w:t>UV</w:t>
            </w:r>
            <w:r>
              <w:rPr>
                <w:rFonts w:hint="eastAsia" w:ascii="Times New Roman" w:hAnsi="Times New Roman" w:eastAsia="宋体" w:cs="宋体"/>
                <w:color w:val="000000"/>
                <w:bdr w:val="none" w:color="auto" w:sz="0" w:space="0"/>
              </w:rPr>
              <w:t>光解装置运行过程管理措施：每天关机冷却后，应对</w:t>
            </w:r>
            <w:r>
              <w:rPr>
                <w:color w:val="000000"/>
                <w:bdr w:val="none" w:color="auto" w:sz="0" w:space="0"/>
                <w:lang w:val="en-US"/>
              </w:rPr>
              <w:t>UV</w:t>
            </w:r>
            <w:r>
              <w:rPr>
                <w:rFonts w:hint="eastAsia" w:ascii="Times New Roman" w:hAnsi="Times New Roman" w:eastAsia="宋体" w:cs="宋体"/>
                <w:color w:val="000000"/>
                <w:bdr w:val="none" w:color="auto" w:sz="0" w:space="0"/>
              </w:rPr>
              <w:t>灯管表面进行吹扫和擦拭，防止积灰导致受热不均从而发生爆炸、火灾。</w:t>
            </w:r>
          </w:p>
          <w:p w14:paraId="3ABA5C15">
            <w:pPr>
              <w:pStyle w:val="25"/>
              <w:widowControl/>
              <w:ind w:left="0" w:firstLine="480"/>
              <w:rPr>
                <w:color w:val="000000"/>
                <w:bdr w:val="none" w:color="auto" w:sz="0" w:space="0"/>
                <w:lang w:val="en-US"/>
              </w:rPr>
            </w:pPr>
            <w:r>
              <w:rPr>
                <w:rFonts w:hint="eastAsia" w:ascii="Times New Roman" w:hAnsi="Times New Roman" w:eastAsia="宋体" w:cs="宋体"/>
                <w:color w:val="000000"/>
                <w:bdr w:val="none" w:color="auto" w:sz="0" w:space="0"/>
              </w:rPr>
              <w:t>（</w:t>
            </w:r>
            <w:r>
              <w:rPr>
                <w:color w:val="000000"/>
                <w:bdr w:val="none" w:color="auto" w:sz="0" w:space="0"/>
                <w:lang w:val="en-US"/>
              </w:rPr>
              <w:t>7</w:t>
            </w:r>
            <w:r>
              <w:rPr>
                <w:rFonts w:hint="eastAsia" w:ascii="Times New Roman" w:hAnsi="Times New Roman" w:eastAsia="宋体" w:cs="宋体"/>
                <w:color w:val="000000"/>
                <w:bdr w:val="none" w:color="auto" w:sz="0" w:space="0"/>
              </w:rPr>
              <w:t>）</w:t>
            </w:r>
            <w:r>
              <w:rPr>
                <w:color w:val="000000"/>
                <w:bdr w:val="none" w:color="auto" w:sz="0" w:space="0"/>
                <w:lang w:val="en-US"/>
              </w:rPr>
              <w:t>VOCs</w:t>
            </w:r>
            <w:r>
              <w:rPr>
                <w:rFonts w:hint="eastAsia" w:ascii="Times New Roman" w:hAnsi="Times New Roman" w:eastAsia="宋体" w:cs="宋体"/>
                <w:color w:val="000000"/>
                <w:szCs w:val="21"/>
                <w:bdr w:val="none" w:color="auto" w:sz="0" w:space="0"/>
              </w:rPr>
              <w:t>源头</w:t>
            </w:r>
            <w:r>
              <w:rPr>
                <w:rFonts w:hint="eastAsia" w:ascii="Times New Roman" w:hAnsi="Times New Roman" w:eastAsia="宋体" w:cs="宋体"/>
                <w:color w:val="000000"/>
                <w:bdr w:val="none" w:color="auto" w:sz="0" w:space="0"/>
              </w:rPr>
              <w:t>管理要求：</w:t>
            </w:r>
            <w:r>
              <w:rPr>
                <w:rFonts w:hint="eastAsia" w:ascii="Times New Roman" w:hAnsi="Times New Roman" w:eastAsia="宋体" w:cs="宋体"/>
                <w:color w:val="000000"/>
                <w:szCs w:val="21"/>
                <w:bdr w:val="none" w:color="auto" w:sz="0" w:space="0"/>
              </w:rPr>
              <w:t>企业应建立台账，记录含</w:t>
            </w:r>
            <w:r>
              <w:rPr>
                <w:color w:val="000000"/>
                <w:szCs w:val="21"/>
                <w:bdr w:val="none" w:color="auto" w:sz="0" w:space="0"/>
                <w:lang w:val="en-US"/>
              </w:rPr>
              <w:t>VOCs</w:t>
            </w:r>
            <w:r>
              <w:rPr>
                <w:rFonts w:hint="eastAsia" w:ascii="Times New Roman" w:hAnsi="Times New Roman" w:eastAsia="宋体" w:cs="宋体"/>
                <w:color w:val="000000"/>
                <w:szCs w:val="21"/>
                <w:bdr w:val="none" w:color="auto" w:sz="0" w:space="0"/>
              </w:rPr>
              <w:t>原辅材料和含</w:t>
            </w:r>
            <w:r>
              <w:rPr>
                <w:color w:val="000000"/>
                <w:szCs w:val="21"/>
                <w:bdr w:val="none" w:color="auto" w:sz="0" w:space="0"/>
                <w:lang w:val="en-US"/>
              </w:rPr>
              <w:t>VOCs</w:t>
            </w:r>
            <w:r>
              <w:rPr>
                <w:rFonts w:hint="eastAsia" w:ascii="Times New Roman" w:hAnsi="Times New Roman" w:eastAsia="宋体" w:cs="宋体"/>
                <w:color w:val="000000"/>
                <w:szCs w:val="21"/>
                <w:bdr w:val="none" w:color="auto" w:sz="0" w:space="0"/>
              </w:rPr>
              <w:t>产品的名称、使用量、回收量、废弃量、去向以及</w:t>
            </w:r>
            <w:r>
              <w:rPr>
                <w:color w:val="000000"/>
                <w:szCs w:val="21"/>
                <w:bdr w:val="none" w:color="auto" w:sz="0" w:space="0"/>
                <w:lang w:val="en-US"/>
              </w:rPr>
              <w:t>VOCs</w:t>
            </w:r>
            <w:r>
              <w:rPr>
                <w:rFonts w:hint="eastAsia" w:ascii="Times New Roman" w:hAnsi="Times New Roman" w:eastAsia="宋体" w:cs="宋体"/>
                <w:color w:val="000000"/>
                <w:szCs w:val="21"/>
                <w:bdr w:val="none" w:color="auto" w:sz="0" w:space="0"/>
              </w:rPr>
              <w:t>含量等信息，台账保存期限不少于</w:t>
            </w:r>
            <w:r>
              <w:rPr>
                <w:color w:val="000000"/>
                <w:szCs w:val="21"/>
                <w:bdr w:val="none" w:color="auto" w:sz="0" w:space="0"/>
                <w:lang w:val="en-US"/>
              </w:rPr>
              <w:t>5</w:t>
            </w:r>
            <w:r>
              <w:rPr>
                <w:rFonts w:hint="eastAsia" w:ascii="Times New Roman" w:hAnsi="Times New Roman" w:eastAsia="宋体" w:cs="宋体"/>
                <w:color w:val="000000"/>
                <w:szCs w:val="21"/>
                <w:bdr w:val="none" w:color="auto" w:sz="0" w:space="0"/>
              </w:rPr>
              <w:t>年。</w:t>
            </w:r>
          </w:p>
          <w:p w14:paraId="4FD9AC4B">
            <w:pPr>
              <w:pStyle w:val="25"/>
              <w:widowControl/>
              <w:ind w:left="0" w:firstLine="480"/>
              <w:rPr>
                <w:color w:val="000000"/>
                <w:bdr w:val="none" w:color="auto" w:sz="0" w:space="0"/>
                <w:lang w:val="en-US"/>
              </w:rPr>
            </w:pPr>
            <w:r>
              <w:rPr>
                <w:rFonts w:hint="eastAsia" w:ascii="Times New Roman" w:hAnsi="Times New Roman" w:eastAsia="宋体" w:cs="宋体"/>
                <w:color w:val="000000"/>
                <w:bdr w:val="none" w:color="auto" w:sz="0" w:space="0"/>
              </w:rPr>
              <w:t>（</w:t>
            </w:r>
            <w:r>
              <w:rPr>
                <w:color w:val="000000"/>
                <w:bdr w:val="none" w:color="auto" w:sz="0" w:space="0"/>
                <w:lang w:val="en-US"/>
              </w:rPr>
              <w:t>8</w:t>
            </w:r>
            <w:r>
              <w:rPr>
                <w:rFonts w:hint="eastAsia" w:ascii="Times New Roman" w:hAnsi="Times New Roman" w:eastAsia="宋体" w:cs="宋体"/>
                <w:color w:val="000000"/>
                <w:bdr w:val="none" w:color="auto" w:sz="0" w:space="0"/>
              </w:rPr>
              <w:t>）</w:t>
            </w:r>
            <w:r>
              <w:rPr>
                <w:color w:val="000000"/>
                <w:szCs w:val="21"/>
                <w:bdr w:val="none" w:color="auto" w:sz="0" w:space="0"/>
                <w:lang w:val="en-US"/>
              </w:rPr>
              <w:t>VOCs</w:t>
            </w:r>
            <w:r>
              <w:rPr>
                <w:rFonts w:hint="eastAsia" w:ascii="Times New Roman" w:hAnsi="Times New Roman" w:eastAsia="宋体" w:cs="宋体"/>
                <w:color w:val="000000"/>
                <w:szCs w:val="21"/>
                <w:bdr w:val="none" w:color="auto" w:sz="0" w:space="0"/>
              </w:rPr>
              <w:t>治理设施管理要求：</w:t>
            </w:r>
            <w:r>
              <w:rPr>
                <w:rFonts w:hint="eastAsia" w:ascii="Times New Roman" w:hAnsi="Times New Roman" w:eastAsia="宋体" w:cs="宋体"/>
                <w:color w:val="000000"/>
                <w:bdr w:val="none" w:color="auto" w:sz="0" w:space="0"/>
              </w:rPr>
              <w:t>企业应建立健全</w:t>
            </w:r>
            <w:r>
              <w:rPr>
                <w:color w:val="000000"/>
                <w:bdr w:val="none" w:color="auto" w:sz="0" w:space="0"/>
                <w:lang w:val="en-US"/>
              </w:rPr>
              <w:t>VOCs</w:t>
            </w:r>
            <w:r>
              <w:rPr>
                <w:rFonts w:hint="eastAsia" w:ascii="Times New Roman" w:hAnsi="Times New Roman" w:eastAsia="宋体" w:cs="宋体"/>
                <w:color w:val="000000"/>
                <w:bdr w:val="none" w:color="auto" w:sz="0" w:space="0"/>
              </w:rPr>
              <w:t>治理设施的运行维护规程和台帐等日常管理制度，并根据工艺要求定期对各类设备、电气、自控仪表等进行检修维护，确保设施的稳定运行。吸附剂应按设计要求定期更换，更换下来的吸附剂应封闭保存，及时清运处置，同时做好运行台账记录（维修记录、耗材更换记录等）。</w:t>
            </w:r>
          </w:p>
          <w:p w14:paraId="41469FE2">
            <w:pPr>
              <w:pStyle w:val="25"/>
              <w:widowControl/>
              <w:ind w:left="0" w:firstLine="480"/>
              <w:rPr>
                <w:color w:val="000000"/>
                <w:bdr w:val="none" w:color="auto" w:sz="0" w:space="0"/>
                <w:lang w:val="en-US"/>
              </w:rPr>
            </w:pPr>
            <w:r>
              <w:rPr>
                <w:rFonts w:hint="eastAsia" w:ascii="Times New Roman" w:hAnsi="Times New Roman" w:eastAsia="宋体" w:cs="宋体"/>
                <w:color w:val="000000"/>
                <w:bdr w:val="none" w:color="auto" w:sz="0" w:space="0"/>
              </w:rPr>
              <w:t>（</w:t>
            </w:r>
            <w:r>
              <w:rPr>
                <w:color w:val="000000"/>
                <w:bdr w:val="none" w:color="auto" w:sz="0" w:space="0"/>
                <w:lang w:val="en-US"/>
              </w:rPr>
              <w:t>9</w:t>
            </w:r>
            <w:r>
              <w:rPr>
                <w:rFonts w:hint="eastAsia" w:ascii="Times New Roman" w:hAnsi="Times New Roman" w:eastAsia="宋体" w:cs="宋体"/>
                <w:color w:val="000000"/>
                <w:bdr w:val="none" w:color="auto" w:sz="0" w:space="0"/>
              </w:rPr>
              <w:t>）废活性炭贮存管理要求</w:t>
            </w:r>
          </w:p>
          <w:p w14:paraId="1A4EB995">
            <w:pPr>
              <w:keepNext w:val="0"/>
              <w:keepLines w:val="0"/>
              <w:widowControl w:val="0"/>
              <w:suppressLineNumbers w:val="0"/>
              <w:snapToGrid w:val="0"/>
              <w:spacing w:before="0" w:beforeAutospacing="0" w:after="0" w:afterAutospacing="0" w:line="440" w:lineRule="exact"/>
              <w:ind w:left="0" w:right="0" w:firstLine="482"/>
              <w:jc w:val="both"/>
              <w:rPr>
                <w:rFonts w:hint="default" w:ascii="Times New Roman" w:hAnsi="Calibri" w:cs="Times New Roman"/>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①废活性炭危险废物收集时应根据收集设备、转运工具以及现场人员等实际情况确定相应作业区域，同时设置作业界限标志和警示牌。</w:t>
            </w:r>
          </w:p>
          <w:p w14:paraId="1975CC37">
            <w:pPr>
              <w:pStyle w:val="25"/>
              <w:widowControl/>
              <w:ind w:left="0" w:firstLine="480"/>
              <w:rPr>
                <w:color w:val="000000"/>
                <w:bdr w:val="none" w:color="auto" w:sz="0" w:space="0"/>
                <w:lang w:val="en-US"/>
              </w:rPr>
            </w:pPr>
            <w:r>
              <w:rPr>
                <w:rFonts w:hint="eastAsia" w:ascii="Times New Roman" w:hAnsi="Times New Roman" w:eastAsia="宋体" w:cs="宋体"/>
                <w:color w:val="000000"/>
                <w:bdr w:val="none" w:color="auto" w:sz="0" w:space="0"/>
              </w:rPr>
              <w:t>②应定期检查废活性炭危险废物的贮存状况，及时清理贮存设施地面，更换破损泄漏的危险废物贮存容器和包装物，保证堆存危险废物的防雨、防风、防扬尘等设施功能完好。扩建项目活性炭每三个月更换一次，更换下来的废活性炭袋装封存后暂存于危废贮存库内。</w:t>
            </w:r>
          </w:p>
          <w:p w14:paraId="7EBEFEAA">
            <w:pPr>
              <w:pStyle w:val="25"/>
              <w:widowControl/>
              <w:ind w:left="0" w:firstLine="480"/>
              <w:rPr>
                <w:color w:val="000000"/>
                <w:bdr w:val="none" w:color="auto" w:sz="0" w:space="0"/>
                <w:lang w:val="en-US"/>
              </w:rPr>
            </w:pPr>
            <w:r>
              <w:rPr>
                <w:rFonts w:hint="eastAsia" w:ascii="Times New Roman" w:hAnsi="Times New Roman" w:eastAsia="宋体" w:cs="宋体"/>
                <w:color w:val="000000"/>
                <w:bdr w:val="none" w:color="auto" w:sz="0" w:space="0"/>
              </w:rPr>
              <w:t>③贮存设施运行期间，应按《危险废物管理计划和管理台账制定技术导则》（</w:t>
            </w:r>
            <w:r>
              <w:rPr>
                <w:color w:val="000000"/>
                <w:bdr w:val="none" w:color="auto" w:sz="0" w:space="0"/>
                <w:lang w:val="en-US"/>
              </w:rPr>
              <w:t>HJ1259</w:t>
            </w:r>
            <w:r>
              <w:rPr>
                <w:rFonts w:hint="eastAsia" w:ascii="Times New Roman" w:hAnsi="Times New Roman" w:eastAsia="宋体" w:cs="宋体"/>
                <w:color w:val="000000"/>
                <w:bdr w:val="none" w:color="auto" w:sz="0" w:space="0"/>
              </w:rPr>
              <w:t>）建立危险废物管理台账并保存（不少于</w:t>
            </w:r>
            <w:r>
              <w:rPr>
                <w:color w:val="000000"/>
                <w:bdr w:val="none" w:color="auto" w:sz="0" w:space="0"/>
                <w:lang w:val="en-US"/>
              </w:rPr>
              <w:t>5</w:t>
            </w:r>
            <w:r>
              <w:rPr>
                <w:rFonts w:hint="eastAsia" w:ascii="Times New Roman" w:hAnsi="Times New Roman" w:eastAsia="宋体" w:cs="宋体"/>
                <w:color w:val="000000"/>
                <w:bdr w:val="none" w:color="auto" w:sz="0" w:space="0"/>
              </w:rPr>
              <w:t>年）。</w:t>
            </w:r>
          </w:p>
          <w:p w14:paraId="2F27F79C">
            <w:pPr>
              <w:pStyle w:val="25"/>
              <w:widowControl/>
              <w:ind w:left="0" w:firstLine="480"/>
              <w:rPr>
                <w:color w:val="000000"/>
                <w:bdr w:val="none" w:color="auto" w:sz="0" w:space="0"/>
                <w:lang w:val="en-US"/>
              </w:rPr>
            </w:pPr>
            <w:r>
              <w:rPr>
                <w:rFonts w:hint="eastAsia" w:ascii="Times New Roman" w:hAnsi="Times New Roman" w:eastAsia="宋体" w:cs="宋体"/>
                <w:color w:val="000000"/>
                <w:bdr w:val="none" w:color="auto" w:sz="0" w:space="0"/>
              </w:rPr>
              <w:t>④废活性炭危险废物产生单位应按照《危险废物管理计划和台账制定技术导则》中分类管理要求，在重庆市固体废物管理信息系统完成当年危险废物管理计划备案和上年度危险废物申报登记，如实申报危险废物产生、贮存和利用处置情况。</w:t>
            </w:r>
          </w:p>
          <w:p w14:paraId="3CB05B04">
            <w:pPr>
              <w:pStyle w:val="25"/>
              <w:widowControl/>
              <w:ind w:left="0" w:firstLine="480"/>
              <w:rPr>
                <w:color w:val="000000"/>
                <w:bdr w:val="none" w:color="auto" w:sz="0" w:space="0"/>
                <w:lang w:val="en-US"/>
              </w:rPr>
            </w:pPr>
            <w:r>
              <w:rPr>
                <w:color w:val="000000"/>
                <w:bdr w:val="none" w:color="auto" w:sz="0" w:space="0"/>
                <w:lang w:val="en-US"/>
              </w:rPr>
              <w:t>4</w:t>
            </w:r>
            <w:r>
              <w:rPr>
                <w:rFonts w:hint="eastAsia" w:ascii="Times New Roman" w:hAnsi="Times New Roman" w:eastAsia="宋体" w:cs="宋体"/>
                <w:color w:val="000000"/>
                <w:bdr w:val="none" w:color="auto" w:sz="0" w:space="0"/>
              </w:rPr>
              <w:t>、应急措施</w:t>
            </w:r>
          </w:p>
          <w:p w14:paraId="0F9E16D3">
            <w:pPr>
              <w:pStyle w:val="25"/>
              <w:widowControl/>
              <w:ind w:left="0" w:firstLine="480"/>
              <w:rPr>
                <w:color w:val="000000"/>
                <w:bdr w:val="none" w:color="auto" w:sz="0" w:space="0"/>
                <w:lang w:val="en-US"/>
              </w:rPr>
            </w:pPr>
            <w:r>
              <w:rPr>
                <w:rFonts w:hint="eastAsia" w:ascii="Times New Roman" w:hAnsi="Times New Roman" w:eastAsia="宋体" w:cs="宋体"/>
                <w:color w:val="000000"/>
                <w:bdr w:val="none" w:color="auto" w:sz="0" w:space="0"/>
              </w:rPr>
              <w:t>（</w:t>
            </w:r>
            <w:r>
              <w:rPr>
                <w:color w:val="000000"/>
                <w:bdr w:val="none" w:color="auto" w:sz="0" w:space="0"/>
                <w:lang w:val="en-US"/>
              </w:rPr>
              <w:t>1</w:t>
            </w:r>
            <w:r>
              <w:rPr>
                <w:rFonts w:hint="eastAsia" w:ascii="Times New Roman" w:hAnsi="Times New Roman" w:eastAsia="宋体" w:cs="宋体"/>
                <w:color w:val="000000"/>
                <w:bdr w:val="none" w:color="auto" w:sz="0" w:space="0"/>
              </w:rPr>
              <w:t>）废气处理设施故障的应急处置措施</w:t>
            </w:r>
          </w:p>
          <w:p w14:paraId="74CCDDC6">
            <w:pPr>
              <w:pStyle w:val="25"/>
              <w:widowControl/>
              <w:ind w:left="0" w:firstLine="480"/>
              <w:rPr>
                <w:color w:val="000000"/>
                <w:bdr w:val="none" w:color="auto" w:sz="0" w:space="0"/>
                <w:lang w:val="en-US"/>
              </w:rPr>
            </w:pPr>
            <w:r>
              <w:rPr>
                <w:rFonts w:hint="eastAsia" w:ascii="Times New Roman" w:hAnsi="Times New Roman" w:eastAsia="宋体" w:cs="宋体"/>
                <w:color w:val="000000"/>
                <w:bdr w:val="none" w:color="auto" w:sz="0" w:space="0"/>
              </w:rPr>
              <w:t>非正常工况下，废气处置设施发生故障，净化效率则会下降，导致废气未经处理直接排放，会对周围大气质量产生较明显影响。故运营期间必须做好废气环保设施的检修保养工作并做好台账记录。同时，在发生废气处理设施故障时，企业需停止作业，并对废气处理设施进行检修，检修合格后，方可重新进行作业，避免废气对周围大气环境造成污染影响。</w:t>
            </w:r>
          </w:p>
          <w:p w14:paraId="2620E3A6">
            <w:pPr>
              <w:pStyle w:val="25"/>
              <w:widowControl/>
              <w:ind w:left="0" w:firstLine="480"/>
              <w:rPr>
                <w:color w:val="000000"/>
                <w:bdr w:val="none" w:color="auto" w:sz="0" w:space="0"/>
                <w:lang w:val="en-US"/>
              </w:rPr>
            </w:pPr>
            <w:r>
              <w:rPr>
                <w:rFonts w:hint="eastAsia" w:ascii="Times New Roman" w:hAnsi="Times New Roman" w:eastAsia="宋体" w:cs="宋体"/>
                <w:color w:val="000000"/>
                <w:bdr w:val="none" w:color="auto" w:sz="0" w:space="0"/>
              </w:rPr>
              <w:t>（</w:t>
            </w:r>
            <w:r>
              <w:rPr>
                <w:color w:val="000000"/>
                <w:bdr w:val="none" w:color="auto" w:sz="0" w:space="0"/>
                <w:lang w:val="en-US"/>
              </w:rPr>
              <w:t>2</w:t>
            </w:r>
            <w:r>
              <w:rPr>
                <w:rFonts w:hint="eastAsia" w:ascii="Times New Roman" w:hAnsi="Times New Roman" w:eastAsia="宋体" w:cs="宋体"/>
                <w:color w:val="000000"/>
                <w:bdr w:val="none" w:color="auto" w:sz="0" w:space="0"/>
              </w:rPr>
              <w:t>）废油泄露事故下的应急处置措施</w:t>
            </w:r>
          </w:p>
          <w:p w14:paraId="241D0F05">
            <w:pPr>
              <w:pStyle w:val="25"/>
              <w:widowControl/>
              <w:ind w:left="0" w:firstLine="480"/>
              <w:rPr>
                <w:color w:val="000000"/>
                <w:bdr w:val="none" w:color="auto" w:sz="0" w:space="0"/>
                <w:lang w:val="en-US"/>
              </w:rPr>
            </w:pPr>
            <w:r>
              <w:rPr>
                <w:rFonts w:hint="eastAsia" w:ascii="Times New Roman" w:hAnsi="Times New Roman" w:eastAsia="宋体" w:cs="宋体"/>
                <w:color w:val="000000"/>
                <w:bdr w:val="none" w:color="auto" w:sz="0" w:space="0"/>
              </w:rPr>
              <w:t>在厂区内设置空桶用于液体物质泄漏后的应急收集，泄漏事故发生后，及时截留，将泄漏的废油收集于空桶内，作为危废处置。</w:t>
            </w:r>
          </w:p>
          <w:p w14:paraId="2E5BBECF">
            <w:pPr>
              <w:pStyle w:val="25"/>
              <w:widowControl/>
              <w:ind w:left="0" w:firstLine="480"/>
              <w:rPr>
                <w:color w:val="000000"/>
                <w:bdr w:val="none" w:color="auto" w:sz="0" w:space="0"/>
                <w:lang w:val="en-US"/>
              </w:rPr>
            </w:pPr>
            <w:r>
              <w:rPr>
                <w:rFonts w:hint="eastAsia" w:ascii="Times New Roman" w:hAnsi="Times New Roman" w:eastAsia="宋体" w:cs="宋体"/>
                <w:color w:val="000000"/>
                <w:bdr w:val="none" w:color="auto" w:sz="0" w:space="0"/>
              </w:rPr>
              <w:t>（</w:t>
            </w:r>
            <w:r>
              <w:rPr>
                <w:color w:val="000000"/>
                <w:bdr w:val="none" w:color="auto" w:sz="0" w:space="0"/>
                <w:lang w:val="en-US"/>
              </w:rPr>
              <w:t>3</w:t>
            </w:r>
            <w:r>
              <w:rPr>
                <w:rFonts w:hint="eastAsia" w:ascii="Times New Roman" w:hAnsi="Times New Roman" w:eastAsia="宋体" w:cs="宋体"/>
                <w:color w:val="000000"/>
                <w:bdr w:val="none" w:color="auto" w:sz="0" w:space="0"/>
              </w:rPr>
              <w:t>）发生火灾爆炸事故时，能自行扑灭火情的可自行利用现有灭火器材进行灭火，无法自行扑灭的，立即拨打消防电话，等待专业消防队伍进行灭火。</w:t>
            </w:r>
          </w:p>
          <w:p w14:paraId="236FD16B">
            <w:pPr>
              <w:pStyle w:val="25"/>
              <w:widowControl/>
              <w:ind w:left="0" w:firstLine="480"/>
              <w:rPr>
                <w:color w:val="000000"/>
                <w:bdr w:val="none" w:color="auto" w:sz="0" w:space="0"/>
                <w:lang w:val="en-US"/>
              </w:rPr>
            </w:pPr>
            <w:r>
              <w:rPr>
                <w:rFonts w:hint="eastAsia" w:ascii="Times New Roman" w:hAnsi="Times New Roman" w:eastAsia="宋体" w:cs="宋体"/>
                <w:color w:val="000000"/>
                <w:bdr w:val="none" w:color="auto" w:sz="0" w:space="0"/>
              </w:rPr>
              <w:t>（</w:t>
            </w:r>
            <w:r>
              <w:rPr>
                <w:color w:val="000000"/>
                <w:bdr w:val="none" w:color="auto" w:sz="0" w:space="0"/>
                <w:lang w:val="en-US"/>
              </w:rPr>
              <w:t>4</w:t>
            </w:r>
            <w:r>
              <w:rPr>
                <w:rFonts w:hint="eastAsia" w:ascii="Times New Roman" w:hAnsi="Times New Roman" w:eastAsia="宋体" w:cs="宋体"/>
                <w:color w:val="000000"/>
                <w:bdr w:val="none" w:color="auto" w:sz="0" w:space="0"/>
              </w:rPr>
              <w:t>）对可能发生的事故，公司应制定事故应急预案，以应对可能发生的应急危害事故，一旦发生事故，使各部门在事故发生后能有步骤、有秩序地采取各项应急措施，即可以在有充分准备的情况下，对事故进行紧急处理，同时与园区的应急预案衔接，统一采取救援行动。</w:t>
            </w:r>
          </w:p>
          <w:p w14:paraId="4F27EBF0">
            <w:pPr>
              <w:pStyle w:val="25"/>
              <w:widowControl/>
              <w:ind w:left="0" w:firstLine="480"/>
              <w:rPr>
                <w:color w:val="000000"/>
                <w:bdr w:val="none" w:color="auto" w:sz="0" w:space="0"/>
                <w:lang w:val="en-US"/>
              </w:rPr>
            </w:pPr>
            <w:r>
              <w:rPr>
                <w:color w:val="000000"/>
                <w:bdr w:val="none" w:color="auto" w:sz="0" w:space="0"/>
                <w:lang w:val="en-US"/>
              </w:rPr>
              <w:t>5</w:t>
            </w:r>
            <w:r>
              <w:rPr>
                <w:rFonts w:hint="eastAsia" w:ascii="Times New Roman" w:hAnsi="Times New Roman" w:eastAsia="宋体" w:cs="宋体"/>
                <w:color w:val="000000"/>
                <w:bdr w:val="none" w:color="auto" w:sz="0" w:space="0"/>
              </w:rPr>
              <w:t>、风险评价结论</w:t>
            </w:r>
          </w:p>
          <w:p w14:paraId="1DC52D11">
            <w:pPr>
              <w:pStyle w:val="25"/>
              <w:widowControl/>
              <w:ind w:left="0" w:firstLine="480"/>
              <w:rPr>
                <w:color w:val="000000"/>
                <w:bdr w:val="none" w:color="auto" w:sz="0" w:space="0"/>
                <w:lang w:val="en-US"/>
              </w:rPr>
            </w:pPr>
            <w:r>
              <w:rPr>
                <w:rFonts w:hint="eastAsia" w:ascii="Times New Roman" w:hAnsi="宋体" w:eastAsia="宋体" w:cs="宋体"/>
                <w:color w:val="000000"/>
                <w:kern w:val="0"/>
                <w:bdr w:val="none" w:color="auto" w:sz="0" w:space="0"/>
              </w:rPr>
              <w:t>综上所述，扩建项目原辅材料及危险废物均不构成重大危险源，生产过程中也不存在重大风险。项目运营期存在一定的环境风险，在采取必要的风险防范措施后，不会对区域环境造成较大的环境风险影响。扩建项目环境风险水平可接受。</w:t>
            </w:r>
          </w:p>
          <w:p w14:paraId="2AD645F9">
            <w:pPr>
              <w:keepNext w:val="0"/>
              <w:keepLines w:val="0"/>
              <w:widowControl w:val="0"/>
              <w:suppressLineNumbers w:val="0"/>
              <w:adjustRightInd w:val="0"/>
              <w:snapToGrid w:val="0"/>
              <w:spacing w:before="0" w:beforeAutospacing="0" w:after="0" w:afterAutospacing="0" w:line="440" w:lineRule="exact"/>
              <w:ind w:left="0" w:right="0"/>
              <w:jc w:val="left"/>
              <w:outlineLvl w:val="1"/>
              <w:rPr>
                <w:rFonts w:hint="default" w:ascii="Times New Roman" w:hAnsi="宋体" w:cs="Times New Roman"/>
                <w:b/>
                <w:bCs/>
                <w:color w:val="000000"/>
                <w:spacing w:val="-10"/>
                <w:sz w:val="24"/>
                <w:szCs w:val="24"/>
                <w:bdr w:val="none" w:color="auto" w:sz="0" w:space="0"/>
                <w:lang w:val="en-US"/>
              </w:rPr>
            </w:pPr>
            <w:r>
              <w:rPr>
                <w:rFonts w:hint="default" w:ascii="Times New Roman" w:hAnsi="宋体" w:eastAsia="宋体" w:cs="Times New Roman"/>
                <w:b/>
                <w:bCs/>
                <w:color w:val="000000"/>
                <w:spacing w:val="-10"/>
                <w:kern w:val="2"/>
                <w:sz w:val="24"/>
                <w:szCs w:val="24"/>
                <w:bdr w:val="none" w:color="auto" w:sz="0" w:space="0"/>
                <w:lang w:val="en-US" w:eastAsia="zh-CN" w:bidi="ar"/>
              </w:rPr>
              <w:t xml:space="preserve">4.9 </w:t>
            </w:r>
            <w:r>
              <w:rPr>
                <w:rFonts w:hint="eastAsia" w:ascii="Times New Roman" w:hAnsi="宋体" w:eastAsia="宋体" w:cs="宋体"/>
                <w:b/>
                <w:bCs/>
                <w:color w:val="000000"/>
                <w:spacing w:val="-10"/>
                <w:kern w:val="2"/>
                <w:sz w:val="24"/>
                <w:szCs w:val="24"/>
                <w:bdr w:val="none" w:color="auto" w:sz="0" w:space="0"/>
                <w:lang w:val="en-US" w:eastAsia="zh-CN" w:bidi="ar"/>
              </w:rPr>
              <w:t>排放口设置与规范化管理</w:t>
            </w:r>
          </w:p>
          <w:p w14:paraId="7E03E1ED">
            <w:pPr>
              <w:keepNext w:val="0"/>
              <w:keepLines w:val="0"/>
              <w:widowControl w:val="0"/>
              <w:suppressLineNumbers w:val="0"/>
              <w:adjustRightInd w:val="0"/>
              <w:snapToGrid w:val="0"/>
              <w:spacing w:before="0" w:beforeAutospacing="0" w:after="0" w:afterAutospacing="0" w:line="440" w:lineRule="exact"/>
              <w:ind w:left="0" w:right="0" w:firstLine="480"/>
              <w:jc w:val="both"/>
              <w:rPr>
                <w:rFonts w:hint="default" w:ascii="Times New Roman" w:hAnsi="Times New Roman" w:cs="Times New Roman"/>
                <w:bCs/>
                <w:color w:val="000000"/>
                <w:sz w:val="24"/>
                <w:szCs w:val="24"/>
                <w:bdr w:val="none" w:color="auto" w:sz="0" w:space="0"/>
                <w:lang w:val="en-US"/>
              </w:rPr>
            </w:pPr>
            <w:r>
              <w:rPr>
                <w:rFonts w:hint="eastAsia" w:ascii="Times New Roman" w:hAnsi="Calibri" w:eastAsia="宋体" w:cs="宋体"/>
                <w:bCs/>
                <w:color w:val="000000"/>
                <w:kern w:val="2"/>
                <w:sz w:val="24"/>
                <w:szCs w:val="24"/>
                <w:bdr w:val="none" w:color="auto" w:sz="0" w:space="0"/>
                <w:lang w:val="en-US" w:eastAsia="zh-CN" w:bidi="ar"/>
              </w:rPr>
              <w:t>按渝环发</w:t>
            </w:r>
            <w:r>
              <w:rPr>
                <w:rFonts w:hint="default" w:ascii="Times New Roman" w:hAnsi="Times New Roman" w:eastAsia="宋体" w:cs="Times New Roman"/>
                <w:bCs/>
                <w:color w:val="000000"/>
                <w:kern w:val="2"/>
                <w:sz w:val="24"/>
                <w:szCs w:val="24"/>
                <w:bdr w:val="none" w:color="auto" w:sz="0" w:space="0"/>
                <w:lang w:val="en-US" w:eastAsia="zh-CN" w:bidi="ar"/>
              </w:rPr>
              <w:t>[2012]26</w:t>
            </w:r>
            <w:r>
              <w:rPr>
                <w:rFonts w:hint="eastAsia" w:ascii="Times New Roman" w:hAnsi="Calibri" w:eastAsia="宋体" w:cs="宋体"/>
                <w:bCs/>
                <w:color w:val="000000"/>
                <w:kern w:val="2"/>
                <w:sz w:val="24"/>
                <w:szCs w:val="24"/>
                <w:bdr w:val="none" w:color="auto" w:sz="0" w:space="0"/>
                <w:lang w:val="en-US" w:eastAsia="zh-CN" w:bidi="ar"/>
              </w:rPr>
              <w:t>号《重庆市排污口规范化清理整治实施方案》的要求，建设单位各排污口应进行规范化。</w:t>
            </w:r>
          </w:p>
          <w:p w14:paraId="014C6B65">
            <w:pPr>
              <w:keepNext w:val="0"/>
              <w:keepLines w:val="0"/>
              <w:widowControl w:val="0"/>
              <w:suppressLineNumbers w:val="0"/>
              <w:adjustRightInd w:val="0"/>
              <w:snapToGrid w:val="0"/>
              <w:spacing w:before="0" w:beforeAutospacing="0" w:after="0" w:afterAutospacing="0" w:line="440" w:lineRule="exact"/>
              <w:ind w:left="0" w:right="0"/>
              <w:jc w:val="both"/>
              <w:outlineLvl w:val="2"/>
              <w:rPr>
                <w:rFonts w:hint="default" w:ascii="Times New Roman" w:hAnsi="Times New Roman" w:cs="Times New Roman"/>
                <w:b/>
                <w:bCs w:val="0"/>
                <w:color w:val="000000"/>
                <w:sz w:val="24"/>
                <w:szCs w:val="24"/>
                <w:bdr w:val="none" w:color="auto" w:sz="0" w:space="0"/>
                <w:lang w:val="en-US"/>
              </w:rPr>
            </w:pPr>
            <w:r>
              <w:rPr>
                <w:rFonts w:hint="default" w:ascii="Times New Roman" w:hAnsi="Times New Roman" w:eastAsia="宋体" w:cs="Times New Roman"/>
                <w:b/>
                <w:bCs w:val="0"/>
                <w:color w:val="000000"/>
                <w:kern w:val="2"/>
                <w:sz w:val="24"/>
                <w:szCs w:val="24"/>
                <w:bdr w:val="none" w:color="auto" w:sz="0" w:space="0"/>
                <w:lang w:val="en-US" w:eastAsia="zh-CN" w:bidi="ar"/>
              </w:rPr>
              <w:t>4.9.1</w:t>
            </w:r>
            <w:r>
              <w:rPr>
                <w:rFonts w:hint="eastAsia" w:ascii="Times New Roman" w:hAnsi="Times New Roman" w:eastAsia="宋体" w:cs="宋体"/>
                <w:b/>
                <w:bCs w:val="0"/>
                <w:color w:val="000000"/>
                <w:kern w:val="2"/>
                <w:sz w:val="24"/>
                <w:szCs w:val="24"/>
                <w:bdr w:val="none" w:color="auto" w:sz="0" w:space="0"/>
                <w:lang w:val="en-US" w:eastAsia="zh-CN" w:bidi="ar"/>
              </w:rPr>
              <w:t>废气排放口</w:t>
            </w:r>
          </w:p>
          <w:p w14:paraId="33636533">
            <w:pPr>
              <w:pStyle w:val="25"/>
              <w:widowControl/>
              <w:spacing w:line="420" w:lineRule="exact"/>
              <w:ind w:left="0" w:firstLine="480"/>
              <w:rPr>
                <w:color w:val="000000"/>
                <w:bdr w:val="none" w:color="auto" w:sz="0" w:space="0"/>
                <w:lang w:val="en-US"/>
              </w:rPr>
            </w:pPr>
            <w:r>
              <w:rPr>
                <w:color w:val="000000"/>
                <w:bdr w:val="none" w:color="auto" w:sz="0" w:space="0"/>
                <w:lang w:val="en-US"/>
              </w:rPr>
              <w:t xml:space="preserve">(1) </w:t>
            </w:r>
            <w:r>
              <w:rPr>
                <w:rFonts w:hint="eastAsia" w:ascii="Times New Roman" w:hAnsi="Times New Roman" w:eastAsia="宋体" w:cs="宋体"/>
                <w:color w:val="000000"/>
                <w:bdr w:val="none" w:color="auto" w:sz="0" w:space="0"/>
              </w:rPr>
              <w:t>对厂区排放筒进行编号并设置标识，需注明：编号、污染源名称及型号；高度、出口内径；排气量、最大允许排放浓度；排放大气污染物名称、排放强度和最大允许排放量。</w:t>
            </w:r>
          </w:p>
          <w:p w14:paraId="54BF0C9A">
            <w:pPr>
              <w:pStyle w:val="25"/>
              <w:widowControl/>
              <w:spacing w:line="420" w:lineRule="exact"/>
              <w:ind w:left="0" w:firstLine="480"/>
              <w:rPr>
                <w:color w:val="000000"/>
                <w:bdr w:val="none" w:color="auto" w:sz="0" w:space="0"/>
                <w:lang w:val="en-US"/>
              </w:rPr>
            </w:pPr>
            <w:r>
              <w:rPr>
                <w:color w:val="000000"/>
                <w:bdr w:val="none" w:color="auto" w:sz="0" w:space="0"/>
                <w:lang w:val="en-US"/>
              </w:rPr>
              <w:t xml:space="preserve">(2) </w:t>
            </w:r>
            <w:r>
              <w:rPr>
                <w:rFonts w:hint="eastAsia" w:ascii="Times New Roman" w:hAnsi="Times New Roman" w:eastAsia="宋体" w:cs="宋体"/>
                <w:color w:val="000000"/>
                <w:bdr w:val="none" w:color="auto" w:sz="0" w:space="0"/>
              </w:rPr>
              <w:t>排气筒应设置便于人工采样、监测的采样口，采样口的设置应符合《污染源监测技术规范》要求。采样口必须设置常备电源。</w:t>
            </w:r>
          </w:p>
          <w:p w14:paraId="38FC858E">
            <w:pPr>
              <w:keepNext w:val="0"/>
              <w:keepLines w:val="0"/>
              <w:widowControl w:val="0"/>
              <w:suppressLineNumbers w:val="0"/>
              <w:adjustRightInd w:val="0"/>
              <w:snapToGrid w:val="0"/>
              <w:spacing w:before="0" w:beforeAutospacing="0" w:after="0" w:afterAutospacing="0" w:line="440" w:lineRule="exact"/>
              <w:ind w:left="0" w:right="0"/>
              <w:jc w:val="both"/>
              <w:outlineLvl w:val="2"/>
              <w:rPr>
                <w:rFonts w:hint="default" w:ascii="Times New Roman" w:hAnsi="Times New Roman" w:cs="Times New Roman"/>
                <w:b/>
                <w:bCs w:val="0"/>
                <w:color w:val="000000"/>
                <w:sz w:val="24"/>
                <w:szCs w:val="24"/>
                <w:bdr w:val="none" w:color="auto" w:sz="0" w:space="0"/>
                <w:lang w:val="en-US"/>
              </w:rPr>
            </w:pPr>
            <w:r>
              <w:rPr>
                <w:rFonts w:hint="default" w:ascii="Times New Roman" w:hAnsi="Times New Roman" w:eastAsia="宋体" w:cs="Times New Roman"/>
                <w:b/>
                <w:bCs w:val="0"/>
                <w:color w:val="000000"/>
                <w:kern w:val="2"/>
                <w:sz w:val="24"/>
                <w:szCs w:val="24"/>
                <w:bdr w:val="none" w:color="auto" w:sz="0" w:space="0"/>
                <w:lang w:val="en-US" w:eastAsia="zh-CN" w:bidi="ar"/>
              </w:rPr>
              <w:t xml:space="preserve">4.9.2 </w:t>
            </w:r>
            <w:r>
              <w:rPr>
                <w:rFonts w:hint="eastAsia" w:ascii="Times New Roman" w:hAnsi="Calibri" w:eastAsia="宋体" w:cs="宋体"/>
                <w:b/>
                <w:bCs w:val="0"/>
                <w:color w:val="000000"/>
                <w:kern w:val="2"/>
                <w:sz w:val="24"/>
                <w:szCs w:val="24"/>
                <w:bdr w:val="none" w:color="auto" w:sz="0" w:space="0"/>
                <w:lang w:val="en-US" w:eastAsia="zh-CN" w:bidi="ar"/>
              </w:rPr>
              <w:t>噪声</w:t>
            </w:r>
          </w:p>
          <w:p w14:paraId="304A55A1">
            <w:pPr>
              <w:keepNext w:val="0"/>
              <w:keepLines w:val="0"/>
              <w:widowControl w:val="0"/>
              <w:suppressLineNumbers w:val="0"/>
              <w:snapToGrid w:val="0"/>
              <w:spacing w:before="0" w:beforeAutospacing="0" w:after="0" w:afterAutospacing="0" w:line="400" w:lineRule="exact"/>
              <w:ind w:left="0" w:right="0" w:firstLine="482"/>
              <w:jc w:val="both"/>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 xml:space="preserve">(1) </w:t>
            </w:r>
            <w:r>
              <w:rPr>
                <w:rFonts w:hint="eastAsia" w:ascii="Times New Roman" w:hAnsi="Calibri" w:eastAsia="宋体" w:cs="宋体"/>
                <w:color w:val="000000"/>
                <w:kern w:val="2"/>
                <w:sz w:val="24"/>
                <w:szCs w:val="24"/>
                <w:bdr w:val="none" w:color="auto" w:sz="0" w:space="0"/>
                <w:lang w:val="en-US" w:eastAsia="zh-CN" w:bidi="ar"/>
              </w:rPr>
              <w:t>工业企业厂界噪声监测点应在厂界外</w:t>
            </w:r>
            <w:r>
              <w:rPr>
                <w:rFonts w:hint="default" w:ascii="Times New Roman" w:hAnsi="Times New Roman" w:eastAsia="宋体" w:cs="Times New Roman"/>
                <w:color w:val="000000"/>
                <w:kern w:val="2"/>
                <w:sz w:val="24"/>
                <w:szCs w:val="24"/>
                <w:bdr w:val="none" w:color="auto" w:sz="0" w:space="0"/>
                <w:lang w:val="en-US" w:eastAsia="zh-CN" w:bidi="ar"/>
              </w:rPr>
              <w:t>1m</w:t>
            </w:r>
            <w:r>
              <w:rPr>
                <w:rFonts w:hint="eastAsia" w:ascii="Times New Roman" w:hAnsi="Calibri" w:eastAsia="宋体" w:cs="宋体"/>
                <w:color w:val="000000"/>
                <w:kern w:val="2"/>
                <w:sz w:val="24"/>
                <w:szCs w:val="24"/>
                <w:bdr w:val="none" w:color="auto" w:sz="0" w:space="0"/>
                <w:lang w:val="en-US" w:eastAsia="zh-CN" w:bidi="ar"/>
              </w:rPr>
              <w:t>、高度</w:t>
            </w:r>
            <w:r>
              <w:rPr>
                <w:rFonts w:hint="default" w:ascii="Times New Roman" w:hAnsi="Times New Roman" w:eastAsia="宋体" w:cs="Times New Roman"/>
                <w:color w:val="000000"/>
                <w:kern w:val="2"/>
                <w:sz w:val="24"/>
                <w:szCs w:val="24"/>
                <w:bdr w:val="none" w:color="auto" w:sz="0" w:space="0"/>
                <w:lang w:val="en-US" w:eastAsia="zh-CN" w:bidi="ar"/>
              </w:rPr>
              <w:t>1.2m</w:t>
            </w:r>
            <w:r>
              <w:rPr>
                <w:rFonts w:hint="eastAsia" w:ascii="Times New Roman" w:hAnsi="Calibri" w:eastAsia="宋体" w:cs="宋体"/>
                <w:color w:val="000000"/>
                <w:kern w:val="2"/>
                <w:sz w:val="24"/>
                <w:szCs w:val="24"/>
                <w:bdr w:val="none" w:color="auto" w:sz="0" w:space="0"/>
                <w:lang w:val="en-US" w:eastAsia="zh-CN" w:bidi="ar"/>
              </w:rPr>
              <w:t>以上的噪声敏感处。</w:t>
            </w:r>
          </w:p>
          <w:p w14:paraId="1A5BE8FF">
            <w:pPr>
              <w:keepNext w:val="0"/>
              <w:keepLines w:val="0"/>
              <w:widowControl w:val="0"/>
              <w:suppressLineNumbers w:val="0"/>
              <w:snapToGrid w:val="0"/>
              <w:spacing w:before="0" w:beforeAutospacing="0" w:after="0" w:afterAutospacing="0" w:line="400" w:lineRule="exact"/>
              <w:ind w:left="0" w:right="0" w:firstLine="482"/>
              <w:jc w:val="both"/>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 xml:space="preserve">(2) </w:t>
            </w:r>
            <w:r>
              <w:rPr>
                <w:rFonts w:hint="eastAsia" w:ascii="Times New Roman" w:hAnsi="Calibri" w:eastAsia="宋体" w:cs="宋体"/>
                <w:color w:val="000000"/>
                <w:kern w:val="2"/>
                <w:sz w:val="24"/>
                <w:szCs w:val="24"/>
                <w:bdr w:val="none" w:color="auto" w:sz="0" w:space="0"/>
                <w:lang w:val="en-US" w:eastAsia="zh-CN" w:bidi="ar"/>
              </w:rPr>
              <w:t>声源对外界影响最大处设置监测点。</w:t>
            </w:r>
          </w:p>
          <w:p w14:paraId="5FCBCCD0">
            <w:pPr>
              <w:keepNext w:val="0"/>
              <w:keepLines w:val="0"/>
              <w:widowControl w:val="0"/>
              <w:suppressLineNumbers w:val="0"/>
              <w:adjustRightInd w:val="0"/>
              <w:snapToGrid w:val="0"/>
              <w:spacing w:before="0" w:beforeAutospacing="0" w:after="0" w:afterAutospacing="0" w:line="440" w:lineRule="exact"/>
              <w:ind w:left="0" w:right="0"/>
              <w:jc w:val="both"/>
              <w:outlineLvl w:val="2"/>
              <w:rPr>
                <w:rFonts w:hint="default" w:ascii="Times New Roman" w:hAnsi="Times New Roman" w:cs="Times New Roman"/>
                <w:b/>
                <w:bCs w:val="0"/>
                <w:color w:val="000000"/>
                <w:sz w:val="24"/>
                <w:szCs w:val="24"/>
                <w:bdr w:val="none" w:color="auto" w:sz="0" w:space="0"/>
                <w:lang w:val="en-US"/>
              </w:rPr>
            </w:pPr>
            <w:r>
              <w:rPr>
                <w:rFonts w:hint="default" w:ascii="Times New Roman" w:hAnsi="Times New Roman" w:eastAsia="宋体" w:cs="Times New Roman"/>
                <w:b/>
                <w:bCs w:val="0"/>
                <w:color w:val="000000"/>
                <w:kern w:val="2"/>
                <w:sz w:val="24"/>
                <w:szCs w:val="24"/>
                <w:bdr w:val="none" w:color="auto" w:sz="0" w:space="0"/>
                <w:lang w:val="en-US" w:eastAsia="zh-CN" w:bidi="ar"/>
              </w:rPr>
              <w:t>4.9.3</w:t>
            </w:r>
            <w:r>
              <w:rPr>
                <w:rFonts w:hint="eastAsia" w:ascii="Times New Roman" w:hAnsi="Calibri" w:eastAsia="宋体" w:cs="宋体"/>
                <w:b/>
                <w:bCs w:val="0"/>
                <w:color w:val="000000"/>
                <w:kern w:val="2"/>
                <w:sz w:val="24"/>
                <w:szCs w:val="24"/>
                <w:bdr w:val="none" w:color="auto" w:sz="0" w:space="0"/>
                <w:lang w:val="en-US" w:eastAsia="zh-CN" w:bidi="ar"/>
              </w:rPr>
              <w:t>固废</w:t>
            </w:r>
          </w:p>
          <w:p w14:paraId="38CABAAD">
            <w:pPr>
              <w:keepNext w:val="0"/>
              <w:keepLines w:val="0"/>
              <w:widowControl w:val="0"/>
              <w:suppressLineNumbers w:val="0"/>
              <w:adjustRightInd w:val="0"/>
              <w:snapToGrid w:val="0"/>
              <w:spacing w:before="0" w:beforeAutospacing="0" w:after="0" w:afterAutospacing="0" w:line="440" w:lineRule="exact"/>
              <w:ind w:left="0" w:right="0" w:firstLine="522"/>
              <w:jc w:val="both"/>
              <w:rPr>
                <w:rFonts w:hint="eastAsia" w:ascii="宋体" w:hAnsi="Courier New" w:eastAsia="宋体" w:cs="宋体"/>
                <w:bCs/>
                <w:color w:val="000000"/>
                <w:sz w:val="24"/>
                <w:szCs w:val="24"/>
                <w:bdr w:val="none" w:color="auto" w:sz="0" w:space="0"/>
                <w:lang w:val="en-US"/>
              </w:rPr>
            </w:pPr>
            <w:r>
              <w:rPr>
                <w:rFonts w:hint="eastAsia" w:ascii="宋体" w:hAnsi="Courier New" w:eastAsia="宋体" w:cs="宋体"/>
                <w:bCs/>
                <w:color w:val="000000"/>
                <w:kern w:val="2"/>
                <w:sz w:val="24"/>
                <w:szCs w:val="24"/>
                <w:bdr w:val="none" w:color="auto" w:sz="0" w:space="0"/>
                <w:lang w:val="en-US" w:eastAsia="zh-CN" w:bidi="ar"/>
              </w:rPr>
              <w:t>固体废物除综合利用外，固体废物的处置、贮存、堆放场应分别立标，标志牌立于边界线上。</w:t>
            </w:r>
          </w:p>
          <w:p w14:paraId="1115835D">
            <w:pPr>
              <w:keepNext w:val="0"/>
              <w:keepLines w:val="0"/>
              <w:widowControl w:val="0"/>
              <w:suppressLineNumbers w:val="0"/>
              <w:adjustRightInd w:val="0"/>
              <w:snapToGrid w:val="0"/>
              <w:spacing w:before="0" w:beforeAutospacing="0" w:after="0" w:afterAutospacing="0" w:line="440" w:lineRule="exact"/>
              <w:ind w:left="0" w:right="0"/>
              <w:jc w:val="both"/>
              <w:outlineLvl w:val="2"/>
              <w:rPr>
                <w:rFonts w:hint="default" w:ascii="Times New Roman" w:hAnsi="Times New Roman" w:cs="Times New Roman"/>
                <w:b/>
                <w:bCs w:val="0"/>
                <w:color w:val="000000"/>
                <w:sz w:val="24"/>
                <w:szCs w:val="24"/>
                <w:bdr w:val="none" w:color="auto" w:sz="0" w:space="0"/>
                <w:lang w:val="en-US"/>
              </w:rPr>
            </w:pPr>
            <w:r>
              <w:rPr>
                <w:rFonts w:hint="default" w:ascii="Times New Roman" w:hAnsi="Times New Roman" w:eastAsia="宋体" w:cs="Times New Roman"/>
                <w:b/>
                <w:bCs w:val="0"/>
                <w:color w:val="000000"/>
                <w:kern w:val="2"/>
                <w:sz w:val="24"/>
                <w:szCs w:val="24"/>
                <w:bdr w:val="none" w:color="auto" w:sz="0" w:space="0"/>
                <w:lang w:val="en-US" w:eastAsia="zh-CN" w:bidi="ar"/>
              </w:rPr>
              <w:t>4.9.4</w:t>
            </w:r>
            <w:r>
              <w:rPr>
                <w:rFonts w:hint="eastAsia" w:ascii="Times New Roman" w:hAnsi="Calibri" w:eastAsia="宋体" w:cs="宋体"/>
                <w:b/>
                <w:bCs w:val="0"/>
                <w:color w:val="000000"/>
                <w:kern w:val="2"/>
                <w:sz w:val="24"/>
                <w:szCs w:val="24"/>
                <w:bdr w:val="none" w:color="auto" w:sz="0" w:space="0"/>
                <w:lang w:val="en-US" w:eastAsia="zh-CN" w:bidi="ar"/>
              </w:rPr>
              <w:t>设置标志要求</w:t>
            </w:r>
          </w:p>
          <w:p w14:paraId="72853474">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bdr w:val="none" w:color="auto" w:sz="0" w:space="0"/>
                <w:lang w:val="en-US"/>
              </w:rPr>
            </w:pPr>
            <w:r>
              <w:rPr>
                <w:rFonts w:hint="eastAsia" w:ascii="Times New Roman" w:hAnsi="Calibri" w:eastAsia="宋体" w:cs="宋体"/>
                <w:bCs/>
                <w:color w:val="000000"/>
                <w:kern w:val="2"/>
                <w:sz w:val="24"/>
                <w:szCs w:val="24"/>
                <w:bdr w:val="none" w:color="auto" w:sz="0" w:space="0"/>
                <w:lang w:val="en-US" w:eastAsia="zh-CN" w:bidi="ar"/>
              </w:rPr>
              <w:t>一般污染物排放口设置提示标志牌，排放有毒有害等污染物的排放口设置警告式标志牌。标志牌应设置在排污口</w:t>
            </w:r>
            <w:r>
              <w:rPr>
                <w:rFonts w:hint="default" w:ascii="Times New Roman" w:hAnsi="Times New Roman" w:eastAsia="宋体" w:cs="Times New Roman"/>
                <w:bCs/>
                <w:color w:val="000000"/>
                <w:kern w:val="2"/>
                <w:sz w:val="24"/>
                <w:szCs w:val="24"/>
                <w:bdr w:val="none" w:color="auto" w:sz="0" w:space="0"/>
                <w:lang w:val="en-US" w:eastAsia="zh-CN" w:bidi="ar"/>
              </w:rPr>
              <w:t>(</w:t>
            </w:r>
            <w:r>
              <w:rPr>
                <w:rFonts w:hint="eastAsia" w:ascii="Times New Roman" w:hAnsi="Calibri" w:eastAsia="宋体" w:cs="宋体"/>
                <w:bCs/>
                <w:color w:val="000000"/>
                <w:kern w:val="2"/>
                <w:sz w:val="24"/>
                <w:szCs w:val="24"/>
                <w:bdr w:val="none" w:color="auto" w:sz="0" w:space="0"/>
                <w:lang w:val="en-US" w:eastAsia="zh-CN" w:bidi="ar"/>
              </w:rPr>
              <w:t>采样点</w:t>
            </w:r>
            <w:r>
              <w:rPr>
                <w:rFonts w:hint="default" w:ascii="Times New Roman" w:hAnsi="Times New Roman" w:eastAsia="宋体" w:cs="Times New Roman"/>
                <w:bCs/>
                <w:color w:val="000000"/>
                <w:kern w:val="2"/>
                <w:sz w:val="24"/>
                <w:szCs w:val="24"/>
                <w:bdr w:val="none" w:color="auto" w:sz="0" w:space="0"/>
                <w:lang w:val="en-US" w:eastAsia="zh-CN" w:bidi="ar"/>
              </w:rPr>
              <w:t>)</w:t>
            </w:r>
            <w:r>
              <w:rPr>
                <w:rFonts w:hint="eastAsia" w:ascii="Times New Roman" w:hAnsi="Calibri" w:eastAsia="宋体" w:cs="宋体"/>
                <w:bCs/>
                <w:color w:val="000000"/>
                <w:kern w:val="2"/>
                <w:sz w:val="24"/>
                <w:szCs w:val="24"/>
                <w:bdr w:val="none" w:color="auto" w:sz="0" w:space="0"/>
                <w:lang w:val="en-US" w:eastAsia="zh-CN" w:bidi="ar"/>
              </w:rPr>
              <w:t>附近且醒目处，高度为标志牌上缘离地面</w:t>
            </w:r>
            <w:r>
              <w:rPr>
                <w:rFonts w:hint="default" w:ascii="Times New Roman" w:hAnsi="Times New Roman" w:eastAsia="宋体" w:cs="Times New Roman"/>
                <w:bCs/>
                <w:color w:val="000000"/>
                <w:kern w:val="2"/>
                <w:sz w:val="24"/>
                <w:szCs w:val="24"/>
                <w:bdr w:val="none" w:color="auto" w:sz="0" w:space="0"/>
                <w:lang w:val="en-US" w:eastAsia="zh-CN" w:bidi="ar"/>
              </w:rPr>
              <w:t>2m</w:t>
            </w:r>
            <w:r>
              <w:rPr>
                <w:rFonts w:hint="eastAsia" w:ascii="Times New Roman" w:hAnsi="Calibri" w:eastAsia="宋体" w:cs="宋体"/>
                <w:bCs/>
                <w:color w:val="000000"/>
                <w:kern w:val="2"/>
                <w:sz w:val="24"/>
                <w:szCs w:val="24"/>
                <w:bdr w:val="none" w:color="auto" w:sz="0" w:space="0"/>
                <w:lang w:val="en-US" w:eastAsia="zh-CN" w:bidi="ar"/>
              </w:rPr>
              <w:t>，排污口附近</w:t>
            </w:r>
            <w:r>
              <w:rPr>
                <w:rFonts w:hint="default" w:ascii="Times New Roman" w:hAnsi="Times New Roman" w:eastAsia="宋体" w:cs="Times New Roman"/>
                <w:bCs/>
                <w:color w:val="000000"/>
                <w:kern w:val="2"/>
                <w:sz w:val="24"/>
                <w:szCs w:val="24"/>
                <w:bdr w:val="none" w:color="auto" w:sz="0" w:space="0"/>
                <w:lang w:val="en-US" w:eastAsia="zh-CN" w:bidi="ar"/>
              </w:rPr>
              <w:t>1m</w:t>
            </w:r>
            <w:r>
              <w:rPr>
                <w:rFonts w:hint="eastAsia" w:ascii="Times New Roman" w:hAnsi="Calibri" w:eastAsia="宋体" w:cs="宋体"/>
                <w:bCs/>
                <w:color w:val="000000"/>
                <w:kern w:val="2"/>
                <w:sz w:val="24"/>
                <w:szCs w:val="24"/>
                <w:bdr w:val="none" w:color="auto" w:sz="0" w:space="0"/>
                <w:lang w:val="en-US" w:eastAsia="zh-CN" w:bidi="ar"/>
              </w:rPr>
              <w:t>范围内有建筑物的，设平面式标志牌，无建筑物的设立式标志牌。排污口的有关设置</w:t>
            </w:r>
            <w:r>
              <w:rPr>
                <w:rFonts w:hint="default" w:ascii="Times New Roman" w:hAnsi="Times New Roman" w:eastAsia="宋体" w:cs="Times New Roman"/>
                <w:bCs/>
                <w:color w:val="000000"/>
                <w:kern w:val="2"/>
                <w:sz w:val="24"/>
                <w:szCs w:val="24"/>
                <w:bdr w:val="none" w:color="auto" w:sz="0" w:space="0"/>
                <w:lang w:val="en-US" w:eastAsia="zh-CN" w:bidi="ar"/>
              </w:rPr>
              <w:t>(</w:t>
            </w:r>
            <w:r>
              <w:rPr>
                <w:rFonts w:hint="eastAsia" w:ascii="Times New Roman" w:hAnsi="Calibri" w:eastAsia="宋体" w:cs="宋体"/>
                <w:bCs/>
                <w:color w:val="000000"/>
                <w:kern w:val="2"/>
                <w:sz w:val="24"/>
                <w:szCs w:val="24"/>
                <w:bdr w:val="none" w:color="auto" w:sz="0" w:space="0"/>
                <w:lang w:val="en-US" w:eastAsia="zh-CN" w:bidi="ar"/>
              </w:rPr>
              <w:t>如方形标志牌、计量装置、监控装置等</w:t>
            </w:r>
            <w:r>
              <w:rPr>
                <w:rFonts w:hint="default" w:ascii="Times New Roman" w:hAnsi="Times New Roman" w:eastAsia="宋体" w:cs="Times New Roman"/>
                <w:bCs/>
                <w:color w:val="000000"/>
                <w:kern w:val="2"/>
                <w:sz w:val="24"/>
                <w:szCs w:val="24"/>
                <w:bdr w:val="none" w:color="auto" w:sz="0" w:space="0"/>
                <w:lang w:val="en-US" w:eastAsia="zh-CN" w:bidi="ar"/>
              </w:rPr>
              <w:t>)</w:t>
            </w:r>
            <w:r>
              <w:rPr>
                <w:rFonts w:hint="eastAsia" w:ascii="Times New Roman" w:hAnsi="Calibri" w:eastAsia="宋体" w:cs="宋体"/>
                <w:bCs/>
                <w:color w:val="000000"/>
                <w:kern w:val="2"/>
                <w:sz w:val="24"/>
                <w:szCs w:val="24"/>
                <w:bdr w:val="none" w:color="auto" w:sz="0" w:space="0"/>
                <w:lang w:val="en-US" w:eastAsia="zh-CN" w:bidi="ar"/>
              </w:rPr>
              <w:t>属环保设施，排污单位必须负责日常的维护保养，任何单位和个人不得擅自拆除，如需要变更须报当地环境监理部门同意并办理变更手续。</w:t>
            </w:r>
          </w:p>
          <w:p w14:paraId="2E3D207F">
            <w:pPr>
              <w:keepNext w:val="0"/>
              <w:keepLines w:val="0"/>
              <w:widowControl w:val="0"/>
              <w:suppressLineNumbers w:val="0"/>
              <w:adjustRightInd w:val="0"/>
              <w:snapToGrid w:val="0"/>
              <w:spacing w:before="0" w:beforeAutospacing="0" w:after="0" w:afterAutospacing="0" w:line="440" w:lineRule="exact"/>
              <w:ind w:left="0" w:right="0"/>
              <w:jc w:val="both"/>
              <w:outlineLvl w:val="1"/>
              <w:rPr>
                <w:rFonts w:hint="default" w:ascii="Times New Roman" w:hAnsi="Times New Roman" w:cs="Times New Roman"/>
                <w:b/>
                <w:bCs w:val="0"/>
                <w:color w:val="000000"/>
                <w:sz w:val="24"/>
                <w:szCs w:val="24"/>
                <w:bdr w:val="none" w:color="auto" w:sz="0" w:space="0"/>
                <w:lang w:val="en-US"/>
              </w:rPr>
            </w:pPr>
            <w:r>
              <w:rPr>
                <w:rFonts w:hint="default" w:ascii="Times New Roman" w:hAnsi="Times New Roman" w:eastAsia="宋体" w:cs="Times New Roman"/>
                <w:b/>
                <w:bCs w:val="0"/>
                <w:color w:val="000000"/>
                <w:kern w:val="2"/>
                <w:sz w:val="24"/>
                <w:szCs w:val="24"/>
                <w:bdr w:val="none" w:color="auto" w:sz="0" w:space="0"/>
                <w:lang w:val="en-US" w:eastAsia="zh-CN" w:bidi="ar"/>
              </w:rPr>
              <w:t>4.10</w:t>
            </w:r>
            <w:r>
              <w:rPr>
                <w:rFonts w:hint="eastAsia" w:ascii="Times New Roman" w:hAnsi="Times New Roman" w:eastAsia="宋体" w:cs="宋体"/>
                <w:b/>
                <w:bCs w:val="0"/>
                <w:color w:val="000000"/>
                <w:kern w:val="2"/>
                <w:sz w:val="24"/>
                <w:szCs w:val="24"/>
                <w:bdr w:val="none" w:color="auto" w:sz="0" w:space="0"/>
                <w:lang w:val="en-US" w:eastAsia="zh-CN" w:bidi="ar"/>
              </w:rPr>
              <w:t>固定污染源排污许可与管理</w:t>
            </w:r>
          </w:p>
          <w:p w14:paraId="723B2AAC">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bdr w:val="none" w:color="auto" w:sz="0" w:space="0"/>
                <w:lang w:val="en-US"/>
              </w:rPr>
            </w:pPr>
            <w:r>
              <w:rPr>
                <w:rFonts w:hint="eastAsia" w:ascii="Times New Roman" w:hAnsi="Calibri" w:eastAsia="宋体" w:cs="宋体"/>
                <w:bCs/>
                <w:color w:val="000000"/>
                <w:kern w:val="2"/>
                <w:sz w:val="24"/>
                <w:szCs w:val="24"/>
                <w:bdr w:val="none" w:color="auto" w:sz="0" w:space="0"/>
                <w:lang w:val="en-US" w:eastAsia="zh-CN" w:bidi="ar"/>
              </w:rPr>
              <w:t>根据《固定污染源排污许可分类管理名录（</w:t>
            </w:r>
            <w:r>
              <w:rPr>
                <w:rFonts w:hint="default" w:ascii="Times New Roman" w:hAnsi="Calibri" w:eastAsia="宋体" w:cs="Times New Roman"/>
                <w:bCs/>
                <w:color w:val="000000"/>
                <w:kern w:val="2"/>
                <w:sz w:val="24"/>
                <w:szCs w:val="24"/>
                <w:bdr w:val="none" w:color="auto" w:sz="0" w:space="0"/>
                <w:lang w:val="en-US" w:eastAsia="zh-CN" w:bidi="ar"/>
              </w:rPr>
              <w:t>2019</w:t>
            </w:r>
            <w:r>
              <w:rPr>
                <w:rFonts w:hint="eastAsia" w:ascii="Times New Roman" w:hAnsi="Calibri" w:eastAsia="宋体" w:cs="宋体"/>
                <w:bCs/>
                <w:color w:val="000000"/>
                <w:kern w:val="2"/>
                <w:sz w:val="24"/>
                <w:szCs w:val="24"/>
                <w:bdr w:val="none" w:color="auto" w:sz="0" w:space="0"/>
                <w:lang w:val="en-US" w:eastAsia="zh-CN" w:bidi="ar"/>
              </w:rPr>
              <w:t>年版）》：“三十一、汽车制造业</w:t>
            </w:r>
            <w:r>
              <w:rPr>
                <w:rFonts w:hint="default" w:ascii="Times New Roman" w:hAnsi="Calibri" w:eastAsia="宋体" w:cs="Times New Roman"/>
                <w:bCs/>
                <w:color w:val="000000"/>
                <w:kern w:val="2"/>
                <w:sz w:val="24"/>
                <w:szCs w:val="24"/>
                <w:bdr w:val="none" w:color="auto" w:sz="0" w:space="0"/>
                <w:lang w:val="en-US" w:eastAsia="zh-CN" w:bidi="ar"/>
              </w:rPr>
              <w:t xml:space="preserve"> 36</w:t>
            </w:r>
            <w:r>
              <w:rPr>
                <w:rFonts w:hint="eastAsia" w:ascii="Times New Roman" w:hAnsi="Calibri" w:eastAsia="宋体" w:cs="宋体"/>
                <w:bCs/>
                <w:color w:val="000000"/>
                <w:kern w:val="2"/>
                <w:sz w:val="24"/>
                <w:szCs w:val="24"/>
                <w:bdr w:val="none" w:color="auto" w:sz="0" w:space="0"/>
                <w:lang w:val="en-US" w:eastAsia="zh-CN" w:bidi="ar"/>
              </w:rPr>
              <w:t>”中“</w:t>
            </w:r>
            <w:r>
              <w:rPr>
                <w:rFonts w:hint="default" w:ascii="Times New Roman" w:hAnsi="Calibri" w:eastAsia="宋体" w:cs="Times New Roman"/>
                <w:bCs/>
                <w:color w:val="000000"/>
                <w:kern w:val="2"/>
                <w:sz w:val="24"/>
                <w:szCs w:val="24"/>
                <w:bdr w:val="none" w:color="auto" w:sz="0" w:space="0"/>
                <w:lang w:val="en-US" w:eastAsia="zh-CN" w:bidi="ar"/>
              </w:rPr>
              <w:t>85</w:t>
            </w:r>
            <w:r>
              <w:rPr>
                <w:rFonts w:hint="eastAsia" w:ascii="Times New Roman" w:hAnsi="Calibri" w:eastAsia="宋体" w:cs="宋体"/>
                <w:bCs/>
                <w:color w:val="000000"/>
                <w:kern w:val="2"/>
                <w:sz w:val="24"/>
                <w:szCs w:val="24"/>
                <w:bdr w:val="none" w:color="auto" w:sz="0" w:space="0"/>
                <w:lang w:val="en-US" w:eastAsia="zh-CN" w:bidi="ar"/>
              </w:rPr>
              <w:t>汽车零部件及配件制造</w:t>
            </w:r>
            <w:r>
              <w:rPr>
                <w:rFonts w:hint="default" w:ascii="Times New Roman" w:hAnsi="Calibri" w:eastAsia="宋体" w:cs="Times New Roman"/>
                <w:bCs/>
                <w:color w:val="000000"/>
                <w:kern w:val="2"/>
                <w:sz w:val="24"/>
                <w:szCs w:val="24"/>
                <w:bdr w:val="none" w:color="auto" w:sz="0" w:space="0"/>
                <w:lang w:val="en-US" w:eastAsia="zh-CN" w:bidi="ar"/>
              </w:rPr>
              <w:t xml:space="preserve"> 367</w:t>
            </w:r>
            <w:r>
              <w:rPr>
                <w:rFonts w:hint="eastAsia" w:ascii="Times New Roman" w:hAnsi="Calibri" w:eastAsia="宋体" w:cs="宋体"/>
                <w:bCs/>
                <w:color w:val="000000"/>
                <w:kern w:val="2"/>
                <w:sz w:val="24"/>
                <w:szCs w:val="24"/>
                <w:bdr w:val="none" w:color="auto" w:sz="0" w:space="0"/>
                <w:lang w:val="en-US" w:eastAsia="zh-CN" w:bidi="ar"/>
              </w:rPr>
              <w:t>”：除重点管理以外的年使用</w:t>
            </w:r>
            <w:r>
              <w:rPr>
                <w:rFonts w:hint="default" w:ascii="Times New Roman" w:hAnsi="Calibri" w:eastAsia="宋体" w:cs="Times New Roman"/>
                <w:bCs/>
                <w:color w:val="000000"/>
                <w:kern w:val="2"/>
                <w:sz w:val="24"/>
                <w:szCs w:val="24"/>
                <w:bdr w:val="none" w:color="auto" w:sz="0" w:space="0"/>
                <w:lang w:val="en-US" w:eastAsia="zh-CN" w:bidi="ar"/>
              </w:rPr>
              <w:t>10</w:t>
            </w:r>
            <w:r>
              <w:rPr>
                <w:rFonts w:hint="eastAsia" w:ascii="Times New Roman" w:hAnsi="Calibri" w:eastAsia="宋体" w:cs="宋体"/>
                <w:bCs/>
                <w:color w:val="000000"/>
                <w:kern w:val="2"/>
                <w:sz w:val="24"/>
                <w:szCs w:val="24"/>
                <w:bdr w:val="none" w:color="auto" w:sz="0" w:space="0"/>
                <w:lang w:val="en-US" w:eastAsia="zh-CN" w:bidi="ar"/>
              </w:rPr>
              <w:t>吨及以上溶剂型涂料或者胶粘剂（含稀释剂、固化剂、清洗溶剂）的汽车零部件及配件制造</w:t>
            </w:r>
            <w:r>
              <w:rPr>
                <w:rFonts w:hint="default" w:ascii="Times New Roman" w:hAnsi="Calibri" w:eastAsia="宋体" w:cs="Times New Roman"/>
                <w:bCs/>
                <w:color w:val="000000"/>
                <w:kern w:val="2"/>
                <w:sz w:val="24"/>
                <w:szCs w:val="24"/>
                <w:bdr w:val="none" w:color="auto" w:sz="0" w:space="0"/>
                <w:lang w:val="en-US" w:eastAsia="zh-CN" w:bidi="ar"/>
              </w:rPr>
              <w:t xml:space="preserve"> 367</w:t>
            </w:r>
            <w:r>
              <w:rPr>
                <w:rFonts w:hint="eastAsia" w:ascii="Times New Roman" w:hAnsi="Calibri" w:eastAsia="宋体" w:cs="宋体"/>
                <w:bCs/>
                <w:color w:val="000000"/>
                <w:kern w:val="2"/>
                <w:sz w:val="24"/>
                <w:szCs w:val="24"/>
                <w:bdr w:val="none" w:color="auto" w:sz="0" w:space="0"/>
                <w:lang w:val="en-US" w:eastAsia="zh-CN" w:bidi="ar"/>
              </w:rPr>
              <w:t>实行简化管理。扩建项目年使用溶剂型胶粘剂</w:t>
            </w:r>
            <w:r>
              <w:rPr>
                <w:rFonts w:hint="default" w:ascii="Times New Roman" w:hAnsi="Calibri" w:eastAsia="宋体" w:cs="Times New Roman"/>
                <w:bCs/>
                <w:color w:val="000000"/>
                <w:kern w:val="2"/>
                <w:sz w:val="24"/>
                <w:szCs w:val="24"/>
                <w:bdr w:val="none" w:color="auto" w:sz="0" w:space="0"/>
                <w:lang w:val="en-US" w:eastAsia="zh-CN" w:bidi="ar"/>
              </w:rPr>
              <w:t>10</w:t>
            </w:r>
            <w:r>
              <w:rPr>
                <w:rFonts w:hint="eastAsia" w:ascii="Times New Roman" w:hAnsi="Calibri" w:eastAsia="宋体" w:cs="宋体"/>
                <w:bCs/>
                <w:color w:val="000000"/>
                <w:kern w:val="2"/>
                <w:sz w:val="24"/>
                <w:szCs w:val="24"/>
                <w:bdr w:val="none" w:color="auto" w:sz="0" w:space="0"/>
                <w:lang w:val="en-US" w:eastAsia="zh-CN" w:bidi="ar"/>
              </w:rPr>
              <w:t>吨以下，属于“其他”，应实行排污许可登记管理。</w:t>
            </w:r>
          </w:p>
          <w:p w14:paraId="15D963BE">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bdr w:val="none" w:color="auto" w:sz="0" w:space="0"/>
                <w:lang w:val="en-US"/>
              </w:rPr>
            </w:pPr>
            <w:r>
              <w:rPr>
                <w:rFonts w:hint="eastAsia" w:ascii="Times New Roman" w:hAnsi="Calibri" w:eastAsia="宋体" w:cs="宋体"/>
                <w:bCs/>
                <w:color w:val="000000"/>
                <w:kern w:val="2"/>
                <w:sz w:val="24"/>
                <w:szCs w:val="24"/>
                <w:bdr w:val="none" w:color="auto" w:sz="0" w:space="0"/>
                <w:lang w:val="en-US" w:eastAsia="zh-CN" w:bidi="ar"/>
              </w:rPr>
              <w:t>因此，扩建项目按照“</w:t>
            </w:r>
            <w:r>
              <w:rPr>
                <w:rFonts w:hint="default" w:ascii="Times New Roman" w:hAnsi="Calibri" w:eastAsia="宋体" w:cs="Times New Roman"/>
                <w:bCs/>
                <w:color w:val="000000"/>
                <w:kern w:val="2"/>
                <w:sz w:val="24"/>
                <w:szCs w:val="24"/>
                <w:bdr w:val="none" w:color="auto" w:sz="0" w:space="0"/>
                <w:lang w:val="en-US" w:eastAsia="zh-CN" w:bidi="ar"/>
              </w:rPr>
              <w:t>85</w:t>
            </w:r>
            <w:r>
              <w:rPr>
                <w:rFonts w:hint="eastAsia" w:ascii="Times New Roman" w:hAnsi="Calibri" w:eastAsia="宋体" w:cs="宋体"/>
                <w:bCs/>
                <w:color w:val="000000"/>
                <w:kern w:val="2"/>
                <w:sz w:val="24"/>
                <w:szCs w:val="24"/>
                <w:bdr w:val="none" w:color="auto" w:sz="0" w:space="0"/>
                <w:lang w:val="en-US" w:eastAsia="zh-CN" w:bidi="ar"/>
              </w:rPr>
              <w:t>汽车零部件及配件制造</w:t>
            </w:r>
            <w:r>
              <w:rPr>
                <w:rFonts w:hint="default" w:ascii="Times New Roman" w:hAnsi="Calibri" w:eastAsia="宋体" w:cs="Times New Roman"/>
                <w:bCs/>
                <w:color w:val="000000"/>
                <w:kern w:val="2"/>
                <w:sz w:val="24"/>
                <w:szCs w:val="24"/>
                <w:bdr w:val="none" w:color="auto" w:sz="0" w:space="0"/>
                <w:lang w:val="en-US" w:eastAsia="zh-CN" w:bidi="ar"/>
              </w:rPr>
              <w:t xml:space="preserve"> 367</w:t>
            </w:r>
            <w:r>
              <w:rPr>
                <w:rFonts w:hint="eastAsia" w:ascii="Times New Roman" w:hAnsi="Calibri" w:eastAsia="宋体" w:cs="宋体"/>
                <w:bCs/>
                <w:color w:val="000000"/>
                <w:kern w:val="2"/>
                <w:sz w:val="24"/>
                <w:szCs w:val="24"/>
                <w:bdr w:val="none" w:color="auto" w:sz="0" w:space="0"/>
                <w:lang w:val="en-US" w:eastAsia="zh-CN" w:bidi="ar"/>
              </w:rPr>
              <w:t>”中“其他”实行排污许可登记管理。排污单位应当在启动生产设施或者发生实际排污在全国排污许可证管理信息平台填报排污登记表，登记基本信息、污染物排放去向、执行的污染物排放标准以及采取的污染防治措施等信息。</w:t>
            </w:r>
          </w:p>
          <w:p w14:paraId="28CFA15F">
            <w:pPr>
              <w:keepNext w:val="0"/>
              <w:keepLines w:val="0"/>
              <w:widowControl w:val="0"/>
              <w:suppressLineNumbers w:val="0"/>
              <w:adjustRightInd w:val="0"/>
              <w:snapToGrid w:val="0"/>
              <w:spacing w:before="0" w:beforeAutospacing="0" w:after="0" w:afterAutospacing="0" w:line="440" w:lineRule="exact"/>
              <w:ind w:left="0" w:right="0"/>
              <w:jc w:val="both"/>
              <w:outlineLvl w:val="1"/>
              <w:rPr>
                <w:rFonts w:hint="default" w:ascii="Times New Roman" w:hAnsi="Times New Roman" w:cs="Times New Roman"/>
                <w:b/>
                <w:bCs w:val="0"/>
                <w:color w:val="000000"/>
                <w:sz w:val="24"/>
                <w:szCs w:val="24"/>
                <w:bdr w:val="none" w:color="auto" w:sz="0" w:space="0"/>
                <w:lang w:val="en-US"/>
              </w:rPr>
            </w:pPr>
            <w:r>
              <w:rPr>
                <w:rFonts w:hint="default" w:ascii="Times New Roman" w:hAnsi="Times New Roman" w:eastAsia="宋体" w:cs="Times New Roman"/>
                <w:b/>
                <w:bCs w:val="0"/>
                <w:color w:val="000000"/>
                <w:kern w:val="2"/>
                <w:sz w:val="24"/>
                <w:szCs w:val="24"/>
                <w:bdr w:val="none" w:color="auto" w:sz="0" w:space="0"/>
                <w:lang w:val="en-US" w:eastAsia="zh-CN" w:bidi="ar"/>
              </w:rPr>
              <w:t>4.11</w:t>
            </w:r>
            <w:r>
              <w:rPr>
                <w:rFonts w:hint="eastAsia" w:ascii="Times New Roman" w:hAnsi="Times New Roman" w:eastAsia="宋体" w:cs="宋体"/>
                <w:b/>
                <w:bCs w:val="0"/>
                <w:color w:val="000000"/>
                <w:kern w:val="2"/>
                <w:sz w:val="24"/>
                <w:szCs w:val="24"/>
                <w:bdr w:val="none" w:color="auto" w:sz="0" w:space="0"/>
                <w:lang w:val="en-US" w:eastAsia="zh-CN" w:bidi="ar"/>
              </w:rPr>
              <w:t>竣工验收及管理要求</w:t>
            </w:r>
          </w:p>
          <w:p w14:paraId="3DB41400">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bdr w:val="none" w:color="auto" w:sz="0" w:space="0"/>
                <w:lang w:val="en-US"/>
              </w:rPr>
            </w:pPr>
            <w:r>
              <w:rPr>
                <w:rFonts w:hint="eastAsia" w:ascii="Times New Roman" w:hAnsi="Calibri" w:eastAsia="宋体" w:cs="宋体"/>
                <w:bCs/>
                <w:color w:val="000000"/>
                <w:kern w:val="2"/>
                <w:sz w:val="24"/>
                <w:szCs w:val="24"/>
                <w:bdr w:val="none" w:color="auto" w:sz="0" w:space="0"/>
                <w:lang w:val="en-US" w:eastAsia="zh-CN" w:bidi="ar"/>
              </w:rPr>
              <w:t>按照《国务院关于修改</w:t>
            </w:r>
            <w:r>
              <w:rPr>
                <w:rFonts w:hint="default" w:ascii="Times New Roman" w:hAnsi="Calibri" w:eastAsia="宋体" w:cs="Times New Roman"/>
                <w:bCs/>
                <w:color w:val="000000"/>
                <w:kern w:val="2"/>
                <w:sz w:val="24"/>
                <w:szCs w:val="24"/>
                <w:bdr w:val="none" w:color="auto" w:sz="0" w:space="0"/>
                <w:lang w:val="en-US" w:eastAsia="zh-CN" w:bidi="ar"/>
              </w:rPr>
              <w:t>&lt;</w:t>
            </w:r>
            <w:r>
              <w:rPr>
                <w:rFonts w:hint="eastAsia" w:ascii="Times New Roman" w:hAnsi="Calibri" w:eastAsia="宋体" w:cs="宋体"/>
                <w:bCs/>
                <w:color w:val="000000"/>
                <w:kern w:val="2"/>
                <w:sz w:val="24"/>
                <w:szCs w:val="24"/>
                <w:bdr w:val="none" w:color="auto" w:sz="0" w:space="0"/>
                <w:lang w:val="en-US" w:eastAsia="zh-CN" w:bidi="ar"/>
              </w:rPr>
              <w:t>建设项目环境保护管理条例</w:t>
            </w:r>
            <w:r>
              <w:rPr>
                <w:rFonts w:hint="default" w:ascii="Times New Roman" w:hAnsi="Calibri" w:eastAsia="宋体" w:cs="Times New Roman"/>
                <w:bCs/>
                <w:color w:val="000000"/>
                <w:kern w:val="2"/>
                <w:sz w:val="24"/>
                <w:szCs w:val="24"/>
                <w:bdr w:val="none" w:color="auto" w:sz="0" w:space="0"/>
                <w:lang w:val="en-US" w:eastAsia="zh-CN" w:bidi="ar"/>
              </w:rPr>
              <w:t>&gt;</w:t>
            </w:r>
            <w:r>
              <w:rPr>
                <w:rFonts w:hint="eastAsia" w:ascii="Times New Roman" w:hAnsi="Calibri" w:eastAsia="宋体" w:cs="宋体"/>
                <w:bCs/>
                <w:color w:val="000000"/>
                <w:kern w:val="2"/>
                <w:sz w:val="24"/>
                <w:szCs w:val="24"/>
                <w:bdr w:val="none" w:color="auto" w:sz="0" w:space="0"/>
                <w:lang w:val="en-US" w:eastAsia="zh-CN" w:bidi="ar"/>
              </w:rPr>
              <w:t>的决定》</w:t>
            </w:r>
            <w:r>
              <w:rPr>
                <w:rFonts w:hint="default" w:ascii="Times New Roman" w:hAnsi="Calibri" w:eastAsia="宋体" w:cs="Times New Roman"/>
                <w:bCs/>
                <w:color w:val="000000"/>
                <w:kern w:val="2"/>
                <w:sz w:val="24"/>
                <w:szCs w:val="24"/>
                <w:bdr w:val="none" w:color="auto" w:sz="0" w:space="0"/>
                <w:lang w:val="en-US" w:eastAsia="zh-CN" w:bidi="ar"/>
              </w:rPr>
              <w:t>(</w:t>
            </w:r>
            <w:r>
              <w:rPr>
                <w:rFonts w:hint="eastAsia" w:ascii="Times New Roman" w:hAnsi="Calibri" w:eastAsia="宋体" w:cs="宋体"/>
                <w:bCs/>
                <w:color w:val="000000"/>
                <w:kern w:val="2"/>
                <w:sz w:val="24"/>
                <w:szCs w:val="24"/>
                <w:bdr w:val="none" w:color="auto" w:sz="0" w:space="0"/>
                <w:lang w:val="en-US" w:eastAsia="zh-CN" w:bidi="ar"/>
              </w:rPr>
              <w:t>中华人民共和国国务院令第</w:t>
            </w:r>
            <w:r>
              <w:rPr>
                <w:rFonts w:hint="default" w:ascii="Times New Roman" w:hAnsi="Calibri" w:eastAsia="宋体" w:cs="Times New Roman"/>
                <w:bCs/>
                <w:color w:val="000000"/>
                <w:kern w:val="2"/>
                <w:sz w:val="24"/>
                <w:szCs w:val="24"/>
                <w:bdr w:val="none" w:color="auto" w:sz="0" w:space="0"/>
                <w:lang w:val="en-US" w:eastAsia="zh-CN" w:bidi="ar"/>
              </w:rPr>
              <w:t>682</w:t>
            </w:r>
            <w:r>
              <w:rPr>
                <w:rFonts w:hint="eastAsia" w:ascii="Times New Roman" w:hAnsi="Calibri" w:eastAsia="宋体" w:cs="宋体"/>
                <w:bCs/>
                <w:color w:val="000000"/>
                <w:kern w:val="2"/>
                <w:sz w:val="24"/>
                <w:szCs w:val="24"/>
                <w:bdr w:val="none" w:color="auto" w:sz="0" w:space="0"/>
                <w:lang w:val="en-US" w:eastAsia="zh-CN" w:bidi="ar"/>
              </w:rPr>
              <w:t>号</w:t>
            </w:r>
            <w:r>
              <w:rPr>
                <w:rFonts w:hint="default" w:ascii="Times New Roman" w:hAnsi="Calibri" w:eastAsia="宋体" w:cs="Times New Roman"/>
                <w:bCs/>
                <w:color w:val="000000"/>
                <w:kern w:val="2"/>
                <w:sz w:val="24"/>
                <w:szCs w:val="24"/>
                <w:bdr w:val="none" w:color="auto" w:sz="0" w:space="0"/>
                <w:lang w:val="en-US" w:eastAsia="zh-CN" w:bidi="ar"/>
              </w:rPr>
              <w:t>)</w:t>
            </w:r>
            <w:r>
              <w:rPr>
                <w:rFonts w:hint="eastAsia" w:ascii="Times New Roman" w:hAnsi="Calibri" w:eastAsia="宋体" w:cs="宋体"/>
                <w:bCs/>
                <w:color w:val="000000"/>
                <w:kern w:val="2"/>
                <w:sz w:val="24"/>
                <w:szCs w:val="24"/>
                <w:bdr w:val="none" w:color="auto" w:sz="0" w:space="0"/>
                <w:lang w:val="en-US" w:eastAsia="zh-CN" w:bidi="ar"/>
              </w:rPr>
              <w:t>文件要求，编制环境影响报告书、环境影响报告表的建设项目竣工后，建设单位应当按照国务院环境保护行政主管部门规定的标准和程序，对配套建设的环境保护设施进行验收，编制验收报告。建设单位或者其委托的技术机构如实查验、监测、记载建设项目环境保护设施的建设和调试情况，同时还应如实记载其他环境保护措施“三同时”落实情况，编制竣工环境保护验收报告。并通过网站或者其他便于公众知悉的方式，依法向社会公开验收报告和验收意见。</w:t>
            </w:r>
          </w:p>
          <w:p w14:paraId="6DBAC273">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bdr w:val="none" w:color="auto" w:sz="0" w:space="0"/>
                <w:lang w:val="en-US"/>
              </w:rPr>
            </w:pPr>
          </w:p>
          <w:p w14:paraId="425E32DC">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bdr w:val="none" w:color="auto" w:sz="0" w:space="0"/>
                <w:lang w:val="en-US"/>
              </w:rPr>
            </w:pPr>
          </w:p>
          <w:p w14:paraId="3109C71E">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bdr w:val="none" w:color="auto" w:sz="0" w:space="0"/>
                <w:lang w:val="en-US"/>
              </w:rPr>
            </w:pPr>
          </w:p>
          <w:p w14:paraId="4B121D18">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bdr w:val="none" w:color="auto" w:sz="0" w:space="0"/>
                <w:lang w:val="en-US"/>
              </w:rPr>
            </w:pPr>
          </w:p>
          <w:p w14:paraId="0DCB68B7">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bdr w:val="none" w:color="auto" w:sz="0" w:space="0"/>
                <w:lang w:val="en-US"/>
              </w:rPr>
            </w:pPr>
          </w:p>
          <w:p w14:paraId="1D976A48">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bdr w:val="none" w:color="auto" w:sz="0" w:space="0"/>
                <w:lang w:val="en-US"/>
              </w:rPr>
            </w:pPr>
          </w:p>
          <w:p w14:paraId="6FFC1BA5">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bdr w:val="none" w:color="auto" w:sz="0" w:space="0"/>
                <w:lang w:val="en-US"/>
              </w:rPr>
            </w:pPr>
          </w:p>
          <w:p w14:paraId="73E496DA">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bdr w:val="none" w:color="auto" w:sz="0" w:space="0"/>
                <w:lang w:val="en-US"/>
              </w:rPr>
            </w:pPr>
          </w:p>
          <w:p w14:paraId="630B3F42">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bdr w:val="none" w:color="auto" w:sz="0" w:space="0"/>
                <w:lang w:val="en-US"/>
              </w:rPr>
            </w:pPr>
          </w:p>
          <w:p w14:paraId="66012C0D">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bdr w:val="none" w:color="auto" w:sz="0" w:space="0"/>
                <w:lang w:val="en-US"/>
              </w:rPr>
            </w:pPr>
          </w:p>
          <w:p w14:paraId="472E2901">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bdr w:val="none" w:color="auto" w:sz="0" w:space="0"/>
                <w:lang w:val="en-US"/>
              </w:rPr>
            </w:pPr>
          </w:p>
          <w:p w14:paraId="6E1FDAF2">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bdr w:val="none" w:color="auto" w:sz="0" w:space="0"/>
                <w:lang w:val="en-US"/>
              </w:rPr>
            </w:pPr>
          </w:p>
          <w:p w14:paraId="553708EA">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bdr w:val="none" w:color="auto" w:sz="0" w:space="0"/>
                <w:lang w:val="en-US"/>
              </w:rPr>
            </w:pPr>
          </w:p>
          <w:p w14:paraId="78E31711">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bdr w:val="none" w:color="auto" w:sz="0" w:space="0"/>
                <w:lang w:val="en-US"/>
              </w:rPr>
            </w:pPr>
          </w:p>
          <w:p w14:paraId="1480A324">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bdr w:val="none" w:color="auto" w:sz="0" w:space="0"/>
                <w:lang w:val="en-US"/>
              </w:rPr>
            </w:pPr>
          </w:p>
          <w:p w14:paraId="3535CB16">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bdr w:val="none" w:color="auto" w:sz="0" w:space="0"/>
                <w:lang w:val="en-US"/>
              </w:rPr>
            </w:pPr>
          </w:p>
          <w:p w14:paraId="6490CA98">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bdr w:val="none" w:color="auto" w:sz="0" w:space="0"/>
                <w:lang w:val="en-US"/>
              </w:rPr>
            </w:pPr>
          </w:p>
          <w:p w14:paraId="5A08D4FC">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bdr w:val="none" w:color="auto" w:sz="0" w:space="0"/>
                <w:lang w:val="en-US"/>
              </w:rPr>
            </w:pPr>
          </w:p>
          <w:p w14:paraId="78F8AAE8">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bdr w:val="none" w:color="auto" w:sz="0" w:space="0"/>
                <w:lang w:val="en-US"/>
              </w:rPr>
            </w:pPr>
          </w:p>
          <w:p w14:paraId="79C1BC96">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bdr w:val="none" w:color="auto" w:sz="0" w:space="0"/>
                <w:lang w:val="en-US"/>
              </w:rPr>
            </w:pPr>
          </w:p>
          <w:p w14:paraId="3174BAE1">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bdr w:val="none" w:color="auto" w:sz="0" w:space="0"/>
                <w:lang w:val="en-US"/>
              </w:rPr>
            </w:pPr>
          </w:p>
          <w:p w14:paraId="4A29C95F">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bdr w:val="none" w:color="auto" w:sz="0" w:space="0"/>
                <w:lang w:val="en-US"/>
              </w:rPr>
            </w:pPr>
          </w:p>
        </w:tc>
      </w:tr>
    </w:tbl>
    <w:p w14:paraId="26D8AA1A">
      <w:pPr>
        <w:spacing w:line="360" w:lineRule="auto"/>
        <w:rPr>
          <w:rFonts w:hint="eastAsia" w:ascii="宋体" w:hAnsi="Calibri" w:eastAsia="宋体" w:cs="宋体"/>
          <w:b/>
          <w:bCs w:val="0"/>
          <w:color w:val="000000"/>
          <w:sz w:val="28"/>
          <w:szCs w:val="28"/>
          <w:lang w:val="en-US" w:eastAsia="zh-CN" w:bidi="ar"/>
        </w:rPr>
        <w:sectPr>
          <w:pgSz w:w="11915" w:h="16840"/>
          <w:pgMar w:top="1418" w:right="1418" w:bottom="1418" w:left="1418" w:header="851" w:footer="851" w:gutter="0"/>
          <w:paperSrc/>
          <w:cols w:space="425" w:num="1"/>
          <w:docGrid w:type="lines" w:linePitch="312" w:charSpace="0"/>
        </w:sectPr>
      </w:pPr>
    </w:p>
    <w:p w14:paraId="4D5FBD9A">
      <w:pPr>
        <w:pStyle w:val="14"/>
        <w:widowControl/>
        <w:jc w:val="center"/>
        <w:outlineLvl w:val="0"/>
        <w:rPr>
          <w:rFonts w:hint="eastAsia" w:ascii="黑体" w:hAnsi="宋体" w:eastAsia="黑体" w:cs="黑体"/>
          <w:snapToGrid w:val="0"/>
          <w:color w:val="000000"/>
          <w:sz w:val="30"/>
          <w:szCs w:val="30"/>
          <w:lang/>
        </w:rPr>
      </w:pPr>
      <w:r>
        <w:rPr>
          <w:rFonts w:hint="eastAsia" w:ascii="黑体" w:hAnsi="宋体" w:eastAsia="黑体" w:cs="黑体"/>
          <w:snapToGrid w:val="0"/>
          <w:color w:val="000000"/>
          <w:sz w:val="30"/>
          <w:szCs w:val="30"/>
          <w:lang/>
        </w:rPr>
        <w:t>五、</w:t>
      </w:r>
      <w:bookmarkStart w:id="57" w:name="_Hlk54167917"/>
      <w:r>
        <w:rPr>
          <w:rFonts w:hint="eastAsia" w:ascii="黑体" w:hAnsi="宋体" w:eastAsia="黑体" w:cs="黑体"/>
          <w:snapToGrid w:val="0"/>
          <w:color w:val="000000"/>
          <w:sz w:val="30"/>
          <w:szCs w:val="30"/>
          <w:lang/>
        </w:rPr>
        <w:t>环境保护措施监督检查清单</w:t>
      </w:r>
      <w:bookmarkEnd w:id="57"/>
    </w:p>
    <w:tbl>
      <w:tblPr>
        <w:tblStyle w:val="18"/>
        <w:tblW w:w="93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tblLayout w:type="fixed"/>
        <w:tblCellMar>
          <w:top w:w="0" w:type="dxa"/>
          <w:left w:w="108" w:type="dxa"/>
          <w:bottom w:w="0" w:type="dxa"/>
          <w:right w:w="108" w:type="dxa"/>
        </w:tblCellMar>
      </w:tblPr>
      <w:tblGrid>
        <w:gridCol w:w="1254"/>
        <w:gridCol w:w="1807"/>
        <w:gridCol w:w="1418"/>
        <w:gridCol w:w="2552"/>
        <w:gridCol w:w="2267"/>
      </w:tblGrid>
      <w:tr w14:paraId="538467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tblCellMar>
            <w:top w:w="0" w:type="dxa"/>
            <w:left w:w="108" w:type="dxa"/>
            <w:bottom w:w="0" w:type="dxa"/>
            <w:right w:w="108" w:type="dxa"/>
          </w:tblCellMar>
        </w:tblPrEx>
        <w:trPr>
          <w:trHeight w:val="425" w:hRule="atLeast"/>
          <w:jc w:val="center"/>
        </w:trPr>
        <w:tc>
          <w:tcPr>
            <w:tcW w:w="1254" w:type="dxa"/>
            <w:tcBorders>
              <w:top w:val="single" w:color="auto" w:sz="8" w:space="0"/>
              <w:left w:val="single" w:color="auto" w:sz="8" w:space="0"/>
              <w:bottom w:val="single" w:color="auto" w:sz="4" w:space="0"/>
              <w:right w:val="single" w:color="auto" w:sz="4" w:space="0"/>
              <w:tl2br w:val="single" w:color="auto" w:sz="4" w:space="0"/>
            </w:tcBorders>
            <w:shd w:val="clear"/>
            <w:vAlign w:val="top"/>
          </w:tcPr>
          <w:p w14:paraId="1DFF3EED">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 xml:space="preserve">   内 容</w:t>
            </w:r>
          </w:p>
          <w:p w14:paraId="409CBC87">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要素</w:t>
            </w:r>
          </w:p>
        </w:tc>
        <w:tc>
          <w:tcPr>
            <w:tcW w:w="1807" w:type="dxa"/>
            <w:tcBorders>
              <w:top w:val="single" w:color="auto" w:sz="8" w:space="0"/>
              <w:left w:val="single" w:color="auto" w:sz="4" w:space="0"/>
              <w:bottom w:val="single" w:color="auto" w:sz="4" w:space="0"/>
              <w:right w:val="single" w:color="auto" w:sz="4" w:space="0"/>
            </w:tcBorders>
            <w:shd w:val="clear"/>
            <w:vAlign w:val="center"/>
          </w:tcPr>
          <w:p w14:paraId="58D68789">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排放口(编号、</w:t>
            </w:r>
          </w:p>
          <w:p w14:paraId="58C78B8F">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名称)/污染源</w:t>
            </w:r>
          </w:p>
        </w:tc>
        <w:tc>
          <w:tcPr>
            <w:tcW w:w="1418" w:type="dxa"/>
            <w:tcBorders>
              <w:top w:val="single" w:color="auto" w:sz="8" w:space="0"/>
              <w:left w:val="single" w:color="auto" w:sz="4" w:space="0"/>
              <w:bottom w:val="single" w:color="auto" w:sz="4" w:space="0"/>
              <w:right w:val="single" w:color="auto" w:sz="4" w:space="0"/>
            </w:tcBorders>
            <w:shd w:val="clear"/>
            <w:vAlign w:val="center"/>
          </w:tcPr>
          <w:p w14:paraId="7F01D3FA">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污染物项目</w:t>
            </w:r>
          </w:p>
        </w:tc>
        <w:tc>
          <w:tcPr>
            <w:tcW w:w="2551" w:type="dxa"/>
            <w:tcBorders>
              <w:top w:val="single" w:color="auto" w:sz="8" w:space="0"/>
              <w:left w:val="single" w:color="auto" w:sz="4" w:space="0"/>
              <w:bottom w:val="single" w:color="auto" w:sz="4" w:space="0"/>
              <w:right w:val="single" w:color="auto" w:sz="4" w:space="0"/>
            </w:tcBorders>
            <w:shd w:val="clear"/>
            <w:vAlign w:val="center"/>
          </w:tcPr>
          <w:p w14:paraId="2AB6A7C1">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环境保护措施</w:t>
            </w:r>
          </w:p>
        </w:tc>
        <w:tc>
          <w:tcPr>
            <w:tcW w:w="2266" w:type="dxa"/>
            <w:tcBorders>
              <w:top w:val="single" w:color="auto" w:sz="8" w:space="0"/>
              <w:left w:val="single" w:color="auto" w:sz="4" w:space="0"/>
              <w:bottom w:val="single" w:color="auto" w:sz="4" w:space="0"/>
              <w:right w:val="single" w:color="auto" w:sz="8" w:space="0"/>
            </w:tcBorders>
            <w:shd w:val="clear"/>
            <w:vAlign w:val="center"/>
          </w:tcPr>
          <w:p w14:paraId="608E2ECE">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执行标准</w:t>
            </w:r>
          </w:p>
        </w:tc>
      </w:tr>
      <w:tr w14:paraId="564DA7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1254" w:type="dxa"/>
            <w:vMerge w:val="restart"/>
            <w:tcBorders>
              <w:top w:val="single" w:color="auto" w:sz="4" w:space="0"/>
              <w:left w:val="single" w:color="auto" w:sz="8" w:space="0"/>
              <w:bottom w:val="single" w:color="auto" w:sz="4" w:space="0"/>
              <w:right w:val="single" w:color="auto" w:sz="4" w:space="0"/>
            </w:tcBorders>
            <w:shd w:val="clear"/>
            <w:vAlign w:val="center"/>
          </w:tcPr>
          <w:p w14:paraId="0023A7F2">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大气环境</w:t>
            </w:r>
          </w:p>
        </w:tc>
        <w:tc>
          <w:tcPr>
            <w:tcW w:w="1807" w:type="dxa"/>
            <w:tcBorders>
              <w:top w:val="single" w:color="auto" w:sz="4" w:space="0"/>
              <w:left w:val="single" w:color="auto" w:sz="4" w:space="0"/>
              <w:bottom w:val="single" w:color="auto" w:sz="4" w:space="0"/>
              <w:right w:val="single" w:color="auto" w:sz="4" w:space="0"/>
            </w:tcBorders>
            <w:shd w:val="clear"/>
            <w:vAlign w:val="center"/>
          </w:tcPr>
          <w:p w14:paraId="1BEC5DB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DA001</w:t>
            </w:r>
            <w:r>
              <w:rPr>
                <w:rFonts w:hint="eastAsia" w:ascii="Times New Roman" w:hAnsi="宋体" w:eastAsia="宋体" w:cs="宋体"/>
                <w:color w:val="000000"/>
                <w:kern w:val="2"/>
                <w:sz w:val="24"/>
                <w:szCs w:val="24"/>
                <w:bdr w:val="none" w:color="auto" w:sz="0" w:space="0"/>
                <w:lang w:val="en-US" w:eastAsia="zh-CN" w:bidi="ar"/>
              </w:rPr>
              <w:t>排气筒</w:t>
            </w:r>
            <w:r>
              <w:rPr>
                <w:rFonts w:hint="default" w:ascii="Times New Roman" w:hAnsi="宋体" w:eastAsia="宋体" w:cs="Times New Roman"/>
                <w:color w:val="000000"/>
                <w:kern w:val="2"/>
                <w:sz w:val="24"/>
                <w:szCs w:val="24"/>
                <w:bdr w:val="none" w:color="auto" w:sz="0" w:space="0"/>
                <w:lang w:val="en-US" w:eastAsia="zh-CN" w:bidi="ar"/>
              </w:rPr>
              <w:t>/</w:t>
            </w:r>
            <w:r>
              <w:rPr>
                <w:rFonts w:hint="eastAsia" w:ascii="Times New Roman" w:hAnsi="宋体" w:eastAsia="宋体" w:cs="宋体"/>
                <w:color w:val="000000"/>
                <w:kern w:val="2"/>
                <w:sz w:val="24"/>
                <w:szCs w:val="24"/>
                <w:bdr w:val="none" w:color="auto" w:sz="0" w:space="0"/>
                <w:lang w:val="en-US" w:eastAsia="zh-CN" w:bidi="ar"/>
              </w:rPr>
              <w:t>涂胶、激光切割废气</w:t>
            </w:r>
          </w:p>
        </w:tc>
        <w:tc>
          <w:tcPr>
            <w:tcW w:w="1418" w:type="dxa"/>
            <w:tcBorders>
              <w:top w:val="single" w:color="auto" w:sz="4" w:space="0"/>
              <w:left w:val="single" w:color="auto" w:sz="4" w:space="0"/>
              <w:bottom w:val="single" w:color="auto" w:sz="4" w:space="0"/>
              <w:right w:val="single" w:color="auto" w:sz="4" w:space="0"/>
            </w:tcBorders>
            <w:shd w:val="clear"/>
            <w:vAlign w:val="center"/>
          </w:tcPr>
          <w:p w14:paraId="6AA22B9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非甲烷总烃、颗粒物、</w:t>
            </w:r>
            <w:r>
              <w:rPr>
                <w:rFonts w:hint="default" w:ascii="Times New Roman" w:hAnsi="Times New Roman" w:eastAsia="宋体" w:cs="Times New Roman"/>
                <w:color w:val="000000"/>
                <w:kern w:val="2"/>
                <w:sz w:val="24"/>
                <w:szCs w:val="24"/>
                <w:bdr w:val="none" w:color="auto" w:sz="0" w:space="0"/>
                <w:lang w:val="en-US" w:eastAsia="zh-CN" w:bidi="ar"/>
              </w:rPr>
              <w:t>MDI</w:t>
            </w:r>
          </w:p>
        </w:tc>
        <w:tc>
          <w:tcPr>
            <w:tcW w:w="2551" w:type="dxa"/>
            <w:tcBorders>
              <w:top w:val="single" w:color="auto" w:sz="4" w:space="0"/>
              <w:left w:val="single" w:color="auto" w:sz="4" w:space="0"/>
              <w:bottom w:val="single" w:color="auto" w:sz="4" w:space="0"/>
              <w:right w:val="single" w:color="auto" w:sz="4" w:space="0"/>
            </w:tcBorders>
            <w:shd w:val="clear"/>
            <w:vAlign w:val="center"/>
          </w:tcPr>
          <w:p w14:paraId="0DF2F179">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 w:val="24"/>
                <w:szCs w:val="24"/>
                <w:bdr w:val="none" w:color="auto" w:sz="0" w:space="0"/>
                <w:lang w:val="en-US"/>
              </w:rPr>
            </w:pPr>
            <w:r>
              <w:rPr>
                <w:rFonts w:hint="eastAsia" w:ascii="Times New Roman" w:hAnsi="Times New Roman" w:eastAsia="宋体" w:cs="宋体"/>
                <w:color w:val="000000"/>
                <w:kern w:val="0"/>
                <w:sz w:val="24"/>
                <w:szCs w:val="24"/>
                <w:bdr w:val="none" w:color="auto" w:sz="0" w:space="0"/>
                <w:lang w:val="en-US" w:eastAsia="zh-CN" w:bidi="ar"/>
              </w:rPr>
              <w:t>涂胶、激光切割废气收集后一同经“布袋</w:t>
            </w:r>
            <w:r>
              <w:rPr>
                <w:rFonts w:hint="default" w:ascii="Times New Roman" w:hAnsi="Times New Roman" w:eastAsia="宋体" w:cs="Times New Roman"/>
                <w:color w:val="000000"/>
                <w:kern w:val="0"/>
                <w:sz w:val="24"/>
                <w:szCs w:val="24"/>
                <w:bdr w:val="none" w:color="auto" w:sz="0" w:space="0"/>
                <w:lang w:val="en-US" w:eastAsia="zh-CN" w:bidi="ar"/>
              </w:rPr>
              <w:t>+UV</w:t>
            </w:r>
            <w:r>
              <w:rPr>
                <w:rFonts w:hint="eastAsia" w:ascii="Times New Roman" w:hAnsi="Times New Roman" w:eastAsia="宋体" w:cs="宋体"/>
                <w:color w:val="000000"/>
                <w:kern w:val="0"/>
                <w:sz w:val="24"/>
                <w:szCs w:val="24"/>
                <w:bdr w:val="none" w:color="auto" w:sz="0" w:space="0"/>
                <w:lang w:val="en-US" w:eastAsia="zh-CN" w:bidi="ar"/>
              </w:rPr>
              <w:t>光解</w:t>
            </w:r>
            <w:r>
              <w:rPr>
                <w:rFonts w:hint="default" w:ascii="Times New Roman" w:hAnsi="Times New Roman" w:eastAsia="宋体" w:cs="Times New Roman"/>
                <w:color w:val="000000"/>
                <w:kern w:val="0"/>
                <w:sz w:val="24"/>
                <w:szCs w:val="24"/>
                <w:bdr w:val="none" w:color="auto" w:sz="0" w:space="0"/>
                <w:lang w:val="en-US" w:eastAsia="zh-CN" w:bidi="ar"/>
              </w:rPr>
              <w:t>+</w:t>
            </w:r>
            <w:r>
              <w:rPr>
                <w:rFonts w:hint="eastAsia" w:ascii="Times New Roman" w:hAnsi="Times New Roman" w:eastAsia="宋体" w:cs="宋体"/>
                <w:color w:val="000000"/>
                <w:kern w:val="0"/>
                <w:sz w:val="24"/>
                <w:szCs w:val="24"/>
                <w:bdr w:val="none" w:color="auto" w:sz="0" w:space="0"/>
                <w:lang w:val="en-US" w:eastAsia="zh-CN" w:bidi="ar"/>
              </w:rPr>
              <w:t>二级活性炭吸附”装置处理后由</w:t>
            </w:r>
            <w:r>
              <w:rPr>
                <w:rFonts w:hint="default" w:ascii="Times New Roman" w:hAnsi="Times New Roman" w:eastAsia="宋体" w:cs="Times New Roman"/>
                <w:color w:val="000000"/>
                <w:kern w:val="0"/>
                <w:sz w:val="24"/>
                <w:szCs w:val="24"/>
                <w:bdr w:val="none" w:color="auto" w:sz="0" w:space="0"/>
                <w:lang w:val="en-US" w:eastAsia="zh-CN" w:bidi="ar"/>
              </w:rPr>
              <w:t>1</w:t>
            </w:r>
            <w:r>
              <w:rPr>
                <w:rFonts w:hint="eastAsia" w:ascii="Times New Roman" w:hAnsi="Times New Roman" w:eastAsia="宋体" w:cs="宋体"/>
                <w:color w:val="000000"/>
                <w:kern w:val="0"/>
                <w:sz w:val="24"/>
                <w:szCs w:val="24"/>
                <w:bdr w:val="none" w:color="auto" w:sz="0" w:space="0"/>
                <w:lang w:val="en-US" w:eastAsia="zh-CN" w:bidi="ar"/>
              </w:rPr>
              <w:t>根</w:t>
            </w:r>
            <w:r>
              <w:rPr>
                <w:rFonts w:hint="default" w:ascii="Times New Roman" w:hAnsi="Times New Roman" w:eastAsia="宋体" w:cs="Times New Roman"/>
                <w:color w:val="000000"/>
                <w:kern w:val="0"/>
                <w:sz w:val="24"/>
                <w:szCs w:val="24"/>
                <w:bdr w:val="none" w:color="auto" w:sz="0" w:space="0"/>
                <w:lang w:val="en-US" w:eastAsia="zh-CN" w:bidi="ar"/>
              </w:rPr>
              <w:t>20m</w:t>
            </w:r>
            <w:r>
              <w:rPr>
                <w:rFonts w:hint="eastAsia" w:ascii="Times New Roman" w:hAnsi="Times New Roman" w:eastAsia="宋体" w:cs="宋体"/>
                <w:color w:val="000000"/>
                <w:kern w:val="0"/>
                <w:sz w:val="24"/>
                <w:szCs w:val="24"/>
                <w:bdr w:val="none" w:color="auto" w:sz="0" w:space="0"/>
                <w:lang w:val="en-US" w:eastAsia="zh-CN" w:bidi="ar"/>
              </w:rPr>
              <w:t>高</w:t>
            </w:r>
            <w:r>
              <w:rPr>
                <w:rFonts w:hint="default" w:ascii="Times New Roman" w:hAnsi="Times New Roman" w:eastAsia="宋体" w:cs="Times New Roman"/>
                <w:color w:val="000000"/>
                <w:kern w:val="0"/>
                <w:sz w:val="24"/>
                <w:szCs w:val="24"/>
                <w:bdr w:val="none" w:color="auto" w:sz="0" w:space="0"/>
                <w:lang w:val="en-US" w:eastAsia="zh-CN" w:bidi="ar"/>
              </w:rPr>
              <w:t>DA001</w:t>
            </w:r>
            <w:r>
              <w:rPr>
                <w:rFonts w:hint="eastAsia" w:ascii="Times New Roman" w:hAnsi="Times New Roman" w:eastAsia="宋体" w:cs="宋体"/>
                <w:color w:val="000000"/>
                <w:kern w:val="0"/>
                <w:sz w:val="24"/>
                <w:szCs w:val="24"/>
                <w:bdr w:val="none" w:color="auto" w:sz="0" w:space="0"/>
                <w:lang w:val="en-US" w:eastAsia="zh-CN" w:bidi="ar"/>
              </w:rPr>
              <w:t>排气筒排放。</w:t>
            </w:r>
          </w:p>
        </w:tc>
        <w:tc>
          <w:tcPr>
            <w:tcW w:w="2266" w:type="dxa"/>
            <w:tcBorders>
              <w:top w:val="single" w:color="auto" w:sz="4" w:space="0"/>
              <w:left w:val="single" w:color="auto" w:sz="4" w:space="0"/>
              <w:bottom w:val="single" w:color="auto" w:sz="4" w:space="0"/>
              <w:right w:val="single" w:color="auto" w:sz="8" w:space="0"/>
            </w:tcBorders>
            <w:shd w:val="clear"/>
            <w:vAlign w:val="center"/>
          </w:tcPr>
          <w:p w14:paraId="0EC0137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bCs/>
                <w:color w:val="000000"/>
                <w:kern w:val="2"/>
                <w:sz w:val="24"/>
                <w:szCs w:val="21"/>
                <w:bdr w:val="none" w:color="auto" w:sz="0" w:space="0"/>
                <w:lang w:val="en-US" w:eastAsia="zh-CN" w:bidi="ar"/>
              </w:rPr>
              <w:t>《合成树脂工业污染物排放标准》（</w:t>
            </w:r>
            <w:r>
              <w:rPr>
                <w:rFonts w:hint="default" w:ascii="Times New Roman" w:hAnsi="Times New Roman" w:eastAsia="宋体" w:cs="Times New Roman"/>
                <w:bCs/>
                <w:color w:val="000000"/>
                <w:kern w:val="2"/>
                <w:sz w:val="24"/>
                <w:szCs w:val="21"/>
                <w:bdr w:val="none" w:color="auto" w:sz="0" w:space="0"/>
                <w:lang w:val="en-US" w:eastAsia="zh-CN" w:bidi="ar"/>
              </w:rPr>
              <w:t>GB31572-2015</w:t>
            </w:r>
            <w:r>
              <w:rPr>
                <w:rFonts w:hint="eastAsia" w:ascii="Times New Roman" w:hAnsi="Times New Roman" w:eastAsia="宋体" w:cs="宋体"/>
                <w:bCs/>
                <w:color w:val="000000"/>
                <w:kern w:val="2"/>
                <w:sz w:val="24"/>
                <w:szCs w:val="21"/>
                <w:bdr w:val="none" w:color="auto" w:sz="0" w:space="0"/>
                <w:lang w:val="en-US" w:eastAsia="zh-CN" w:bidi="ar"/>
              </w:rPr>
              <w:t>）</w:t>
            </w:r>
            <w:r>
              <w:rPr>
                <w:rFonts w:hint="eastAsia" w:ascii="Calibri" w:hAnsi="Calibri" w:eastAsia="宋体" w:cs="宋体"/>
                <w:color w:val="000000"/>
                <w:kern w:val="2"/>
                <w:sz w:val="24"/>
                <w:szCs w:val="24"/>
                <w:bdr w:val="none" w:color="auto" w:sz="0" w:space="0"/>
                <w:lang w:val="en-US" w:eastAsia="zh-CN" w:bidi="ar"/>
              </w:rPr>
              <w:t>表</w:t>
            </w:r>
            <w:r>
              <w:rPr>
                <w:rFonts w:hint="default" w:ascii="Times New Roman" w:hAnsi="Calibri" w:eastAsia="宋体" w:cs="Times New Roman"/>
                <w:color w:val="000000"/>
                <w:kern w:val="2"/>
                <w:sz w:val="24"/>
                <w:szCs w:val="24"/>
                <w:bdr w:val="none" w:color="auto" w:sz="0" w:space="0"/>
                <w:lang w:val="en-US" w:eastAsia="zh-CN" w:bidi="ar"/>
              </w:rPr>
              <w:t>5</w:t>
            </w:r>
            <w:r>
              <w:rPr>
                <w:rFonts w:hint="eastAsia" w:ascii="Times New Roman" w:hAnsi="Calibri" w:eastAsia="宋体" w:cs="宋体"/>
                <w:color w:val="000000"/>
                <w:kern w:val="2"/>
                <w:sz w:val="24"/>
                <w:szCs w:val="24"/>
                <w:bdr w:val="none" w:color="auto" w:sz="0" w:space="0"/>
                <w:lang w:val="en-US" w:eastAsia="zh-CN" w:bidi="ar"/>
              </w:rPr>
              <w:t>特别排放限值</w:t>
            </w:r>
          </w:p>
        </w:tc>
      </w:tr>
      <w:tr w14:paraId="60EE26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254" w:type="dxa"/>
            <w:vMerge w:val="continue"/>
            <w:tcBorders>
              <w:top w:val="single" w:color="auto" w:sz="4" w:space="0"/>
              <w:left w:val="single" w:color="auto" w:sz="8" w:space="0"/>
              <w:bottom w:val="single" w:color="auto" w:sz="4" w:space="0"/>
              <w:right w:val="single" w:color="auto" w:sz="4" w:space="0"/>
            </w:tcBorders>
            <w:shd w:val="clear"/>
            <w:vAlign w:val="center"/>
          </w:tcPr>
          <w:p w14:paraId="3178E7C8">
            <w:pPr>
              <w:rPr>
                <w:rFonts w:hint="default" w:ascii="Calibri" w:hAnsi="Calibri" w:cs="Calibri"/>
                <w:sz w:val="20"/>
                <w:szCs w:val="20"/>
              </w:rPr>
            </w:pPr>
          </w:p>
        </w:tc>
        <w:tc>
          <w:tcPr>
            <w:tcW w:w="1807" w:type="dxa"/>
            <w:tcBorders>
              <w:top w:val="single" w:color="auto" w:sz="4" w:space="0"/>
              <w:left w:val="single" w:color="auto" w:sz="4" w:space="0"/>
              <w:bottom w:val="single" w:color="auto" w:sz="4" w:space="0"/>
              <w:right w:val="single" w:color="auto" w:sz="4" w:space="0"/>
            </w:tcBorders>
            <w:shd w:val="clear"/>
            <w:vAlign w:val="center"/>
          </w:tcPr>
          <w:p w14:paraId="6C5B4F5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DA002</w:t>
            </w:r>
            <w:r>
              <w:rPr>
                <w:rFonts w:hint="eastAsia" w:ascii="Times New Roman" w:hAnsi="宋体" w:eastAsia="宋体" w:cs="宋体"/>
                <w:color w:val="000000"/>
                <w:kern w:val="2"/>
                <w:sz w:val="24"/>
                <w:szCs w:val="24"/>
                <w:bdr w:val="none" w:color="auto" w:sz="0" w:space="0"/>
                <w:lang w:val="en-US" w:eastAsia="zh-CN" w:bidi="ar"/>
              </w:rPr>
              <w:t>排气筒</w:t>
            </w:r>
            <w:r>
              <w:rPr>
                <w:rFonts w:hint="default" w:ascii="Times New Roman" w:hAnsi="宋体" w:eastAsia="宋体" w:cs="Times New Roman"/>
                <w:color w:val="000000"/>
                <w:kern w:val="2"/>
                <w:sz w:val="24"/>
                <w:szCs w:val="24"/>
                <w:bdr w:val="none" w:color="auto" w:sz="0" w:space="0"/>
                <w:lang w:val="en-US" w:eastAsia="zh-CN" w:bidi="ar"/>
              </w:rPr>
              <w:t>/</w:t>
            </w:r>
            <w:r>
              <w:rPr>
                <w:rFonts w:hint="eastAsia" w:ascii="Times New Roman" w:hAnsi="宋体" w:eastAsia="宋体" w:cs="宋体"/>
                <w:color w:val="000000"/>
                <w:kern w:val="2"/>
                <w:sz w:val="24"/>
                <w:szCs w:val="24"/>
                <w:bdr w:val="none" w:color="auto" w:sz="0" w:space="0"/>
                <w:lang w:val="en-US" w:eastAsia="zh-CN" w:bidi="ar"/>
              </w:rPr>
              <w:t>雕刻、打磨废气</w:t>
            </w:r>
          </w:p>
        </w:tc>
        <w:tc>
          <w:tcPr>
            <w:tcW w:w="1418" w:type="dxa"/>
            <w:tcBorders>
              <w:top w:val="single" w:color="auto" w:sz="4" w:space="0"/>
              <w:left w:val="single" w:color="auto" w:sz="4" w:space="0"/>
              <w:bottom w:val="single" w:color="auto" w:sz="4" w:space="0"/>
              <w:right w:val="single" w:color="auto" w:sz="4" w:space="0"/>
            </w:tcBorders>
            <w:shd w:val="clear"/>
            <w:vAlign w:val="center"/>
          </w:tcPr>
          <w:p w14:paraId="4728E586">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颗粒物</w:t>
            </w:r>
          </w:p>
        </w:tc>
        <w:tc>
          <w:tcPr>
            <w:tcW w:w="2551" w:type="dxa"/>
            <w:tcBorders>
              <w:top w:val="single" w:color="auto" w:sz="4" w:space="0"/>
              <w:left w:val="single" w:color="auto" w:sz="4" w:space="0"/>
              <w:bottom w:val="single" w:color="auto" w:sz="4" w:space="0"/>
              <w:right w:val="single" w:color="auto" w:sz="4" w:space="0"/>
            </w:tcBorders>
            <w:shd w:val="clear"/>
            <w:vAlign w:val="center"/>
          </w:tcPr>
          <w:p w14:paraId="5503055A">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雕刻、打磨粉尘收集</w:t>
            </w:r>
            <w:r>
              <w:rPr>
                <w:rFonts w:hint="eastAsia" w:ascii="Times New Roman" w:hAnsi="Times New Roman" w:eastAsia="宋体" w:cs="宋体"/>
                <w:color w:val="000000"/>
                <w:kern w:val="0"/>
                <w:sz w:val="24"/>
                <w:szCs w:val="24"/>
                <w:bdr w:val="none" w:color="auto" w:sz="0" w:space="0"/>
                <w:lang w:val="en-US" w:eastAsia="zh-CN" w:bidi="ar"/>
              </w:rPr>
              <w:t>后一同</w:t>
            </w:r>
            <w:r>
              <w:rPr>
                <w:rFonts w:hint="eastAsia" w:ascii="宋体" w:hAnsi="宋体" w:eastAsia="宋体" w:cs="宋体"/>
                <w:color w:val="000000"/>
                <w:kern w:val="2"/>
                <w:sz w:val="24"/>
                <w:szCs w:val="24"/>
                <w:bdr w:val="none" w:color="auto" w:sz="0" w:space="0"/>
                <w:lang w:val="en-US" w:eastAsia="zh-CN" w:bidi="ar"/>
              </w:rPr>
              <w:t>经“旋风除尘+布袋除尘”装置处理后</w:t>
            </w:r>
            <w:r>
              <w:rPr>
                <w:rFonts w:hint="eastAsia" w:ascii="Times New Roman" w:hAnsi="宋体" w:eastAsia="宋体" w:cs="宋体"/>
                <w:color w:val="000000"/>
                <w:kern w:val="2"/>
                <w:sz w:val="24"/>
                <w:szCs w:val="24"/>
                <w:bdr w:val="none" w:color="auto" w:sz="0" w:space="0"/>
                <w:lang w:val="en-US" w:eastAsia="zh-CN" w:bidi="ar"/>
              </w:rPr>
              <w:t>由</w:t>
            </w:r>
            <w:r>
              <w:rPr>
                <w:rFonts w:hint="default" w:ascii="Times New Roman" w:hAnsi="Times New Roman" w:eastAsia="宋体" w:cs="Times New Roman"/>
                <w:color w:val="000000"/>
                <w:kern w:val="2"/>
                <w:sz w:val="24"/>
                <w:szCs w:val="24"/>
                <w:bdr w:val="none" w:color="auto" w:sz="0" w:space="0"/>
                <w:lang w:val="en-US" w:eastAsia="zh-CN" w:bidi="ar"/>
              </w:rPr>
              <w:t>1</w:t>
            </w:r>
            <w:r>
              <w:rPr>
                <w:rFonts w:hint="eastAsia" w:ascii="Times New Roman" w:hAnsi="宋体" w:eastAsia="宋体" w:cs="宋体"/>
                <w:color w:val="000000"/>
                <w:kern w:val="2"/>
                <w:sz w:val="24"/>
                <w:szCs w:val="24"/>
                <w:bdr w:val="none" w:color="auto" w:sz="0" w:space="0"/>
                <w:lang w:val="en-US" w:eastAsia="zh-CN" w:bidi="ar"/>
              </w:rPr>
              <w:t>根</w:t>
            </w:r>
            <w:r>
              <w:rPr>
                <w:rFonts w:hint="default" w:ascii="Times New Roman" w:hAnsi="Times New Roman" w:eastAsia="宋体" w:cs="Times New Roman"/>
                <w:color w:val="000000"/>
                <w:kern w:val="2"/>
                <w:sz w:val="24"/>
                <w:szCs w:val="24"/>
                <w:bdr w:val="none" w:color="auto" w:sz="0" w:space="0"/>
                <w:lang w:val="en-US" w:eastAsia="zh-CN" w:bidi="ar"/>
              </w:rPr>
              <w:t>20m</w:t>
            </w:r>
            <w:r>
              <w:rPr>
                <w:rFonts w:hint="eastAsia" w:ascii="Times New Roman" w:hAnsi="宋体" w:eastAsia="宋体" w:cs="宋体"/>
                <w:color w:val="000000"/>
                <w:kern w:val="2"/>
                <w:sz w:val="24"/>
                <w:szCs w:val="24"/>
                <w:bdr w:val="none" w:color="auto" w:sz="0" w:space="0"/>
                <w:lang w:val="en-US" w:eastAsia="zh-CN" w:bidi="ar"/>
              </w:rPr>
              <w:t>高</w:t>
            </w:r>
            <w:r>
              <w:rPr>
                <w:rFonts w:hint="default" w:ascii="Times New Roman" w:hAnsi="Times New Roman" w:eastAsia="宋体" w:cs="Times New Roman"/>
                <w:color w:val="000000"/>
                <w:kern w:val="2"/>
                <w:sz w:val="24"/>
                <w:szCs w:val="24"/>
                <w:bdr w:val="none" w:color="auto" w:sz="0" w:space="0"/>
                <w:lang w:val="en-US" w:eastAsia="zh-CN" w:bidi="ar"/>
              </w:rPr>
              <w:t>DA002</w:t>
            </w:r>
            <w:r>
              <w:rPr>
                <w:rFonts w:hint="eastAsia" w:ascii="Times New Roman" w:hAnsi="宋体" w:eastAsia="宋体" w:cs="宋体"/>
                <w:color w:val="000000"/>
                <w:kern w:val="2"/>
                <w:sz w:val="24"/>
                <w:szCs w:val="24"/>
                <w:bdr w:val="none" w:color="auto" w:sz="0" w:space="0"/>
                <w:lang w:val="en-US" w:eastAsia="zh-CN" w:bidi="ar"/>
              </w:rPr>
              <w:t>排气筒排放。</w:t>
            </w:r>
          </w:p>
        </w:tc>
        <w:tc>
          <w:tcPr>
            <w:tcW w:w="2266" w:type="dxa"/>
            <w:tcBorders>
              <w:top w:val="single" w:color="auto" w:sz="4" w:space="0"/>
              <w:left w:val="single" w:color="auto" w:sz="4" w:space="0"/>
              <w:bottom w:val="single" w:color="auto" w:sz="4" w:space="0"/>
              <w:right w:val="single" w:color="auto" w:sz="8" w:space="0"/>
            </w:tcBorders>
            <w:shd w:val="clear"/>
            <w:vAlign w:val="center"/>
          </w:tcPr>
          <w:p w14:paraId="492715D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《大气污染物综合排放标准》（</w:t>
            </w:r>
            <w:r>
              <w:rPr>
                <w:rFonts w:hint="default" w:ascii="Times New Roman" w:hAnsi="Times New Roman" w:eastAsia="宋体" w:cs="Times New Roman"/>
                <w:color w:val="000000"/>
                <w:kern w:val="2"/>
                <w:sz w:val="24"/>
                <w:szCs w:val="24"/>
                <w:bdr w:val="none" w:color="auto" w:sz="0" w:space="0"/>
                <w:lang w:val="en-US" w:eastAsia="zh-CN" w:bidi="ar"/>
              </w:rPr>
              <w:t>DB 50/418-2016</w:t>
            </w:r>
            <w:r>
              <w:rPr>
                <w:rFonts w:hint="eastAsia" w:ascii="Times New Roman" w:hAnsi="Times New Roman" w:eastAsia="宋体" w:cs="宋体"/>
                <w:color w:val="000000"/>
                <w:kern w:val="2"/>
                <w:sz w:val="24"/>
                <w:szCs w:val="24"/>
                <w:bdr w:val="none" w:color="auto" w:sz="0" w:space="0"/>
                <w:lang w:val="en-US" w:eastAsia="zh-CN" w:bidi="ar"/>
              </w:rPr>
              <w:t>）表</w:t>
            </w:r>
            <w:r>
              <w:rPr>
                <w:rFonts w:hint="default" w:ascii="Times New Roman" w:hAnsi="Times New Roman" w:eastAsia="宋体" w:cs="Times New Roman"/>
                <w:color w:val="000000"/>
                <w:kern w:val="2"/>
                <w:sz w:val="24"/>
                <w:szCs w:val="24"/>
                <w:bdr w:val="none" w:color="auto" w:sz="0" w:space="0"/>
                <w:lang w:val="en-US" w:eastAsia="zh-CN" w:bidi="ar"/>
              </w:rPr>
              <w:t>1</w:t>
            </w:r>
            <w:r>
              <w:rPr>
                <w:rFonts w:hint="eastAsia" w:ascii="Times New Roman" w:hAnsi="Times New Roman" w:eastAsia="宋体" w:cs="宋体"/>
                <w:color w:val="000000"/>
                <w:kern w:val="2"/>
                <w:sz w:val="24"/>
                <w:szCs w:val="24"/>
                <w:bdr w:val="none" w:color="auto" w:sz="0" w:space="0"/>
                <w:lang w:val="en-US" w:eastAsia="zh-CN" w:bidi="ar"/>
              </w:rPr>
              <w:t>影响区排放限值</w:t>
            </w:r>
          </w:p>
        </w:tc>
      </w:tr>
      <w:tr w14:paraId="17EB7F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254" w:type="dxa"/>
            <w:vMerge w:val="continue"/>
            <w:tcBorders>
              <w:top w:val="single" w:color="auto" w:sz="4" w:space="0"/>
              <w:left w:val="single" w:color="auto" w:sz="8" w:space="0"/>
              <w:bottom w:val="single" w:color="auto" w:sz="4" w:space="0"/>
              <w:right w:val="single" w:color="auto" w:sz="4" w:space="0"/>
            </w:tcBorders>
            <w:shd w:val="clear"/>
            <w:vAlign w:val="center"/>
          </w:tcPr>
          <w:p w14:paraId="5F637B36">
            <w:pPr>
              <w:rPr>
                <w:rFonts w:hint="default" w:ascii="Calibri" w:hAnsi="Calibri" w:cs="Calibri"/>
                <w:sz w:val="20"/>
                <w:szCs w:val="20"/>
              </w:rPr>
            </w:pPr>
          </w:p>
        </w:tc>
        <w:tc>
          <w:tcPr>
            <w:tcW w:w="1807" w:type="dxa"/>
            <w:tcBorders>
              <w:top w:val="single" w:color="auto" w:sz="4" w:space="0"/>
              <w:left w:val="single" w:color="auto" w:sz="4" w:space="0"/>
              <w:bottom w:val="single" w:color="auto" w:sz="4" w:space="0"/>
              <w:right w:val="single" w:color="auto" w:sz="4" w:space="0"/>
            </w:tcBorders>
            <w:shd w:val="clear"/>
            <w:vAlign w:val="center"/>
          </w:tcPr>
          <w:p w14:paraId="1385631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厂界无组织</w:t>
            </w:r>
          </w:p>
        </w:tc>
        <w:tc>
          <w:tcPr>
            <w:tcW w:w="1418" w:type="dxa"/>
            <w:tcBorders>
              <w:top w:val="single" w:color="auto" w:sz="4" w:space="0"/>
              <w:left w:val="single" w:color="auto" w:sz="4" w:space="0"/>
              <w:bottom w:val="single" w:color="auto" w:sz="4" w:space="0"/>
              <w:right w:val="single" w:color="auto" w:sz="4" w:space="0"/>
            </w:tcBorders>
            <w:shd w:val="clear"/>
            <w:vAlign w:val="center"/>
          </w:tcPr>
          <w:p w14:paraId="4C6BCE07">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非甲烷总烃、颗粒物</w:t>
            </w:r>
          </w:p>
        </w:tc>
        <w:tc>
          <w:tcPr>
            <w:tcW w:w="2551" w:type="dxa"/>
            <w:tcBorders>
              <w:top w:val="single" w:color="auto" w:sz="4" w:space="0"/>
              <w:left w:val="single" w:color="auto" w:sz="4" w:space="0"/>
              <w:bottom w:val="single" w:color="auto" w:sz="4" w:space="0"/>
              <w:right w:val="single" w:color="auto" w:sz="4" w:space="0"/>
            </w:tcBorders>
            <w:shd w:val="clear"/>
            <w:vAlign w:val="center"/>
          </w:tcPr>
          <w:p w14:paraId="16C6F6C5">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车间散逸，通过车间换气扇排出</w:t>
            </w:r>
          </w:p>
        </w:tc>
        <w:tc>
          <w:tcPr>
            <w:tcW w:w="2266" w:type="dxa"/>
            <w:tcBorders>
              <w:top w:val="single" w:color="auto" w:sz="4" w:space="0"/>
              <w:left w:val="single" w:color="auto" w:sz="4" w:space="0"/>
              <w:bottom w:val="single" w:color="auto" w:sz="4" w:space="0"/>
              <w:right w:val="single" w:color="auto" w:sz="8" w:space="0"/>
            </w:tcBorders>
            <w:shd w:val="clear"/>
            <w:vAlign w:val="center"/>
          </w:tcPr>
          <w:p w14:paraId="6BA244D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宋体" w:cs="Times New Roman"/>
                <w:color w:val="000000"/>
                <w:sz w:val="24"/>
                <w:szCs w:val="24"/>
                <w:bdr w:val="none" w:color="auto" w:sz="0" w:space="0"/>
                <w:lang w:val="en-US"/>
              </w:rPr>
            </w:pPr>
            <w:r>
              <w:rPr>
                <w:rFonts w:hint="eastAsia" w:ascii="Times New Roman" w:hAnsi="Times New Roman" w:eastAsia="宋体" w:cs="宋体"/>
                <w:bCs/>
                <w:color w:val="000000"/>
                <w:kern w:val="2"/>
                <w:sz w:val="24"/>
                <w:szCs w:val="21"/>
                <w:bdr w:val="none" w:color="auto" w:sz="0" w:space="0"/>
                <w:lang w:val="en-US" w:eastAsia="zh-CN" w:bidi="ar"/>
              </w:rPr>
              <w:t>《合成树脂工业污染物排放标准》（</w:t>
            </w:r>
            <w:r>
              <w:rPr>
                <w:rFonts w:hint="default" w:ascii="Times New Roman" w:hAnsi="Times New Roman" w:eastAsia="宋体" w:cs="Times New Roman"/>
                <w:bCs/>
                <w:color w:val="000000"/>
                <w:kern w:val="2"/>
                <w:sz w:val="24"/>
                <w:szCs w:val="21"/>
                <w:bdr w:val="none" w:color="auto" w:sz="0" w:space="0"/>
                <w:lang w:val="en-US" w:eastAsia="zh-CN" w:bidi="ar"/>
              </w:rPr>
              <w:t>GB31572-2015</w:t>
            </w:r>
            <w:r>
              <w:rPr>
                <w:rFonts w:hint="eastAsia" w:ascii="Times New Roman" w:hAnsi="Times New Roman" w:eastAsia="宋体" w:cs="宋体"/>
                <w:bCs/>
                <w:color w:val="000000"/>
                <w:kern w:val="2"/>
                <w:sz w:val="24"/>
                <w:szCs w:val="21"/>
                <w:bdr w:val="none" w:color="auto" w:sz="0" w:space="0"/>
                <w:lang w:val="en-US" w:eastAsia="zh-CN" w:bidi="ar"/>
              </w:rPr>
              <w:t>）表</w:t>
            </w:r>
            <w:r>
              <w:rPr>
                <w:rFonts w:hint="default" w:ascii="Times New Roman" w:hAnsi="Times New Roman" w:eastAsia="宋体" w:cs="Times New Roman"/>
                <w:bCs/>
                <w:color w:val="000000"/>
                <w:kern w:val="2"/>
                <w:sz w:val="24"/>
                <w:szCs w:val="21"/>
                <w:bdr w:val="none" w:color="auto" w:sz="0" w:space="0"/>
                <w:lang w:val="en-US" w:eastAsia="zh-CN" w:bidi="ar"/>
              </w:rPr>
              <w:t>9</w:t>
            </w:r>
            <w:r>
              <w:rPr>
                <w:rFonts w:hint="eastAsia" w:ascii="Times New Roman" w:hAnsi="Times New Roman" w:eastAsia="宋体" w:cs="宋体"/>
                <w:bCs/>
                <w:color w:val="000000"/>
                <w:kern w:val="2"/>
                <w:sz w:val="24"/>
                <w:szCs w:val="21"/>
                <w:bdr w:val="none" w:color="auto" w:sz="0" w:space="0"/>
                <w:lang w:val="en-US" w:eastAsia="zh-CN" w:bidi="ar"/>
              </w:rPr>
              <w:t>排放限值</w:t>
            </w:r>
          </w:p>
        </w:tc>
      </w:tr>
      <w:tr w14:paraId="356090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tcBorders>
              <w:top w:val="single" w:color="auto" w:sz="4" w:space="0"/>
              <w:left w:val="single" w:color="auto" w:sz="8" w:space="0"/>
              <w:bottom w:val="single" w:color="auto" w:sz="4" w:space="0"/>
              <w:right w:val="single" w:color="auto" w:sz="4" w:space="0"/>
            </w:tcBorders>
            <w:shd w:val="clear"/>
            <w:vAlign w:val="center"/>
          </w:tcPr>
          <w:p w14:paraId="10452377">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地表水</w:t>
            </w:r>
          </w:p>
          <w:p w14:paraId="0BCBA0BD">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环境</w:t>
            </w:r>
          </w:p>
        </w:tc>
        <w:tc>
          <w:tcPr>
            <w:tcW w:w="1807" w:type="dxa"/>
            <w:tcBorders>
              <w:top w:val="single" w:color="auto" w:sz="4" w:space="0"/>
              <w:left w:val="single" w:color="auto" w:sz="4" w:space="0"/>
              <w:bottom w:val="single" w:color="auto" w:sz="4" w:space="0"/>
              <w:right w:val="single" w:color="auto" w:sz="4" w:space="0"/>
            </w:tcBorders>
            <w:shd w:val="clear"/>
            <w:vAlign w:val="center"/>
          </w:tcPr>
          <w:p w14:paraId="01E547A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bdr w:val="none" w:color="auto" w:sz="0" w:space="0"/>
                <w:lang w:val="en-US"/>
              </w:rPr>
            </w:pPr>
            <w:r>
              <w:rPr>
                <w:rFonts w:hint="eastAsia" w:ascii="Times New Roman" w:hAnsi="Calibri" w:eastAsia="宋体" w:cs="宋体"/>
                <w:bCs/>
                <w:snapToGrid w:val="0"/>
                <w:color w:val="000000"/>
                <w:kern w:val="2"/>
                <w:sz w:val="24"/>
                <w:szCs w:val="24"/>
                <w:bdr w:val="none" w:color="auto" w:sz="0" w:space="0"/>
                <w:lang w:val="en-US" w:eastAsia="zh-CN" w:bidi="ar"/>
              </w:rPr>
              <w:t>生活污水</w:t>
            </w:r>
          </w:p>
        </w:tc>
        <w:tc>
          <w:tcPr>
            <w:tcW w:w="1418" w:type="dxa"/>
            <w:tcBorders>
              <w:top w:val="single" w:color="auto" w:sz="4" w:space="0"/>
              <w:left w:val="single" w:color="auto" w:sz="4" w:space="0"/>
              <w:bottom w:val="single" w:color="auto" w:sz="4" w:space="0"/>
              <w:right w:val="single" w:color="auto" w:sz="4" w:space="0"/>
            </w:tcBorders>
            <w:shd w:val="clear"/>
            <w:vAlign w:val="center"/>
          </w:tcPr>
          <w:p w14:paraId="606E98EF">
            <w:pPr>
              <w:pStyle w:val="69"/>
              <w:widowControl/>
              <w:rPr>
                <w:rFonts w:hint="default" w:ascii="Times New Roman" w:hAnsi="Times New Roman" w:cs="Times New Roman"/>
                <w:color w:val="000000"/>
                <w:sz w:val="24"/>
                <w:szCs w:val="24"/>
                <w:bdr w:val="none" w:color="auto" w:sz="0" w:space="0"/>
                <w:lang w:val="en-US"/>
              </w:rPr>
            </w:pPr>
            <w:r>
              <w:rPr>
                <w:rFonts w:hint="default" w:ascii="Times New Roman" w:hAnsi="Times New Roman" w:cs="Times New Roman"/>
                <w:color w:val="000000"/>
                <w:sz w:val="24"/>
                <w:szCs w:val="24"/>
                <w:bdr w:val="none" w:color="auto" w:sz="0" w:space="0"/>
                <w:lang w:val="en-US"/>
              </w:rPr>
              <w:t>pH</w:t>
            </w:r>
            <w:r>
              <w:rPr>
                <w:rFonts w:hint="eastAsia" w:ascii="Times New Roman" w:hAnsi="Times New Roman" w:eastAsia="宋体" w:cs="宋体"/>
                <w:color w:val="000000"/>
                <w:sz w:val="24"/>
                <w:szCs w:val="24"/>
                <w:bdr w:val="none" w:color="auto" w:sz="0" w:space="0"/>
              </w:rPr>
              <w:t>、</w:t>
            </w:r>
            <w:r>
              <w:rPr>
                <w:rFonts w:hint="default" w:ascii="Times New Roman" w:hAnsi="Times New Roman" w:cs="Times New Roman"/>
                <w:color w:val="000000"/>
                <w:sz w:val="24"/>
                <w:szCs w:val="24"/>
                <w:bdr w:val="none" w:color="auto" w:sz="0" w:space="0"/>
                <w:lang w:val="en-US"/>
              </w:rPr>
              <w:t>COD</w:t>
            </w:r>
            <w:r>
              <w:rPr>
                <w:rFonts w:hint="eastAsia" w:ascii="Times New Roman" w:hAnsi="Times New Roman" w:eastAsia="宋体" w:cs="宋体"/>
                <w:color w:val="000000"/>
                <w:sz w:val="24"/>
                <w:szCs w:val="24"/>
                <w:bdr w:val="none" w:color="auto" w:sz="0" w:space="0"/>
              </w:rPr>
              <w:t>、</w:t>
            </w:r>
            <w:r>
              <w:rPr>
                <w:rFonts w:hint="default" w:ascii="Times New Roman" w:hAnsi="Times New Roman" w:cs="Times New Roman"/>
                <w:color w:val="000000"/>
                <w:sz w:val="24"/>
                <w:szCs w:val="24"/>
                <w:bdr w:val="none" w:color="auto" w:sz="0" w:space="0"/>
                <w:lang w:val="en-US"/>
              </w:rPr>
              <w:t>BOD</w:t>
            </w:r>
            <w:r>
              <w:rPr>
                <w:rFonts w:hint="default" w:ascii="Times New Roman" w:hAnsi="Times New Roman" w:cs="Times New Roman"/>
                <w:color w:val="000000"/>
                <w:sz w:val="24"/>
                <w:szCs w:val="24"/>
                <w:bdr w:val="none" w:color="auto" w:sz="0" w:space="0"/>
                <w:vertAlign w:val="subscript"/>
                <w:lang w:val="en-US"/>
              </w:rPr>
              <w:t>5</w:t>
            </w:r>
            <w:r>
              <w:rPr>
                <w:rFonts w:hint="eastAsia" w:ascii="Times New Roman" w:hAnsi="Times New Roman" w:eastAsia="宋体" w:cs="宋体"/>
                <w:color w:val="000000"/>
                <w:sz w:val="24"/>
                <w:szCs w:val="24"/>
                <w:bdr w:val="none" w:color="auto" w:sz="0" w:space="0"/>
              </w:rPr>
              <w:t>、</w:t>
            </w:r>
            <w:r>
              <w:rPr>
                <w:rFonts w:hint="default" w:ascii="Times New Roman" w:hAnsi="Times New Roman" w:cs="Times New Roman"/>
                <w:color w:val="000000"/>
                <w:sz w:val="24"/>
                <w:szCs w:val="24"/>
                <w:bdr w:val="none" w:color="auto" w:sz="0" w:space="0"/>
                <w:lang w:val="en-US"/>
              </w:rPr>
              <w:t>NH</w:t>
            </w:r>
            <w:r>
              <w:rPr>
                <w:rFonts w:hint="default" w:ascii="Times New Roman" w:hAnsi="Times New Roman" w:cs="Times New Roman"/>
                <w:color w:val="000000"/>
                <w:sz w:val="24"/>
                <w:szCs w:val="24"/>
                <w:bdr w:val="none" w:color="auto" w:sz="0" w:space="0"/>
                <w:vertAlign w:val="subscript"/>
                <w:lang w:val="en-US"/>
              </w:rPr>
              <w:t>3</w:t>
            </w:r>
            <w:r>
              <w:rPr>
                <w:rFonts w:hint="default" w:ascii="Times New Roman" w:hAnsi="Times New Roman" w:cs="Times New Roman"/>
                <w:color w:val="000000"/>
                <w:sz w:val="24"/>
                <w:szCs w:val="24"/>
                <w:bdr w:val="none" w:color="auto" w:sz="0" w:space="0"/>
                <w:lang w:val="en-US"/>
              </w:rPr>
              <w:t>-N</w:t>
            </w:r>
            <w:r>
              <w:rPr>
                <w:rFonts w:hint="eastAsia" w:ascii="Times New Roman" w:hAnsi="Times New Roman" w:eastAsia="宋体" w:cs="宋体"/>
                <w:color w:val="000000"/>
                <w:sz w:val="24"/>
                <w:szCs w:val="24"/>
                <w:bdr w:val="none" w:color="auto" w:sz="0" w:space="0"/>
              </w:rPr>
              <w:t>、</w:t>
            </w:r>
          </w:p>
          <w:p w14:paraId="0ABA8C3B">
            <w:pPr>
              <w:pStyle w:val="69"/>
              <w:widowControl/>
              <w:rPr>
                <w:rFonts w:hint="default" w:ascii="Times New Roman" w:hAnsi="Times New Roman" w:cs="Times New Roman"/>
                <w:color w:val="000000"/>
                <w:sz w:val="24"/>
                <w:szCs w:val="24"/>
                <w:bdr w:val="none" w:color="auto" w:sz="0" w:space="0"/>
                <w:lang w:val="en-US"/>
              </w:rPr>
            </w:pPr>
            <w:r>
              <w:rPr>
                <w:rFonts w:hint="default" w:ascii="Times New Roman" w:hAnsi="Times New Roman" w:cs="Times New Roman"/>
                <w:color w:val="000000"/>
                <w:sz w:val="24"/>
                <w:szCs w:val="24"/>
                <w:bdr w:val="none" w:color="auto" w:sz="0" w:space="0"/>
                <w:lang w:val="en-US"/>
              </w:rPr>
              <w:t>SS</w:t>
            </w:r>
          </w:p>
        </w:tc>
        <w:tc>
          <w:tcPr>
            <w:tcW w:w="2551" w:type="dxa"/>
            <w:tcBorders>
              <w:top w:val="single" w:color="auto" w:sz="4" w:space="0"/>
              <w:left w:val="single" w:color="auto" w:sz="4" w:space="0"/>
              <w:bottom w:val="single" w:color="auto" w:sz="4" w:space="0"/>
              <w:right w:val="single" w:color="auto" w:sz="4" w:space="0"/>
            </w:tcBorders>
            <w:shd w:val="clear"/>
            <w:vAlign w:val="center"/>
          </w:tcPr>
          <w:p w14:paraId="6845ACAD">
            <w:pPr>
              <w:keepNext w:val="0"/>
              <w:keepLines w:val="0"/>
              <w:widowControl w:val="0"/>
              <w:suppressLineNumbers w:val="0"/>
              <w:spacing w:before="0" w:beforeAutospacing="0" w:after="0" w:afterAutospacing="0" w:line="300" w:lineRule="exact"/>
              <w:ind w:left="0" w:right="0"/>
              <w:jc w:val="left"/>
              <w:rPr>
                <w:rFonts w:hint="default" w:ascii="Times New Roman" w:hAnsi="Times New Roman" w:cs="Times New Roman"/>
                <w:color w:val="000000"/>
                <w:spacing w:val="-4"/>
                <w:sz w:val="24"/>
                <w:szCs w:val="24"/>
                <w:bdr w:val="none" w:color="auto" w:sz="0" w:space="0"/>
                <w:lang w:val="en-US"/>
              </w:rPr>
            </w:pPr>
            <w:r>
              <w:rPr>
                <w:rFonts w:hint="eastAsia" w:ascii="Calibri" w:hAnsi="宋体" w:eastAsia="宋体" w:cs="宋体"/>
                <w:color w:val="000000"/>
                <w:kern w:val="0"/>
                <w:sz w:val="24"/>
                <w:szCs w:val="24"/>
                <w:bdr w:val="none" w:color="auto" w:sz="0" w:space="0"/>
                <w:lang w:val="en-US" w:eastAsia="zh-CN" w:bidi="ar"/>
              </w:rPr>
              <w:t>员工生活污水依托盈田•合川工谷已建污水处理设施处理达标后，经市政污水管网排入农创园污水处理厂进一步处理达标后排放。</w:t>
            </w:r>
          </w:p>
        </w:tc>
        <w:tc>
          <w:tcPr>
            <w:tcW w:w="2266" w:type="dxa"/>
            <w:tcBorders>
              <w:top w:val="single" w:color="auto" w:sz="4" w:space="0"/>
              <w:left w:val="single" w:color="auto" w:sz="4" w:space="0"/>
              <w:bottom w:val="single" w:color="auto" w:sz="4" w:space="0"/>
              <w:right w:val="single" w:color="auto" w:sz="8" w:space="0"/>
            </w:tcBorders>
            <w:shd w:val="clear"/>
            <w:vAlign w:val="center"/>
          </w:tcPr>
          <w:p w14:paraId="659B75C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《污水综合排放标准》（</w:t>
            </w:r>
            <w:r>
              <w:rPr>
                <w:rFonts w:hint="default" w:ascii="Times New Roman" w:hAnsi="Times New Roman" w:eastAsia="宋体" w:cs="Times New Roman"/>
                <w:color w:val="000000"/>
                <w:kern w:val="2"/>
                <w:sz w:val="24"/>
                <w:szCs w:val="24"/>
                <w:bdr w:val="none" w:color="auto" w:sz="0" w:space="0"/>
                <w:lang w:val="en-US" w:eastAsia="zh-CN" w:bidi="ar"/>
              </w:rPr>
              <w:t>GB8978-1996</w:t>
            </w:r>
            <w:r>
              <w:rPr>
                <w:rFonts w:hint="eastAsia" w:ascii="Times New Roman" w:hAnsi="Times New Roman" w:eastAsia="宋体" w:cs="宋体"/>
                <w:color w:val="000000"/>
                <w:kern w:val="2"/>
                <w:sz w:val="24"/>
                <w:szCs w:val="24"/>
                <w:bdr w:val="none" w:color="auto" w:sz="0" w:space="0"/>
                <w:lang w:val="en-US" w:eastAsia="zh-CN" w:bidi="ar"/>
              </w:rPr>
              <w:t>）三级标准</w:t>
            </w:r>
          </w:p>
        </w:tc>
      </w:tr>
      <w:tr w14:paraId="4622D0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1" w:hRule="atLeast"/>
          <w:jc w:val="center"/>
        </w:trPr>
        <w:tc>
          <w:tcPr>
            <w:tcW w:w="1254" w:type="dxa"/>
            <w:tcBorders>
              <w:top w:val="single" w:color="auto" w:sz="4" w:space="0"/>
              <w:left w:val="single" w:color="auto" w:sz="8" w:space="0"/>
              <w:bottom w:val="single" w:color="auto" w:sz="4" w:space="0"/>
              <w:right w:val="single" w:color="auto" w:sz="4" w:space="0"/>
            </w:tcBorders>
            <w:shd w:val="clear"/>
            <w:vAlign w:val="center"/>
          </w:tcPr>
          <w:p w14:paraId="6153C9E3">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声环境</w:t>
            </w:r>
          </w:p>
        </w:tc>
        <w:tc>
          <w:tcPr>
            <w:tcW w:w="1807" w:type="dxa"/>
            <w:tcBorders>
              <w:top w:val="single" w:color="auto" w:sz="4" w:space="0"/>
              <w:left w:val="single" w:color="auto" w:sz="4" w:space="0"/>
              <w:bottom w:val="single" w:color="auto" w:sz="4" w:space="0"/>
              <w:right w:val="single" w:color="auto" w:sz="4" w:space="0"/>
            </w:tcBorders>
            <w:shd w:val="clear"/>
            <w:vAlign w:val="center"/>
          </w:tcPr>
          <w:p w14:paraId="00CFD9FE">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自动四柱全断机、风机等机械设备</w:t>
            </w:r>
          </w:p>
        </w:tc>
        <w:tc>
          <w:tcPr>
            <w:tcW w:w="1418" w:type="dxa"/>
            <w:tcBorders>
              <w:top w:val="single" w:color="auto" w:sz="4" w:space="0"/>
              <w:left w:val="single" w:color="auto" w:sz="4" w:space="0"/>
              <w:bottom w:val="single" w:color="auto" w:sz="4" w:space="0"/>
              <w:right w:val="single" w:color="auto" w:sz="4" w:space="0"/>
            </w:tcBorders>
            <w:shd w:val="clear"/>
            <w:vAlign w:val="center"/>
          </w:tcPr>
          <w:p w14:paraId="78E170D0">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等效</w:t>
            </w:r>
            <w:r>
              <w:rPr>
                <w:rFonts w:hint="default" w:ascii="Times New Roman" w:hAnsi="Times New Roman" w:eastAsia="宋体" w:cs="Times New Roman"/>
                <w:color w:val="000000"/>
                <w:kern w:val="2"/>
                <w:sz w:val="24"/>
                <w:szCs w:val="24"/>
                <w:bdr w:val="none" w:color="auto" w:sz="0" w:space="0"/>
                <w:lang w:val="en-US" w:eastAsia="zh-CN" w:bidi="ar"/>
              </w:rPr>
              <w:t>A</w:t>
            </w:r>
            <w:r>
              <w:rPr>
                <w:rFonts w:hint="eastAsia" w:ascii="宋体" w:hAnsi="宋体" w:eastAsia="宋体" w:cs="宋体"/>
                <w:color w:val="000000"/>
                <w:kern w:val="2"/>
                <w:sz w:val="24"/>
                <w:szCs w:val="24"/>
                <w:bdr w:val="none" w:color="auto" w:sz="0" w:space="0"/>
                <w:lang w:val="en-US" w:eastAsia="zh-CN" w:bidi="ar"/>
              </w:rPr>
              <w:t>声级</w:t>
            </w:r>
          </w:p>
        </w:tc>
        <w:tc>
          <w:tcPr>
            <w:tcW w:w="2551" w:type="dxa"/>
            <w:tcBorders>
              <w:top w:val="single" w:color="auto" w:sz="4" w:space="0"/>
              <w:left w:val="single" w:color="auto" w:sz="4" w:space="0"/>
              <w:bottom w:val="single" w:color="auto" w:sz="4" w:space="0"/>
              <w:right w:val="single" w:color="auto" w:sz="4" w:space="0"/>
            </w:tcBorders>
            <w:shd w:val="clear"/>
            <w:vAlign w:val="center"/>
          </w:tcPr>
          <w:p w14:paraId="29D97909">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合理布置、选用低噪声设备、建筑隔声等</w:t>
            </w:r>
          </w:p>
        </w:tc>
        <w:tc>
          <w:tcPr>
            <w:tcW w:w="2266" w:type="dxa"/>
            <w:tcBorders>
              <w:top w:val="single" w:color="auto" w:sz="4" w:space="0"/>
              <w:left w:val="single" w:color="auto" w:sz="4" w:space="0"/>
              <w:bottom w:val="single" w:color="auto" w:sz="4" w:space="0"/>
              <w:right w:val="single" w:color="auto" w:sz="8" w:space="0"/>
            </w:tcBorders>
            <w:shd w:val="clear"/>
            <w:vAlign w:val="center"/>
          </w:tcPr>
          <w:p w14:paraId="46BD8F3A">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Times New Roman" w:hAnsi="宋体" w:eastAsia="宋体" w:cs="宋体"/>
                <w:color w:val="000000"/>
                <w:kern w:val="2"/>
                <w:sz w:val="24"/>
                <w:szCs w:val="24"/>
                <w:bdr w:val="none" w:color="auto" w:sz="0" w:space="0"/>
                <w:lang w:val="en-US" w:eastAsia="zh-CN" w:bidi="ar"/>
              </w:rPr>
              <w:t>《工业企业厂界环境噪声排放标准》</w:t>
            </w:r>
            <w:r>
              <w:rPr>
                <w:rFonts w:hint="default" w:ascii="Times New Roman" w:hAnsi="Times New Roman" w:eastAsia="宋体" w:cs="Times New Roman"/>
                <w:color w:val="000000"/>
                <w:kern w:val="2"/>
                <w:sz w:val="24"/>
                <w:szCs w:val="24"/>
                <w:bdr w:val="none" w:color="auto" w:sz="0" w:space="0"/>
                <w:lang w:val="en-US" w:eastAsia="zh-CN" w:bidi="ar"/>
              </w:rPr>
              <w:t>(GB12348-2008)3</w:t>
            </w:r>
            <w:r>
              <w:rPr>
                <w:rFonts w:hint="eastAsia" w:ascii="Times New Roman" w:hAnsi="宋体" w:eastAsia="宋体" w:cs="宋体"/>
                <w:color w:val="000000"/>
                <w:kern w:val="2"/>
                <w:sz w:val="24"/>
                <w:szCs w:val="24"/>
                <w:bdr w:val="none" w:color="auto" w:sz="0" w:space="0"/>
                <w:lang w:val="en-US" w:eastAsia="zh-CN" w:bidi="ar"/>
              </w:rPr>
              <w:t>类标准</w:t>
            </w:r>
          </w:p>
        </w:tc>
      </w:tr>
      <w:tr w14:paraId="31E2FC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54" w:type="dxa"/>
            <w:tcBorders>
              <w:top w:val="single" w:color="auto" w:sz="4" w:space="0"/>
              <w:left w:val="single" w:color="auto" w:sz="8" w:space="0"/>
              <w:bottom w:val="single" w:color="auto" w:sz="4" w:space="0"/>
              <w:right w:val="single" w:color="auto" w:sz="4" w:space="0"/>
            </w:tcBorders>
            <w:shd w:val="clear"/>
            <w:vAlign w:val="center"/>
          </w:tcPr>
          <w:p w14:paraId="3A75F4AD">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电磁辐射</w:t>
            </w:r>
          </w:p>
        </w:tc>
        <w:tc>
          <w:tcPr>
            <w:tcW w:w="1807" w:type="dxa"/>
            <w:tcBorders>
              <w:top w:val="single" w:color="auto" w:sz="4" w:space="0"/>
              <w:left w:val="single" w:color="auto" w:sz="4" w:space="0"/>
              <w:bottom w:val="single" w:color="auto" w:sz="4" w:space="0"/>
              <w:right w:val="single" w:color="auto" w:sz="4" w:space="0"/>
            </w:tcBorders>
            <w:shd w:val="clear"/>
            <w:vAlign w:val="center"/>
          </w:tcPr>
          <w:p w14:paraId="488457C4">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w:t>
            </w:r>
          </w:p>
        </w:tc>
        <w:tc>
          <w:tcPr>
            <w:tcW w:w="1418" w:type="dxa"/>
            <w:tcBorders>
              <w:top w:val="single" w:color="auto" w:sz="4" w:space="0"/>
              <w:left w:val="single" w:color="auto" w:sz="4" w:space="0"/>
              <w:bottom w:val="single" w:color="auto" w:sz="4" w:space="0"/>
              <w:right w:val="single" w:color="auto" w:sz="4" w:space="0"/>
            </w:tcBorders>
            <w:shd w:val="clear"/>
            <w:vAlign w:val="center"/>
          </w:tcPr>
          <w:p w14:paraId="293C5A84">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w:t>
            </w:r>
          </w:p>
        </w:tc>
        <w:tc>
          <w:tcPr>
            <w:tcW w:w="2551" w:type="dxa"/>
            <w:tcBorders>
              <w:top w:val="single" w:color="auto" w:sz="4" w:space="0"/>
              <w:left w:val="single" w:color="auto" w:sz="4" w:space="0"/>
              <w:bottom w:val="single" w:color="auto" w:sz="4" w:space="0"/>
              <w:right w:val="single" w:color="auto" w:sz="4" w:space="0"/>
            </w:tcBorders>
            <w:shd w:val="clear"/>
            <w:vAlign w:val="center"/>
          </w:tcPr>
          <w:p w14:paraId="063FCEEC">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w:t>
            </w:r>
          </w:p>
        </w:tc>
        <w:tc>
          <w:tcPr>
            <w:tcW w:w="2266" w:type="dxa"/>
            <w:tcBorders>
              <w:top w:val="single" w:color="auto" w:sz="4" w:space="0"/>
              <w:left w:val="single" w:color="auto" w:sz="4" w:space="0"/>
              <w:bottom w:val="single" w:color="auto" w:sz="4" w:space="0"/>
              <w:right w:val="single" w:color="auto" w:sz="8" w:space="0"/>
            </w:tcBorders>
            <w:shd w:val="clear"/>
            <w:vAlign w:val="center"/>
          </w:tcPr>
          <w:p w14:paraId="79C8FE61">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w:t>
            </w:r>
          </w:p>
        </w:tc>
      </w:tr>
      <w:tr w14:paraId="3E1455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54" w:type="dxa"/>
            <w:tcBorders>
              <w:top w:val="single" w:color="auto" w:sz="4" w:space="0"/>
              <w:left w:val="single" w:color="auto" w:sz="8" w:space="0"/>
              <w:bottom w:val="single" w:color="auto" w:sz="4" w:space="0"/>
              <w:right w:val="single" w:color="auto" w:sz="4" w:space="0"/>
            </w:tcBorders>
            <w:shd w:val="clear"/>
            <w:vAlign w:val="center"/>
          </w:tcPr>
          <w:p w14:paraId="00736ECB">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固体废物</w:t>
            </w:r>
          </w:p>
        </w:tc>
        <w:tc>
          <w:tcPr>
            <w:tcW w:w="8042" w:type="dxa"/>
            <w:gridSpan w:val="4"/>
            <w:tcBorders>
              <w:top w:val="single" w:color="auto" w:sz="4" w:space="0"/>
              <w:left w:val="single" w:color="auto" w:sz="4" w:space="0"/>
              <w:bottom w:val="single" w:color="auto" w:sz="4" w:space="0"/>
              <w:right w:val="single" w:color="auto" w:sz="8" w:space="0"/>
            </w:tcBorders>
            <w:shd w:val="clear"/>
            <w:vAlign w:val="center"/>
          </w:tcPr>
          <w:p w14:paraId="4C11EE74">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Calibri" w:cs="Times New Roman"/>
                <w:color w:val="000000"/>
                <w:sz w:val="24"/>
                <w:szCs w:val="24"/>
                <w:bdr w:val="none" w:color="auto" w:sz="0" w:space="0"/>
                <w:lang w:val="en-US"/>
              </w:rPr>
            </w:pPr>
            <w:r>
              <w:rPr>
                <w:rFonts w:hint="default" w:ascii="Times New Roman" w:hAnsi="Calibri" w:eastAsia="宋体" w:cs="Times New Roman"/>
                <w:color w:val="000000"/>
                <w:kern w:val="2"/>
                <w:sz w:val="24"/>
                <w:szCs w:val="24"/>
                <w:bdr w:val="none" w:color="auto" w:sz="0" w:space="0"/>
                <w:lang w:val="en-US" w:eastAsia="zh-CN" w:bidi="ar"/>
              </w:rPr>
              <w:t>1</w:t>
            </w:r>
            <w:r>
              <w:rPr>
                <w:rFonts w:hint="eastAsia" w:ascii="Times New Roman" w:hAnsi="Calibri" w:eastAsia="宋体" w:cs="宋体"/>
                <w:color w:val="000000"/>
                <w:kern w:val="2"/>
                <w:sz w:val="24"/>
                <w:szCs w:val="24"/>
                <w:bdr w:val="none" w:color="auto" w:sz="0" w:space="0"/>
                <w:lang w:val="en-US" w:eastAsia="zh-CN" w:bidi="ar"/>
              </w:rPr>
              <w:t>、一般工业固废包括：主要包括热熔胶塑料袋、背胶处理剂空瓶、废离型纸、液体硅橡胶空桶、泡棉制品边角料、除尘器收集的粉尘、废布袋、液体硅橡胶空桶等。一般工业固废经分类收集后暂存于一般固废暂存间，定期交由物资回收单位处理。</w:t>
            </w:r>
          </w:p>
          <w:p w14:paraId="2056D5B1">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Calibri" w:cs="Times New Roman"/>
                <w:color w:val="000000"/>
                <w:sz w:val="24"/>
                <w:szCs w:val="24"/>
                <w:bdr w:val="none" w:color="auto" w:sz="0" w:space="0"/>
                <w:lang w:val="en-US"/>
              </w:rPr>
            </w:pPr>
            <w:r>
              <w:rPr>
                <w:rFonts w:hint="default" w:ascii="Times New Roman" w:hAnsi="Calibri" w:eastAsia="宋体" w:cs="Times New Roman"/>
                <w:color w:val="000000"/>
                <w:kern w:val="2"/>
                <w:sz w:val="24"/>
                <w:szCs w:val="24"/>
                <w:bdr w:val="none" w:color="auto" w:sz="0" w:space="0"/>
                <w:lang w:val="en-US" w:eastAsia="zh-CN" w:bidi="ar"/>
              </w:rPr>
              <w:t>2</w:t>
            </w:r>
            <w:r>
              <w:rPr>
                <w:rFonts w:hint="eastAsia" w:ascii="Times New Roman" w:hAnsi="Calibri" w:eastAsia="宋体" w:cs="宋体"/>
                <w:color w:val="000000"/>
                <w:kern w:val="2"/>
                <w:sz w:val="24"/>
                <w:szCs w:val="24"/>
                <w:bdr w:val="none" w:color="auto" w:sz="0" w:space="0"/>
                <w:lang w:val="en-US" w:eastAsia="zh-CN" w:bidi="ar"/>
              </w:rPr>
              <w:t>、危险废物包括：废</w:t>
            </w:r>
            <w:r>
              <w:rPr>
                <w:rFonts w:hint="default" w:ascii="Times New Roman" w:hAnsi="Calibri" w:eastAsia="宋体" w:cs="Times New Roman"/>
                <w:color w:val="000000"/>
                <w:kern w:val="2"/>
                <w:sz w:val="24"/>
                <w:szCs w:val="24"/>
                <w:bdr w:val="none" w:color="auto" w:sz="0" w:space="0"/>
                <w:lang w:val="en-US" w:eastAsia="zh-CN" w:bidi="ar"/>
              </w:rPr>
              <w:t>UV</w:t>
            </w:r>
            <w:r>
              <w:rPr>
                <w:rFonts w:hint="eastAsia" w:ascii="Times New Roman" w:hAnsi="Calibri" w:eastAsia="宋体" w:cs="宋体"/>
                <w:color w:val="000000"/>
                <w:kern w:val="2"/>
                <w:sz w:val="24"/>
                <w:szCs w:val="24"/>
                <w:bdr w:val="none" w:color="auto" w:sz="0" w:space="0"/>
                <w:lang w:val="en-US" w:eastAsia="zh-CN" w:bidi="ar"/>
              </w:rPr>
              <w:t>灯管、废活性炭、含油棉纱手套、废油桶等，分类收集储存于危废贮存库内，定期交有资质单位处置。液态危废需装入专用容器中，盖好桶盖，按类别存放，各种收集容器及暂存间均应贴好危险标签标识，危废贮存库保持密闭。</w:t>
            </w:r>
          </w:p>
          <w:p w14:paraId="07413DD4">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Calibri" w:cs="Times New Roman"/>
                <w:color w:val="000000"/>
                <w:sz w:val="24"/>
                <w:szCs w:val="24"/>
                <w:bdr w:val="none" w:color="auto" w:sz="0" w:space="0"/>
                <w:lang w:val="en-US"/>
              </w:rPr>
            </w:pPr>
            <w:r>
              <w:rPr>
                <w:rFonts w:hint="default" w:ascii="Times New Roman" w:hAnsi="Calibri" w:eastAsia="宋体" w:cs="Times New Roman"/>
                <w:color w:val="000000"/>
                <w:kern w:val="2"/>
                <w:sz w:val="24"/>
                <w:szCs w:val="24"/>
                <w:bdr w:val="none" w:color="auto" w:sz="0" w:space="0"/>
                <w:lang w:val="en-US" w:eastAsia="zh-CN" w:bidi="ar"/>
              </w:rPr>
              <w:t>3</w:t>
            </w:r>
            <w:r>
              <w:rPr>
                <w:rFonts w:hint="eastAsia" w:ascii="Times New Roman" w:hAnsi="Calibri" w:eastAsia="宋体" w:cs="宋体"/>
                <w:color w:val="000000"/>
                <w:kern w:val="2"/>
                <w:sz w:val="24"/>
                <w:szCs w:val="24"/>
                <w:bdr w:val="none" w:color="auto" w:sz="0" w:space="0"/>
                <w:lang w:val="en-US" w:eastAsia="zh-CN" w:bidi="ar"/>
              </w:rPr>
              <w:t>、生活垃圾集中收集后交由环卫部门统一收集处理。</w:t>
            </w:r>
          </w:p>
        </w:tc>
      </w:tr>
      <w:tr w14:paraId="72A06B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1254" w:type="dxa"/>
            <w:tcBorders>
              <w:top w:val="single" w:color="auto" w:sz="4" w:space="0"/>
              <w:left w:val="single" w:color="auto" w:sz="8" w:space="0"/>
              <w:bottom w:val="single" w:color="auto" w:sz="4" w:space="0"/>
              <w:right w:val="single" w:color="auto" w:sz="4" w:space="0"/>
            </w:tcBorders>
            <w:shd w:val="clear"/>
            <w:vAlign w:val="center"/>
          </w:tcPr>
          <w:p w14:paraId="1C2A80F8">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土壤及地下水污染防治措施</w:t>
            </w:r>
          </w:p>
        </w:tc>
        <w:tc>
          <w:tcPr>
            <w:tcW w:w="8042" w:type="dxa"/>
            <w:gridSpan w:val="4"/>
            <w:tcBorders>
              <w:top w:val="single" w:color="auto" w:sz="4" w:space="0"/>
              <w:left w:val="single" w:color="auto" w:sz="4" w:space="0"/>
              <w:bottom w:val="single" w:color="auto" w:sz="4" w:space="0"/>
              <w:right w:val="single" w:color="auto" w:sz="8" w:space="0"/>
            </w:tcBorders>
            <w:shd w:val="clear"/>
            <w:vAlign w:val="center"/>
          </w:tcPr>
          <w:p w14:paraId="33F99C02">
            <w:pPr>
              <w:keepNext w:val="0"/>
              <w:keepLines w:val="0"/>
              <w:widowControl w:val="0"/>
              <w:suppressLineNumbers w:val="0"/>
              <w:adjustRightInd w:val="0"/>
              <w:snapToGrid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整个车间分为简单防渗区和重点防渗区。</w:t>
            </w:r>
          </w:p>
          <w:p w14:paraId="03EBE1D5">
            <w:pPr>
              <w:keepNext w:val="0"/>
              <w:keepLines w:val="0"/>
              <w:widowControl w:val="0"/>
              <w:suppressLineNumbers w:val="0"/>
              <w:adjustRightInd w:val="0"/>
              <w:snapToGrid w:val="0"/>
              <w:spacing w:before="0" w:beforeAutospacing="0" w:after="0" w:afterAutospacing="0" w:line="440" w:lineRule="exact"/>
              <w:ind w:left="0" w:right="0" w:firstLine="480" w:firstLineChars="200"/>
              <w:jc w:val="left"/>
              <w:rPr>
                <w:rFonts w:hint="eastAsia" w:ascii="宋体" w:hAnsi="宋体" w:eastAsia="宋体" w:cs="宋体"/>
                <w:color w:val="000000"/>
                <w:sz w:val="24"/>
                <w:szCs w:val="24"/>
                <w:bdr w:val="none" w:color="auto" w:sz="0" w:space="0"/>
                <w:lang w:val="en-US"/>
              </w:rPr>
            </w:pPr>
            <w:r>
              <w:rPr>
                <w:rFonts w:hint="eastAsia" w:ascii="Times New Roman" w:hAnsi="Times New Roman" w:eastAsia="宋体" w:cs="宋体"/>
                <w:color w:val="000000"/>
                <w:kern w:val="2"/>
                <w:sz w:val="24"/>
                <w:szCs w:val="24"/>
                <w:bdr w:val="none" w:color="auto" w:sz="0" w:space="0"/>
                <w:lang w:val="en-US" w:eastAsia="zh-CN" w:bidi="ar"/>
              </w:rPr>
              <w:t>辅料间、危废贮存库为重点防渗区，重点污染防治区参照《危险废物贮存污染控制标准》</w:t>
            </w:r>
            <w:r>
              <w:rPr>
                <w:rFonts w:hint="default" w:ascii="Times New Roman" w:hAnsi="Times New Roman" w:eastAsia="宋体" w:cs="Times New Roman"/>
                <w:color w:val="000000"/>
                <w:kern w:val="2"/>
                <w:sz w:val="24"/>
                <w:szCs w:val="24"/>
                <w:bdr w:val="none" w:color="auto" w:sz="0" w:space="0"/>
                <w:lang w:val="en-US" w:eastAsia="zh-CN" w:bidi="ar"/>
              </w:rPr>
              <w:t>(GB18597</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2023)</w:t>
            </w:r>
            <w:r>
              <w:rPr>
                <w:rFonts w:hint="eastAsia" w:ascii="Times New Roman" w:hAnsi="Times New Roman" w:eastAsia="宋体" w:cs="宋体"/>
                <w:color w:val="000000"/>
                <w:kern w:val="2"/>
                <w:sz w:val="24"/>
                <w:szCs w:val="24"/>
                <w:bdr w:val="none" w:color="auto" w:sz="0" w:space="0"/>
                <w:lang w:val="en-US" w:eastAsia="zh-CN" w:bidi="ar"/>
              </w:rPr>
              <w:t>中相关技术要求设置；一般固废暂存间和其他生产区域为简单防渗区，地面做好硬化即可。</w:t>
            </w:r>
          </w:p>
        </w:tc>
      </w:tr>
      <w:tr w14:paraId="0EBA56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254" w:type="dxa"/>
            <w:tcBorders>
              <w:top w:val="single" w:color="auto" w:sz="4" w:space="0"/>
              <w:left w:val="single" w:color="auto" w:sz="8" w:space="0"/>
              <w:bottom w:val="single" w:color="auto" w:sz="4" w:space="0"/>
              <w:right w:val="single" w:color="auto" w:sz="4" w:space="0"/>
            </w:tcBorders>
            <w:shd w:val="clear"/>
            <w:vAlign w:val="center"/>
          </w:tcPr>
          <w:p w14:paraId="42DBD068">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bdr w:val="none" w:color="auto" w:sz="0" w:space="0"/>
                <w:lang w:val="en-US"/>
              </w:rPr>
            </w:pPr>
            <w:r>
              <w:rPr>
                <w:rFonts w:hint="eastAsia" w:ascii="宋体" w:hAnsi="宋体" w:eastAsia="宋体" w:cs="宋体"/>
                <w:color w:val="000000"/>
                <w:kern w:val="2"/>
                <w:sz w:val="24"/>
                <w:szCs w:val="24"/>
                <w:bdr w:val="none" w:color="auto" w:sz="0" w:space="0"/>
                <w:lang w:val="en-US" w:eastAsia="zh-CN" w:bidi="ar"/>
              </w:rPr>
              <w:t>生态保护措施</w:t>
            </w:r>
          </w:p>
        </w:tc>
        <w:tc>
          <w:tcPr>
            <w:tcW w:w="8042" w:type="dxa"/>
            <w:gridSpan w:val="4"/>
            <w:tcBorders>
              <w:top w:val="single" w:color="auto" w:sz="4" w:space="0"/>
              <w:left w:val="single" w:color="auto" w:sz="4" w:space="0"/>
              <w:bottom w:val="single" w:color="auto" w:sz="4" w:space="0"/>
              <w:right w:val="single" w:color="auto" w:sz="8" w:space="0"/>
            </w:tcBorders>
            <w:shd w:val="clear"/>
            <w:vAlign w:val="center"/>
          </w:tcPr>
          <w:p w14:paraId="3B0D3649">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Cs w:val="21"/>
                <w:bdr w:val="none" w:color="auto" w:sz="0" w:space="0"/>
                <w:lang w:val="en-US"/>
              </w:rPr>
            </w:pPr>
            <w:r>
              <w:rPr>
                <w:rFonts w:hint="eastAsia" w:ascii="宋体" w:hAnsi="宋体" w:eastAsia="宋体" w:cs="宋体"/>
                <w:color w:val="000000"/>
                <w:kern w:val="2"/>
                <w:sz w:val="21"/>
                <w:szCs w:val="21"/>
                <w:bdr w:val="none" w:color="auto" w:sz="0" w:space="0"/>
                <w:lang w:val="en-US" w:eastAsia="zh-CN" w:bidi="ar"/>
              </w:rPr>
              <w:t>/</w:t>
            </w:r>
          </w:p>
        </w:tc>
      </w:tr>
      <w:tr w14:paraId="5E8444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2" w:hRule="atLeast"/>
          <w:jc w:val="center"/>
        </w:trPr>
        <w:tc>
          <w:tcPr>
            <w:tcW w:w="1254" w:type="dxa"/>
            <w:tcBorders>
              <w:top w:val="single" w:color="auto" w:sz="4" w:space="0"/>
              <w:left w:val="single" w:color="auto" w:sz="8" w:space="0"/>
              <w:bottom w:val="single" w:color="auto" w:sz="4" w:space="0"/>
              <w:right w:val="single" w:color="auto" w:sz="4" w:space="0"/>
            </w:tcBorders>
            <w:shd w:val="clear"/>
            <w:vAlign w:val="center"/>
          </w:tcPr>
          <w:p w14:paraId="6BC425F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pacing w:val="-8"/>
                <w:sz w:val="24"/>
                <w:szCs w:val="24"/>
                <w:bdr w:val="none" w:color="auto" w:sz="0" w:space="0"/>
                <w:lang w:val="en-US"/>
              </w:rPr>
            </w:pPr>
            <w:r>
              <w:rPr>
                <w:rFonts w:hint="eastAsia" w:ascii="Times New Roman" w:hAnsi="宋体" w:eastAsia="宋体" w:cs="宋体"/>
                <w:color w:val="000000"/>
                <w:spacing w:val="-8"/>
                <w:kern w:val="2"/>
                <w:sz w:val="24"/>
                <w:szCs w:val="24"/>
                <w:bdr w:val="none" w:color="auto" w:sz="0" w:space="0"/>
                <w:lang w:val="en-US" w:eastAsia="zh-CN" w:bidi="ar"/>
              </w:rPr>
              <w:t>环境风险</w:t>
            </w:r>
          </w:p>
          <w:p w14:paraId="7E34FFB0">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pacing w:val="-8"/>
                <w:sz w:val="24"/>
                <w:szCs w:val="24"/>
                <w:bdr w:val="none" w:color="auto" w:sz="0" w:space="0"/>
                <w:lang w:val="en-US"/>
              </w:rPr>
            </w:pPr>
            <w:r>
              <w:rPr>
                <w:rFonts w:hint="eastAsia" w:ascii="Times New Roman" w:hAnsi="宋体" w:eastAsia="宋体" w:cs="宋体"/>
                <w:color w:val="000000"/>
                <w:spacing w:val="-8"/>
                <w:kern w:val="2"/>
                <w:sz w:val="24"/>
                <w:szCs w:val="24"/>
                <w:bdr w:val="none" w:color="auto" w:sz="0" w:space="0"/>
                <w:lang w:val="en-US" w:eastAsia="zh-CN" w:bidi="ar"/>
              </w:rPr>
              <w:t>防范措施</w:t>
            </w:r>
          </w:p>
        </w:tc>
        <w:tc>
          <w:tcPr>
            <w:tcW w:w="8042" w:type="dxa"/>
            <w:gridSpan w:val="4"/>
            <w:tcBorders>
              <w:top w:val="single" w:color="auto" w:sz="4" w:space="0"/>
              <w:left w:val="single" w:color="auto" w:sz="4" w:space="0"/>
              <w:bottom w:val="single" w:color="auto" w:sz="4" w:space="0"/>
              <w:right w:val="single" w:color="auto" w:sz="8" w:space="0"/>
            </w:tcBorders>
            <w:shd w:val="clear"/>
            <w:vAlign w:val="center"/>
          </w:tcPr>
          <w:p w14:paraId="0C58ADA4">
            <w:pPr>
              <w:keepNext w:val="0"/>
              <w:keepLines w:val="0"/>
              <w:widowControl w:val="0"/>
              <w:suppressLineNumbers w:val="0"/>
              <w:adjustRightInd w:val="0"/>
              <w:snapToGrid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1</w:t>
            </w:r>
            <w:r>
              <w:rPr>
                <w:rFonts w:hint="eastAsia" w:ascii="Times New Roman" w:hAnsi="Times New Roman" w:eastAsia="宋体" w:cs="宋体"/>
                <w:color w:val="000000"/>
                <w:kern w:val="2"/>
                <w:sz w:val="24"/>
                <w:szCs w:val="24"/>
                <w:bdr w:val="none" w:color="auto" w:sz="0" w:space="0"/>
                <w:lang w:val="en-US" w:eastAsia="zh-CN" w:bidi="ar"/>
              </w:rPr>
              <w:t>、辅料间：辅料间中存放有背胶处理剂，为了防止泄漏，要求背胶处理剂存放间地面作重点防渗处理，并设置托盘，便于对泄露液体物料的收集和转移。同时辅料间内应长期储备足量消防沙、收集桶等应急物资，当出现泄漏事故时及时用消防沙处理。</w:t>
            </w:r>
          </w:p>
          <w:p w14:paraId="323E7183">
            <w:pPr>
              <w:pStyle w:val="25"/>
              <w:widowControl/>
              <w:ind w:left="0" w:firstLine="480"/>
              <w:rPr>
                <w:rFonts w:hAnsi="宋体"/>
                <w:color w:val="000000"/>
                <w:kern w:val="0"/>
                <w:bdr w:val="none" w:color="auto" w:sz="0" w:space="0"/>
                <w:lang w:val="en-US"/>
              </w:rPr>
            </w:pPr>
            <w:r>
              <w:rPr>
                <w:color w:val="000000"/>
                <w:bdr w:val="none" w:color="auto" w:sz="0" w:space="0"/>
                <w:lang w:val="en-US"/>
              </w:rPr>
              <w:t>2</w:t>
            </w:r>
            <w:r>
              <w:rPr>
                <w:rFonts w:hint="eastAsia" w:ascii="Times New Roman" w:hAnsi="Times New Roman" w:eastAsia="宋体" w:cs="宋体"/>
                <w:color w:val="000000"/>
                <w:bdr w:val="none" w:color="auto" w:sz="0" w:space="0"/>
              </w:rPr>
              <w:t>、危废贮存库：</w:t>
            </w:r>
            <w:r>
              <w:rPr>
                <w:rFonts w:hint="eastAsia" w:ascii="Times New Roman" w:hAnsi="宋体" w:eastAsia="宋体" w:cs="宋体"/>
                <w:color w:val="000000"/>
                <w:kern w:val="0"/>
                <w:bdr w:val="none" w:color="auto" w:sz="0" w:space="0"/>
              </w:rPr>
              <w:t>危废暂存间应设置为重点防渗区，危险废物分类收集，分区存放，避免不相容的危险品混放，防止泄漏、流失。泄漏物用容器回收并密封，置于安全场所。危险废物暂存间主要存放废油桶、废</w:t>
            </w:r>
            <w:r>
              <w:rPr>
                <w:rFonts w:hAnsi="宋体"/>
                <w:color w:val="000000"/>
                <w:kern w:val="0"/>
                <w:bdr w:val="none" w:color="auto" w:sz="0" w:space="0"/>
                <w:lang w:val="en-US"/>
              </w:rPr>
              <w:t>UV</w:t>
            </w:r>
            <w:r>
              <w:rPr>
                <w:rFonts w:hint="eastAsia" w:ascii="Times New Roman" w:hAnsi="宋体" w:eastAsia="宋体" w:cs="宋体"/>
                <w:color w:val="000000"/>
                <w:kern w:val="0"/>
                <w:bdr w:val="none" w:color="auto" w:sz="0" w:space="0"/>
              </w:rPr>
              <w:t>灯管、废活性炭等。根据《挥发性有机物无组织排放控制标准》（</w:t>
            </w:r>
            <w:r>
              <w:rPr>
                <w:rFonts w:hAnsi="宋体"/>
                <w:color w:val="000000"/>
                <w:kern w:val="0"/>
                <w:bdr w:val="none" w:color="auto" w:sz="0" w:space="0"/>
                <w:lang w:val="en-US"/>
              </w:rPr>
              <w:t>GB37822-2019</w:t>
            </w:r>
            <w:r>
              <w:rPr>
                <w:rFonts w:hint="eastAsia" w:ascii="Times New Roman" w:hAnsi="宋体" w:eastAsia="宋体" w:cs="宋体"/>
                <w:color w:val="000000"/>
                <w:kern w:val="0"/>
                <w:bdr w:val="none" w:color="auto" w:sz="0" w:space="0"/>
              </w:rPr>
              <w:t>）要求，废油桶应封口密闭后放置于防渗地面的托盘上；废活性炭和</w:t>
            </w:r>
            <w:r>
              <w:rPr>
                <w:rFonts w:hAnsi="宋体"/>
                <w:color w:val="000000"/>
                <w:kern w:val="0"/>
                <w:bdr w:val="none" w:color="auto" w:sz="0" w:space="0"/>
                <w:lang w:val="en-US"/>
              </w:rPr>
              <w:t>UV</w:t>
            </w:r>
            <w:r>
              <w:rPr>
                <w:rFonts w:hint="eastAsia" w:ascii="Times New Roman" w:hAnsi="宋体" w:eastAsia="宋体" w:cs="宋体"/>
                <w:color w:val="000000"/>
                <w:kern w:val="0"/>
                <w:bdr w:val="none" w:color="auto" w:sz="0" w:space="0"/>
              </w:rPr>
              <w:t>灯管需袋装封存后置于防渗地面，同时危废暂存间需保持密闭。</w:t>
            </w:r>
          </w:p>
          <w:p w14:paraId="3EFA27A5">
            <w:pPr>
              <w:keepNext w:val="0"/>
              <w:keepLines w:val="0"/>
              <w:widowControl w:val="0"/>
              <w:suppressLineNumbers w:val="0"/>
              <w:adjustRightInd w:val="0"/>
              <w:snapToGrid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bdr w:val="none" w:color="auto" w:sz="0" w:space="0"/>
                <w:lang w:val="en-US"/>
              </w:rPr>
            </w:pPr>
            <w:r>
              <w:rPr>
                <w:rFonts w:hint="default" w:ascii="Times New Roman" w:hAnsi="Times New Roman" w:eastAsia="宋体" w:cs="Times New Roman"/>
                <w:color w:val="000000"/>
                <w:kern w:val="2"/>
                <w:sz w:val="24"/>
                <w:szCs w:val="24"/>
                <w:bdr w:val="none" w:color="auto" w:sz="0" w:space="0"/>
                <w:lang w:val="en-US" w:eastAsia="zh-CN" w:bidi="ar"/>
              </w:rPr>
              <w:t>3</w:t>
            </w:r>
            <w:r>
              <w:rPr>
                <w:rFonts w:hint="eastAsia" w:ascii="Times New Roman" w:hAnsi="Times New Roman" w:eastAsia="宋体" w:cs="宋体"/>
                <w:color w:val="000000"/>
                <w:kern w:val="2"/>
                <w:sz w:val="24"/>
                <w:szCs w:val="24"/>
                <w:bdr w:val="none" w:color="auto" w:sz="0" w:space="0"/>
                <w:lang w:val="en-US" w:eastAsia="zh-CN" w:bidi="ar"/>
              </w:rPr>
              <w:t>、</w:t>
            </w:r>
            <w:r>
              <w:rPr>
                <w:rFonts w:hint="default" w:ascii="Times New Roman" w:hAnsi="Times New Roman" w:eastAsia="宋体" w:cs="Times New Roman"/>
                <w:color w:val="000000"/>
                <w:kern w:val="2"/>
                <w:sz w:val="24"/>
                <w:szCs w:val="24"/>
                <w:bdr w:val="none" w:color="auto" w:sz="0" w:space="0"/>
                <w:lang w:val="en-US" w:eastAsia="zh-CN" w:bidi="ar"/>
              </w:rPr>
              <w:t>UV</w:t>
            </w:r>
            <w:r>
              <w:rPr>
                <w:rFonts w:hint="eastAsia" w:ascii="Times New Roman" w:hAnsi="Times New Roman" w:eastAsia="宋体" w:cs="宋体"/>
                <w:color w:val="000000"/>
                <w:kern w:val="2"/>
                <w:sz w:val="24"/>
                <w:szCs w:val="24"/>
                <w:bdr w:val="none" w:color="auto" w:sz="0" w:space="0"/>
                <w:lang w:val="en-US" w:eastAsia="zh-CN" w:bidi="ar"/>
              </w:rPr>
              <w:t>光解装置运行管理措施为：每天关机冷却后，对</w:t>
            </w:r>
            <w:r>
              <w:rPr>
                <w:rFonts w:hint="default" w:ascii="Times New Roman" w:hAnsi="Times New Roman" w:eastAsia="宋体" w:cs="Times New Roman"/>
                <w:color w:val="000000"/>
                <w:kern w:val="2"/>
                <w:sz w:val="24"/>
                <w:szCs w:val="24"/>
                <w:bdr w:val="none" w:color="auto" w:sz="0" w:space="0"/>
                <w:lang w:val="en-US" w:eastAsia="zh-CN" w:bidi="ar"/>
              </w:rPr>
              <w:t>UV</w:t>
            </w:r>
            <w:r>
              <w:rPr>
                <w:rFonts w:hint="eastAsia" w:ascii="Times New Roman" w:hAnsi="Times New Roman" w:eastAsia="宋体" w:cs="宋体"/>
                <w:color w:val="000000"/>
                <w:kern w:val="2"/>
                <w:sz w:val="24"/>
                <w:szCs w:val="24"/>
                <w:bdr w:val="none" w:color="auto" w:sz="0" w:space="0"/>
                <w:lang w:val="en-US" w:eastAsia="zh-CN" w:bidi="ar"/>
              </w:rPr>
              <w:t>灯管表面进行吹扫和擦拭，防止积灰导致受热不均从而发生爆炸和火灾。</w:t>
            </w:r>
          </w:p>
          <w:p w14:paraId="5B56F105">
            <w:pPr>
              <w:pStyle w:val="25"/>
              <w:widowControl/>
              <w:ind w:left="0" w:firstLine="480"/>
              <w:rPr>
                <w:color w:val="000000"/>
                <w:bdr w:val="none" w:color="auto" w:sz="0" w:space="0"/>
                <w:lang w:val="en-US"/>
              </w:rPr>
            </w:pPr>
            <w:r>
              <w:rPr>
                <w:color w:val="000000"/>
                <w:bdr w:val="none" w:color="auto" w:sz="0" w:space="0"/>
                <w:lang w:val="en-US"/>
              </w:rPr>
              <w:t>4</w:t>
            </w:r>
            <w:r>
              <w:rPr>
                <w:rFonts w:hint="eastAsia" w:ascii="Times New Roman" w:hAnsi="Times New Roman" w:eastAsia="宋体" w:cs="宋体"/>
                <w:color w:val="000000"/>
                <w:bdr w:val="none" w:color="auto" w:sz="0" w:space="0"/>
              </w:rPr>
              <w:t>、</w:t>
            </w:r>
            <w:r>
              <w:rPr>
                <w:color w:val="000000"/>
                <w:szCs w:val="21"/>
                <w:bdr w:val="none" w:color="auto" w:sz="0" w:space="0"/>
                <w:lang w:val="en-US"/>
              </w:rPr>
              <w:t>VOCs</w:t>
            </w:r>
            <w:r>
              <w:rPr>
                <w:rFonts w:hint="eastAsia" w:ascii="Times New Roman" w:hAnsi="Times New Roman" w:eastAsia="宋体" w:cs="宋体"/>
                <w:color w:val="000000"/>
                <w:szCs w:val="21"/>
                <w:bdr w:val="none" w:color="auto" w:sz="0" w:space="0"/>
              </w:rPr>
              <w:t>治理设施管理要求：</w:t>
            </w:r>
            <w:r>
              <w:rPr>
                <w:rFonts w:hint="eastAsia" w:ascii="Times New Roman" w:hAnsi="Times New Roman" w:eastAsia="宋体" w:cs="宋体"/>
                <w:color w:val="000000"/>
                <w:bdr w:val="none" w:color="auto" w:sz="0" w:space="0"/>
              </w:rPr>
              <w:t>企业应建立健全</w:t>
            </w:r>
            <w:r>
              <w:rPr>
                <w:color w:val="000000"/>
                <w:bdr w:val="none" w:color="auto" w:sz="0" w:space="0"/>
                <w:lang w:val="en-US"/>
              </w:rPr>
              <w:t>VOCs</w:t>
            </w:r>
            <w:r>
              <w:rPr>
                <w:rFonts w:hint="eastAsia" w:ascii="Times New Roman" w:hAnsi="Times New Roman" w:eastAsia="宋体" w:cs="宋体"/>
                <w:color w:val="000000"/>
                <w:bdr w:val="none" w:color="auto" w:sz="0" w:space="0"/>
              </w:rPr>
              <w:t>治理设施的运行维护规程和台帐等日常管理制度，并根据工艺要求定期对各类设备、电气、自控仪表等进行检修维护，确保设施的稳定运行。吸附剂应按设计要求定期更换，更换下来的吸附剂应封闭保存，及时清运处置，同时做好运行台账记录（维修记录、耗材更换记录等）。</w:t>
            </w:r>
          </w:p>
        </w:tc>
      </w:tr>
      <w:tr w14:paraId="7D0D75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1254" w:type="dxa"/>
            <w:tcBorders>
              <w:top w:val="single" w:color="auto" w:sz="4" w:space="0"/>
              <w:left w:val="single" w:color="auto" w:sz="8" w:space="0"/>
              <w:bottom w:val="single" w:color="auto" w:sz="8" w:space="0"/>
              <w:right w:val="single" w:color="auto" w:sz="4" w:space="0"/>
            </w:tcBorders>
            <w:shd w:val="clear"/>
            <w:vAlign w:val="center"/>
          </w:tcPr>
          <w:p w14:paraId="155F6F15">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pacing w:val="-8"/>
                <w:sz w:val="24"/>
                <w:szCs w:val="24"/>
                <w:bdr w:val="none" w:color="auto" w:sz="0" w:space="0"/>
                <w:lang w:val="en-US"/>
              </w:rPr>
            </w:pPr>
            <w:r>
              <w:rPr>
                <w:rFonts w:hint="eastAsia" w:ascii="宋体" w:hAnsi="宋体" w:eastAsia="宋体" w:cs="宋体"/>
                <w:color w:val="000000"/>
                <w:spacing w:val="-8"/>
                <w:kern w:val="2"/>
                <w:sz w:val="24"/>
                <w:szCs w:val="24"/>
                <w:bdr w:val="none" w:color="auto" w:sz="0" w:space="0"/>
                <w:lang w:val="en-US" w:eastAsia="zh-CN" w:bidi="ar"/>
              </w:rPr>
              <w:t>其他环境</w:t>
            </w:r>
          </w:p>
          <w:p w14:paraId="315B7365">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pacing w:val="-8"/>
                <w:sz w:val="24"/>
                <w:szCs w:val="24"/>
                <w:bdr w:val="none" w:color="auto" w:sz="0" w:space="0"/>
                <w:lang w:val="en-US"/>
              </w:rPr>
            </w:pPr>
            <w:r>
              <w:rPr>
                <w:rFonts w:hint="eastAsia" w:ascii="宋体" w:hAnsi="宋体" w:eastAsia="宋体" w:cs="宋体"/>
                <w:color w:val="000000"/>
                <w:spacing w:val="-8"/>
                <w:kern w:val="2"/>
                <w:sz w:val="24"/>
                <w:szCs w:val="24"/>
                <w:bdr w:val="none" w:color="auto" w:sz="0" w:space="0"/>
                <w:lang w:val="en-US" w:eastAsia="zh-CN" w:bidi="ar"/>
              </w:rPr>
              <w:t>管理要求</w:t>
            </w:r>
          </w:p>
        </w:tc>
        <w:tc>
          <w:tcPr>
            <w:tcW w:w="8042" w:type="dxa"/>
            <w:gridSpan w:val="4"/>
            <w:tcBorders>
              <w:top w:val="single" w:color="auto" w:sz="4" w:space="0"/>
              <w:left w:val="single" w:color="auto" w:sz="4" w:space="0"/>
              <w:bottom w:val="single" w:color="auto" w:sz="8" w:space="0"/>
              <w:right w:val="single" w:color="auto" w:sz="8" w:space="0"/>
            </w:tcBorders>
            <w:shd w:val="clear"/>
            <w:vAlign w:val="center"/>
          </w:tcPr>
          <w:p w14:paraId="1BED05D1">
            <w:pPr>
              <w:keepNext w:val="0"/>
              <w:keepLines w:val="0"/>
              <w:widowControl w:val="0"/>
              <w:suppressLineNumbers w:val="0"/>
              <w:adjustRightInd w:val="0"/>
              <w:snapToGrid w:val="0"/>
              <w:spacing w:before="0" w:beforeAutospacing="0" w:after="0" w:afterAutospacing="0" w:line="440" w:lineRule="atLeast"/>
              <w:ind w:left="0" w:right="0"/>
              <w:jc w:val="both"/>
              <w:rPr>
                <w:color w:val="000000"/>
                <w:sz w:val="24"/>
                <w:szCs w:val="24"/>
                <w:bdr w:val="none" w:color="auto" w:sz="0" w:space="0"/>
                <w:lang w:val="en-US"/>
              </w:rPr>
            </w:pPr>
          </w:p>
          <w:p w14:paraId="431B0FA1">
            <w:pPr>
              <w:keepNext w:val="0"/>
              <w:keepLines w:val="0"/>
              <w:widowControl w:val="0"/>
              <w:suppressLineNumbers w:val="0"/>
              <w:adjustRightInd w:val="0"/>
              <w:snapToGrid w:val="0"/>
              <w:spacing w:before="0" w:beforeAutospacing="0" w:after="0" w:afterAutospacing="0" w:line="440" w:lineRule="atLeast"/>
              <w:ind w:left="0" w:right="0"/>
              <w:jc w:val="both"/>
              <w:rPr>
                <w:color w:val="000000"/>
                <w:sz w:val="24"/>
                <w:szCs w:val="24"/>
                <w:bdr w:val="none" w:color="auto" w:sz="0" w:space="0"/>
                <w:lang w:val="en-US"/>
              </w:rPr>
            </w:pPr>
            <w:r>
              <w:rPr>
                <w:rFonts w:hint="eastAsia" w:ascii="Calibri" w:hAnsi="Calibri" w:eastAsia="宋体" w:cs="宋体"/>
                <w:color w:val="000000"/>
                <w:kern w:val="2"/>
                <w:sz w:val="24"/>
                <w:szCs w:val="24"/>
                <w:bdr w:val="none" w:color="auto" w:sz="0" w:space="0"/>
                <w:lang w:val="en-US" w:eastAsia="zh-CN" w:bidi="ar"/>
              </w:rPr>
              <w:t>建立环境管理机构与制度，按环保主管部门有关规定办理相关手续。</w:t>
            </w:r>
          </w:p>
          <w:p w14:paraId="46991E44">
            <w:pPr>
              <w:keepNext w:val="0"/>
              <w:keepLines w:val="0"/>
              <w:widowControl w:val="0"/>
              <w:suppressLineNumbers w:val="0"/>
              <w:adjustRightInd w:val="0"/>
              <w:snapToGrid w:val="0"/>
              <w:spacing w:before="0" w:beforeAutospacing="0" w:after="0" w:afterAutospacing="0" w:line="440" w:lineRule="atLeast"/>
              <w:ind w:left="0" w:right="0"/>
              <w:jc w:val="both"/>
              <w:rPr>
                <w:rFonts w:hint="default" w:ascii="Times New Roman" w:hAnsi="Times New Roman" w:cs="Times New Roman"/>
                <w:color w:val="000000"/>
                <w:sz w:val="24"/>
                <w:szCs w:val="24"/>
                <w:bdr w:val="none" w:color="auto" w:sz="0" w:space="0"/>
                <w:lang w:val="en-US"/>
              </w:rPr>
            </w:pPr>
          </w:p>
        </w:tc>
      </w:tr>
    </w:tbl>
    <w:p w14:paraId="603F8E26">
      <w:pPr>
        <w:pStyle w:val="14"/>
        <w:widowControl/>
        <w:jc w:val="center"/>
        <w:outlineLvl w:val="0"/>
        <w:rPr>
          <w:rFonts w:hint="eastAsia" w:ascii="黑体" w:hAnsi="宋体" w:eastAsia="黑体" w:cs="黑体"/>
          <w:snapToGrid w:val="0"/>
          <w:color w:val="000000"/>
          <w:sz w:val="30"/>
          <w:szCs w:val="30"/>
          <w:lang/>
        </w:rPr>
      </w:pPr>
      <w:r>
        <w:rPr>
          <w:rFonts w:hint="eastAsia" w:ascii="宋体" w:hAnsi="宋体" w:eastAsia="宋体" w:cs="Times New Roman"/>
          <w:snapToGrid w:val="0"/>
          <w:color w:val="000000"/>
          <w:sz w:val="24"/>
          <w:szCs w:val="20"/>
          <w:lang w:bidi="ar"/>
        </w:rPr>
        <w:br w:type="page"/>
      </w:r>
      <w:r>
        <w:rPr>
          <w:rFonts w:hint="eastAsia" w:ascii="黑体" w:hAnsi="宋体" w:eastAsia="黑体" w:cs="黑体"/>
          <w:snapToGrid w:val="0"/>
          <w:color w:val="000000"/>
          <w:sz w:val="30"/>
          <w:szCs w:val="30"/>
          <w:lang/>
        </w:rPr>
        <w:t>六、结论</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tblLayout w:type="fixed"/>
        <w:tblCellMar>
          <w:top w:w="0" w:type="dxa"/>
          <w:left w:w="108" w:type="dxa"/>
          <w:bottom w:w="0" w:type="dxa"/>
          <w:right w:w="108" w:type="dxa"/>
        </w:tblCellMar>
      </w:tblPr>
      <w:tblGrid>
        <w:gridCol w:w="8865"/>
      </w:tblGrid>
      <w:tr w14:paraId="0393F2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tblCellMar>
            <w:top w:w="0" w:type="dxa"/>
            <w:left w:w="108" w:type="dxa"/>
            <w:bottom w:w="0" w:type="dxa"/>
            <w:right w:w="108" w:type="dxa"/>
          </w:tblCellMar>
        </w:tblPrEx>
        <w:trPr>
          <w:trHeight w:val="11991" w:hRule="atLeast"/>
          <w:jc w:val="center"/>
        </w:trPr>
        <w:tc>
          <w:tcPr>
            <w:tcW w:w="8865" w:type="dxa"/>
            <w:tcBorders>
              <w:top w:val="single" w:color="auto" w:sz="8" w:space="0"/>
              <w:left w:val="single" w:color="auto" w:sz="8" w:space="0"/>
              <w:bottom w:val="single" w:color="auto" w:sz="8" w:space="0"/>
              <w:right w:val="single" w:color="auto" w:sz="8" w:space="0"/>
            </w:tcBorders>
            <w:shd w:val="clear"/>
            <w:vAlign w:val="top"/>
          </w:tcPr>
          <w:p w14:paraId="42D20D21">
            <w:pPr>
              <w:keepNext w:val="0"/>
              <w:keepLines w:val="0"/>
              <w:widowControl w:val="0"/>
              <w:suppressLineNumbers w:val="0"/>
              <w:spacing w:before="0" w:beforeAutospacing="0" w:after="0" w:afterAutospacing="0" w:line="440" w:lineRule="exact"/>
              <w:ind w:left="0" w:right="0" w:firstLine="480" w:firstLineChars="200"/>
              <w:jc w:val="both"/>
              <w:rPr>
                <w:rFonts w:hint="eastAsia" w:ascii="宋体" w:hAnsi="Calibri" w:eastAsia="宋体" w:cs="宋体"/>
                <w:color w:val="000000"/>
                <w:sz w:val="24"/>
                <w:szCs w:val="24"/>
                <w:bdr w:val="none" w:color="auto" w:sz="0" w:space="0"/>
                <w:lang w:val="en-US"/>
              </w:rPr>
            </w:pPr>
            <w:r>
              <w:rPr>
                <w:rFonts w:hint="eastAsia" w:ascii="Times New Roman" w:hAnsi="Calibri" w:eastAsia="宋体" w:cs="宋体"/>
                <w:color w:val="000000"/>
                <w:kern w:val="2"/>
                <w:sz w:val="24"/>
                <w:szCs w:val="24"/>
                <w:bdr w:val="none" w:color="auto" w:sz="0" w:space="0"/>
                <w:lang w:val="en-US" w:eastAsia="zh-CN" w:bidi="ar"/>
              </w:rPr>
              <w:t>重庆永祺新能源科技有限公司</w:t>
            </w:r>
            <w:r>
              <w:rPr>
                <w:rFonts w:hint="eastAsia" w:ascii="宋体" w:hAnsi="Calibri" w:eastAsia="宋体" w:cs="宋体"/>
                <w:color w:val="000000"/>
                <w:kern w:val="2"/>
                <w:sz w:val="24"/>
                <w:szCs w:val="24"/>
                <w:bdr w:val="none" w:color="auto" w:sz="0" w:space="0"/>
                <w:lang w:val="en-US" w:eastAsia="zh-CN" w:bidi="ar"/>
              </w:rPr>
              <w:t>“</w:t>
            </w:r>
            <w:r>
              <w:rPr>
                <w:rFonts w:hint="eastAsia" w:ascii="Times New Roman" w:hAnsi="Calibri" w:eastAsia="宋体" w:cs="宋体"/>
                <w:color w:val="000000"/>
                <w:kern w:val="2"/>
                <w:sz w:val="24"/>
                <w:szCs w:val="24"/>
                <w:bdr w:val="none" w:color="auto" w:sz="0" w:space="0"/>
                <w:lang w:val="en-US" w:eastAsia="zh-CN" w:bidi="ar"/>
              </w:rPr>
              <w:t>永祺汽车配件扩建项目</w:t>
            </w:r>
            <w:r>
              <w:rPr>
                <w:rFonts w:hint="eastAsia" w:ascii="宋体" w:hAnsi="Calibri" w:eastAsia="宋体" w:cs="宋体"/>
                <w:color w:val="000000"/>
                <w:kern w:val="2"/>
                <w:sz w:val="24"/>
                <w:szCs w:val="24"/>
                <w:bdr w:val="none" w:color="auto" w:sz="0" w:space="0"/>
                <w:lang w:val="en-US" w:eastAsia="zh-CN" w:bidi="ar"/>
              </w:rPr>
              <w:t>”符合国家产业政策、符合园区相关规划，选址合理，平面布置合理可行。项目营运期采取评价所提出的措施后污染物能实现达标排放，不会加重区域环境污染程度。项目在营运期严格按照本报告中所提出的污染防治对策后，并加强内部环境管理，严格执行“三同时”制度的前提下，能实现环境保护措施的有效运行，确保污染物达标排放。</w:t>
            </w:r>
          </w:p>
          <w:p w14:paraId="3D3B529F">
            <w:pPr>
              <w:keepNext w:val="0"/>
              <w:keepLines w:val="0"/>
              <w:widowControl w:val="0"/>
              <w:suppressLineNumbers w:val="0"/>
              <w:spacing w:before="0" w:beforeAutospacing="0" w:after="0" w:afterAutospacing="0" w:line="440" w:lineRule="exact"/>
              <w:ind w:left="0" w:right="0" w:firstLine="480" w:firstLineChars="200"/>
              <w:jc w:val="both"/>
              <w:rPr>
                <w:rFonts w:hint="eastAsia" w:ascii="宋体" w:hAnsi="Calibri" w:eastAsia="宋体" w:cs="宋体"/>
                <w:color w:val="000000"/>
                <w:sz w:val="24"/>
                <w:szCs w:val="24"/>
                <w:bdr w:val="none" w:color="auto" w:sz="0" w:space="0"/>
                <w:lang w:val="en-US"/>
              </w:rPr>
            </w:pPr>
            <w:r>
              <w:rPr>
                <w:rFonts w:hint="eastAsia" w:ascii="宋体" w:hAnsi="Calibri" w:eastAsia="宋体" w:cs="宋体"/>
                <w:color w:val="000000"/>
                <w:kern w:val="2"/>
                <w:sz w:val="24"/>
                <w:szCs w:val="24"/>
                <w:bdr w:val="none" w:color="auto" w:sz="0" w:space="0"/>
                <w:lang w:val="en-US" w:eastAsia="zh-CN" w:bidi="ar"/>
              </w:rPr>
              <w:t>因此，从环境保护的角度考虑，项目建设可行。</w:t>
            </w:r>
          </w:p>
        </w:tc>
      </w:tr>
    </w:tbl>
    <w:p w14:paraId="0F3D22F2">
      <w:pPr>
        <w:rPr>
          <w:rFonts w:hint="eastAsia" w:ascii="宋体" w:hAnsi="Calibri" w:eastAsia="宋体" w:cs="Times New Roman"/>
          <w:color w:val="000000"/>
          <w:kern w:val="2"/>
          <w:sz w:val="21"/>
          <w:szCs w:val="24"/>
          <w:lang w:val="en-US" w:eastAsia="zh-CN" w:bidi="ar"/>
        </w:rPr>
        <w:sectPr>
          <w:pgSz w:w="11906" w:h="16838"/>
          <w:pgMar w:top="1418" w:right="1418" w:bottom="1418" w:left="1418" w:header="851" w:footer="851" w:gutter="0"/>
          <w:paperSrc/>
          <w:cols w:space="425" w:num="1"/>
          <w:docGrid w:type="lines" w:linePitch="312" w:charSpace="0"/>
        </w:sectPr>
      </w:pPr>
    </w:p>
    <w:p w14:paraId="29A2766B">
      <w:pPr>
        <w:pStyle w:val="14"/>
        <w:widowControl/>
        <w:adjustRightInd w:val="0"/>
        <w:snapToGrid w:val="0"/>
        <w:spacing w:before="0" w:beforeAutospacing="0" w:after="0" w:afterAutospacing="0" w:line="648" w:lineRule="auto"/>
        <w:ind w:left="0" w:right="0"/>
        <w:outlineLvl w:val="0"/>
        <w:rPr>
          <w:rFonts w:hint="eastAsia" w:ascii="黑体" w:hAnsi="宋体" w:eastAsia="黑体" w:cs="黑体"/>
          <w:snapToGrid w:val="0"/>
          <w:color w:val="000000"/>
          <w:sz w:val="32"/>
          <w:szCs w:val="32"/>
          <w:lang/>
        </w:rPr>
      </w:pPr>
      <w:r>
        <w:rPr>
          <w:rFonts w:hint="eastAsia" w:ascii="黑体" w:hAnsi="宋体" w:eastAsia="黑体" w:cs="黑体"/>
          <w:snapToGrid w:val="0"/>
          <w:color w:val="000000"/>
          <w:sz w:val="32"/>
          <w:szCs w:val="32"/>
          <w:lang/>
        </w:rPr>
        <w:t>附表</w:t>
      </w:r>
    </w:p>
    <w:p w14:paraId="28C8E044">
      <w:pPr>
        <w:pStyle w:val="14"/>
        <w:widowControl/>
        <w:adjustRightInd w:val="0"/>
        <w:snapToGrid w:val="0"/>
        <w:spacing w:before="0" w:beforeAutospacing="0" w:after="0" w:afterAutospacing="0" w:line="552" w:lineRule="auto"/>
        <w:ind w:left="0" w:right="0"/>
        <w:jc w:val="center"/>
        <w:outlineLvl w:val="0"/>
        <w:rPr>
          <w:rFonts w:hint="eastAsia" w:ascii="方正小标宋_GBK" w:hAnsi="宋体" w:eastAsia="方正小标宋_GBK" w:cs="方正小标宋_GBK"/>
          <w:snapToGrid w:val="0"/>
          <w:color w:val="000000"/>
          <w:sz w:val="38"/>
          <w:szCs w:val="38"/>
          <w:lang/>
        </w:rPr>
      </w:pPr>
      <w:r>
        <w:rPr>
          <w:rFonts w:hint="eastAsia" w:ascii="方正小标宋_GBK" w:hAnsi="宋体" w:eastAsia="方正小标宋_GBK" w:cs="方正小标宋_GBK"/>
          <w:snapToGrid w:val="0"/>
          <w:color w:val="000000"/>
          <w:sz w:val="38"/>
          <w:szCs w:val="38"/>
          <w:lang/>
        </w:rPr>
        <w:t>建设项目污染物排放量汇总表</w:t>
      </w:r>
    </w:p>
    <w:tbl>
      <w:tblPr>
        <w:tblStyle w:val="18"/>
        <w:tblW w:w="1378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tblLayout w:type="fixed"/>
        <w:tblCellMar>
          <w:top w:w="0" w:type="dxa"/>
          <w:left w:w="108" w:type="dxa"/>
          <w:bottom w:w="0" w:type="dxa"/>
          <w:right w:w="108" w:type="dxa"/>
        </w:tblCellMar>
      </w:tblPr>
      <w:tblGrid>
        <w:gridCol w:w="1303"/>
        <w:gridCol w:w="1701"/>
        <w:gridCol w:w="1701"/>
        <w:gridCol w:w="1275"/>
        <w:gridCol w:w="1701"/>
        <w:gridCol w:w="1558"/>
        <w:gridCol w:w="1558"/>
        <w:gridCol w:w="1842"/>
        <w:gridCol w:w="1143"/>
      </w:tblGrid>
      <w:tr w14:paraId="75BD45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tblCellMar>
            <w:top w:w="0" w:type="dxa"/>
            <w:left w:w="108" w:type="dxa"/>
            <w:bottom w:w="0" w:type="dxa"/>
            <w:right w:w="108" w:type="dxa"/>
          </w:tblCellMar>
        </w:tblPrEx>
        <w:trPr>
          <w:trHeight w:val="794" w:hRule="atLeast"/>
        </w:trPr>
        <w:tc>
          <w:tcPr>
            <w:tcW w:w="1304" w:type="dxa"/>
            <w:tcBorders>
              <w:top w:val="single" w:color="auto" w:sz="8" w:space="0"/>
              <w:left w:val="single" w:color="auto" w:sz="8" w:space="0"/>
              <w:bottom w:val="single" w:color="auto" w:sz="4" w:space="0"/>
              <w:right w:val="single" w:color="auto" w:sz="4" w:space="0"/>
              <w:tl2br w:val="single" w:color="auto" w:sz="4" w:space="0"/>
            </w:tcBorders>
            <w:shd w:val="clear"/>
            <w:tcMar>
              <w:left w:w="28" w:type="dxa"/>
              <w:right w:w="28" w:type="dxa"/>
            </w:tcMar>
            <w:vAlign w:val="center"/>
          </w:tcPr>
          <w:p w14:paraId="06DAB32C">
            <w:pPr>
              <w:pStyle w:val="58"/>
              <w:widowControl/>
              <w:spacing w:beforeLines="10" w:beforeAutospacing="0" w:after="0" w:afterAutospacing="0" w:line="400" w:lineRule="exact"/>
              <w:ind w:left="0" w:right="0"/>
              <w:jc w:val="right"/>
              <w:rPr>
                <w:rFonts w:hint="eastAsia" w:ascii="黑体" w:hAnsi="宋体" w:eastAsia="黑体" w:cs="宋体"/>
                <w:color w:val="000000"/>
                <w:spacing w:val="-6"/>
                <w:kern w:val="21"/>
                <w:szCs w:val="21"/>
                <w:bdr w:val="none" w:color="auto" w:sz="0" w:space="0"/>
                <w:lang w:val="en-US"/>
              </w:rPr>
            </w:pPr>
            <w:r>
              <w:rPr>
                <w:rFonts w:hint="eastAsia" w:ascii="黑体" w:hAnsi="宋体" w:eastAsia="黑体" w:cs="宋体"/>
                <w:snapToGrid w:val="0"/>
                <w:color w:val="000000"/>
                <w:spacing w:val="-6"/>
                <w:kern w:val="21"/>
                <w:szCs w:val="21"/>
                <w:bdr w:val="none" w:color="auto" w:sz="0" w:space="0"/>
              </w:rPr>
              <w:t>项目</w:t>
            </w:r>
          </w:p>
          <w:p w14:paraId="0F16EB1A">
            <w:pPr>
              <w:pStyle w:val="58"/>
              <w:widowControl/>
              <w:spacing w:beforeLines="10" w:beforeAutospacing="0" w:after="0" w:afterAutospacing="0" w:line="400" w:lineRule="exact"/>
              <w:ind w:left="0" w:right="0"/>
              <w:jc w:val="left"/>
              <w:rPr>
                <w:rFonts w:hint="eastAsia" w:ascii="黑体" w:hAnsi="宋体" w:eastAsia="黑体" w:cs="宋体"/>
                <w:color w:val="000000"/>
                <w:spacing w:val="-6"/>
                <w:kern w:val="21"/>
                <w:szCs w:val="21"/>
                <w:bdr w:val="none" w:color="auto" w:sz="0" w:space="0"/>
                <w:lang w:val="en-US"/>
              </w:rPr>
            </w:pPr>
            <w:r>
              <w:rPr>
                <w:rFonts w:hint="eastAsia" w:ascii="黑体" w:hAnsi="宋体" w:eastAsia="黑体" w:cs="宋体"/>
                <w:snapToGrid w:val="0"/>
                <w:color w:val="000000"/>
                <w:spacing w:val="-6"/>
                <w:kern w:val="21"/>
                <w:szCs w:val="21"/>
                <w:bdr w:val="none" w:color="auto" w:sz="0" w:space="0"/>
              </w:rPr>
              <w:t>分类</w:t>
            </w:r>
          </w:p>
        </w:tc>
        <w:tc>
          <w:tcPr>
            <w:tcW w:w="1702" w:type="dxa"/>
            <w:tcBorders>
              <w:top w:val="single" w:color="auto" w:sz="8" w:space="0"/>
              <w:left w:val="single" w:color="auto" w:sz="4" w:space="0"/>
              <w:bottom w:val="single" w:color="auto" w:sz="4" w:space="0"/>
              <w:right w:val="single" w:color="auto" w:sz="4" w:space="0"/>
            </w:tcBorders>
            <w:shd w:val="clear"/>
            <w:tcMar>
              <w:left w:w="28" w:type="dxa"/>
              <w:right w:w="28" w:type="dxa"/>
            </w:tcMar>
            <w:vAlign w:val="center"/>
          </w:tcPr>
          <w:p w14:paraId="072049B3">
            <w:pPr>
              <w:pStyle w:val="58"/>
              <w:widowControl/>
              <w:spacing w:beforeLines="10" w:beforeAutospacing="0" w:after="0" w:afterAutospacing="0" w:line="400" w:lineRule="exact"/>
              <w:ind w:left="0" w:right="0"/>
              <w:rPr>
                <w:rFonts w:hint="eastAsia" w:ascii="黑体" w:hAnsi="宋体" w:eastAsia="黑体" w:cs="宋体"/>
                <w:color w:val="000000"/>
                <w:spacing w:val="-6"/>
                <w:kern w:val="21"/>
                <w:szCs w:val="21"/>
                <w:bdr w:val="none" w:color="auto" w:sz="0" w:space="0"/>
                <w:lang w:val="en-US"/>
              </w:rPr>
            </w:pPr>
            <w:r>
              <w:rPr>
                <w:rFonts w:hint="eastAsia" w:ascii="黑体" w:hAnsi="宋体" w:eastAsia="黑体" w:cs="宋体"/>
                <w:snapToGrid w:val="0"/>
                <w:color w:val="000000"/>
                <w:spacing w:val="-6"/>
                <w:kern w:val="21"/>
                <w:szCs w:val="21"/>
                <w:bdr w:val="none" w:color="auto" w:sz="0" w:space="0"/>
              </w:rPr>
              <w:t>污染物名称</w:t>
            </w:r>
          </w:p>
        </w:tc>
        <w:tc>
          <w:tcPr>
            <w:tcW w:w="1702" w:type="dxa"/>
            <w:tcBorders>
              <w:top w:val="single" w:color="auto" w:sz="8" w:space="0"/>
              <w:left w:val="single" w:color="auto" w:sz="4" w:space="0"/>
              <w:bottom w:val="single" w:color="auto" w:sz="4" w:space="0"/>
              <w:right w:val="single" w:color="auto" w:sz="4" w:space="0"/>
            </w:tcBorders>
            <w:shd w:val="clear"/>
            <w:tcMar>
              <w:left w:w="28" w:type="dxa"/>
              <w:right w:w="28" w:type="dxa"/>
            </w:tcMar>
            <w:vAlign w:val="center"/>
          </w:tcPr>
          <w:p w14:paraId="32AFDC28">
            <w:pPr>
              <w:pStyle w:val="58"/>
              <w:widowControl/>
              <w:spacing w:beforeLines="10" w:beforeAutospacing="0" w:after="0" w:afterAutospacing="0" w:line="400" w:lineRule="exact"/>
              <w:ind w:left="0" w:right="0"/>
              <w:rPr>
                <w:rFonts w:hint="eastAsia" w:ascii="黑体" w:hAnsi="宋体" w:eastAsia="黑体" w:cs="黑体"/>
                <w:color w:val="000000"/>
                <w:spacing w:val="-6"/>
                <w:kern w:val="21"/>
                <w:szCs w:val="21"/>
                <w:bdr w:val="none" w:color="auto" w:sz="0" w:space="0"/>
                <w:lang w:val="en-US"/>
              </w:rPr>
            </w:pPr>
            <w:r>
              <w:rPr>
                <w:rFonts w:hint="eastAsia" w:ascii="黑体" w:hAnsi="宋体" w:eastAsia="黑体" w:cs="黑体"/>
                <w:snapToGrid w:val="0"/>
                <w:color w:val="000000"/>
                <w:spacing w:val="-6"/>
                <w:kern w:val="21"/>
                <w:szCs w:val="21"/>
                <w:bdr w:val="none" w:color="auto" w:sz="0" w:space="0"/>
              </w:rPr>
              <w:t>现有工程</w:t>
            </w:r>
          </w:p>
          <w:p w14:paraId="0A3D170E">
            <w:pPr>
              <w:pStyle w:val="58"/>
              <w:widowControl/>
              <w:spacing w:beforeLines="10" w:beforeAutospacing="0" w:after="0" w:afterAutospacing="0" w:line="400" w:lineRule="exact"/>
              <w:ind w:left="0" w:right="0"/>
              <w:rPr>
                <w:rFonts w:hint="eastAsia" w:ascii="黑体" w:hAnsi="宋体" w:eastAsia="黑体" w:cs="黑体"/>
                <w:snapToGrid w:val="0"/>
                <w:color w:val="000000"/>
                <w:spacing w:val="-6"/>
                <w:kern w:val="21"/>
                <w:szCs w:val="21"/>
                <w:bdr w:val="none" w:color="auto" w:sz="0" w:space="0"/>
                <w:lang w:val="en-US"/>
              </w:rPr>
            </w:pPr>
            <w:r>
              <w:rPr>
                <w:rFonts w:hint="eastAsia" w:ascii="黑体" w:hAnsi="宋体" w:eastAsia="黑体" w:cs="黑体"/>
                <w:snapToGrid w:val="0"/>
                <w:color w:val="000000"/>
                <w:spacing w:val="-6"/>
                <w:kern w:val="21"/>
                <w:szCs w:val="21"/>
                <w:bdr w:val="none" w:color="auto" w:sz="0" w:space="0"/>
              </w:rPr>
              <w:t>排放量（固体废物产生量）</w:t>
            </w:r>
            <w:r>
              <w:rPr>
                <w:rFonts w:hint="eastAsia" w:ascii="黑体" w:hAnsi="宋体" w:eastAsia="黑体" w:cs="黑体"/>
                <w:color w:val="000000"/>
                <w:spacing w:val="-6"/>
                <w:kern w:val="21"/>
                <w:szCs w:val="21"/>
                <w:bdr w:val="none" w:color="auto" w:sz="0" w:space="0"/>
                <w:lang w:val="en-US"/>
              </w:rPr>
              <w:fldChar w:fldCharType="begin"/>
            </w:r>
            <w:r>
              <w:rPr>
                <w:rFonts w:hint="eastAsia" w:ascii="黑体" w:hAnsi="宋体" w:eastAsia="黑体" w:cs="黑体"/>
                <w:snapToGrid w:val="0"/>
                <w:color w:val="000000"/>
                <w:spacing w:val="-6"/>
                <w:kern w:val="21"/>
                <w:szCs w:val="21"/>
                <w:bdr w:val="none" w:color="auto" w:sz="0" w:space="0"/>
                <w:lang w:val="en-US"/>
              </w:rPr>
              <w:instrText xml:space="preserve"> = 1 \* GB3 \* MERGEFORMAT </w:instrText>
            </w:r>
            <w:r>
              <w:rPr>
                <w:rFonts w:hint="eastAsia" w:ascii="黑体" w:hAnsi="宋体" w:eastAsia="黑体" w:cs="黑体"/>
                <w:color w:val="000000"/>
                <w:spacing w:val="-6"/>
                <w:kern w:val="21"/>
                <w:szCs w:val="21"/>
                <w:bdr w:val="none" w:color="auto" w:sz="0" w:space="0"/>
                <w:lang w:val="en-US"/>
              </w:rPr>
              <w:fldChar w:fldCharType="separate"/>
            </w:r>
            <w:r>
              <w:rPr>
                <w:rFonts w:hint="eastAsia" w:ascii="黑体" w:hAnsi="宋体" w:eastAsia="黑体" w:cs="宋体"/>
                <w:color w:val="000000"/>
                <w:kern w:val="2"/>
                <w:szCs w:val="21"/>
                <w:bdr w:val="none" w:color="auto" w:sz="0" w:space="0"/>
              </w:rPr>
              <w:t>①</w:t>
            </w:r>
            <w:r>
              <w:rPr>
                <w:rFonts w:hint="eastAsia" w:ascii="黑体" w:hAnsi="宋体" w:eastAsia="黑体" w:cs="黑体"/>
                <w:color w:val="000000"/>
                <w:spacing w:val="-6"/>
                <w:kern w:val="21"/>
                <w:szCs w:val="21"/>
                <w:bdr w:val="none" w:color="auto" w:sz="0" w:space="0"/>
                <w:lang w:val="en-US"/>
              </w:rPr>
              <w:fldChar w:fldCharType="end"/>
            </w:r>
          </w:p>
        </w:tc>
        <w:tc>
          <w:tcPr>
            <w:tcW w:w="1276" w:type="dxa"/>
            <w:tcBorders>
              <w:top w:val="single" w:color="auto" w:sz="8" w:space="0"/>
              <w:left w:val="single" w:color="auto" w:sz="4" w:space="0"/>
              <w:bottom w:val="single" w:color="auto" w:sz="4" w:space="0"/>
              <w:right w:val="single" w:color="auto" w:sz="4" w:space="0"/>
            </w:tcBorders>
            <w:shd w:val="clear"/>
            <w:tcMar>
              <w:left w:w="28" w:type="dxa"/>
              <w:right w:w="28" w:type="dxa"/>
            </w:tcMar>
            <w:vAlign w:val="center"/>
          </w:tcPr>
          <w:p w14:paraId="33FEFD0E">
            <w:pPr>
              <w:pStyle w:val="58"/>
              <w:widowControl/>
              <w:spacing w:beforeLines="10" w:beforeAutospacing="0" w:after="0" w:afterAutospacing="0" w:line="400" w:lineRule="exact"/>
              <w:ind w:left="0" w:right="0"/>
              <w:rPr>
                <w:rFonts w:hint="eastAsia" w:ascii="黑体" w:hAnsi="宋体" w:eastAsia="黑体" w:cs="黑体"/>
                <w:color w:val="000000"/>
                <w:spacing w:val="-6"/>
                <w:kern w:val="21"/>
                <w:szCs w:val="21"/>
                <w:bdr w:val="none" w:color="auto" w:sz="0" w:space="0"/>
                <w:lang w:val="en-US"/>
              </w:rPr>
            </w:pPr>
            <w:r>
              <w:rPr>
                <w:rFonts w:hint="eastAsia" w:ascii="黑体" w:hAnsi="宋体" w:eastAsia="黑体" w:cs="黑体"/>
                <w:snapToGrid w:val="0"/>
                <w:color w:val="000000"/>
                <w:spacing w:val="-6"/>
                <w:kern w:val="21"/>
                <w:szCs w:val="21"/>
                <w:bdr w:val="none" w:color="auto" w:sz="0" w:space="0"/>
              </w:rPr>
              <w:t>现有工程</w:t>
            </w:r>
          </w:p>
          <w:p w14:paraId="6B8EE692">
            <w:pPr>
              <w:pStyle w:val="58"/>
              <w:widowControl/>
              <w:spacing w:beforeLines="10" w:beforeAutospacing="0" w:after="0" w:afterAutospacing="0" w:line="400" w:lineRule="exact"/>
              <w:ind w:left="0" w:right="0"/>
              <w:rPr>
                <w:rFonts w:hint="eastAsia" w:ascii="黑体" w:hAnsi="宋体" w:eastAsia="黑体" w:cs="黑体"/>
                <w:color w:val="000000"/>
                <w:spacing w:val="-6"/>
                <w:kern w:val="21"/>
                <w:szCs w:val="21"/>
                <w:bdr w:val="none" w:color="auto" w:sz="0" w:space="0"/>
                <w:lang w:val="en-US"/>
              </w:rPr>
            </w:pPr>
            <w:r>
              <w:rPr>
                <w:rFonts w:hint="eastAsia" w:ascii="黑体" w:hAnsi="宋体" w:eastAsia="黑体" w:cs="黑体"/>
                <w:snapToGrid w:val="0"/>
                <w:color w:val="000000"/>
                <w:spacing w:val="-6"/>
                <w:kern w:val="21"/>
                <w:szCs w:val="21"/>
                <w:bdr w:val="none" w:color="auto" w:sz="0" w:space="0"/>
              </w:rPr>
              <w:t>许可排放量</w:t>
            </w:r>
          </w:p>
          <w:p w14:paraId="459F79ED">
            <w:pPr>
              <w:pStyle w:val="58"/>
              <w:widowControl/>
              <w:spacing w:beforeLines="10" w:beforeAutospacing="0" w:after="0" w:afterAutospacing="0" w:line="400" w:lineRule="exact"/>
              <w:ind w:left="0" w:right="0"/>
              <w:rPr>
                <w:rFonts w:hint="eastAsia" w:ascii="黑体" w:hAnsi="宋体" w:eastAsia="黑体" w:cs="黑体"/>
                <w:snapToGrid w:val="0"/>
                <w:color w:val="000000"/>
                <w:spacing w:val="-6"/>
                <w:kern w:val="21"/>
                <w:szCs w:val="21"/>
                <w:bdr w:val="none" w:color="auto" w:sz="0" w:space="0"/>
                <w:lang w:val="en-US"/>
              </w:rPr>
            </w:pPr>
            <w:r>
              <w:rPr>
                <w:rFonts w:hint="eastAsia" w:ascii="黑体" w:hAnsi="宋体" w:eastAsia="黑体" w:cs="黑体"/>
                <w:color w:val="000000"/>
                <w:spacing w:val="-6"/>
                <w:kern w:val="21"/>
                <w:szCs w:val="21"/>
                <w:bdr w:val="none" w:color="auto" w:sz="0" w:space="0"/>
                <w:lang w:val="en-US"/>
              </w:rPr>
              <w:fldChar w:fldCharType="begin"/>
            </w:r>
            <w:r>
              <w:rPr>
                <w:rFonts w:hint="eastAsia" w:ascii="黑体" w:hAnsi="宋体" w:eastAsia="黑体" w:cs="黑体"/>
                <w:color w:val="000000"/>
                <w:spacing w:val="-6"/>
                <w:kern w:val="21"/>
                <w:szCs w:val="21"/>
                <w:bdr w:val="none" w:color="auto" w:sz="0" w:space="0"/>
                <w:lang w:val="en-US"/>
              </w:rPr>
              <w:instrText xml:space="preserve"> </w:instrText>
            </w:r>
            <w:r>
              <w:rPr>
                <w:rFonts w:hint="eastAsia" w:ascii="黑体" w:hAnsi="宋体" w:eastAsia="黑体" w:cs="黑体"/>
                <w:snapToGrid w:val="0"/>
                <w:color w:val="000000"/>
                <w:spacing w:val="-6"/>
                <w:kern w:val="21"/>
                <w:szCs w:val="21"/>
                <w:bdr w:val="none" w:color="auto" w:sz="0" w:space="0"/>
                <w:lang w:val="en-US"/>
              </w:rPr>
              <w:instrText xml:space="preserve">= 2 \* GB3 \* MERGEFORMAT </w:instrText>
            </w:r>
            <w:r>
              <w:rPr>
                <w:rFonts w:hint="eastAsia" w:ascii="黑体" w:hAnsi="宋体" w:eastAsia="黑体" w:cs="黑体"/>
                <w:color w:val="000000"/>
                <w:spacing w:val="-6"/>
                <w:kern w:val="21"/>
                <w:szCs w:val="21"/>
                <w:bdr w:val="none" w:color="auto" w:sz="0" w:space="0"/>
                <w:lang w:val="en-US"/>
              </w:rPr>
              <w:fldChar w:fldCharType="separate"/>
            </w:r>
            <w:r>
              <w:rPr>
                <w:rFonts w:hint="eastAsia" w:ascii="黑体" w:hAnsi="宋体" w:eastAsia="黑体" w:cs="宋体"/>
                <w:snapToGrid w:val="0"/>
                <w:color w:val="000000"/>
                <w:spacing w:val="-6"/>
                <w:kern w:val="21"/>
                <w:szCs w:val="21"/>
                <w:bdr w:val="none" w:color="auto" w:sz="0" w:space="0"/>
              </w:rPr>
              <w:t>②</w:t>
            </w:r>
            <w:r>
              <w:rPr>
                <w:rFonts w:hint="eastAsia" w:ascii="黑体" w:hAnsi="宋体" w:eastAsia="黑体" w:cs="黑体"/>
                <w:color w:val="000000"/>
                <w:spacing w:val="-6"/>
                <w:kern w:val="21"/>
                <w:szCs w:val="21"/>
                <w:bdr w:val="none" w:color="auto" w:sz="0" w:space="0"/>
                <w:lang w:val="en-US"/>
              </w:rPr>
              <w:fldChar w:fldCharType="end"/>
            </w:r>
          </w:p>
        </w:tc>
        <w:tc>
          <w:tcPr>
            <w:tcW w:w="1702" w:type="dxa"/>
            <w:tcBorders>
              <w:top w:val="single" w:color="auto" w:sz="8" w:space="0"/>
              <w:left w:val="single" w:color="auto" w:sz="4" w:space="0"/>
              <w:bottom w:val="single" w:color="auto" w:sz="4" w:space="0"/>
              <w:right w:val="single" w:color="auto" w:sz="4" w:space="0"/>
            </w:tcBorders>
            <w:shd w:val="clear"/>
            <w:tcMar>
              <w:left w:w="28" w:type="dxa"/>
              <w:right w:w="28" w:type="dxa"/>
            </w:tcMar>
            <w:vAlign w:val="center"/>
          </w:tcPr>
          <w:p w14:paraId="4115F9C4">
            <w:pPr>
              <w:pStyle w:val="58"/>
              <w:widowControl/>
              <w:spacing w:beforeLines="10" w:beforeAutospacing="0" w:after="0" w:afterAutospacing="0" w:line="400" w:lineRule="exact"/>
              <w:ind w:left="0" w:right="0"/>
              <w:rPr>
                <w:rFonts w:hint="eastAsia" w:ascii="黑体" w:hAnsi="宋体" w:eastAsia="黑体" w:cs="黑体"/>
                <w:color w:val="000000"/>
                <w:spacing w:val="-6"/>
                <w:kern w:val="21"/>
                <w:szCs w:val="21"/>
                <w:bdr w:val="none" w:color="auto" w:sz="0" w:space="0"/>
                <w:lang w:val="en-US"/>
              </w:rPr>
            </w:pPr>
            <w:r>
              <w:rPr>
                <w:rFonts w:hint="eastAsia" w:ascii="黑体" w:hAnsi="宋体" w:eastAsia="黑体" w:cs="黑体"/>
                <w:snapToGrid w:val="0"/>
                <w:color w:val="000000"/>
                <w:spacing w:val="-6"/>
                <w:kern w:val="21"/>
                <w:szCs w:val="21"/>
                <w:bdr w:val="none" w:color="auto" w:sz="0" w:space="0"/>
              </w:rPr>
              <w:t>在建工程</w:t>
            </w:r>
          </w:p>
          <w:p w14:paraId="49856635">
            <w:pPr>
              <w:pStyle w:val="58"/>
              <w:widowControl/>
              <w:spacing w:beforeLines="10" w:beforeAutospacing="0" w:after="0" w:afterAutospacing="0" w:line="400" w:lineRule="exact"/>
              <w:ind w:left="0" w:right="0"/>
              <w:rPr>
                <w:rFonts w:hint="eastAsia" w:ascii="黑体" w:hAnsi="宋体" w:eastAsia="黑体" w:cs="黑体"/>
                <w:snapToGrid w:val="0"/>
                <w:color w:val="000000"/>
                <w:spacing w:val="-6"/>
                <w:kern w:val="21"/>
                <w:szCs w:val="21"/>
                <w:bdr w:val="none" w:color="auto" w:sz="0" w:space="0"/>
                <w:lang w:val="en-US"/>
              </w:rPr>
            </w:pPr>
            <w:r>
              <w:rPr>
                <w:rFonts w:hint="eastAsia" w:ascii="黑体" w:hAnsi="宋体" w:eastAsia="黑体" w:cs="黑体"/>
                <w:snapToGrid w:val="0"/>
                <w:color w:val="000000"/>
                <w:spacing w:val="-6"/>
                <w:kern w:val="21"/>
                <w:szCs w:val="21"/>
                <w:bdr w:val="none" w:color="auto" w:sz="0" w:space="0"/>
              </w:rPr>
              <w:t>排放量（固体废物产生量）</w:t>
            </w:r>
            <w:r>
              <w:rPr>
                <w:rFonts w:hint="eastAsia" w:ascii="黑体" w:hAnsi="宋体" w:eastAsia="黑体" w:cs="黑体"/>
                <w:color w:val="000000"/>
                <w:spacing w:val="-6"/>
                <w:kern w:val="21"/>
                <w:szCs w:val="21"/>
                <w:bdr w:val="none" w:color="auto" w:sz="0" w:space="0"/>
                <w:lang w:val="en-US"/>
              </w:rPr>
              <w:fldChar w:fldCharType="begin"/>
            </w:r>
            <w:r>
              <w:rPr>
                <w:rFonts w:hint="eastAsia" w:ascii="黑体" w:hAnsi="宋体" w:eastAsia="黑体" w:cs="黑体"/>
                <w:snapToGrid w:val="0"/>
                <w:color w:val="000000"/>
                <w:spacing w:val="-6"/>
                <w:kern w:val="21"/>
                <w:szCs w:val="21"/>
                <w:bdr w:val="none" w:color="auto" w:sz="0" w:space="0"/>
                <w:lang w:val="en-US"/>
              </w:rPr>
              <w:instrText xml:space="preserve"> = 3 \* GB3 \* MERGEFORMAT </w:instrText>
            </w:r>
            <w:r>
              <w:rPr>
                <w:rFonts w:hint="eastAsia" w:ascii="黑体" w:hAnsi="宋体" w:eastAsia="黑体" w:cs="黑体"/>
                <w:color w:val="000000"/>
                <w:spacing w:val="-6"/>
                <w:kern w:val="21"/>
                <w:szCs w:val="21"/>
                <w:bdr w:val="none" w:color="auto" w:sz="0" w:space="0"/>
                <w:lang w:val="en-US"/>
              </w:rPr>
              <w:fldChar w:fldCharType="separate"/>
            </w:r>
            <w:r>
              <w:rPr>
                <w:rFonts w:hint="eastAsia" w:ascii="黑体" w:hAnsi="宋体" w:eastAsia="黑体" w:cs="宋体"/>
                <w:color w:val="000000"/>
                <w:kern w:val="2"/>
                <w:szCs w:val="21"/>
                <w:bdr w:val="none" w:color="auto" w:sz="0" w:space="0"/>
              </w:rPr>
              <w:t>③</w:t>
            </w:r>
            <w:r>
              <w:rPr>
                <w:rFonts w:hint="eastAsia" w:ascii="黑体" w:hAnsi="宋体" w:eastAsia="黑体" w:cs="黑体"/>
                <w:color w:val="000000"/>
                <w:spacing w:val="-6"/>
                <w:kern w:val="21"/>
                <w:szCs w:val="21"/>
                <w:bdr w:val="none" w:color="auto" w:sz="0" w:space="0"/>
                <w:lang w:val="en-US"/>
              </w:rPr>
              <w:fldChar w:fldCharType="end"/>
            </w:r>
          </w:p>
        </w:tc>
        <w:tc>
          <w:tcPr>
            <w:tcW w:w="1559" w:type="dxa"/>
            <w:tcBorders>
              <w:top w:val="single" w:color="auto" w:sz="8" w:space="0"/>
              <w:left w:val="single" w:color="auto" w:sz="4" w:space="0"/>
              <w:bottom w:val="single" w:color="auto" w:sz="4" w:space="0"/>
              <w:right w:val="single" w:color="auto" w:sz="4" w:space="0"/>
            </w:tcBorders>
            <w:shd w:val="clear"/>
            <w:tcMar>
              <w:left w:w="28" w:type="dxa"/>
              <w:right w:w="28" w:type="dxa"/>
            </w:tcMar>
            <w:vAlign w:val="center"/>
          </w:tcPr>
          <w:p w14:paraId="5F38DB4A">
            <w:pPr>
              <w:pStyle w:val="58"/>
              <w:widowControl/>
              <w:spacing w:beforeLines="10" w:beforeAutospacing="0" w:after="0" w:afterAutospacing="0" w:line="400" w:lineRule="exact"/>
              <w:ind w:left="0" w:right="0"/>
              <w:rPr>
                <w:rFonts w:hint="eastAsia" w:ascii="黑体" w:hAnsi="宋体" w:eastAsia="黑体" w:cs="黑体"/>
                <w:color w:val="000000"/>
                <w:spacing w:val="-6"/>
                <w:kern w:val="21"/>
                <w:szCs w:val="21"/>
                <w:bdr w:val="none" w:color="auto" w:sz="0" w:space="0"/>
                <w:lang w:val="en-US"/>
              </w:rPr>
            </w:pPr>
            <w:r>
              <w:rPr>
                <w:rFonts w:hint="eastAsia" w:ascii="黑体" w:hAnsi="宋体" w:eastAsia="黑体" w:cs="黑体"/>
                <w:snapToGrid w:val="0"/>
                <w:color w:val="000000"/>
                <w:spacing w:val="-6"/>
                <w:kern w:val="21"/>
                <w:szCs w:val="21"/>
                <w:bdr w:val="none" w:color="auto" w:sz="0" w:space="0"/>
              </w:rPr>
              <w:t>扩建项目</w:t>
            </w:r>
          </w:p>
          <w:p w14:paraId="3A1E8CD7">
            <w:pPr>
              <w:pStyle w:val="58"/>
              <w:widowControl/>
              <w:spacing w:beforeLines="10" w:beforeAutospacing="0" w:after="0" w:afterAutospacing="0" w:line="400" w:lineRule="exact"/>
              <w:ind w:left="0" w:right="0"/>
              <w:rPr>
                <w:rFonts w:hint="eastAsia" w:ascii="黑体" w:hAnsi="宋体" w:eastAsia="黑体" w:cs="黑体"/>
                <w:snapToGrid w:val="0"/>
                <w:color w:val="000000"/>
                <w:spacing w:val="-6"/>
                <w:kern w:val="21"/>
                <w:szCs w:val="21"/>
                <w:bdr w:val="none" w:color="auto" w:sz="0" w:space="0"/>
                <w:lang w:val="en-US"/>
              </w:rPr>
            </w:pPr>
            <w:r>
              <w:rPr>
                <w:rFonts w:hint="eastAsia" w:ascii="黑体" w:hAnsi="宋体" w:eastAsia="黑体" w:cs="黑体"/>
                <w:snapToGrid w:val="0"/>
                <w:color w:val="000000"/>
                <w:spacing w:val="-6"/>
                <w:kern w:val="21"/>
                <w:szCs w:val="21"/>
                <w:bdr w:val="none" w:color="auto" w:sz="0" w:space="0"/>
              </w:rPr>
              <w:t>排放量（固体废物产生量）</w:t>
            </w:r>
            <w:r>
              <w:rPr>
                <w:rFonts w:hint="eastAsia" w:ascii="黑体" w:hAnsi="宋体" w:eastAsia="黑体" w:cs="黑体"/>
                <w:color w:val="000000"/>
                <w:spacing w:val="-6"/>
                <w:kern w:val="21"/>
                <w:szCs w:val="21"/>
                <w:bdr w:val="none" w:color="auto" w:sz="0" w:space="0"/>
                <w:lang w:val="en-US"/>
              </w:rPr>
              <w:fldChar w:fldCharType="begin"/>
            </w:r>
            <w:r>
              <w:rPr>
                <w:rFonts w:hint="eastAsia" w:ascii="黑体" w:hAnsi="宋体" w:eastAsia="黑体" w:cs="黑体"/>
                <w:snapToGrid w:val="0"/>
                <w:color w:val="000000"/>
                <w:spacing w:val="-6"/>
                <w:kern w:val="21"/>
                <w:szCs w:val="21"/>
                <w:bdr w:val="none" w:color="auto" w:sz="0" w:space="0"/>
                <w:lang w:val="en-US"/>
              </w:rPr>
              <w:instrText xml:space="preserve"> = 4 \* GB3 \* MERGEFORMAT </w:instrText>
            </w:r>
            <w:r>
              <w:rPr>
                <w:rFonts w:hint="eastAsia" w:ascii="黑体" w:hAnsi="宋体" w:eastAsia="黑体" w:cs="黑体"/>
                <w:color w:val="000000"/>
                <w:spacing w:val="-6"/>
                <w:kern w:val="21"/>
                <w:szCs w:val="21"/>
                <w:bdr w:val="none" w:color="auto" w:sz="0" w:space="0"/>
                <w:lang w:val="en-US"/>
              </w:rPr>
              <w:fldChar w:fldCharType="separate"/>
            </w:r>
            <w:r>
              <w:rPr>
                <w:rFonts w:hint="eastAsia" w:ascii="黑体" w:hAnsi="宋体" w:eastAsia="黑体" w:cs="宋体"/>
                <w:color w:val="000000"/>
                <w:kern w:val="2"/>
                <w:szCs w:val="21"/>
                <w:bdr w:val="none" w:color="auto" w:sz="0" w:space="0"/>
              </w:rPr>
              <w:t>④</w:t>
            </w:r>
            <w:r>
              <w:rPr>
                <w:rFonts w:hint="eastAsia" w:ascii="黑体" w:hAnsi="宋体" w:eastAsia="黑体" w:cs="黑体"/>
                <w:color w:val="000000"/>
                <w:spacing w:val="-6"/>
                <w:kern w:val="21"/>
                <w:szCs w:val="21"/>
                <w:bdr w:val="none" w:color="auto" w:sz="0" w:space="0"/>
                <w:lang w:val="en-US"/>
              </w:rPr>
              <w:fldChar w:fldCharType="end"/>
            </w:r>
          </w:p>
        </w:tc>
        <w:tc>
          <w:tcPr>
            <w:tcW w:w="1559" w:type="dxa"/>
            <w:tcBorders>
              <w:top w:val="single" w:color="auto" w:sz="8" w:space="0"/>
              <w:left w:val="single" w:color="auto" w:sz="4" w:space="0"/>
              <w:bottom w:val="single" w:color="auto" w:sz="4" w:space="0"/>
              <w:right w:val="single" w:color="auto" w:sz="4" w:space="0"/>
            </w:tcBorders>
            <w:shd w:val="clear"/>
            <w:tcMar>
              <w:left w:w="28" w:type="dxa"/>
              <w:right w:w="28" w:type="dxa"/>
            </w:tcMar>
            <w:vAlign w:val="center"/>
          </w:tcPr>
          <w:p w14:paraId="182CAE0F">
            <w:pPr>
              <w:pStyle w:val="58"/>
              <w:widowControl/>
              <w:spacing w:beforeLines="10" w:beforeAutospacing="0" w:after="0" w:afterAutospacing="0" w:line="400" w:lineRule="exact"/>
              <w:ind w:left="0" w:right="0"/>
              <w:rPr>
                <w:rFonts w:hint="eastAsia" w:ascii="黑体" w:hAnsi="宋体" w:eastAsia="黑体" w:cs="黑体"/>
                <w:color w:val="000000"/>
                <w:spacing w:val="-16"/>
                <w:kern w:val="21"/>
                <w:szCs w:val="21"/>
                <w:bdr w:val="none" w:color="auto" w:sz="0" w:space="0"/>
                <w:lang w:val="en-US"/>
              </w:rPr>
            </w:pPr>
            <w:r>
              <w:rPr>
                <w:rFonts w:hint="eastAsia" w:ascii="黑体" w:hAnsi="宋体" w:eastAsia="黑体" w:cs="黑体"/>
                <w:snapToGrid w:val="0"/>
                <w:color w:val="000000"/>
                <w:spacing w:val="-16"/>
                <w:kern w:val="21"/>
                <w:szCs w:val="21"/>
                <w:bdr w:val="none" w:color="auto" w:sz="0" w:space="0"/>
              </w:rPr>
              <w:t>以新带老削减量</w:t>
            </w:r>
          </w:p>
          <w:p w14:paraId="0772DDFF">
            <w:pPr>
              <w:pStyle w:val="58"/>
              <w:widowControl/>
              <w:spacing w:beforeLines="10" w:beforeAutospacing="0" w:after="0" w:afterAutospacing="0" w:line="400" w:lineRule="exact"/>
              <w:ind w:left="0" w:right="0"/>
              <w:rPr>
                <w:rFonts w:hint="eastAsia" w:ascii="黑体" w:hAnsi="宋体" w:eastAsia="黑体" w:cs="黑体"/>
                <w:snapToGrid w:val="0"/>
                <w:color w:val="000000"/>
                <w:spacing w:val="-16"/>
                <w:kern w:val="21"/>
                <w:szCs w:val="21"/>
                <w:bdr w:val="none" w:color="auto" w:sz="0" w:space="0"/>
                <w:lang w:val="en-US"/>
              </w:rPr>
            </w:pPr>
            <w:r>
              <w:rPr>
                <w:rFonts w:hint="eastAsia" w:ascii="黑体" w:hAnsi="宋体" w:eastAsia="黑体" w:cs="黑体"/>
                <w:snapToGrid w:val="0"/>
                <w:color w:val="000000"/>
                <w:spacing w:val="-16"/>
                <w:kern w:val="21"/>
                <w:szCs w:val="21"/>
                <w:bdr w:val="none" w:color="auto" w:sz="0" w:space="0"/>
              </w:rPr>
              <w:t>（新建项目不填）</w:t>
            </w:r>
            <w:r>
              <w:rPr>
                <w:rFonts w:hint="eastAsia" w:ascii="黑体" w:hAnsi="宋体" w:eastAsia="黑体" w:cs="黑体"/>
                <w:color w:val="000000"/>
                <w:spacing w:val="-16"/>
                <w:kern w:val="21"/>
                <w:szCs w:val="21"/>
                <w:bdr w:val="none" w:color="auto" w:sz="0" w:space="0"/>
                <w:lang w:val="en-US"/>
              </w:rPr>
              <w:fldChar w:fldCharType="begin"/>
            </w:r>
            <w:r>
              <w:rPr>
                <w:rFonts w:hint="eastAsia" w:ascii="黑体" w:hAnsi="宋体" w:eastAsia="黑体" w:cs="黑体"/>
                <w:snapToGrid w:val="0"/>
                <w:color w:val="000000"/>
                <w:spacing w:val="-16"/>
                <w:kern w:val="21"/>
                <w:szCs w:val="21"/>
                <w:bdr w:val="none" w:color="auto" w:sz="0" w:space="0"/>
                <w:lang w:val="en-US"/>
              </w:rPr>
              <w:instrText xml:space="preserve"> = 5 \* GB3 \* MERGEFORMAT </w:instrText>
            </w:r>
            <w:r>
              <w:rPr>
                <w:rFonts w:hint="eastAsia" w:ascii="黑体" w:hAnsi="宋体" w:eastAsia="黑体" w:cs="黑体"/>
                <w:color w:val="000000"/>
                <w:spacing w:val="-16"/>
                <w:kern w:val="21"/>
                <w:szCs w:val="21"/>
                <w:bdr w:val="none" w:color="auto" w:sz="0" w:space="0"/>
                <w:lang w:val="en-US"/>
              </w:rPr>
              <w:fldChar w:fldCharType="separate"/>
            </w:r>
            <w:r>
              <w:rPr>
                <w:rFonts w:hint="eastAsia" w:ascii="黑体" w:hAnsi="宋体" w:eastAsia="黑体" w:cs="宋体"/>
                <w:color w:val="000000"/>
                <w:kern w:val="2"/>
                <w:szCs w:val="21"/>
                <w:bdr w:val="none" w:color="auto" w:sz="0" w:space="0"/>
              </w:rPr>
              <w:t>⑤</w:t>
            </w:r>
            <w:r>
              <w:rPr>
                <w:rFonts w:hint="eastAsia" w:ascii="黑体" w:hAnsi="宋体" w:eastAsia="黑体" w:cs="黑体"/>
                <w:color w:val="000000"/>
                <w:spacing w:val="-16"/>
                <w:kern w:val="21"/>
                <w:szCs w:val="21"/>
                <w:bdr w:val="none" w:color="auto" w:sz="0" w:space="0"/>
                <w:lang w:val="en-US"/>
              </w:rPr>
              <w:fldChar w:fldCharType="end"/>
            </w:r>
          </w:p>
        </w:tc>
        <w:tc>
          <w:tcPr>
            <w:tcW w:w="1843" w:type="dxa"/>
            <w:tcBorders>
              <w:top w:val="single" w:color="auto" w:sz="8" w:space="0"/>
              <w:left w:val="single" w:color="auto" w:sz="4" w:space="0"/>
              <w:bottom w:val="single" w:color="auto" w:sz="4" w:space="0"/>
              <w:right w:val="single" w:color="auto" w:sz="4" w:space="0"/>
            </w:tcBorders>
            <w:shd w:val="clear"/>
            <w:tcMar>
              <w:left w:w="28" w:type="dxa"/>
              <w:right w:w="28" w:type="dxa"/>
            </w:tcMar>
            <w:vAlign w:val="center"/>
          </w:tcPr>
          <w:p w14:paraId="4E99C963">
            <w:pPr>
              <w:pStyle w:val="58"/>
              <w:widowControl/>
              <w:spacing w:beforeLines="10" w:beforeAutospacing="0" w:after="0" w:afterAutospacing="0" w:line="400" w:lineRule="exact"/>
              <w:ind w:left="0" w:right="0"/>
              <w:rPr>
                <w:rFonts w:hint="eastAsia" w:ascii="黑体" w:hAnsi="宋体" w:eastAsia="黑体" w:cs="黑体"/>
                <w:color w:val="000000"/>
                <w:spacing w:val="-16"/>
                <w:kern w:val="21"/>
                <w:szCs w:val="21"/>
                <w:bdr w:val="none" w:color="auto" w:sz="0" w:space="0"/>
                <w:lang w:val="en-US"/>
              </w:rPr>
            </w:pPr>
            <w:r>
              <w:rPr>
                <w:rFonts w:hint="eastAsia" w:ascii="黑体" w:hAnsi="宋体" w:eastAsia="黑体" w:cs="黑体"/>
                <w:snapToGrid w:val="0"/>
                <w:color w:val="000000"/>
                <w:spacing w:val="-16"/>
                <w:kern w:val="21"/>
                <w:szCs w:val="21"/>
                <w:bdr w:val="none" w:color="auto" w:sz="0" w:space="0"/>
              </w:rPr>
              <w:t>扩建项目建成后</w:t>
            </w:r>
          </w:p>
          <w:p w14:paraId="19344F72">
            <w:pPr>
              <w:pStyle w:val="58"/>
              <w:widowControl/>
              <w:spacing w:beforeLines="10" w:beforeAutospacing="0" w:after="0" w:afterAutospacing="0" w:line="400" w:lineRule="exact"/>
              <w:ind w:left="0" w:right="0"/>
              <w:rPr>
                <w:rFonts w:hint="eastAsia" w:ascii="黑体" w:hAnsi="宋体" w:eastAsia="黑体" w:cs="黑体"/>
                <w:snapToGrid w:val="0"/>
                <w:color w:val="000000"/>
                <w:spacing w:val="-16"/>
                <w:kern w:val="21"/>
                <w:szCs w:val="21"/>
                <w:bdr w:val="none" w:color="auto" w:sz="0" w:space="0"/>
                <w:lang w:val="en-US"/>
              </w:rPr>
            </w:pPr>
            <w:r>
              <w:rPr>
                <w:rFonts w:hint="eastAsia" w:ascii="黑体" w:hAnsi="宋体" w:eastAsia="黑体" w:cs="黑体"/>
                <w:snapToGrid w:val="0"/>
                <w:color w:val="000000"/>
                <w:spacing w:val="-16"/>
                <w:kern w:val="21"/>
                <w:szCs w:val="21"/>
                <w:bdr w:val="none" w:color="auto" w:sz="0" w:space="0"/>
              </w:rPr>
              <w:t>全厂排放量（固体废物产生量）</w:t>
            </w:r>
            <w:r>
              <w:rPr>
                <w:rFonts w:hint="eastAsia" w:ascii="黑体" w:hAnsi="宋体" w:eastAsia="黑体" w:cs="黑体"/>
                <w:color w:val="000000"/>
                <w:spacing w:val="-16"/>
                <w:kern w:val="21"/>
                <w:szCs w:val="21"/>
                <w:bdr w:val="none" w:color="auto" w:sz="0" w:space="0"/>
                <w:lang w:val="en-US"/>
              </w:rPr>
              <w:fldChar w:fldCharType="begin"/>
            </w:r>
            <w:r>
              <w:rPr>
                <w:rFonts w:hint="eastAsia" w:ascii="黑体" w:hAnsi="宋体" w:eastAsia="黑体" w:cs="黑体"/>
                <w:snapToGrid w:val="0"/>
                <w:color w:val="000000"/>
                <w:spacing w:val="-16"/>
                <w:kern w:val="21"/>
                <w:szCs w:val="21"/>
                <w:bdr w:val="none" w:color="auto" w:sz="0" w:space="0"/>
                <w:lang w:val="en-US"/>
              </w:rPr>
              <w:instrText xml:space="preserve"> = 6 \* GB3 \* MERGEFORMAT </w:instrText>
            </w:r>
            <w:r>
              <w:rPr>
                <w:rFonts w:hint="eastAsia" w:ascii="黑体" w:hAnsi="宋体" w:eastAsia="黑体" w:cs="黑体"/>
                <w:color w:val="000000"/>
                <w:spacing w:val="-16"/>
                <w:kern w:val="21"/>
                <w:szCs w:val="21"/>
                <w:bdr w:val="none" w:color="auto" w:sz="0" w:space="0"/>
                <w:lang w:val="en-US"/>
              </w:rPr>
              <w:fldChar w:fldCharType="separate"/>
            </w:r>
            <w:r>
              <w:rPr>
                <w:rFonts w:hint="eastAsia" w:ascii="黑体" w:hAnsi="宋体" w:eastAsia="黑体" w:cs="宋体"/>
                <w:color w:val="000000"/>
                <w:kern w:val="2"/>
                <w:szCs w:val="21"/>
                <w:bdr w:val="none" w:color="auto" w:sz="0" w:space="0"/>
              </w:rPr>
              <w:t>⑥</w:t>
            </w:r>
            <w:r>
              <w:rPr>
                <w:rFonts w:hint="eastAsia" w:ascii="黑体" w:hAnsi="宋体" w:eastAsia="黑体" w:cs="黑体"/>
                <w:color w:val="000000"/>
                <w:spacing w:val="-16"/>
                <w:kern w:val="21"/>
                <w:szCs w:val="21"/>
                <w:bdr w:val="none" w:color="auto" w:sz="0" w:space="0"/>
                <w:lang w:val="en-US"/>
              </w:rPr>
              <w:fldChar w:fldCharType="end"/>
            </w:r>
          </w:p>
        </w:tc>
        <w:tc>
          <w:tcPr>
            <w:tcW w:w="1144" w:type="dxa"/>
            <w:tcBorders>
              <w:top w:val="single" w:color="auto" w:sz="8" w:space="0"/>
              <w:left w:val="single" w:color="auto" w:sz="4" w:space="0"/>
              <w:bottom w:val="single" w:color="auto" w:sz="4" w:space="0"/>
              <w:right w:val="single" w:color="auto" w:sz="8" w:space="0"/>
            </w:tcBorders>
            <w:shd w:val="clear"/>
            <w:tcMar>
              <w:left w:w="28" w:type="dxa"/>
              <w:right w:w="28" w:type="dxa"/>
            </w:tcMar>
            <w:vAlign w:val="center"/>
          </w:tcPr>
          <w:p w14:paraId="19FD84FC">
            <w:pPr>
              <w:pStyle w:val="58"/>
              <w:widowControl/>
              <w:spacing w:beforeLines="10" w:beforeAutospacing="0" w:after="0" w:afterAutospacing="0" w:line="400" w:lineRule="exact"/>
              <w:ind w:left="0" w:right="0"/>
              <w:rPr>
                <w:rFonts w:hint="eastAsia" w:ascii="黑体" w:hAnsi="宋体" w:eastAsia="黑体" w:cs="黑体"/>
                <w:color w:val="000000"/>
                <w:spacing w:val="-6"/>
                <w:kern w:val="21"/>
                <w:szCs w:val="21"/>
                <w:bdr w:val="none" w:color="auto" w:sz="0" w:space="0"/>
                <w:lang w:val="en-US"/>
              </w:rPr>
            </w:pPr>
            <w:r>
              <w:rPr>
                <w:rFonts w:hint="eastAsia" w:ascii="黑体" w:hAnsi="宋体" w:eastAsia="黑体" w:cs="黑体"/>
                <w:snapToGrid w:val="0"/>
                <w:color w:val="000000"/>
                <w:spacing w:val="-6"/>
                <w:kern w:val="21"/>
                <w:szCs w:val="21"/>
                <w:bdr w:val="none" w:color="auto" w:sz="0" w:space="0"/>
              </w:rPr>
              <w:t>变化量</w:t>
            </w:r>
          </w:p>
          <w:p w14:paraId="0729FD64">
            <w:pPr>
              <w:pStyle w:val="58"/>
              <w:widowControl/>
              <w:spacing w:beforeLines="10" w:beforeAutospacing="0" w:after="0" w:afterAutospacing="0" w:line="400" w:lineRule="exact"/>
              <w:ind w:left="0" w:right="0"/>
              <w:rPr>
                <w:rFonts w:hint="eastAsia" w:ascii="黑体" w:hAnsi="宋体" w:eastAsia="黑体" w:cs="黑体"/>
                <w:snapToGrid w:val="0"/>
                <w:color w:val="000000"/>
                <w:spacing w:val="-6"/>
                <w:kern w:val="21"/>
                <w:szCs w:val="21"/>
                <w:bdr w:val="none" w:color="auto" w:sz="0" w:space="0"/>
                <w:lang w:val="en-US"/>
              </w:rPr>
            </w:pPr>
            <w:r>
              <w:rPr>
                <w:rFonts w:hint="eastAsia" w:ascii="黑体" w:hAnsi="宋体" w:eastAsia="黑体" w:cs="黑体"/>
                <w:color w:val="000000"/>
                <w:spacing w:val="-6"/>
                <w:kern w:val="21"/>
                <w:szCs w:val="21"/>
                <w:bdr w:val="none" w:color="auto" w:sz="0" w:space="0"/>
                <w:lang w:val="en-US"/>
              </w:rPr>
              <w:fldChar w:fldCharType="begin"/>
            </w:r>
            <w:r>
              <w:rPr>
                <w:rFonts w:hint="eastAsia" w:ascii="黑体" w:hAnsi="宋体" w:eastAsia="黑体" w:cs="黑体"/>
                <w:color w:val="000000"/>
                <w:spacing w:val="-6"/>
                <w:kern w:val="21"/>
                <w:szCs w:val="21"/>
                <w:bdr w:val="none" w:color="auto" w:sz="0" w:space="0"/>
                <w:lang w:val="en-US"/>
              </w:rPr>
              <w:instrText xml:space="preserve"> </w:instrText>
            </w:r>
            <w:r>
              <w:rPr>
                <w:rFonts w:hint="eastAsia" w:ascii="黑体" w:hAnsi="宋体" w:eastAsia="黑体" w:cs="黑体"/>
                <w:snapToGrid w:val="0"/>
                <w:color w:val="000000"/>
                <w:spacing w:val="-6"/>
                <w:kern w:val="21"/>
                <w:szCs w:val="21"/>
                <w:bdr w:val="none" w:color="auto" w:sz="0" w:space="0"/>
                <w:lang w:val="en-US"/>
              </w:rPr>
              <w:instrText xml:space="preserve">= 7 \* GB3 \* MERGEFORMAT </w:instrText>
            </w:r>
            <w:r>
              <w:rPr>
                <w:rFonts w:hint="eastAsia" w:ascii="黑体" w:hAnsi="宋体" w:eastAsia="黑体" w:cs="黑体"/>
                <w:color w:val="000000"/>
                <w:spacing w:val="-6"/>
                <w:kern w:val="21"/>
                <w:szCs w:val="21"/>
                <w:bdr w:val="none" w:color="auto" w:sz="0" w:space="0"/>
                <w:lang w:val="en-US"/>
              </w:rPr>
              <w:fldChar w:fldCharType="separate"/>
            </w:r>
            <w:r>
              <w:rPr>
                <w:rFonts w:hint="eastAsia" w:ascii="黑体" w:hAnsi="宋体" w:eastAsia="黑体" w:cs="宋体"/>
                <w:color w:val="000000"/>
                <w:kern w:val="2"/>
                <w:szCs w:val="21"/>
                <w:bdr w:val="none" w:color="auto" w:sz="0" w:space="0"/>
              </w:rPr>
              <w:t>⑦</w:t>
            </w:r>
            <w:r>
              <w:rPr>
                <w:rFonts w:hint="eastAsia" w:ascii="黑体" w:hAnsi="宋体" w:eastAsia="黑体" w:cs="黑体"/>
                <w:color w:val="000000"/>
                <w:spacing w:val="-6"/>
                <w:kern w:val="21"/>
                <w:szCs w:val="21"/>
                <w:bdr w:val="none" w:color="auto" w:sz="0" w:space="0"/>
                <w:lang w:val="en-US"/>
              </w:rPr>
              <w:fldChar w:fldCharType="end"/>
            </w:r>
          </w:p>
        </w:tc>
      </w:tr>
      <w:tr w14:paraId="3D2A9E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304" w:type="dxa"/>
            <w:vMerge w:val="restart"/>
            <w:tcBorders>
              <w:top w:val="single" w:color="auto" w:sz="4" w:space="0"/>
              <w:left w:val="single" w:color="auto" w:sz="8" w:space="0"/>
              <w:bottom w:val="single" w:color="auto" w:sz="4" w:space="0"/>
              <w:right w:val="single" w:color="auto" w:sz="4" w:space="0"/>
            </w:tcBorders>
            <w:shd w:val="clear"/>
            <w:vAlign w:val="center"/>
          </w:tcPr>
          <w:p w14:paraId="6963A3B1">
            <w:pPr>
              <w:pStyle w:val="58"/>
              <w:widowControl/>
              <w:spacing w:before="24" w:beforeLines="10" w:beforeAutospacing="0" w:after="0" w:afterAutospacing="0" w:line="400" w:lineRule="exact"/>
              <w:ind w:left="0" w:right="0"/>
              <w:rPr>
                <w:rFonts w:hAnsi="宋体" w:cs="宋体"/>
                <w:color w:val="000000"/>
                <w:kern w:val="21"/>
                <w:szCs w:val="21"/>
                <w:bdr w:val="none" w:color="auto" w:sz="0" w:space="0"/>
                <w:lang w:val="en-US"/>
              </w:rPr>
            </w:pPr>
            <w:r>
              <w:rPr>
                <w:rFonts w:hAnsi="宋体" w:cs="宋体"/>
                <w:snapToGrid w:val="0"/>
                <w:color w:val="000000"/>
                <w:kern w:val="21"/>
                <w:szCs w:val="21"/>
                <w:bdr w:val="none" w:color="auto" w:sz="0" w:space="0"/>
              </w:rPr>
              <w:t>废气</w:t>
            </w:r>
          </w:p>
        </w:tc>
        <w:tc>
          <w:tcPr>
            <w:tcW w:w="1702" w:type="dxa"/>
            <w:tcBorders>
              <w:top w:val="single" w:color="auto" w:sz="4" w:space="0"/>
              <w:left w:val="single" w:color="auto" w:sz="4" w:space="0"/>
              <w:bottom w:val="single" w:color="auto" w:sz="4" w:space="0"/>
              <w:right w:val="single" w:color="auto" w:sz="4" w:space="0"/>
            </w:tcBorders>
            <w:shd w:val="clear"/>
            <w:vAlign w:val="center"/>
          </w:tcPr>
          <w:p w14:paraId="21DFB4BE">
            <w:pPr>
              <w:pStyle w:val="56"/>
              <w:widowControl/>
              <w:spacing w:line="400" w:lineRule="exact"/>
              <w:rPr>
                <w:rFonts w:hint="default" w:ascii="Times New Roman" w:hAnsi="Tahoma" w:cs="Tahoma"/>
                <w:bCs/>
                <w:color w:val="000000"/>
                <w:bdr w:val="none" w:color="auto" w:sz="0" w:space="0"/>
                <w:lang w:val="en-US"/>
              </w:rPr>
            </w:pPr>
            <w:r>
              <w:rPr>
                <w:rFonts w:hint="eastAsia" w:ascii="Times New Roman" w:hAnsi="Tahoma" w:eastAsia="宋体" w:cs="宋体"/>
                <w:bCs/>
                <w:color w:val="000000"/>
                <w:bdr w:val="none" w:color="auto" w:sz="0" w:space="0"/>
              </w:rPr>
              <w:t>颗粒物</w:t>
            </w:r>
          </w:p>
        </w:tc>
        <w:tc>
          <w:tcPr>
            <w:tcW w:w="1702" w:type="dxa"/>
            <w:tcBorders>
              <w:top w:val="single" w:color="auto" w:sz="4" w:space="0"/>
              <w:left w:val="single" w:color="auto" w:sz="4" w:space="0"/>
              <w:bottom w:val="single" w:color="auto" w:sz="4" w:space="0"/>
              <w:right w:val="single" w:color="auto" w:sz="4" w:space="0"/>
            </w:tcBorders>
            <w:shd w:val="clear"/>
            <w:vAlign w:val="center"/>
          </w:tcPr>
          <w:p w14:paraId="323ED7BF">
            <w:pPr>
              <w:pStyle w:val="56"/>
              <w:widowControl/>
              <w:spacing w:line="300" w:lineRule="exact"/>
              <w:rPr>
                <w:rFonts w:hint="default" w:ascii="Times New Roman" w:hAnsi="Tahoma" w:cs="Tahoma"/>
                <w:bCs/>
                <w:color w:val="000000"/>
                <w:bdr w:val="none" w:color="auto" w:sz="0" w:space="0"/>
                <w:lang w:val="en-US"/>
              </w:rPr>
            </w:pPr>
            <w:r>
              <w:rPr>
                <w:rFonts w:hint="default" w:ascii="Times New Roman" w:hAnsi="Tahoma" w:cs="Tahoma"/>
                <w:bCs/>
                <w:color w:val="000000"/>
                <w:bdr w:val="none" w:color="auto" w:sz="0" w:space="0"/>
                <w:lang w:val="en-US"/>
              </w:rPr>
              <w:t>0.015</w:t>
            </w:r>
          </w:p>
        </w:tc>
        <w:tc>
          <w:tcPr>
            <w:tcW w:w="1276" w:type="dxa"/>
            <w:tcBorders>
              <w:top w:val="single" w:color="auto" w:sz="4" w:space="0"/>
              <w:left w:val="single" w:color="auto" w:sz="4" w:space="0"/>
              <w:bottom w:val="single" w:color="auto" w:sz="4" w:space="0"/>
              <w:right w:val="single" w:color="auto" w:sz="4" w:space="0"/>
            </w:tcBorders>
            <w:shd w:val="clear"/>
            <w:vAlign w:val="center"/>
          </w:tcPr>
          <w:p w14:paraId="27B021ED">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bdr w:val="none" w:color="auto" w:sz="0" w:space="0"/>
                <w:lang w:val="en-US"/>
              </w:rPr>
            </w:pPr>
            <w:r>
              <w:rPr>
                <w:rFonts w:hint="default" w:ascii="Times New Roman" w:hAnsi="Times New Roman" w:cs="Times New Roman"/>
                <w:snapToGrid w:val="0"/>
                <w:color w:val="000000"/>
                <w:kern w:val="21"/>
                <w:szCs w:val="21"/>
                <w:bdr w:val="none" w:color="auto" w:sz="0" w:space="0"/>
                <w:lang w:val="en-US"/>
              </w:rPr>
              <w:t>/</w:t>
            </w:r>
          </w:p>
        </w:tc>
        <w:tc>
          <w:tcPr>
            <w:tcW w:w="1702" w:type="dxa"/>
            <w:tcBorders>
              <w:top w:val="single" w:color="auto" w:sz="4" w:space="0"/>
              <w:left w:val="single" w:color="auto" w:sz="4" w:space="0"/>
              <w:bottom w:val="single" w:color="auto" w:sz="4" w:space="0"/>
              <w:right w:val="single" w:color="auto" w:sz="4" w:space="0"/>
            </w:tcBorders>
            <w:shd w:val="clear"/>
            <w:vAlign w:val="center"/>
          </w:tcPr>
          <w:p w14:paraId="5D9F6F1C">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bdr w:val="none" w:color="auto" w:sz="0" w:space="0"/>
                <w:lang w:val="en-US"/>
              </w:rPr>
            </w:pPr>
            <w:r>
              <w:rPr>
                <w:rFonts w:hint="default" w:ascii="Times New Roman" w:hAnsi="Times New Roman" w:cs="Times New Roman"/>
                <w:snapToGrid w:val="0"/>
                <w:color w:val="000000"/>
                <w:kern w:val="21"/>
                <w:szCs w:val="21"/>
                <w:bdr w:val="none" w:color="auto" w:sz="0" w:space="0"/>
                <w:lang w:val="en-US"/>
              </w:rPr>
              <w:t>/</w:t>
            </w:r>
          </w:p>
        </w:tc>
        <w:tc>
          <w:tcPr>
            <w:tcW w:w="1559" w:type="dxa"/>
            <w:tcBorders>
              <w:top w:val="single" w:color="auto" w:sz="4" w:space="0"/>
              <w:left w:val="single" w:color="auto" w:sz="4" w:space="0"/>
              <w:bottom w:val="single" w:color="auto" w:sz="4" w:space="0"/>
              <w:right w:val="single" w:color="auto" w:sz="4" w:space="0"/>
            </w:tcBorders>
            <w:shd w:val="clear"/>
            <w:vAlign w:val="center"/>
          </w:tcPr>
          <w:p w14:paraId="06BF713E">
            <w:pPr>
              <w:keepNext w:val="0"/>
              <w:keepLines w:val="0"/>
              <w:widowControl w:val="0"/>
              <w:suppressLineNumbers w:val="0"/>
              <w:autoSpaceDE w:val="0"/>
              <w:autoSpaceDN w:val="0"/>
              <w:snapToGrid w:val="0"/>
              <w:spacing w:before="0" w:beforeAutospacing="0" w:after="0" w:afterAutospacing="0" w:line="300" w:lineRule="exact"/>
              <w:ind w:left="0" w:right="0"/>
              <w:jc w:val="center"/>
              <w:rPr>
                <w:rFonts w:hint="default" w:ascii="Times New Roman" w:hAnsi="Calibri" w:cs="Times New Roman"/>
                <w:color w:val="000000"/>
                <w:szCs w:val="21"/>
                <w:bdr w:val="none" w:color="auto" w:sz="0" w:space="0"/>
                <w:lang w:val="en-US"/>
              </w:rPr>
            </w:pPr>
            <w:r>
              <w:rPr>
                <w:rFonts w:hint="default" w:ascii="Times New Roman" w:hAnsi="Calibri" w:eastAsia="宋体" w:cs="Times New Roman"/>
                <w:color w:val="000000"/>
                <w:kern w:val="2"/>
                <w:sz w:val="21"/>
                <w:szCs w:val="21"/>
                <w:bdr w:val="none" w:color="auto" w:sz="0" w:space="0"/>
                <w:lang w:val="en-US" w:eastAsia="zh-CN" w:bidi="ar"/>
              </w:rPr>
              <w:t>0.048</w:t>
            </w:r>
          </w:p>
        </w:tc>
        <w:tc>
          <w:tcPr>
            <w:tcW w:w="1559" w:type="dxa"/>
            <w:tcBorders>
              <w:top w:val="single" w:color="auto" w:sz="4" w:space="0"/>
              <w:left w:val="single" w:color="auto" w:sz="4" w:space="0"/>
              <w:bottom w:val="single" w:color="auto" w:sz="4" w:space="0"/>
              <w:right w:val="single" w:color="auto" w:sz="4" w:space="0"/>
            </w:tcBorders>
            <w:shd w:val="clear"/>
            <w:vAlign w:val="center"/>
          </w:tcPr>
          <w:p w14:paraId="3D14BD9C">
            <w:pPr>
              <w:pStyle w:val="56"/>
              <w:widowControl/>
              <w:spacing w:line="300" w:lineRule="exact"/>
              <w:rPr>
                <w:rFonts w:hint="default" w:ascii="Times New Roman" w:hAnsi="Tahoma" w:cs="Tahoma"/>
                <w:bCs/>
                <w:color w:val="000000"/>
                <w:bdr w:val="none" w:color="auto" w:sz="0" w:space="0"/>
                <w:lang w:val="en-US"/>
              </w:rPr>
            </w:pPr>
            <w:r>
              <w:rPr>
                <w:rFonts w:hint="default" w:ascii="Times New Roman" w:hAnsi="Tahoma" w:cs="Tahoma"/>
                <w:bCs/>
                <w:color w:val="000000"/>
                <w:bdr w:val="none" w:color="auto" w:sz="0" w:space="0"/>
                <w:lang w:val="en-US"/>
              </w:rPr>
              <w:t>0.015</w:t>
            </w:r>
          </w:p>
        </w:tc>
        <w:tc>
          <w:tcPr>
            <w:tcW w:w="1843" w:type="dxa"/>
            <w:tcBorders>
              <w:top w:val="single" w:color="auto" w:sz="4" w:space="0"/>
              <w:left w:val="single" w:color="auto" w:sz="4" w:space="0"/>
              <w:bottom w:val="single" w:color="auto" w:sz="4" w:space="0"/>
              <w:right w:val="single" w:color="auto" w:sz="4" w:space="0"/>
            </w:tcBorders>
            <w:shd w:val="clear"/>
            <w:vAlign w:val="center"/>
          </w:tcPr>
          <w:p w14:paraId="2F752727">
            <w:pPr>
              <w:keepNext w:val="0"/>
              <w:keepLines w:val="0"/>
              <w:widowControl w:val="0"/>
              <w:suppressLineNumbers w:val="0"/>
              <w:autoSpaceDE w:val="0"/>
              <w:autoSpaceDN w:val="0"/>
              <w:snapToGrid w:val="0"/>
              <w:spacing w:before="0" w:beforeAutospacing="0" w:after="0" w:afterAutospacing="0" w:line="300" w:lineRule="exact"/>
              <w:ind w:left="0" w:right="0"/>
              <w:jc w:val="center"/>
              <w:rPr>
                <w:rFonts w:hint="default" w:ascii="Times New Roman" w:hAnsi="Calibri" w:cs="Times New Roman"/>
                <w:color w:val="000000"/>
                <w:szCs w:val="21"/>
                <w:bdr w:val="none" w:color="auto" w:sz="0" w:space="0"/>
                <w:lang w:val="en-US"/>
              </w:rPr>
            </w:pPr>
            <w:r>
              <w:rPr>
                <w:rFonts w:hint="default" w:ascii="Times New Roman" w:hAnsi="Calibri" w:eastAsia="宋体" w:cs="Times New Roman"/>
                <w:color w:val="000000"/>
                <w:kern w:val="2"/>
                <w:sz w:val="21"/>
                <w:szCs w:val="21"/>
                <w:bdr w:val="none" w:color="auto" w:sz="0" w:space="0"/>
                <w:lang w:val="en-US" w:eastAsia="zh-CN" w:bidi="ar"/>
              </w:rPr>
              <w:t>0.048</w:t>
            </w:r>
          </w:p>
        </w:tc>
        <w:tc>
          <w:tcPr>
            <w:tcW w:w="1144" w:type="dxa"/>
            <w:tcBorders>
              <w:top w:val="single" w:color="auto" w:sz="4" w:space="0"/>
              <w:left w:val="single" w:color="auto" w:sz="4" w:space="0"/>
              <w:bottom w:val="single" w:color="auto" w:sz="4" w:space="0"/>
              <w:right w:val="single" w:color="auto" w:sz="8" w:space="0"/>
            </w:tcBorders>
            <w:shd w:val="clear"/>
            <w:vAlign w:val="center"/>
          </w:tcPr>
          <w:p w14:paraId="6AC7C76A">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+0.033</w:t>
            </w:r>
          </w:p>
        </w:tc>
      </w:tr>
      <w:tr w14:paraId="543665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304" w:type="dxa"/>
            <w:vMerge w:val="continue"/>
            <w:tcBorders>
              <w:top w:val="single" w:color="auto" w:sz="4" w:space="0"/>
              <w:left w:val="single" w:color="auto" w:sz="8" w:space="0"/>
              <w:bottom w:val="single" w:color="auto" w:sz="4" w:space="0"/>
              <w:right w:val="single" w:color="auto" w:sz="4" w:space="0"/>
            </w:tcBorders>
            <w:shd w:val="clear"/>
            <w:vAlign w:val="center"/>
          </w:tcPr>
          <w:p w14:paraId="26E04009">
            <w:pPr>
              <w:rPr>
                <w:rFonts w:hint="default" w:ascii="Calibri" w:hAnsi="Calibri" w:cs="Calibri"/>
                <w:sz w:val="20"/>
                <w:szCs w:val="20"/>
              </w:rPr>
            </w:pPr>
          </w:p>
        </w:tc>
        <w:tc>
          <w:tcPr>
            <w:tcW w:w="1702" w:type="dxa"/>
            <w:tcBorders>
              <w:top w:val="single" w:color="auto" w:sz="4" w:space="0"/>
              <w:left w:val="single" w:color="auto" w:sz="4" w:space="0"/>
              <w:bottom w:val="single" w:color="auto" w:sz="4" w:space="0"/>
              <w:right w:val="single" w:color="auto" w:sz="4" w:space="0"/>
            </w:tcBorders>
            <w:shd w:val="clear"/>
            <w:vAlign w:val="center"/>
          </w:tcPr>
          <w:p w14:paraId="17D356D0">
            <w:pPr>
              <w:pStyle w:val="56"/>
              <w:widowControl/>
              <w:spacing w:line="400" w:lineRule="exact"/>
              <w:rPr>
                <w:rFonts w:hint="default" w:ascii="Times New Roman" w:hAnsi="Tahoma" w:cs="Tahoma"/>
                <w:bCs/>
                <w:color w:val="000000"/>
                <w:bdr w:val="none" w:color="auto" w:sz="0" w:space="0"/>
                <w:lang w:val="en-US"/>
              </w:rPr>
            </w:pPr>
            <w:r>
              <w:rPr>
                <w:rFonts w:hint="eastAsia" w:ascii="Times New Roman" w:hAnsi="Times New Roman" w:eastAsia="宋体" w:cs="宋体"/>
                <w:color w:val="000000"/>
                <w:bdr w:val="none" w:color="auto" w:sz="0" w:space="0"/>
              </w:rPr>
              <w:t>非甲烷总烃</w:t>
            </w:r>
          </w:p>
        </w:tc>
        <w:tc>
          <w:tcPr>
            <w:tcW w:w="1702" w:type="dxa"/>
            <w:tcBorders>
              <w:top w:val="single" w:color="auto" w:sz="4" w:space="0"/>
              <w:left w:val="single" w:color="auto" w:sz="4" w:space="0"/>
              <w:bottom w:val="single" w:color="auto" w:sz="4" w:space="0"/>
              <w:right w:val="single" w:color="auto" w:sz="4" w:space="0"/>
            </w:tcBorders>
            <w:shd w:val="clear"/>
            <w:vAlign w:val="center"/>
          </w:tcPr>
          <w:p w14:paraId="20B9F7E9">
            <w:pPr>
              <w:pStyle w:val="56"/>
              <w:widowControl/>
              <w:spacing w:line="300" w:lineRule="exact"/>
              <w:rPr>
                <w:rFonts w:hint="default" w:ascii="Times New Roman" w:hAnsi="Tahoma" w:cs="Tahoma"/>
                <w:bCs/>
                <w:color w:val="000000"/>
                <w:bdr w:val="none" w:color="auto" w:sz="0" w:space="0"/>
                <w:lang w:val="en-US"/>
              </w:rPr>
            </w:pPr>
            <w:r>
              <w:rPr>
                <w:rFonts w:hint="default" w:ascii="Times New Roman" w:hAnsi="Tahoma" w:cs="Tahoma"/>
                <w:bCs/>
                <w:color w:val="000000"/>
                <w:bdr w:val="none" w:color="auto" w:sz="0" w:space="0"/>
                <w:lang w:val="en-US"/>
              </w:rPr>
              <w:t>0.028</w:t>
            </w:r>
          </w:p>
        </w:tc>
        <w:tc>
          <w:tcPr>
            <w:tcW w:w="1276" w:type="dxa"/>
            <w:tcBorders>
              <w:top w:val="single" w:color="auto" w:sz="4" w:space="0"/>
              <w:left w:val="single" w:color="auto" w:sz="4" w:space="0"/>
              <w:bottom w:val="single" w:color="auto" w:sz="4" w:space="0"/>
              <w:right w:val="single" w:color="auto" w:sz="4" w:space="0"/>
            </w:tcBorders>
            <w:shd w:val="clear"/>
            <w:vAlign w:val="center"/>
          </w:tcPr>
          <w:p w14:paraId="6E8CA9E4">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bdr w:val="none" w:color="auto" w:sz="0" w:space="0"/>
                <w:lang w:val="en-US"/>
              </w:rPr>
            </w:pPr>
            <w:r>
              <w:rPr>
                <w:rFonts w:hint="default" w:ascii="Times New Roman" w:hAnsi="Times New Roman" w:cs="Times New Roman"/>
                <w:snapToGrid w:val="0"/>
                <w:color w:val="000000"/>
                <w:kern w:val="21"/>
                <w:szCs w:val="21"/>
                <w:bdr w:val="none" w:color="auto" w:sz="0" w:space="0"/>
                <w:lang w:val="en-US"/>
              </w:rPr>
              <w:t>/</w:t>
            </w:r>
          </w:p>
        </w:tc>
        <w:tc>
          <w:tcPr>
            <w:tcW w:w="1702" w:type="dxa"/>
            <w:tcBorders>
              <w:top w:val="single" w:color="auto" w:sz="4" w:space="0"/>
              <w:left w:val="single" w:color="auto" w:sz="4" w:space="0"/>
              <w:bottom w:val="single" w:color="auto" w:sz="4" w:space="0"/>
              <w:right w:val="single" w:color="auto" w:sz="4" w:space="0"/>
            </w:tcBorders>
            <w:shd w:val="clear"/>
            <w:vAlign w:val="center"/>
          </w:tcPr>
          <w:p w14:paraId="74523453">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bdr w:val="none" w:color="auto" w:sz="0" w:space="0"/>
                <w:lang w:val="en-US"/>
              </w:rPr>
            </w:pPr>
            <w:r>
              <w:rPr>
                <w:rFonts w:hint="default" w:ascii="Times New Roman" w:hAnsi="Times New Roman" w:cs="Times New Roman"/>
                <w:snapToGrid w:val="0"/>
                <w:color w:val="000000"/>
                <w:kern w:val="21"/>
                <w:szCs w:val="21"/>
                <w:bdr w:val="none" w:color="auto" w:sz="0" w:space="0"/>
                <w:lang w:val="en-US"/>
              </w:rPr>
              <w:t>/</w:t>
            </w:r>
          </w:p>
        </w:tc>
        <w:tc>
          <w:tcPr>
            <w:tcW w:w="1559" w:type="dxa"/>
            <w:tcBorders>
              <w:top w:val="single" w:color="auto" w:sz="4" w:space="0"/>
              <w:left w:val="single" w:color="auto" w:sz="4" w:space="0"/>
              <w:bottom w:val="single" w:color="auto" w:sz="4" w:space="0"/>
              <w:right w:val="single" w:color="auto" w:sz="4" w:space="0"/>
            </w:tcBorders>
            <w:shd w:val="clear"/>
            <w:vAlign w:val="center"/>
          </w:tcPr>
          <w:p w14:paraId="0930FF8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0.107</w:t>
            </w:r>
          </w:p>
        </w:tc>
        <w:tc>
          <w:tcPr>
            <w:tcW w:w="1559" w:type="dxa"/>
            <w:tcBorders>
              <w:top w:val="single" w:color="auto" w:sz="4" w:space="0"/>
              <w:left w:val="single" w:color="auto" w:sz="4" w:space="0"/>
              <w:bottom w:val="single" w:color="auto" w:sz="4" w:space="0"/>
              <w:right w:val="single" w:color="auto" w:sz="4" w:space="0"/>
            </w:tcBorders>
            <w:shd w:val="clear"/>
            <w:vAlign w:val="center"/>
          </w:tcPr>
          <w:p w14:paraId="07EBD2F5">
            <w:pPr>
              <w:pStyle w:val="56"/>
              <w:widowControl/>
              <w:spacing w:line="300" w:lineRule="exact"/>
              <w:rPr>
                <w:rFonts w:hint="default" w:ascii="Times New Roman" w:hAnsi="Tahoma" w:cs="Tahoma"/>
                <w:bCs/>
                <w:color w:val="000000"/>
                <w:bdr w:val="none" w:color="auto" w:sz="0" w:space="0"/>
                <w:lang w:val="en-US"/>
              </w:rPr>
            </w:pPr>
            <w:r>
              <w:rPr>
                <w:rFonts w:hint="default" w:ascii="Times New Roman" w:hAnsi="Tahoma" w:cs="Tahoma"/>
                <w:bCs/>
                <w:color w:val="000000"/>
                <w:bdr w:val="none" w:color="auto" w:sz="0" w:space="0"/>
                <w:lang w:val="en-US"/>
              </w:rPr>
              <w:t>0.028</w:t>
            </w:r>
          </w:p>
        </w:tc>
        <w:tc>
          <w:tcPr>
            <w:tcW w:w="1843" w:type="dxa"/>
            <w:tcBorders>
              <w:top w:val="single" w:color="auto" w:sz="4" w:space="0"/>
              <w:left w:val="single" w:color="auto" w:sz="4" w:space="0"/>
              <w:bottom w:val="single" w:color="auto" w:sz="4" w:space="0"/>
              <w:right w:val="single" w:color="auto" w:sz="4" w:space="0"/>
            </w:tcBorders>
            <w:shd w:val="clear"/>
            <w:vAlign w:val="center"/>
          </w:tcPr>
          <w:p w14:paraId="09753D0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0.107</w:t>
            </w:r>
          </w:p>
        </w:tc>
        <w:tc>
          <w:tcPr>
            <w:tcW w:w="1144" w:type="dxa"/>
            <w:tcBorders>
              <w:top w:val="single" w:color="auto" w:sz="4" w:space="0"/>
              <w:left w:val="single" w:color="auto" w:sz="4" w:space="0"/>
              <w:bottom w:val="single" w:color="auto" w:sz="4" w:space="0"/>
              <w:right w:val="single" w:color="auto" w:sz="8" w:space="0"/>
            </w:tcBorders>
            <w:shd w:val="clear"/>
            <w:vAlign w:val="center"/>
          </w:tcPr>
          <w:p w14:paraId="199C2E1E">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+0.079</w:t>
            </w:r>
          </w:p>
        </w:tc>
      </w:tr>
      <w:tr w14:paraId="0F5A63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304" w:type="dxa"/>
            <w:vMerge w:val="continue"/>
            <w:tcBorders>
              <w:top w:val="single" w:color="auto" w:sz="4" w:space="0"/>
              <w:left w:val="single" w:color="auto" w:sz="8" w:space="0"/>
              <w:bottom w:val="single" w:color="auto" w:sz="4" w:space="0"/>
              <w:right w:val="single" w:color="auto" w:sz="4" w:space="0"/>
            </w:tcBorders>
            <w:shd w:val="clear"/>
            <w:vAlign w:val="center"/>
          </w:tcPr>
          <w:p w14:paraId="226F9312">
            <w:pPr>
              <w:rPr>
                <w:rFonts w:hint="default" w:ascii="Calibri" w:hAnsi="Calibri" w:cs="Calibri"/>
                <w:sz w:val="20"/>
                <w:szCs w:val="20"/>
              </w:rPr>
            </w:pPr>
          </w:p>
        </w:tc>
        <w:tc>
          <w:tcPr>
            <w:tcW w:w="1702" w:type="dxa"/>
            <w:tcBorders>
              <w:top w:val="single" w:color="auto" w:sz="4" w:space="0"/>
              <w:left w:val="single" w:color="auto" w:sz="4" w:space="0"/>
              <w:bottom w:val="single" w:color="auto" w:sz="4" w:space="0"/>
              <w:right w:val="single" w:color="auto" w:sz="4" w:space="0"/>
            </w:tcBorders>
            <w:shd w:val="clear"/>
            <w:vAlign w:val="center"/>
          </w:tcPr>
          <w:p w14:paraId="62F79298">
            <w:pPr>
              <w:pStyle w:val="56"/>
              <w:widowControl/>
              <w:spacing w:line="400" w:lineRule="exact"/>
              <w:rPr>
                <w:rFonts w:hint="default" w:ascii="Times New Roman" w:hAnsi="Tahoma" w:cs="Tahoma"/>
                <w:bCs/>
                <w:color w:val="000000"/>
                <w:bdr w:val="none" w:color="auto" w:sz="0" w:space="0"/>
                <w:lang w:val="en-US"/>
              </w:rPr>
            </w:pPr>
            <w:r>
              <w:rPr>
                <w:rFonts w:hint="default" w:ascii="Times New Roman" w:hAnsi="Tahoma" w:cs="Tahoma"/>
                <w:bCs/>
                <w:color w:val="000000"/>
                <w:bdr w:val="none" w:color="auto" w:sz="0" w:space="0"/>
                <w:lang w:val="en-US"/>
              </w:rPr>
              <w:t>MDI</w:t>
            </w:r>
          </w:p>
        </w:tc>
        <w:tc>
          <w:tcPr>
            <w:tcW w:w="1702" w:type="dxa"/>
            <w:tcBorders>
              <w:top w:val="single" w:color="auto" w:sz="4" w:space="0"/>
              <w:left w:val="single" w:color="auto" w:sz="4" w:space="0"/>
              <w:bottom w:val="single" w:color="auto" w:sz="4" w:space="0"/>
              <w:right w:val="single" w:color="auto" w:sz="4" w:space="0"/>
            </w:tcBorders>
            <w:shd w:val="clear"/>
            <w:vAlign w:val="center"/>
          </w:tcPr>
          <w:p w14:paraId="5851AD71">
            <w:pPr>
              <w:pStyle w:val="56"/>
              <w:widowControl/>
              <w:spacing w:line="300" w:lineRule="exact"/>
              <w:rPr>
                <w:rFonts w:hint="default" w:ascii="Times New Roman" w:hAnsi="Tahoma" w:cs="Tahoma"/>
                <w:bCs/>
                <w:color w:val="000000"/>
                <w:bdr w:val="none" w:color="auto" w:sz="0" w:space="0"/>
                <w:lang w:val="en-US"/>
              </w:rPr>
            </w:pPr>
            <w:r>
              <w:rPr>
                <w:rFonts w:hint="default" w:ascii="Times New Roman" w:hAnsi="Tahoma" w:cs="Tahoma"/>
                <w:bCs/>
                <w:color w:val="000000"/>
                <w:bdr w:val="none" w:color="auto" w:sz="0" w:space="0"/>
                <w:lang w:val="en-US"/>
              </w:rPr>
              <w:t>0.018</w:t>
            </w:r>
          </w:p>
        </w:tc>
        <w:tc>
          <w:tcPr>
            <w:tcW w:w="1276" w:type="dxa"/>
            <w:tcBorders>
              <w:top w:val="single" w:color="auto" w:sz="4" w:space="0"/>
              <w:left w:val="single" w:color="auto" w:sz="4" w:space="0"/>
              <w:bottom w:val="single" w:color="auto" w:sz="4" w:space="0"/>
              <w:right w:val="single" w:color="auto" w:sz="4" w:space="0"/>
            </w:tcBorders>
            <w:shd w:val="clear"/>
            <w:vAlign w:val="center"/>
          </w:tcPr>
          <w:p w14:paraId="4D88ED78">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bdr w:val="none" w:color="auto" w:sz="0" w:space="0"/>
                <w:lang w:val="en-US"/>
              </w:rPr>
            </w:pPr>
            <w:r>
              <w:rPr>
                <w:rFonts w:hint="default" w:ascii="Times New Roman" w:hAnsi="Times New Roman" w:cs="Times New Roman"/>
                <w:snapToGrid w:val="0"/>
                <w:color w:val="000000"/>
                <w:kern w:val="21"/>
                <w:szCs w:val="21"/>
                <w:bdr w:val="none" w:color="auto" w:sz="0" w:space="0"/>
                <w:lang w:val="en-US"/>
              </w:rPr>
              <w:t>/</w:t>
            </w:r>
          </w:p>
        </w:tc>
        <w:tc>
          <w:tcPr>
            <w:tcW w:w="1702" w:type="dxa"/>
            <w:tcBorders>
              <w:top w:val="single" w:color="auto" w:sz="4" w:space="0"/>
              <w:left w:val="single" w:color="auto" w:sz="4" w:space="0"/>
              <w:bottom w:val="single" w:color="auto" w:sz="4" w:space="0"/>
              <w:right w:val="single" w:color="auto" w:sz="4" w:space="0"/>
            </w:tcBorders>
            <w:shd w:val="clear"/>
            <w:vAlign w:val="center"/>
          </w:tcPr>
          <w:p w14:paraId="5A1049F1">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bdr w:val="none" w:color="auto" w:sz="0" w:space="0"/>
                <w:lang w:val="en-US"/>
              </w:rPr>
            </w:pPr>
            <w:r>
              <w:rPr>
                <w:rFonts w:hint="default" w:ascii="Times New Roman" w:hAnsi="Times New Roman" w:cs="Times New Roman"/>
                <w:snapToGrid w:val="0"/>
                <w:color w:val="000000"/>
                <w:kern w:val="21"/>
                <w:szCs w:val="21"/>
                <w:bdr w:val="none" w:color="auto" w:sz="0" w:space="0"/>
                <w:lang w:val="en-US"/>
              </w:rPr>
              <w:t>/</w:t>
            </w:r>
          </w:p>
        </w:tc>
        <w:tc>
          <w:tcPr>
            <w:tcW w:w="1559" w:type="dxa"/>
            <w:tcBorders>
              <w:top w:val="single" w:color="auto" w:sz="4" w:space="0"/>
              <w:left w:val="single" w:color="auto" w:sz="4" w:space="0"/>
              <w:bottom w:val="single" w:color="auto" w:sz="4" w:space="0"/>
              <w:right w:val="single" w:color="auto" w:sz="4" w:space="0"/>
            </w:tcBorders>
            <w:shd w:val="clear"/>
            <w:vAlign w:val="center"/>
          </w:tcPr>
          <w:p w14:paraId="3399324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0.030</w:t>
            </w:r>
          </w:p>
        </w:tc>
        <w:tc>
          <w:tcPr>
            <w:tcW w:w="1559" w:type="dxa"/>
            <w:tcBorders>
              <w:top w:val="single" w:color="auto" w:sz="4" w:space="0"/>
              <w:left w:val="single" w:color="auto" w:sz="4" w:space="0"/>
              <w:bottom w:val="single" w:color="auto" w:sz="4" w:space="0"/>
              <w:right w:val="single" w:color="auto" w:sz="4" w:space="0"/>
            </w:tcBorders>
            <w:shd w:val="clear"/>
            <w:vAlign w:val="center"/>
          </w:tcPr>
          <w:p w14:paraId="67ABD634">
            <w:pPr>
              <w:pStyle w:val="56"/>
              <w:widowControl/>
              <w:spacing w:line="300" w:lineRule="exact"/>
              <w:rPr>
                <w:rFonts w:hint="default" w:ascii="Times New Roman" w:hAnsi="Tahoma" w:cs="Tahoma"/>
                <w:bCs/>
                <w:color w:val="000000"/>
                <w:bdr w:val="none" w:color="auto" w:sz="0" w:space="0"/>
                <w:lang w:val="en-US"/>
              </w:rPr>
            </w:pPr>
            <w:r>
              <w:rPr>
                <w:rFonts w:hint="default" w:ascii="Times New Roman" w:hAnsi="Tahoma" w:cs="Tahoma"/>
                <w:bCs/>
                <w:color w:val="000000"/>
                <w:bdr w:val="none" w:color="auto" w:sz="0" w:space="0"/>
                <w:lang w:val="en-US"/>
              </w:rPr>
              <w:t>0.018</w:t>
            </w:r>
          </w:p>
        </w:tc>
        <w:tc>
          <w:tcPr>
            <w:tcW w:w="1843" w:type="dxa"/>
            <w:tcBorders>
              <w:top w:val="single" w:color="auto" w:sz="4" w:space="0"/>
              <w:left w:val="single" w:color="auto" w:sz="4" w:space="0"/>
              <w:bottom w:val="single" w:color="auto" w:sz="4" w:space="0"/>
              <w:right w:val="single" w:color="auto" w:sz="4" w:space="0"/>
            </w:tcBorders>
            <w:shd w:val="clear"/>
            <w:vAlign w:val="center"/>
          </w:tcPr>
          <w:p w14:paraId="3B62FC1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kern w:val="28"/>
                <w:szCs w:val="21"/>
                <w:bdr w:val="none" w:color="auto" w:sz="0" w:space="0"/>
                <w:lang w:val="en-US"/>
              </w:rPr>
            </w:pPr>
            <w:r>
              <w:rPr>
                <w:rFonts w:hint="default" w:ascii="Times New Roman" w:hAnsi="Times New Roman" w:eastAsia="宋体" w:cs="Times New Roman"/>
                <w:snapToGrid w:val="0"/>
                <w:color w:val="000000"/>
                <w:kern w:val="28"/>
                <w:sz w:val="21"/>
                <w:szCs w:val="21"/>
                <w:bdr w:val="none" w:color="auto" w:sz="0" w:space="0"/>
                <w:lang w:val="en-US" w:eastAsia="zh-CN" w:bidi="ar"/>
              </w:rPr>
              <w:t>0.030</w:t>
            </w:r>
          </w:p>
        </w:tc>
        <w:tc>
          <w:tcPr>
            <w:tcW w:w="1144" w:type="dxa"/>
            <w:tcBorders>
              <w:top w:val="single" w:color="auto" w:sz="4" w:space="0"/>
              <w:left w:val="single" w:color="auto" w:sz="4" w:space="0"/>
              <w:bottom w:val="single" w:color="auto" w:sz="4" w:space="0"/>
              <w:right w:val="single" w:color="auto" w:sz="8" w:space="0"/>
            </w:tcBorders>
            <w:shd w:val="clear"/>
            <w:vAlign w:val="center"/>
          </w:tcPr>
          <w:p w14:paraId="30A6314F">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+0.012</w:t>
            </w:r>
          </w:p>
        </w:tc>
      </w:tr>
      <w:tr w14:paraId="25D583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304" w:type="dxa"/>
            <w:vMerge w:val="restart"/>
            <w:tcBorders>
              <w:top w:val="single" w:color="auto" w:sz="4" w:space="0"/>
              <w:left w:val="single" w:color="auto" w:sz="8" w:space="0"/>
              <w:bottom w:val="single" w:color="auto" w:sz="4" w:space="0"/>
              <w:right w:val="single" w:color="auto" w:sz="4" w:space="0"/>
            </w:tcBorders>
            <w:shd w:val="clear"/>
            <w:vAlign w:val="center"/>
          </w:tcPr>
          <w:p w14:paraId="1008BBA4">
            <w:pPr>
              <w:pStyle w:val="58"/>
              <w:widowControl/>
              <w:spacing w:beforeLines="10" w:beforeAutospacing="0" w:after="0" w:afterAutospacing="0" w:line="400" w:lineRule="exact"/>
              <w:ind w:left="0" w:right="0"/>
              <w:rPr>
                <w:rFonts w:hAnsi="宋体" w:cs="宋体"/>
                <w:color w:val="000000"/>
                <w:kern w:val="21"/>
                <w:szCs w:val="21"/>
                <w:bdr w:val="none" w:color="auto" w:sz="0" w:space="0"/>
                <w:lang w:val="en-US"/>
              </w:rPr>
            </w:pPr>
            <w:r>
              <w:rPr>
                <w:rFonts w:hAnsi="宋体" w:cs="宋体"/>
                <w:snapToGrid w:val="0"/>
                <w:color w:val="000000"/>
                <w:kern w:val="21"/>
                <w:szCs w:val="21"/>
                <w:bdr w:val="none" w:color="auto" w:sz="0" w:space="0"/>
              </w:rPr>
              <w:t>废水</w:t>
            </w:r>
          </w:p>
        </w:tc>
        <w:tc>
          <w:tcPr>
            <w:tcW w:w="1702" w:type="dxa"/>
            <w:tcBorders>
              <w:top w:val="single" w:color="auto" w:sz="4" w:space="0"/>
              <w:left w:val="single" w:color="auto" w:sz="4" w:space="0"/>
              <w:bottom w:val="single" w:color="auto" w:sz="4" w:space="0"/>
              <w:right w:val="single" w:color="auto" w:sz="4" w:space="0"/>
            </w:tcBorders>
            <w:shd w:val="clear"/>
            <w:vAlign w:val="center"/>
          </w:tcPr>
          <w:p w14:paraId="704E0519">
            <w:pPr>
              <w:keepNext w:val="0"/>
              <w:keepLines w:val="0"/>
              <w:widowControl w:val="0"/>
              <w:suppressLineNumbers w:val="0"/>
              <w:adjustRightInd w:val="0"/>
              <w:snapToGrid w:val="0"/>
              <w:spacing w:before="0" w:beforeAutospacing="0" w:after="0" w:afterAutospacing="0" w:line="4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COD</w:t>
            </w:r>
          </w:p>
        </w:tc>
        <w:tc>
          <w:tcPr>
            <w:tcW w:w="1702" w:type="dxa"/>
            <w:tcBorders>
              <w:top w:val="single" w:color="auto" w:sz="4" w:space="0"/>
              <w:left w:val="single" w:color="auto" w:sz="4" w:space="0"/>
              <w:bottom w:val="single" w:color="auto" w:sz="4" w:space="0"/>
              <w:right w:val="single" w:color="auto" w:sz="4" w:space="0"/>
            </w:tcBorders>
            <w:shd w:val="clear"/>
            <w:vAlign w:val="center"/>
          </w:tcPr>
          <w:p w14:paraId="1F537F66">
            <w:pPr>
              <w:keepNext w:val="0"/>
              <w:keepLines w:val="0"/>
              <w:widowControl w:val="0"/>
              <w:suppressLineNumbers w:val="0"/>
              <w:adjustRightInd w:val="0"/>
              <w:snapToGrid w:val="0"/>
              <w:spacing w:before="0" w:beforeAutospacing="0" w:after="0" w:afterAutospacing="0" w:line="4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0.045</w:t>
            </w:r>
          </w:p>
        </w:tc>
        <w:tc>
          <w:tcPr>
            <w:tcW w:w="1276" w:type="dxa"/>
            <w:tcBorders>
              <w:top w:val="single" w:color="auto" w:sz="4" w:space="0"/>
              <w:left w:val="single" w:color="auto" w:sz="4" w:space="0"/>
              <w:bottom w:val="single" w:color="auto" w:sz="4" w:space="0"/>
              <w:right w:val="single" w:color="auto" w:sz="4" w:space="0"/>
            </w:tcBorders>
            <w:shd w:val="clear"/>
            <w:vAlign w:val="center"/>
          </w:tcPr>
          <w:p w14:paraId="66B1886A">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bdr w:val="none" w:color="auto" w:sz="0" w:space="0"/>
                <w:lang w:val="en-US"/>
              </w:rPr>
            </w:pPr>
            <w:r>
              <w:rPr>
                <w:rFonts w:hint="default" w:ascii="Times New Roman" w:hAnsi="Times New Roman" w:cs="Times New Roman"/>
                <w:snapToGrid w:val="0"/>
                <w:color w:val="000000"/>
                <w:kern w:val="21"/>
                <w:szCs w:val="21"/>
                <w:bdr w:val="none" w:color="auto" w:sz="0" w:space="0"/>
                <w:lang w:val="en-US"/>
              </w:rPr>
              <w:t>/</w:t>
            </w:r>
          </w:p>
        </w:tc>
        <w:tc>
          <w:tcPr>
            <w:tcW w:w="1702" w:type="dxa"/>
            <w:tcBorders>
              <w:top w:val="single" w:color="auto" w:sz="4" w:space="0"/>
              <w:left w:val="single" w:color="auto" w:sz="4" w:space="0"/>
              <w:bottom w:val="single" w:color="auto" w:sz="4" w:space="0"/>
              <w:right w:val="single" w:color="auto" w:sz="4" w:space="0"/>
            </w:tcBorders>
            <w:shd w:val="clear"/>
            <w:vAlign w:val="center"/>
          </w:tcPr>
          <w:p w14:paraId="438E39BF">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bdr w:val="none" w:color="auto" w:sz="0" w:space="0"/>
                <w:lang w:val="en-US"/>
              </w:rPr>
            </w:pPr>
            <w:r>
              <w:rPr>
                <w:rFonts w:hint="default" w:ascii="Times New Roman" w:hAnsi="Times New Roman" w:cs="Times New Roman"/>
                <w:snapToGrid w:val="0"/>
                <w:color w:val="000000"/>
                <w:kern w:val="21"/>
                <w:szCs w:val="21"/>
                <w:bdr w:val="none" w:color="auto" w:sz="0" w:space="0"/>
                <w:lang w:val="en-US"/>
              </w:rPr>
              <w:t>/</w:t>
            </w:r>
          </w:p>
        </w:tc>
        <w:tc>
          <w:tcPr>
            <w:tcW w:w="1559" w:type="dxa"/>
            <w:tcBorders>
              <w:top w:val="single" w:color="auto" w:sz="4" w:space="0"/>
              <w:left w:val="single" w:color="auto" w:sz="4" w:space="0"/>
              <w:bottom w:val="single" w:color="auto" w:sz="4" w:space="0"/>
              <w:right w:val="single" w:color="auto" w:sz="4" w:space="0"/>
            </w:tcBorders>
            <w:shd w:val="clear"/>
            <w:vAlign w:val="center"/>
          </w:tcPr>
          <w:p w14:paraId="45C33283">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 xml:space="preserve">0.053 </w:t>
            </w:r>
          </w:p>
        </w:tc>
        <w:tc>
          <w:tcPr>
            <w:tcW w:w="1559" w:type="dxa"/>
            <w:tcBorders>
              <w:top w:val="single" w:color="auto" w:sz="4" w:space="0"/>
              <w:left w:val="single" w:color="auto" w:sz="4" w:space="0"/>
              <w:bottom w:val="single" w:color="auto" w:sz="4" w:space="0"/>
              <w:right w:val="single" w:color="auto" w:sz="4" w:space="0"/>
            </w:tcBorders>
            <w:shd w:val="clear"/>
            <w:vAlign w:val="center"/>
          </w:tcPr>
          <w:p w14:paraId="62A08D32">
            <w:pPr>
              <w:keepNext w:val="0"/>
              <w:keepLines w:val="0"/>
              <w:widowControl w:val="0"/>
              <w:suppressLineNumbers w:val="0"/>
              <w:adjustRightInd w:val="0"/>
              <w:snapToGrid w:val="0"/>
              <w:spacing w:before="0" w:beforeAutospacing="0" w:after="0" w:afterAutospacing="0" w:line="4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0.045</w:t>
            </w:r>
          </w:p>
        </w:tc>
        <w:tc>
          <w:tcPr>
            <w:tcW w:w="1843" w:type="dxa"/>
            <w:tcBorders>
              <w:top w:val="single" w:color="auto" w:sz="4" w:space="0"/>
              <w:left w:val="single" w:color="auto" w:sz="4" w:space="0"/>
              <w:bottom w:val="single" w:color="auto" w:sz="4" w:space="0"/>
              <w:right w:val="single" w:color="auto" w:sz="4" w:space="0"/>
            </w:tcBorders>
            <w:shd w:val="clear"/>
            <w:vAlign w:val="center"/>
          </w:tcPr>
          <w:p w14:paraId="7ECE6A6C">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 xml:space="preserve">0.053 </w:t>
            </w:r>
          </w:p>
        </w:tc>
        <w:tc>
          <w:tcPr>
            <w:tcW w:w="1144" w:type="dxa"/>
            <w:tcBorders>
              <w:top w:val="single" w:color="auto" w:sz="4" w:space="0"/>
              <w:left w:val="single" w:color="auto" w:sz="4" w:space="0"/>
              <w:bottom w:val="single" w:color="auto" w:sz="4" w:space="0"/>
              <w:right w:val="single" w:color="auto" w:sz="8" w:space="0"/>
            </w:tcBorders>
            <w:shd w:val="clear"/>
            <w:vAlign w:val="center"/>
          </w:tcPr>
          <w:p w14:paraId="7E317F59">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+0.008</w:t>
            </w:r>
          </w:p>
        </w:tc>
      </w:tr>
      <w:tr w14:paraId="396CF1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304" w:type="dxa"/>
            <w:vMerge w:val="continue"/>
            <w:tcBorders>
              <w:top w:val="single" w:color="auto" w:sz="4" w:space="0"/>
              <w:left w:val="single" w:color="auto" w:sz="8" w:space="0"/>
              <w:bottom w:val="single" w:color="auto" w:sz="4" w:space="0"/>
              <w:right w:val="single" w:color="auto" w:sz="4" w:space="0"/>
            </w:tcBorders>
            <w:shd w:val="clear"/>
            <w:vAlign w:val="center"/>
          </w:tcPr>
          <w:p w14:paraId="67EB99C7">
            <w:pPr>
              <w:rPr>
                <w:rFonts w:hint="default" w:ascii="Calibri" w:hAnsi="Calibri" w:cs="Calibri"/>
                <w:sz w:val="20"/>
                <w:szCs w:val="20"/>
              </w:rPr>
            </w:pPr>
          </w:p>
        </w:tc>
        <w:tc>
          <w:tcPr>
            <w:tcW w:w="1702" w:type="dxa"/>
            <w:tcBorders>
              <w:top w:val="single" w:color="auto" w:sz="4" w:space="0"/>
              <w:left w:val="single" w:color="auto" w:sz="4" w:space="0"/>
              <w:bottom w:val="single" w:color="auto" w:sz="4" w:space="0"/>
              <w:right w:val="single" w:color="auto" w:sz="4" w:space="0"/>
            </w:tcBorders>
            <w:shd w:val="clear"/>
            <w:vAlign w:val="center"/>
          </w:tcPr>
          <w:p w14:paraId="2885B250">
            <w:pPr>
              <w:keepNext w:val="0"/>
              <w:keepLines w:val="0"/>
              <w:widowControl w:val="0"/>
              <w:suppressLineNumbers w:val="0"/>
              <w:adjustRightInd w:val="0"/>
              <w:snapToGrid w:val="0"/>
              <w:spacing w:before="0" w:beforeAutospacing="0" w:after="0" w:afterAutospacing="0" w:line="4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BOD</w:t>
            </w:r>
            <w:r>
              <w:rPr>
                <w:rFonts w:hint="default" w:ascii="Times New Roman" w:hAnsi="Times New Roman" w:eastAsia="宋体" w:cs="Times New Roman"/>
                <w:color w:val="000000"/>
                <w:kern w:val="0"/>
                <w:sz w:val="21"/>
                <w:szCs w:val="21"/>
                <w:bdr w:val="none" w:color="auto" w:sz="0" w:space="0"/>
                <w:vertAlign w:val="subscript"/>
                <w:lang w:val="en-US" w:eastAsia="zh-CN" w:bidi="ar"/>
              </w:rPr>
              <w:t>5</w:t>
            </w:r>
          </w:p>
        </w:tc>
        <w:tc>
          <w:tcPr>
            <w:tcW w:w="1702" w:type="dxa"/>
            <w:tcBorders>
              <w:top w:val="single" w:color="auto" w:sz="4" w:space="0"/>
              <w:left w:val="single" w:color="auto" w:sz="4" w:space="0"/>
              <w:bottom w:val="single" w:color="auto" w:sz="4" w:space="0"/>
              <w:right w:val="single" w:color="auto" w:sz="4" w:space="0"/>
            </w:tcBorders>
            <w:shd w:val="clear"/>
            <w:vAlign w:val="center"/>
          </w:tcPr>
          <w:p w14:paraId="32B45D9A">
            <w:pPr>
              <w:keepNext w:val="0"/>
              <w:keepLines w:val="0"/>
              <w:widowControl w:val="0"/>
              <w:suppressLineNumbers w:val="0"/>
              <w:adjustRightInd w:val="0"/>
              <w:snapToGrid w:val="0"/>
              <w:spacing w:before="0" w:beforeAutospacing="0" w:after="0" w:afterAutospacing="0" w:line="4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0.015</w:t>
            </w:r>
          </w:p>
        </w:tc>
        <w:tc>
          <w:tcPr>
            <w:tcW w:w="1276" w:type="dxa"/>
            <w:tcBorders>
              <w:top w:val="single" w:color="auto" w:sz="4" w:space="0"/>
              <w:left w:val="single" w:color="auto" w:sz="4" w:space="0"/>
              <w:bottom w:val="single" w:color="auto" w:sz="4" w:space="0"/>
              <w:right w:val="single" w:color="auto" w:sz="4" w:space="0"/>
            </w:tcBorders>
            <w:shd w:val="clear"/>
            <w:vAlign w:val="center"/>
          </w:tcPr>
          <w:p w14:paraId="15EF04F1">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bdr w:val="none" w:color="auto" w:sz="0" w:space="0"/>
                <w:lang w:val="en-US"/>
              </w:rPr>
            </w:pPr>
            <w:r>
              <w:rPr>
                <w:rFonts w:hint="default" w:ascii="Times New Roman" w:hAnsi="Times New Roman" w:cs="Times New Roman"/>
                <w:snapToGrid w:val="0"/>
                <w:color w:val="000000"/>
                <w:kern w:val="21"/>
                <w:szCs w:val="21"/>
                <w:bdr w:val="none" w:color="auto" w:sz="0" w:space="0"/>
                <w:lang w:val="en-US"/>
              </w:rPr>
              <w:t>/</w:t>
            </w:r>
          </w:p>
        </w:tc>
        <w:tc>
          <w:tcPr>
            <w:tcW w:w="1702" w:type="dxa"/>
            <w:tcBorders>
              <w:top w:val="single" w:color="auto" w:sz="4" w:space="0"/>
              <w:left w:val="single" w:color="auto" w:sz="4" w:space="0"/>
              <w:bottom w:val="single" w:color="auto" w:sz="4" w:space="0"/>
              <w:right w:val="single" w:color="auto" w:sz="4" w:space="0"/>
            </w:tcBorders>
            <w:shd w:val="clear"/>
            <w:vAlign w:val="center"/>
          </w:tcPr>
          <w:p w14:paraId="1C9564B6">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bdr w:val="none" w:color="auto" w:sz="0" w:space="0"/>
                <w:lang w:val="en-US"/>
              </w:rPr>
            </w:pPr>
            <w:r>
              <w:rPr>
                <w:rFonts w:hint="default" w:ascii="Times New Roman" w:hAnsi="Times New Roman" w:cs="Times New Roman"/>
                <w:snapToGrid w:val="0"/>
                <w:color w:val="000000"/>
                <w:kern w:val="21"/>
                <w:szCs w:val="21"/>
                <w:bdr w:val="none" w:color="auto" w:sz="0" w:space="0"/>
                <w:lang w:val="en-US"/>
              </w:rPr>
              <w:t>/</w:t>
            </w:r>
          </w:p>
        </w:tc>
        <w:tc>
          <w:tcPr>
            <w:tcW w:w="1559" w:type="dxa"/>
            <w:tcBorders>
              <w:top w:val="single" w:color="auto" w:sz="4" w:space="0"/>
              <w:left w:val="single" w:color="auto" w:sz="4" w:space="0"/>
              <w:bottom w:val="single" w:color="auto" w:sz="4" w:space="0"/>
              <w:right w:val="single" w:color="auto" w:sz="4" w:space="0"/>
            </w:tcBorders>
            <w:shd w:val="clear"/>
            <w:vAlign w:val="center"/>
          </w:tcPr>
          <w:p w14:paraId="0836F9F0">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 xml:space="preserve">0.018 </w:t>
            </w:r>
          </w:p>
        </w:tc>
        <w:tc>
          <w:tcPr>
            <w:tcW w:w="1559" w:type="dxa"/>
            <w:tcBorders>
              <w:top w:val="single" w:color="auto" w:sz="4" w:space="0"/>
              <w:left w:val="single" w:color="auto" w:sz="4" w:space="0"/>
              <w:bottom w:val="single" w:color="auto" w:sz="4" w:space="0"/>
              <w:right w:val="single" w:color="auto" w:sz="4" w:space="0"/>
            </w:tcBorders>
            <w:shd w:val="clear"/>
            <w:vAlign w:val="center"/>
          </w:tcPr>
          <w:p w14:paraId="13A2E502">
            <w:pPr>
              <w:keepNext w:val="0"/>
              <w:keepLines w:val="0"/>
              <w:widowControl w:val="0"/>
              <w:suppressLineNumbers w:val="0"/>
              <w:adjustRightInd w:val="0"/>
              <w:snapToGrid w:val="0"/>
              <w:spacing w:before="0" w:beforeAutospacing="0" w:after="0" w:afterAutospacing="0" w:line="4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0.015</w:t>
            </w:r>
          </w:p>
        </w:tc>
        <w:tc>
          <w:tcPr>
            <w:tcW w:w="1843" w:type="dxa"/>
            <w:tcBorders>
              <w:top w:val="single" w:color="auto" w:sz="4" w:space="0"/>
              <w:left w:val="single" w:color="auto" w:sz="4" w:space="0"/>
              <w:bottom w:val="single" w:color="auto" w:sz="4" w:space="0"/>
              <w:right w:val="single" w:color="auto" w:sz="4" w:space="0"/>
            </w:tcBorders>
            <w:shd w:val="clear"/>
            <w:vAlign w:val="center"/>
          </w:tcPr>
          <w:p w14:paraId="6E0DACED">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 xml:space="preserve">0.018 </w:t>
            </w:r>
          </w:p>
        </w:tc>
        <w:tc>
          <w:tcPr>
            <w:tcW w:w="1144" w:type="dxa"/>
            <w:tcBorders>
              <w:top w:val="single" w:color="auto" w:sz="4" w:space="0"/>
              <w:left w:val="single" w:color="auto" w:sz="4" w:space="0"/>
              <w:bottom w:val="single" w:color="auto" w:sz="4" w:space="0"/>
              <w:right w:val="single" w:color="auto" w:sz="8" w:space="0"/>
            </w:tcBorders>
            <w:shd w:val="clear"/>
            <w:vAlign w:val="center"/>
          </w:tcPr>
          <w:p w14:paraId="5CEB9D0F">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+0.003</w:t>
            </w:r>
          </w:p>
        </w:tc>
      </w:tr>
      <w:tr w14:paraId="5069C8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304" w:type="dxa"/>
            <w:vMerge w:val="continue"/>
            <w:tcBorders>
              <w:top w:val="single" w:color="auto" w:sz="4" w:space="0"/>
              <w:left w:val="single" w:color="auto" w:sz="8" w:space="0"/>
              <w:bottom w:val="single" w:color="auto" w:sz="4" w:space="0"/>
              <w:right w:val="single" w:color="auto" w:sz="4" w:space="0"/>
            </w:tcBorders>
            <w:shd w:val="clear"/>
            <w:vAlign w:val="center"/>
          </w:tcPr>
          <w:p w14:paraId="12442BD4">
            <w:pPr>
              <w:rPr>
                <w:rFonts w:hint="default" w:ascii="Calibri" w:hAnsi="Calibri" w:cs="Calibri"/>
                <w:sz w:val="20"/>
                <w:szCs w:val="20"/>
              </w:rPr>
            </w:pPr>
          </w:p>
        </w:tc>
        <w:tc>
          <w:tcPr>
            <w:tcW w:w="1702" w:type="dxa"/>
            <w:tcBorders>
              <w:top w:val="single" w:color="auto" w:sz="4" w:space="0"/>
              <w:left w:val="single" w:color="auto" w:sz="4" w:space="0"/>
              <w:bottom w:val="single" w:color="auto" w:sz="4" w:space="0"/>
              <w:right w:val="single" w:color="auto" w:sz="4" w:space="0"/>
            </w:tcBorders>
            <w:shd w:val="clear"/>
            <w:vAlign w:val="center"/>
          </w:tcPr>
          <w:p w14:paraId="4D0DE1AE">
            <w:pPr>
              <w:keepNext w:val="0"/>
              <w:keepLines w:val="0"/>
              <w:widowControl w:val="0"/>
              <w:suppressLineNumbers w:val="0"/>
              <w:adjustRightInd w:val="0"/>
              <w:snapToGrid w:val="0"/>
              <w:spacing w:before="0" w:beforeAutospacing="0" w:after="0" w:afterAutospacing="0" w:line="4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Calibri" w:eastAsia="宋体" w:cs="Times New Roman"/>
                <w:color w:val="000000"/>
                <w:kern w:val="0"/>
                <w:sz w:val="21"/>
                <w:szCs w:val="21"/>
                <w:bdr w:val="none" w:color="auto" w:sz="0" w:space="0"/>
                <w:lang w:val="en-US" w:eastAsia="zh-CN" w:bidi="ar"/>
              </w:rPr>
              <w:t>SS</w:t>
            </w:r>
          </w:p>
        </w:tc>
        <w:tc>
          <w:tcPr>
            <w:tcW w:w="1702" w:type="dxa"/>
            <w:tcBorders>
              <w:top w:val="single" w:color="auto" w:sz="4" w:space="0"/>
              <w:left w:val="single" w:color="auto" w:sz="4" w:space="0"/>
              <w:bottom w:val="single" w:color="auto" w:sz="4" w:space="0"/>
              <w:right w:val="single" w:color="auto" w:sz="4" w:space="0"/>
            </w:tcBorders>
            <w:shd w:val="clear"/>
            <w:vAlign w:val="center"/>
          </w:tcPr>
          <w:p w14:paraId="653E4E7F">
            <w:pPr>
              <w:keepNext w:val="0"/>
              <w:keepLines w:val="0"/>
              <w:widowControl w:val="0"/>
              <w:suppressLineNumbers w:val="0"/>
              <w:adjustRightInd w:val="0"/>
              <w:snapToGrid w:val="0"/>
              <w:spacing w:before="0" w:beforeAutospacing="0" w:after="0" w:afterAutospacing="0" w:line="4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0.015</w:t>
            </w:r>
          </w:p>
        </w:tc>
        <w:tc>
          <w:tcPr>
            <w:tcW w:w="1276" w:type="dxa"/>
            <w:tcBorders>
              <w:top w:val="single" w:color="auto" w:sz="4" w:space="0"/>
              <w:left w:val="single" w:color="auto" w:sz="4" w:space="0"/>
              <w:bottom w:val="single" w:color="auto" w:sz="4" w:space="0"/>
              <w:right w:val="single" w:color="auto" w:sz="4" w:space="0"/>
            </w:tcBorders>
            <w:shd w:val="clear"/>
            <w:vAlign w:val="center"/>
          </w:tcPr>
          <w:p w14:paraId="117E335E">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bdr w:val="none" w:color="auto" w:sz="0" w:space="0"/>
                <w:lang w:val="en-US"/>
              </w:rPr>
            </w:pPr>
            <w:r>
              <w:rPr>
                <w:rFonts w:hint="default" w:ascii="Times New Roman" w:hAnsi="Times New Roman" w:cs="Times New Roman"/>
                <w:snapToGrid w:val="0"/>
                <w:color w:val="000000"/>
                <w:kern w:val="21"/>
                <w:szCs w:val="21"/>
                <w:bdr w:val="none" w:color="auto" w:sz="0" w:space="0"/>
                <w:lang w:val="en-US"/>
              </w:rPr>
              <w:t>/</w:t>
            </w:r>
          </w:p>
        </w:tc>
        <w:tc>
          <w:tcPr>
            <w:tcW w:w="1702" w:type="dxa"/>
            <w:tcBorders>
              <w:top w:val="single" w:color="auto" w:sz="4" w:space="0"/>
              <w:left w:val="single" w:color="auto" w:sz="4" w:space="0"/>
              <w:bottom w:val="single" w:color="auto" w:sz="4" w:space="0"/>
              <w:right w:val="single" w:color="auto" w:sz="4" w:space="0"/>
            </w:tcBorders>
            <w:shd w:val="clear"/>
            <w:vAlign w:val="center"/>
          </w:tcPr>
          <w:p w14:paraId="03169ABF">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bdr w:val="none" w:color="auto" w:sz="0" w:space="0"/>
                <w:lang w:val="en-US"/>
              </w:rPr>
            </w:pPr>
            <w:r>
              <w:rPr>
                <w:rFonts w:hint="default" w:ascii="Times New Roman" w:hAnsi="Times New Roman" w:cs="Times New Roman"/>
                <w:snapToGrid w:val="0"/>
                <w:color w:val="000000"/>
                <w:kern w:val="21"/>
                <w:szCs w:val="21"/>
                <w:bdr w:val="none" w:color="auto" w:sz="0" w:space="0"/>
                <w:lang w:val="en-US"/>
              </w:rPr>
              <w:t>/</w:t>
            </w:r>
          </w:p>
        </w:tc>
        <w:tc>
          <w:tcPr>
            <w:tcW w:w="1559" w:type="dxa"/>
            <w:tcBorders>
              <w:top w:val="single" w:color="auto" w:sz="4" w:space="0"/>
              <w:left w:val="single" w:color="auto" w:sz="4" w:space="0"/>
              <w:bottom w:val="single" w:color="auto" w:sz="4" w:space="0"/>
              <w:right w:val="single" w:color="auto" w:sz="4" w:space="0"/>
            </w:tcBorders>
            <w:shd w:val="clear"/>
            <w:vAlign w:val="center"/>
          </w:tcPr>
          <w:p w14:paraId="1F809636">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 xml:space="preserve">0.018 </w:t>
            </w:r>
          </w:p>
        </w:tc>
        <w:tc>
          <w:tcPr>
            <w:tcW w:w="1559" w:type="dxa"/>
            <w:tcBorders>
              <w:top w:val="single" w:color="auto" w:sz="4" w:space="0"/>
              <w:left w:val="single" w:color="auto" w:sz="4" w:space="0"/>
              <w:bottom w:val="single" w:color="auto" w:sz="4" w:space="0"/>
              <w:right w:val="single" w:color="auto" w:sz="4" w:space="0"/>
            </w:tcBorders>
            <w:shd w:val="clear"/>
            <w:vAlign w:val="center"/>
          </w:tcPr>
          <w:p w14:paraId="32085E31">
            <w:pPr>
              <w:keepNext w:val="0"/>
              <w:keepLines w:val="0"/>
              <w:widowControl w:val="0"/>
              <w:suppressLineNumbers w:val="0"/>
              <w:adjustRightInd w:val="0"/>
              <w:snapToGrid w:val="0"/>
              <w:spacing w:before="0" w:beforeAutospacing="0" w:after="0" w:afterAutospacing="0" w:line="4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0.015</w:t>
            </w:r>
          </w:p>
        </w:tc>
        <w:tc>
          <w:tcPr>
            <w:tcW w:w="1843" w:type="dxa"/>
            <w:tcBorders>
              <w:top w:val="single" w:color="auto" w:sz="4" w:space="0"/>
              <w:left w:val="single" w:color="auto" w:sz="4" w:space="0"/>
              <w:bottom w:val="single" w:color="auto" w:sz="4" w:space="0"/>
              <w:right w:val="single" w:color="auto" w:sz="4" w:space="0"/>
            </w:tcBorders>
            <w:shd w:val="clear"/>
            <w:vAlign w:val="center"/>
          </w:tcPr>
          <w:p w14:paraId="4E0696DD">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 xml:space="preserve">0.018 </w:t>
            </w:r>
          </w:p>
        </w:tc>
        <w:tc>
          <w:tcPr>
            <w:tcW w:w="1144" w:type="dxa"/>
            <w:tcBorders>
              <w:top w:val="single" w:color="auto" w:sz="4" w:space="0"/>
              <w:left w:val="single" w:color="auto" w:sz="4" w:space="0"/>
              <w:bottom w:val="single" w:color="auto" w:sz="4" w:space="0"/>
              <w:right w:val="single" w:color="auto" w:sz="8" w:space="0"/>
            </w:tcBorders>
            <w:shd w:val="clear"/>
            <w:vAlign w:val="center"/>
          </w:tcPr>
          <w:p w14:paraId="367D19F9">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+0.003</w:t>
            </w:r>
          </w:p>
        </w:tc>
      </w:tr>
      <w:tr w14:paraId="6FF2CA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304" w:type="dxa"/>
            <w:vMerge w:val="continue"/>
            <w:tcBorders>
              <w:top w:val="single" w:color="auto" w:sz="4" w:space="0"/>
              <w:left w:val="single" w:color="auto" w:sz="8" w:space="0"/>
              <w:bottom w:val="single" w:color="auto" w:sz="4" w:space="0"/>
              <w:right w:val="single" w:color="auto" w:sz="4" w:space="0"/>
            </w:tcBorders>
            <w:shd w:val="clear"/>
            <w:vAlign w:val="center"/>
          </w:tcPr>
          <w:p w14:paraId="31E93592">
            <w:pPr>
              <w:rPr>
                <w:rFonts w:hint="default" w:ascii="Calibri" w:hAnsi="Calibri" w:cs="Calibri"/>
                <w:sz w:val="20"/>
                <w:szCs w:val="20"/>
              </w:rPr>
            </w:pPr>
          </w:p>
        </w:tc>
        <w:tc>
          <w:tcPr>
            <w:tcW w:w="1702" w:type="dxa"/>
            <w:tcBorders>
              <w:top w:val="single" w:color="auto" w:sz="4" w:space="0"/>
              <w:left w:val="single" w:color="auto" w:sz="4" w:space="0"/>
              <w:bottom w:val="single" w:color="auto" w:sz="4" w:space="0"/>
              <w:right w:val="single" w:color="auto" w:sz="4" w:space="0"/>
            </w:tcBorders>
            <w:shd w:val="clear"/>
            <w:vAlign w:val="center"/>
          </w:tcPr>
          <w:p w14:paraId="4B92A815">
            <w:pPr>
              <w:keepNext w:val="0"/>
              <w:keepLines w:val="0"/>
              <w:widowControl w:val="0"/>
              <w:suppressLineNumbers w:val="0"/>
              <w:adjustRightInd w:val="0"/>
              <w:snapToGrid w:val="0"/>
              <w:spacing w:before="0" w:beforeAutospacing="0" w:after="0" w:afterAutospacing="0" w:line="400" w:lineRule="exact"/>
              <w:ind w:left="0" w:right="0"/>
              <w:jc w:val="center"/>
              <w:rPr>
                <w:rFonts w:hint="default" w:ascii="Times New Roman" w:hAnsi="Times New Roman" w:cs="Times New Roman"/>
                <w:color w:val="000000"/>
                <w:kern w:val="0"/>
                <w:szCs w:val="21"/>
                <w:bdr w:val="none" w:color="auto" w:sz="0" w:space="0"/>
                <w:lang w:val="en-US"/>
              </w:rPr>
            </w:pPr>
            <w:r>
              <w:rPr>
                <w:rFonts w:hint="eastAsia" w:ascii="Times New Roman" w:hAnsi="Times New Roman" w:eastAsia="宋体" w:cs="宋体"/>
                <w:color w:val="000000"/>
                <w:kern w:val="0"/>
                <w:sz w:val="21"/>
                <w:szCs w:val="21"/>
                <w:bdr w:val="none" w:color="auto" w:sz="0" w:space="0"/>
                <w:lang w:val="en-US" w:eastAsia="zh-CN" w:bidi="ar"/>
              </w:rPr>
              <w:t>氨氮</w:t>
            </w:r>
          </w:p>
        </w:tc>
        <w:tc>
          <w:tcPr>
            <w:tcW w:w="1702" w:type="dxa"/>
            <w:tcBorders>
              <w:top w:val="single" w:color="auto" w:sz="4" w:space="0"/>
              <w:left w:val="single" w:color="auto" w:sz="4" w:space="0"/>
              <w:bottom w:val="single" w:color="auto" w:sz="4" w:space="0"/>
              <w:right w:val="single" w:color="auto" w:sz="4" w:space="0"/>
            </w:tcBorders>
            <w:shd w:val="clear"/>
            <w:vAlign w:val="center"/>
          </w:tcPr>
          <w:p w14:paraId="793B19AD">
            <w:pPr>
              <w:keepNext w:val="0"/>
              <w:keepLines w:val="0"/>
              <w:widowControl w:val="0"/>
              <w:suppressLineNumbers w:val="0"/>
              <w:adjustRightInd w:val="0"/>
              <w:snapToGrid w:val="0"/>
              <w:spacing w:before="0" w:beforeAutospacing="0" w:after="0" w:afterAutospacing="0" w:line="4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0.006</w:t>
            </w:r>
          </w:p>
        </w:tc>
        <w:tc>
          <w:tcPr>
            <w:tcW w:w="1276" w:type="dxa"/>
            <w:tcBorders>
              <w:top w:val="single" w:color="auto" w:sz="4" w:space="0"/>
              <w:left w:val="single" w:color="auto" w:sz="4" w:space="0"/>
              <w:bottom w:val="single" w:color="auto" w:sz="4" w:space="0"/>
              <w:right w:val="single" w:color="auto" w:sz="4" w:space="0"/>
            </w:tcBorders>
            <w:shd w:val="clear"/>
            <w:vAlign w:val="center"/>
          </w:tcPr>
          <w:p w14:paraId="65820B0F">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bdr w:val="none" w:color="auto" w:sz="0" w:space="0"/>
                <w:lang w:val="en-US"/>
              </w:rPr>
            </w:pPr>
            <w:r>
              <w:rPr>
                <w:rFonts w:hint="default" w:ascii="Times New Roman" w:hAnsi="Times New Roman" w:cs="Times New Roman"/>
                <w:snapToGrid w:val="0"/>
                <w:color w:val="000000"/>
                <w:kern w:val="21"/>
                <w:szCs w:val="21"/>
                <w:bdr w:val="none" w:color="auto" w:sz="0" w:space="0"/>
                <w:lang w:val="en-US"/>
              </w:rPr>
              <w:t>/</w:t>
            </w:r>
          </w:p>
        </w:tc>
        <w:tc>
          <w:tcPr>
            <w:tcW w:w="1702" w:type="dxa"/>
            <w:tcBorders>
              <w:top w:val="single" w:color="auto" w:sz="4" w:space="0"/>
              <w:left w:val="single" w:color="auto" w:sz="4" w:space="0"/>
              <w:bottom w:val="single" w:color="auto" w:sz="4" w:space="0"/>
              <w:right w:val="single" w:color="auto" w:sz="4" w:space="0"/>
            </w:tcBorders>
            <w:shd w:val="clear"/>
            <w:vAlign w:val="center"/>
          </w:tcPr>
          <w:p w14:paraId="27506F91">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bdr w:val="none" w:color="auto" w:sz="0" w:space="0"/>
                <w:lang w:val="en-US"/>
              </w:rPr>
            </w:pPr>
            <w:r>
              <w:rPr>
                <w:rFonts w:hint="default" w:ascii="Times New Roman" w:hAnsi="Times New Roman" w:cs="Times New Roman"/>
                <w:snapToGrid w:val="0"/>
                <w:color w:val="000000"/>
                <w:kern w:val="21"/>
                <w:szCs w:val="21"/>
                <w:bdr w:val="none" w:color="auto" w:sz="0" w:space="0"/>
                <w:lang w:val="en-US"/>
              </w:rPr>
              <w:t>/</w:t>
            </w:r>
          </w:p>
        </w:tc>
        <w:tc>
          <w:tcPr>
            <w:tcW w:w="1559" w:type="dxa"/>
            <w:tcBorders>
              <w:top w:val="single" w:color="auto" w:sz="4" w:space="0"/>
              <w:left w:val="single" w:color="auto" w:sz="4" w:space="0"/>
              <w:bottom w:val="single" w:color="auto" w:sz="4" w:space="0"/>
              <w:right w:val="single" w:color="auto" w:sz="4" w:space="0"/>
            </w:tcBorders>
            <w:shd w:val="clear"/>
            <w:vAlign w:val="center"/>
          </w:tcPr>
          <w:p w14:paraId="6B643ADA">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 xml:space="preserve">0.007 </w:t>
            </w:r>
          </w:p>
        </w:tc>
        <w:tc>
          <w:tcPr>
            <w:tcW w:w="1559" w:type="dxa"/>
            <w:tcBorders>
              <w:top w:val="single" w:color="auto" w:sz="4" w:space="0"/>
              <w:left w:val="single" w:color="auto" w:sz="4" w:space="0"/>
              <w:bottom w:val="single" w:color="auto" w:sz="4" w:space="0"/>
              <w:right w:val="single" w:color="auto" w:sz="4" w:space="0"/>
            </w:tcBorders>
            <w:shd w:val="clear"/>
            <w:vAlign w:val="center"/>
          </w:tcPr>
          <w:p w14:paraId="598400F8">
            <w:pPr>
              <w:keepNext w:val="0"/>
              <w:keepLines w:val="0"/>
              <w:widowControl w:val="0"/>
              <w:suppressLineNumbers w:val="0"/>
              <w:adjustRightInd w:val="0"/>
              <w:snapToGrid w:val="0"/>
              <w:spacing w:before="0" w:beforeAutospacing="0" w:after="0" w:afterAutospacing="0" w:line="4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0.006</w:t>
            </w:r>
          </w:p>
        </w:tc>
        <w:tc>
          <w:tcPr>
            <w:tcW w:w="1843" w:type="dxa"/>
            <w:tcBorders>
              <w:top w:val="single" w:color="auto" w:sz="4" w:space="0"/>
              <w:left w:val="single" w:color="auto" w:sz="4" w:space="0"/>
              <w:bottom w:val="single" w:color="auto" w:sz="4" w:space="0"/>
              <w:right w:val="single" w:color="auto" w:sz="4" w:space="0"/>
            </w:tcBorders>
            <w:shd w:val="clear"/>
            <w:vAlign w:val="center"/>
          </w:tcPr>
          <w:p w14:paraId="56C65569">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bdr w:val="none" w:color="auto" w:sz="0" w:space="0"/>
                <w:lang w:val="en-US"/>
              </w:rPr>
            </w:pPr>
            <w:r>
              <w:rPr>
                <w:rFonts w:hint="default" w:ascii="Times New Roman" w:hAnsi="Calibri" w:eastAsia="宋体" w:cs="Times New Roman"/>
                <w:snapToGrid w:val="0"/>
                <w:color w:val="000000"/>
                <w:kern w:val="2"/>
                <w:sz w:val="21"/>
                <w:szCs w:val="21"/>
                <w:bdr w:val="none" w:color="auto" w:sz="0" w:space="0"/>
                <w:lang w:val="en-US" w:eastAsia="zh-CN" w:bidi="ar"/>
              </w:rPr>
              <w:t xml:space="preserve">0.007 </w:t>
            </w:r>
          </w:p>
        </w:tc>
        <w:tc>
          <w:tcPr>
            <w:tcW w:w="1144" w:type="dxa"/>
            <w:tcBorders>
              <w:top w:val="single" w:color="auto" w:sz="4" w:space="0"/>
              <w:left w:val="single" w:color="auto" w:sz="4" w:space="0"/>
              <w:bottom w:val="single" w:color="auto" w:sz="4" w:space="0"/>
              <w:right w:val="single" w:color="auto" w:sz="8" w:space="0"/>
            </w:tcBorders>
            <w:shd w:val="clear"/>
            <w:vAlign w:val="center"/>
          </w:tcPr>
          <w:p w14:paraId="4B6627D0">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+0.001</w:t>
            </w:r>
          </w:p>
        </w:tc>
      </w:tr>
      <w:tr w14:paraId="2B5E53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304" w:type="dxa"/>
            <w:vMerge w:val="restart"/>
            <w:tcBorders>
              <w:top w:val="single" w:color="auto" w:sz="4" w:space="0"/>
              <w:left w:val="single" w:color="auto" w:sz="8" w:space="0"/>
              <w:bottom w:val="single" w:color="auto" w:sz="8" w:space="0"/>
              <w:right w:val="single" w:color="auto" w:sz="4" w:space="0"/>
            </w:tcBorders>
            <w:shd w:val="clear"/>
            <w:vAlign w:val="center"/>
          </w:tcPr>
          <w:p w14:paraId="078D0BA2">
            <w:pPr>
              <w:pStyle w:val="58"/>
              <w:widowControl/>
              <w:spacing w:beforeLines="10" w:beforeAutospacing="0" w:after="0" w:afterAutospacing="0" w:line="400" w:lineRule="exact"/>
              <w:ind w:left="0" w:right="0"/>
              <w:rPr>
                <w:rFonts w:hAnsi="宋体" w:cs="宋体"/>
                <w:color w:val="000000"/>
                <w:kern w:val="21"/>
                <w:szCs w:val="21"/>
                <w:bdr w:val="none" w:color="auto" w:sz="0" w:space="0"/>
                <w:lang w:val="en-US"/>
              </w:rPr>
            </w:pPr>
            <w:r>
              <w:rPr>
                <w:rFonts w:hAnsi="宋体" w:cs="宋体"/>
                <w:snapToGrid w:val="0"/>
                <w:color w:val="000000"/>
                <w:kern w:val="21"/>
                <w:szCs w:val="21"/>
                <w:bdr w:val="none" w:color="auto" w:sz="0" w:space="0"/>
              </w:rPr>
              <w:t>固体废物</w:t>
            </w:r>
          </w:p>
        </w:tc>
        <w:tc>
          <w:tcPr>
            <w:tcW w:w="1702" w:type="dxa"/>
            <w:tcBorders>
              <w:top w:val="single" w:color="auto" w:sz="4" w:space="0"/>
              <w:left w:val="single" w:color="auto" w:sz="4" w:space="0"/>
              <w:bottom w:val="single" w:color="auto" w:sz="4" w:space="0"/>
              <w:right w:val="single" w:color="auto" w:sz="4" w:space="0"/>
            </w:tcBorders>
            <w:shd w:val="clear"/>
            <w:vAlign w:val="center"/>
          </w:tcPr>
          <w:p w14:paraId="486004C4">
            <w:pPr>
              <w:pStyle w:val="58"/>
              <w:widowControl/>
              <w:spacing w:beforeLines="10" w:beforeAutospacing="0" w:after="0" w:afterAutospacing="0" w:line="400" w:lineRule="exact"/>
              <w:ind w:left="0" w:right="0"/>
              <w:rPr>
                <w:rFonts w:hAnsi="宋体" w:cs="宋体"/>
                <w:color w:val="000000"/>
                <w:kern w:val="21"/>
                <w:szCs w:val="21"/>
                <w:bdr w:val="none" w:color="auto" w:sz="0" w:space="0"/>
                <w:lang w:val="en-US"/>
              </w:rPr>
            </w:pPr>
            <w:r>
              <w:rPr>
                <w:rFonts w:hAnsi="宋体" w:cs="宋体"/>
                <w:snapToGrid w:val="0"/>
                <w:color w:val="000000"/>
                <w:kern w:val="21"/>
                <w:szCs w:val="21"/>
                <w:bdr w:val="none" w:color="auto" w:sz="0" w:space="0"/>
              </w:rPr>
              <w:t>一般工业固废</w:t>
            </w:r>
          </w:p>
        </w:tc>
        <w:tc>
          <w:tcPr>
            <w:tcW w:w="1702" w:type="dxa"/>
            <w:tcBorders>
              <w:top w:val="single" w:color="auto" w:sz="4" w:space="0"/>
              <w:left w:val="single" w:color="auto" w:sz="4" w:space="0"/>
              <w:bottom w:val="single" w:color="auto" w:sz="4" w:space="0"/>
              <w:right w:val="single" w:color="auto" w:sz="4" w:space="0"/>
            </w:tcBorders>
            <w:shd w:val="clear"/>
            <w:vAlign w:val="center"/>
          </w:tcPr>
          <w:p w14:paraId="7CAB1D9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11.955</w:t>
            </w:r>
          </w:p>
        </w:tc>
        <w:tc>
          <w:tcPr>
            <w:tcW w:w="1276" w:type="dxa"/>
            <w:tcBorders>
              <w:top w:val="single" w:color="auto" w:sz="4" w:space="0"/>
              <w:left w:val="single" w:color="auto" w:sz="4" w:space="0"/>
              <w:bottom w:val="single" w:color="auto" w:sz="4" w:space="0"/>
              <w:right w:val="single" w:color="auto" w:sz="4" w:space="0"/>
            </w:tcBorders>
            <w:shd w:val="clear"/>
            <w:vAlign w:val="center"/>
          </w:tcPr>
          <w:p w14:paraId="35B2BE83">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bdr w:val="none" w:color="auto" w:sz="0" w:space="0"/>
                <w:lang w:val="en-US"/>
              </w:rPr>
            </w:pPr>
            <w:r>
              <w:rPr>
                <w:rFonts w:hint="default" w:ascii="Times New Roman" w:hAnsi="Times New Roman" w:cs="Times New Roman"/>
                <w:snapToGrid w:val="0"/>
                <w:color w:val="000000"/>
                <w:kern w:val="21"/>
                <w:szCs w:val="21"/>
                <w:bdr w:val="none" w:color="auto" w:sz="0" w:space="0"/>
                <w:lang w:val="en-US"/>
              </w:rPr>
              <w:t>/</w:t>
            </w:r>
          </w:p>
        </w:tc>
        <w:tc>
          <w:tcPr>
            <w:tcW w:w="1702" w:type="dxa"/>
            <w:tcBorders>
              <w:top w:val="single" w:color="auto" w:sz="4" w:space="0"/>
              <w:left w:val="single" w:color="auto" w:sz="4" w:space="0"/>
              <w:bottom w:val="single" w:color="auto" w:sz="4" w:space="0"/>
              <w:right w:val="single" w:color="auto" w:sz="4" w:space="0"/>
            </w:tcBorders>
            <w:shd w:val="clear"/>
            <w:vAlign w:val="center"/>
          </w:tcPr>
          <w:p w14:paraId="1CCF3983">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bdr w:val="none" w:color="auto" w:sz="0" w:space="0"/>
                <w:lang w:val="en-US"/>
              </w:rPr>
            </w:pPr>
            <w:r>
              <w:rPr>
                <w:rFonts w:hint="default" w:ascii="Times New Roman" w:hAnsi="Times New Roman" w:cs="Times New Roman"/>
                <w:snapToGrid w:val="0"/>
                <w:color w:val="000000"/>
                <w:kern w:val="21"/>
                <w:szCs w:val="21"/>
                <w:bdr w:val="none" w:color="auto" w:sz="0" w:space="0"/>
                <w:lang w:val="en-US"/>
              </w:rPr>
              <w:t>/</w:t>
            </w:r>
          </w:p>
        </w:tc>
        <w:tc>
          <w:tcPr>
            <w:tcW w:w="1559" w:type="dxa"/>
            <w:tcBorders>
              <w:top w:val="single" w:color="auto" w:sz="4" w:space="0"/>
              <w:left w:val="single" w:color="auto" w:sz="4" w:space="0"/>
              <w:bottom w:val="single" w:color="auto" w:sz="4" w:space="0"/>
              <w:right w:val="single" w:color="auto" w:sz="4" w:space="0"/>
            </w:tcBorders>
            <w:shd w:val="clear"/>
            <w:vAlign w:val="center"/>
          </w:tcPr>
          <w:p w14:paraId="4FC0354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12.913</w:t>
            </w:r>
          </w:p>
        </w:tc>
        <w:tc>
          <w:tcPr>
            <w:tcW w:w="1559" w:type="dxa"/>
            <w:tcBorders>
              <w:top w:val="single" w:color="auto" w:sz="4" w:space="0"/>
              <w:left w:val="single" w:color="auto" w:sz="4" w:space="0"/>
              <w:bottom w:val="single" w:color="auto" w:sz="4" w:space="0"/>
              <w:right w:val="single" w:color="auto" w:sz="4" w:space="0"/>
            </w:tcBorders>
            <w:shd w:val="clear"/>
            <w:vAlign w:val="center"/>
          </w:tcPr>
          <w:p w14:paraId="61DEBBC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11.955</w:t>
            </w:r>
          </w:p>
        </w:tc>
        <w:tc>
          <w:tcPr>
            <w:tcW w:w="1843" w:type="dxa"/>
            <w:tcBorders>
              <w:top w:val="single" w:color="auto" w:sz="4" w:space="0"/>
              <w:left w:val="single" w:color="auto" w:sz="4" w:space="0"/>
              <w:bottom w:val="single" w:color="auto" w:sz="4" w:space="0"/>
              <w:right w:val="single" w:color="auto" w:sz="4" w:space="0"/>
            </w:tcBorders>
            <w:shd w:val="clear"/>
            <w:vAlign w:val="center"/>
          </w:tcPr>
          <w:p w14:paraId="5F12F0C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12.913</w:t>
            </w:r>
          </w:p>
        </w:tc>
        <w:tc>
          <w:tcPr>
            <w:tcW w:w="1144" w:type="dxa"/>
            <w:tcBorders>
              <w:top w:val="single" w:color="auto" w:sz="4" w:space="0"/>
              <w:left w:val="single" w:color="auto" w:sz="4" w:space="0"/>
              <w:bottom w:val="single" w:color="auto" w:sz="4" w:space="0"/>
              <w:right w:val="single" w:color="auto" w:sz="8" w:space="0"/>
            </w:tcBorders>
            <w:shd w:val="clear"/>
            <w:vAlign w:val="center"/>
          </w:tcPr>
          <w:p w14:paraId="6C72C9C8">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+0.958</w:t>
            </w:r>
          </w:p>
        </w:tc>
      </w:tr>
      <w:tr w14:paraId="5D8499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304" w:type="dxa"/>
            <w:vMerge w:val="continue"/>
            <w:tcBorders>
              <w:top w:val="single" w:color="auto" w:sz="4" w:space="0"/>
              <w:left w:val="single" w:color="auto" w:sz="8" w:space="0"/>
              <w:bottom w:val="single" w:color="auto" w:sz="8" w:space="0"/>
              <w:right w:val="single" w:color="auto" w:sz="4" w:space="0"/>
            </w:tcBorders>
            <w:shd w:val="clear"/>
            <w:vAlign w:val="center"/>
          </w:tcPr>
          <w:p w14:paraId="04B63AFB">
            <w:pPr>
              <w:rPr>
                <w:rFonts w:hint="default" w:ascii="Calibri" w:hAnsi="Calibri" w:cs="Calibri"/>
                <w:sz w:val="20"/>
                <w:szCs w:val="20"/>
              </w:rPr>
            </w:pPr>
          </w:p>
        </w:tc>
        <w:tc>
          <w:tcPr>
            <w:tcW w:w="1702" w:type="dxa"/>
            <w:tcBorders>
              <w:top w:val="single" w:color="auto" w:sz="4" w:space="0"/>
              <w:left w:val="single" w:color="auto" w:sz="4" w:space="0"/>
              <w:bottom w:val="single" w:color="auto" w:sz="4" w:space="0"/>
              <w:right w:val="single" w:color="auto" w:sz="4" w:space="0"/>
            </w:tcBorders>
            <w:shd w:val="clear"/>
            <w:vAlign w:val="center"/>
          </w:tcPr>
          <w:p w14:paraId="359A9C89">
            <w:pPr>
              <w:pStyle w:val="58"/>
              <w:widowControl/>
              <w:spacing w:beforeLines="10" w:beforeAutospacing="0" w:after="0" w:afterAutospacing="0" w:line="400" w:lineRule="exact"/>
              <w:ind w:left="0" w:right="0"/>
              <w:rPr>
                <w:rFonts w:hAnsi="宋体" w:cs="宋体"/>
                <w:color w:val="000000"/>
                <w:kern w:val="21"/>
                <w:szCs w:val="21"/>
                <w:bdr w:val="none" w:color="auto" w:sz="0" w:space="0"/>
                <w:lang w:val="en-US"/>
              </w:rPr>
            </w:pPr>
            <w:r>
              <w:rPr>
                <w:rFonts w:hAnsi="宋体" w:cs="宋体"/>
                <w:snapToGrid w:val="0"/>
                <w:color w:val="000000"/>
                <w:kern w:val="21"/>
                <w:szCs w:val="21"/>
                <w:bdr w:val="none" w:color="auto" w:sz="0" w:space="0"/>
              </w:rPr>
              <w:t>危险废物</w:t>
            </w:r>
          </w:p>
        </w:tc>
        <w:tc>
          <w:tcPr>
            <w:tcW w:w="1702" w:type="dxa"/>
            <w:tcBorders>
              <w:top w:val="single" w:color="auto" w:sz="4" w:space="0"/>
              <w:left w:val="single" w:color="auto" w:sz="4" w:space="0"/>
              <w:bottom w:val="single" w:color="auto" w:sz="4" w:space="0"/>
              <w:right w:val="single" w:color="auto" w:sz="4" w:space="0"/>
            </w:tcBorders>
            <w:shd w:val="clear"/>
            <w:vAlign w:val="center"/>
          </w:tcPr>
          <w:p w14:paraId="5808F89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0.721</w:t>
            </w:r>
          </w:p>
        </w:tc>
        <w:tc>
          <w:tcPr>
            <w:tcW w:w="1276" w:type="dxa"/>
            <w:tcBorders>
              <w:top w:val="single" w:color="auto" w:sz="4" w:space="0"/>
              <w:left w:val="single" w:color="auto" w:sz="4" w:space="0"/>
              <w:bottom w:val="single" w:color="auto" w:sz="4" w:space="0"/>
              <w:right w:val="single" w:color="auto" w:sz="4" w:space="0"/>
            </w:tcBorders>
            <w:shd w:val="clear"/>
            <w:vAlign w:val="center"/>
          </w:tcPr>
          <w:p w14:paraId="56DDA22F">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bdr w:val="none" w:color="auto" w:sz="0" w:space="0"/>
                <w:lang w:val="en-US"/>
              </w:rPr>
            </w:pPr>
            <w:r>
              <w:rPr>
                <w:rFonts w:hint="default" w:ascii="Times New Roman" w:hAnsi="Times New Roman" w:cs="Times New Roman"/>
                <w:snapToGrid w:val="0"/>
                <w:color w:val="000000"/>
                <w:kern w:val="21"/>
                <w:szCs w:val="21"/>
                <w:bdr w:val="none" w:color="auto" w:sz="0" w:space="0"/>
                <w:lang w:val="en-US"/>
              </w:rPr>
              <w:t>/</w:t>
            </w:r>
          </w:p>
        </w:tc>
        <w:tc>
          <w:tcPr>
            <w:tcW w:w="1702" w:type="dxa"/>
            <w:tcBorders>
              <w:top w:val="single" w:color="auto" w:sz="4" w:space="0"/>
              <w:left w:val="single" w:color="auto" w:sz="4" w:space="0"/>
              <w:bottom w:val="single" w:color="auto" w:sz="4" w:space="0"/>
              <w:right w:val="single" w:color="auto" w:sz="4" w:space="0"/>
            </w:tcBorders>
            <w:shd w:val="clear"/>
            <w:vAlign w:val="center"/>
          </w:tcPr>
          <w:p w14:paraId="4736E630">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bdr w:val="none" w:color="auto" w:sz="0" w:space="0"/>
                <w:lang w:val="en-US"/>
              </w:rPr>
            </w:pPr>
            <w:r>
              <w:rPr>
                <w:rFonts w:hint="default" w:ascii="Times New Roman" w:hAnsi="Times New Roman" w:cs="Times New Roman"/>
                <w:snapToGrid w:val="0"/>
                <w:color w:val="000000"/>
                <w:kern w:val="21"/>
                <w:szCs w:val="21"/>
                <w:bdr w:val="none" w:color="auto" w:sz="0" w:space="0"/>
                <w:lang w:val="en-US"/>
              </w:rPr>
              <w:t>/</w:t>
            </w:r>
          </w:p>
        </w:tc>
        <w:tc>
          <w:tcPr>
            <w:tcW w:w="1559" w:type="dxa"/>
            <w:tcBorders>
              <w:top w:val="single" w:color="auto" w:sz="4" w:space="0"/>
              <w:left w:val="single" w:color="auto" w:sz="4" w:space="0"/>
              <w:bottom w:val="single" w:color="auto" w:sz="4" w:space="0"/>
              <w:right w:val="single" w:color="auto" w:sz="4" w:space="0"/>
            </w:tcBorders>
            <w:shd w:val="clear"/>
            <w:vAlign w:val="center"/>
          </w:tcPr>
          <w:p w14:paraId="5EF1FB4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2.628</w:t>
            </w:r>
          </w:p>
        </w:tc>
        <w:tc>
          <w:tcPr>
            <w:tcW w:w="1559" w:type="dxa"/>
            <w:tcBorders>
              <w:top w:val="single" w:color="auto" w:sz="4" w:space="0"/>
              <w:left w:val="single" w:color="auto" w:sz="4" w:space="0"/>
              <w:bottom w:val="single" w:color="auto" w:sz="4" w:space="0"/>
              <w:right w:val="single" w:color="auto" w:sz="4" w:space="0"/>
            </w:tcBorders>
            <w:shd w:val="clear"/>
            <w:vAlign w:val="center"/>
          </w:tcPr>
          <w:p w14:paraId="454A16A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0.721</w:t>
            </w:r>
          </w:p>
        </w:tc>
        <w:tc>
          <w:tcPr>
            <w:tcW w:w="1843" w:type="dxa"/>
            <w:tcBorders>
              <w:top w:val="single" w:color="auto" w:sz="4" w:space="0"/>
              <w:left w:val="single" w:color="auto" w:sz="4" w:space="0"/>
              <w:bottom w:val="single" w:color="auto" w:sz="4" w:space="0"/>
              <w:right w:val="single" w:color="auto" w:sz="4" w:space="0"/>
            </w:tcBorders>
            <w:shd w:val="clear"/>
            <w:vAlign w:val="center"/>
          </w:tcPr>
          <w:p w14:paraId="5F0CFE2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2.628</w:t>
            </w:r>
          </w:p>
        </w:tc>
        <w:tc>
          <w:tcPr>
            <w:tcW w:w="1144" w:type="dxa"/>
            <w:tcBorders>
              <w:top w:val="single" w:color="auto" w:sz="4" w:space="0"/>
              <w:left w:val="single" w:color="auto" w:sz="4" w:space="0"/>
              <w:bottom w:val="single" w:color="auto" w:sz="4" w:space="0"/>
              <w:right w:val="single" w:color="auto" w:sz="8" w:space="0"/>
            </w:tcBorders>
            <w:shd w:val="clear"/>
            <w:vAlign w:val="center"/>
          </w:tcPr>
          <w:p w14:paraId="26D3A7AC">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+1.907</w:t>
            </w:r>
          </w:p>
        </w:tc>
      </w:tr>
      <w:tr w14:paraId="3B527E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304" w:type="dxa"/>
            <w:vMerge w:val="continue"/>
            <w:tcBorders>
              <w:top w:val="single" w:color="auto" w:sz="4" w:space="0"/>
              <w:left w:val="single" w:color="auto" w:sz="8" w:space="0"/>
              <w:bottom w:val="single" w:color="auto" w:sz="8" w:space="0"/>
              <w:right w:val="single" w:color="auto" w:sz="4" w:space="0"/>
            </w:tcBorders>
            <w:shd w:val="clear"/>
            <w:vAlign w:val="center"/>
          </w:tcPr>
          <w:p w14:paraId="1401B404">
            <w:pPr>
              <w:rPr>
                <w:rFonts w:hint="default" w:ascii="Calibri" w:hAnsi="Calibri" w:cs="Calibri"/>
                <w:sz w:val="20"/>
                <w:szCs w:val="20"/>
              </w:rPr>
            </w:pPr>
          </w:p>
        </w:tc>
        <w:tc>
          <w:tcPr>
            <w:tcW w:w="1702" w:type="dxa"/>
            <w:tcBorders>
              <w:top w:val="single" w:color="auto" w:sz="4" w:space="0"/>
              <w:left w:val="single" w:color="auto" w:sz="4" w:space="0"/>
              <w:bottom w:val="single" w:color="auto" w:sz="8" w:space="0"/>
              <w:right w:val="single" w:color="auto" w:sz="4" w:space="0"/>
            </w:tcBorders>
            <w:shd w:val="clear"/>
            <w:vAlign w:val="center"/>
          </w:tcPr>
          <w:p w14:paraId="6920BB71">
            <w:pPr>
              <w:pStyle w:val="58"/>
              <w:widowControl/>
              <w:spacing w:beforeLines="10" w:beforeAutospacing="0" w:after="0" w:afterAutospacing="0" w:line="400" w:lineRule="exact"/>
              <w:ind w:left="0" w:right="0"/>
              <w:rPr>
                <w:rFonts w:hAnsi="宋体" w:cs="宋体"/>
                <w:color w:val="000000"/>
                <w:kern w:val="21"/>
                <w:szCs w:val="21"/>
                <w:bdr w:val="none" w:color="auto" w:sz="0" w:space="0"/>
                <w:lang w:val="en-US"/>
              </w:rPr>
            </w:pPr>
            <w:r>
              <w:rPr>
                <w:rFonts w:hAnsi="宋体" w:cs="宋体"/>
                <w:snapToGrid w:val="0"/>
                <w:color w:val="000000"/>
                <w:kern w:val="21"/>
                <w:szCs w:val="21"/>
                <w:bdr w:val="none" w:color="auto" w:sz="0" w:space="0"/>
              </w:rPr>
              <w:t>生活垃圾</w:t>
            </w:r>
          </w:p>
        </w:tc>
        <w:tc>
          <w:tcPr>
            <w:tcW w:w="1702" w:type="dxa"/>
            <w:tcBorders>
              <w:top w:val="single" w:color="auto" w:sz="4" w:space="0"/>
              <w:left w:val="single" w:color="auto" w:sz="4" w:space="0"/>
              <w:bottom w:val="single" w:color="auto" w:sz="8" w:space="0"/>
              <w:right w:val="single" w:color="auto" w:sz="4" w:space="0"/>
            </w:tcBorders>
            <w:shd w:val="clear"/>
            <w:vAlign w:val="center"/>
          </w:tcPr>
          <w:p w14:paraId="2B4A6AE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7.5</w:t>
            </w:r>
          </w:p>
        </w:tc>
        <w:tc>
          <w:tcPr>
            <w:tcW w:w="1276" w:type="dxa"/>
            <w:tcBorders>
              <w:top w:val="single" w:color="auto" w:sz="4" w:space="0"/>
              <w:left w:val="single" w:color="auto" w:sz="4" w:space="0"/>
              <w:bottom w:val="single" w:color="auto" w:sz="8" w:space="0"/>
              <w:right w:val="single" w:color="auto" w:sz="4" w:space="0"/>
            </w:tcBorders>
            <w:shd w:val="clear"/>
            <w:vAlign w:val="center"/>
          </w:tcPr>
          <w:p w14:paraId="53DAA05D">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bdr w:val="none" w:color="auto" w:sz="0" w:space="0"/>
                <w:lang w:val="en-US"/>
              </w:rPr>
            </w:pPr>
            <w:r>
              <w:rPr>
                <w:rFonts w:hint="default" w:ascii="Times New Roman" w:hAnsi="Times New Roman" w:cs="Times New Roman"/>
                <w:snapToGrid w:val="0"/>
                <w:color w:val="000000"/>
                <w:kern w:val="21"/>
                <w:szCs w:val="21"/>
                <w:bdr w:val="none" w:color="auto" w:sz="0" w:space="0"/>
                <w:lang w:val="en-US"/>
              </w:rPr>
              <w:t>/</w:t>
            </w:r>
          </w:p>
        </w:tc>
        <w:tc>
          <w:tcPr>
            <w:tcW w:w="1702" w:type="dxa"/>
            <w:tcBorders>
              <w:top w:val="single" w:color="auto" w:sz="4" w:space="0"/>
              <w:left w:val="single" w:color="auto" w:sz="4" w:space="0"/>
              <w:bottom w:val="single" w:color="auto" w:sz="8" w:space="0"/>
              <w:right w:val="single" w:color="auto" w:sz="4" w:space="0"/>
            </w:tcBorders>
            <w:shd w:val="clear"/>
            <w:vAlign w:val="center"/>
          </w:tcPr>
          <w:p w14:paraId="3C9F7085">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bdr w:val="none" w:color="auto" w:sz="0" w:space="0"/>
                <w:lang w:val="en-US"/>
              </w:rPr>
            </w:pPr>
            <w:r>
              <w:rPr>
                <w:rFonts w:hint="default" w:ascii="Times New Roman" w:hAnsi="Times New Roman" w:cs="Times New Roman"/>
                <w:snapToGrid w:val="0"/>
                <w:color w:val="000000"/>
                <w:kern w:val="21"/>
                <w:szCs w:val="21"/>
                <w:bdr w:val="none" w:color="auto" w:sz="0" w:space="0"/>
                <w:lang w:val="en-US"/>
              </w:rPr>
              <w:t>/</w:t>
            </w:r>
          </w:p>
        </w:tc>
        <w:tc>
          <w:tcPr>
            <w:tcW w:w="1559" w:type="dxa"/>
            <w:tcBorders>
              <w:top w:val="single" w:color="auto" w:sz="4" w:space="0"/>
              <w:left w:val="single" w:color="auto" w:sz="4" w:space="0"/>
              <w:bottom w:val="single" w:color="auto" w:sz="8" w:space="0"/>
              <w:right w:val="single" w:color="auto" w:sz="4" w:space="0"/>
            </w:tcBorders>
            <w:shd w:val="clear"/>
            <w:vAlign w:val="center"/>
          </w:tcPr>
          <w:p w14:paraId="671167E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9.75</w:t>
            </w:r>
          </w:p>
        </w:tc>
        <w:tc>
          <w:tcPr>
            <w:tcW w:w="1559" w:type="dxa"/>
            <w:tcBorders>
              <w:top w:val="single" w:color="auto" w:sz="4" w:space="0"/>
              <w:left w:val="single" w:color="auto" w:sz="4" w:space="0"/>
              <w:bottom w:val="single" w:color="auto" w:sz="8" w:space="0"/>
              <w:right w:val="single" w:color="auto" w:sz="4" w:space="0"/>
            </w:tcBorders>
            <w:shd w:val="clear"/>
            <w:vAlign w:val="center"/>
          </w:tcPr>
          <w:p w14:paraId="5DBBC70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7.5</w:t>
            </w:r>
          </w:p>
        </w:tc>
        <w:tc>
          <w:tcPr>
            <w:tcW w:w="1843" w:type="dxa"/>
            <w:tcBorders>
              <w:top w:val="single" w:color="auto" w:sz="4" w:space="0"/>
              <w:left w:val="single" w:color="auto" w:sz="4" w:space="0"/>
              <w:bottom w:val="single" w:color="auto" w:sz="8" w:space="0"/>
              <w:right w:val="single" w:color="auto" w:sz="4" w:space="0"/>
            </w:tcBorders>
            <w:shd w:val="clear"/>
            <w:vAlign w:val="center"/>
          </w:tcPr>
          <w:p w14:paraId="34F27C9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bdr w:val="none" w:color="auto" w:sz="0" w:space="0"/>
                <w:lang w:val="en-US"/>
              </w:rPr>
            </w:pPr>
            <w:r>
              <w:rPr>
                <w:rFonts w:hint="default" w:ascii="Times New Roman" w:hAnsi="Times New Roman" w:eastAsia="宋体" w:cs="Times New Roman"/>
                <w:color w:val="000000"/>
                <w:kern w:val="0"/>
                <w:sz w:val="21"/>
                <w:szCs w:val="21"/>
                <w:bdr w:val="none" w:color="auto" w:sz="0" w:space="0"/>
                <w:lang w:val="en-US" w:eastAsia="zh-CN" w:bidi="ar"/>
              </w:rPr>
              <w:t>9.75</w:t>
            </w:r>
          </w:p>
        </w:tc>
        <w:tc>
          <w:tcPr>
            <w:tcW w:w="1144" w:type="dxa"/>
            <w:tcBorders>
              <w:top w:val="single" w:color="auto" w:sz="4" w:space="0"/>
              <w:left w:val="single" w:color="auto" w:sz="4" w:space="0"/>
              <w:bottom w:val="single" w:color="auto" w:sz="8" w:space="0"/>
              <w:right w:val="single" w:color="auto" w:sz="8" w:space="0"/>
            </w:tcBorders>
            <w:shd w:val="clear"/>
            <w:vAlign w:val="center"/>
          </w:tcPr>
          <w:p w14:paraId="6C43A542">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bdr w:val="none" w:color="auto" w:sz="0" w:space="0"/>
                <w:lang w:val="en-US"/>
              </w:rPr>
            </w:pPr>
            <w:r>
              <w:rPr>
                <w:rFonts w:hint="default" w:ascii="Times New Roman" w:hAnsi="Times New Roman" w:eastAsia="宋体" w:cs="Times New Roman"/>
                <w:color w:val="000000"/>
                <w:kern w:val="2"/>
                <w:sz w:val="21"/>
                <w:szCs w:val="21"/>
                <w:bdr w:val="none" w:color="auto" w:sz="0" w:space="0"/>
                <w:lang w:val="en-US" w:eastAsia="zh-CN" w:bidi="ar"/>
              </w:rPr>
              <w:t>+2.25</w:t>
            </w:r>
          </w:p>
        </w:tc>
      </w:tr>
    </w:tbl>
    <w:p w14:paraId="49432AB3">
      <w:pPr>
        <w:pStyle w:val="58"/>
        <w:widowControl/>
        <w:spacing w:before="192" w:beforeLines="80" w:beforeAutospacing="0" w:after="24" w:afterAutospacing="0"/>
        <w:ind w:left="0" w:right="0"/>
        <w:jc w:val="left"/>
        <w:rPr>
          <w:rFonts w:hAnsi="宋体"/>
          <w:snapToGrid w:val="0"/>
          <w:color w:val="000000"/>
          <w:spacing w:val="-6"/>
          <w:kern w:val="21"/>
          <w:szCs w:val="21"/>
          <w:lang w:val="en-US"/>
        </w:rPr>
      </w:pPr>
      <w:r>
        <w:rPr>
          <w:rFonts w:hAnsi="宋体"/>
          <w:snapToGrid w:val="0"/>
          <w:color w:val="000000"/>
          <w:kern w:val="21"/>
          <w:szCs w:val="21"/>
          <w:lang w:eastAsia="zh-CN"/>
        </w:rPr>
        <w:t>注：</w:t>
      </w:r>
      <w:r>
        <w:rPr>
          <w:rFonts w:hAnsi="宋体"/>
          <w:color w:val="000000"/>
          <w:spacing w:val="-16"/>
          <w:kern w:val="21"/>
          <w:szCs w:val="21"/>
          <w:lang w:val="en-US"/>
        </w:rPr>
        <w:fldChar w:fldCharType="begin"/>
      </w:r>
      <w:r>
        <w:rPr>
          <w:rFonts w:hAnsi="宋体"/>
          <w:snapToGrid w:val="0"/>
          <w:color w:val="000000"/>
          <w:spacing w:val="-16"/>
          <w:kern w:val="21"/>
          <w:szCs w:val="21"/>
          <w:lang w:val="en-US"/>
        </w:rPr>
        <w:instrText xml:space="preserve"> = 6 \* GB3 \* MERGEFORMAT </w:instrText>
      </w:r>
      <w:r>
        <w:rPr>
          <w:rFonts w:hAnsi="宋体"/>
          <w:color w:val="000000"/>
          <w:spacing w:val="-16"/>
          <w:kern w:val="21"/>
          <w:szCs w:val="21"/>
          <w:lang w:val="en-US"/>
        </w:rPr>
        <w:fldChar w:fldCharType="separate"/>
      </w:r>
      <w:r>
        <w:rPr>
          <w:rFonts w:hAnsi="宋体"/>
          <w:color w:val="000000"/>
          <w:szCs w:val="21"/>
          <w:lang w:eastAsia="zh-CN"/>
        </w:rPr>
        <w:t>⑥</w:t>
      </w:r>
      <w:r>
        <w:rPr>
          <w:rFonts w:hAnsi="宋体"/>
          <w:color w:val="000000"/>
          <w:spacing w:val="-16"/>
          <w:kern w:val="21"/>
          <w:szCs w:val="21"/>
          <w:lang w:val="en-US"/>
        </w:rPr>
        <w:fldChar w:fldCharType="end"/>
      </w:r>
      <w:r>
        <w:rPr>
          <w:rFonts w:hAnsi="宋体"/>
          <w:snapToGrid w:val="0"/>
          <w:color w:val="000000"/>
          <w:spacing w:val="-16"/>
          <w:kern w:val="21"/>
          <w:szCs w:val="21"/>
          <w:lang w:val="en-US"/>
        </w:rPr>
        <w:t>=</w:t>
      </w:r>
      <w:r>
        <w:rPr>
          <w:rFonts w:hAnsi="宋体"/>
          <w:color w:val="000000"/>
          <w:spacing w:val="-6"/>
          <w:kern w:val="21"/>
          <w:szCs w:val="21"/>
          <w:lang w:val="en-US"/>
        </w:rPr>
        <w:fldChar w:fldCharType="begin"/>
      </w:r>
      <w:r>
        <w:rPr>
          <w:rFonts w:hAnsi="宋体"/>
          <w:snapToGrid w:val="0"/>
          <w:color w:val="000000"/>
          <w:spacing w:val="-6"/>
          <w:kern w:val="21"/>
          <w:szCs w:val="21"/>
          <w:lang w:val="en-US"/>
        </w:rPr>
        <w:instrText xml:space="preserve"> = 1 \* GB3 \* MERGEFORMAT </w:instrText>
      </w:r>
      <w:r>
        <w:rPr>
          <w:rFonts w:hAnsi="宋体"/>
          <w:color w:val="000000"/>
          <w:spacing w:val="-6"/>
          <w:kern w:val="21"/>
          <w:szCs w:val="21"/>
          <w:lang w:val="en-US"/>
        </w:rPr>
        <w:fldChar w:fldCharType="separate"/>
      </w:r>
      <w:r>
        <w:rPr>
          <w:rFonts w:hAnsi="宋体"/>
          <w:color w:val="000000"/>
          <w:szCs w:val="21"/>
          <w:lang w:eastAsia="zh-CN"/>
        </w:rPr>
        <w:t>①</w:t>
      </w:r>
      <w:r>
        <w:rPr>
          <w:rFonts w:hAnsi="宋体"/>
          <w:color w:val="000000"/>
          <w:spacing w:val="-6"/>
          <w:kern w:val="21"/>
          <w:szCs w:val="21"/>
          <w:lang w:val="en-US"/>
        </w:rPr>
        <w:fldChar w:fldCharType="end"/>
      </w:r>
      <w:r>
        <w:rPr>
          <w:rFonts w:hAnsi="宋体"/>
          <w:snapToGrid w:val="0"/>
          <w:color w:val="000000"/>
          <w:spacing w:val="-6"/>
          <w:kern w:val="21"/>
          <w:szCs w:val="21"/>
          <w:lang w:val="en-US"/>
        </w:rPr>
        <w:t>+</w:t>
      </w:r>
      <w:r>
        <w:rPr>
          <w:rFonts w:hAnsi="宋体"/>
          <w:color w:val="000000"/>
          <w:spacing w:val="-6"/>
          <w:kern w:val="21"/>
          <w:szCs w:val="21"/>
          <w:lang w:val="en-US"/>
        </w:rPr>
        <w:fldChar w:fldCharType="begin"/>
      </w:r>
      <w:r>
        <w:rPr>
          <w:rFonts w:hAnsi="宋体"/>
          <w:snapToGrid w:val="0"/>
          <w:color w:val="000000"/>
          <w:spacing w:val="-6"/>
          <w:kern w:val="21"/>
          <w:szCs w:val="21"/>
          <w:lang w:val="en-US"/>
        </w:rPr>
        <w:instrText xml:space="preserve"> = 3 \* GB3 \* MERGEFORMAT </w:instrText>
      </w:r>
      <w:r>
        <w:rPr>
          <w:rFonts w:hAnsi="宋体"/>
          <w:color w:val="000000"/>
          <w:spacing w:val="-6"/>
          <w:kern w:val="21"/>
          <w:szCs w:val="21"/>
          <w:lang w:val="en-US"/>
        </w:rPr>
        <w:fldChar w:fldCharType="separate"/>
      </w:r>
      <w:r>
        <w:rPr>
          <w:rFonts w:hAnsi="宋体"/>
          <w:color w:val="000000"/>
          <w:szCs w:val="21"/>
          <w:lang w:eastAsia="zh-CN"/>
        </w:rPr>
        <w:t>③</w:t>
      </w:r>
      <w:r>
        <w:rPr>
          <w:rFonts w:hAnsi="宋体"/>
          <w:color w:val="000000"/>
          <w:spacing w:val="-6"/>
          <w:kern w:val="21"/>
          <w:szCs w:val="21"/>
          <w:lang w:val="en-US"/>
        </w:rPr>
        <w:fldChar w:fldCharType="end"/>
      </w:r>
      <w:r>
        <w:rPr>
          <w:rFonts w:hAnsi="宋体"/>
          <w:snapToGrid w:val="0"/>
          <w:color w:val="000000"/>
          <w:spacing w:val="-6"/>
          <w:kern w:val="21"/>
          <w:szCs w:val="21"/>
          <w:lang w:val="en-US"/>
        </w:rPr>
        <w:t>+</w:t>
      </w:r>
      <w:r>
        <w:rPr>
          <w:rFonts w:hAnsi="宋体"/>
          <w:color w:val="000000"/>
          <w:spacing w:val="-6"/>
          <w:kern w:val="21"/>
          <w:szCs w:val="21"/>
          <w:lang w:val="en-US"/>
        </w:rPr>
        <w:fldChar w:fldCharType="begin"/>
      </w:r>
      <w:r>
        <w:rPr>
          <w:rFonts w:hAnsi="宋体"/>
          <w:snapToGrid w:val="0"/>
          <w:color w:val="000000"/>
          <w:spacing w:val="-6"/>
          <w:kern w:val="21"/>
          <w:szCs w:val="21"/>
          <w:lang w:val="en-US"/>
        </w:rPr>
        <w:instrText xml:space="preserve"> = 4 \* GB3 \* MERGEFORMAT </w:instrText>
      </w:r>
      <w:r>
        <w:rPr>
          <w:rFonts w:hAnsi="宋体"/>
          <w:color w:val="000000"/>
          <w:spacing w:val="-6"/>
          <w:kern w:val="21"/>
          <w:szCs w:val="21"/>
          <w:lang w:val="en-US"/>
        </w:rPr>
        <w:fldChar w:fldCharType="separate"/>
      </w:r>
      <w:r>
        <w:rPr>
          <w:rFonts w:hAnsi="宋体"/>
          <w:color w:val="000000"/>
          <w:szCs w:val="21"/>
          <w:lang w:eastAsia="zh-CN"/>
        </w:rPr>
        <w:t>④</w:t>
      </w:r>
      <w:r>
        <w:rPr>
          <w:rFonts w:hAnsi="宋体"/>
          <w:color w:val="000000"/>
          <w:spacing w:val="-6"/>
          <w:kern w:val="21"/>
          <w:szCs w:val="21"/>
          <w:lang w:val="en-US"/>
        </w:rPr>
        <w:fldChar w:fldCharType="end"/>
      </w:r>
      <w:r>
        <w:rPr>
          <w:rFonts w:hAnsi="宋体"/>
          <w:snapToGrid w:val="0"/>
          <w:color w:val="000000"/>
          <w:spacing w:val="-6"/>
          <w:kern w:val="21"/>
          <w:szCs w:val="21"/>
          <w:lang w:val="en-US"/>
        </w:rPr>
        <w:t>-</w:t>
      </w:r>
      <w:r>
        <w:rPr>
          <w:rFonts w:hAnsi="宋体"/>
          <w:color w:val="000000"/>
          <w:spacing w:val="-16"/>
          <w:kern w:val="21"/>
          <w:szCs w:val="21"/>
          <w:lang w:val="en-US"/>
        </w:rPr>
        <w:fldChar w:fldCharType="begin"/>
      </w:r>
      <w:r>
        <w:rPr>
          <w:rFonts w:hAnsi="宋体"/>
          <w:snapToGrid w:val="0"/>
          <w:color w:val="000000"/>
          <w:spacing w:val="-16"/>
          <w:kern w:val="21"/>
          <w:szCs w:val="21"/>
          <w:lang w:val="en-US"/>
        </w:rPr>
        <w:instrText xml:space="preserve"> = 5 \* GB3 \* MERGEFORMAT </w:instrText>
      </w:r>
      <w:r>
        <w:rPr>
          <w:rFonts w:hAnsi="宋体"/>
          <w:color w:val="000000"/>
          <w:spacing w:val="-16"/>
          <w:kern w:val="21"/>
          <w:szCs w:val="21"/>
          <w:lang w:val="en-US"/>
        </w:rPr>
        <w:fldChar w:fldCharType="separate"/>
      </w:r>
      <w:r>
        <w:rPr>
          <w:rFonts w:hAnsi="宋体"/>
          <w:color w:val="000000"/>
          <w:szCs w:val="21"/>
          <w:lang w:eastAsia="zh-CN"/>
        </w:rPr>
        <w:t>⑤</w:t>
      </w:r>
      <w:r>
        <w:rPr>
          <w:rFonts w:hAnsi="宋体"/>
          <w:color w:val="000000"/>
          <w:spacing w:val="-16"/>
          <w:kern w:val="21"/>
          <w:szCs w:val="21"/>
          <w:lang w:val="en-US"/>
        </w:rPr>
        <w:fldChar w:fldCharType="end"/>
      </w:r>
      <w:r>
        <w:rPr>
          <w:rFonts w:hAnsi="宋体"/>
          <w:snapToGrid w:val="0"/>
          <w:color w:val="000000"/>
          <w:spacing w:val="-16"/>
          <w:kern w:val="21"/>
          <w:szCs w:val="21"/>
          <w:lang w:eastAsia="zh-CN"/>
        </w:rPr>
        <w:t>；</w:t>
      </w:r>
      <w:r>
        <w:rPr>
          <w:rFonts w:hAnsi="宋体"/>
          <w:color w:val="000000"/>
          <w:spacing w:val="-6"/>
          <w:kern w:val="21"/>
          <w:szCs w:val="21"/>
          <w:lang w:val="en-US"/>
        </w:rPr>
        <w:fldChar w:fldCharType="begin"/>
      </w:r>
      <w:r>
        <w:rPr>
          <w:rFonts w:hAnsi="宋体"/>
          <w:snapToGrid w:val="0"/>
          <w:color w:val="000000"/>
          <w:spacing w:val="-6"/>
          <w:kern w:val="21"/>
          <w:szCs w:val="21"/>
          <w:lang w:val="en-US"/>
        </w:rPr>
        <w:instrText xml:space="preserve"> = 7 \* GB3 \* MERGEFORMAT </w:instrText>
      </w:r>
      <w:r>
        <w:rPr>
          <w:rFonts w:hAnsi="宋体"/>
          <w:color w:val="000000"/>
          <w:spacing w:val="-6"/>
          <w:kern w:val="21"/>
          <w:szCs w:val="21"/>
          <w:lang w:val="en-US"/>
        </w:rPr>
        <w:fldChar w:fldCharType="separate"/>
      </w:r>
      <w:r>
        <w:rPr>
          <w:rFonts w:hAnsi="宋体"/>
          <w:color w:val="000000"/>
          <w:szCs w:val="21"/>
          <w:lang w:eastAsia="zh-CN"/>
        </w:rPr>
        <w:t>⑦</w:t>
      </w:r>
      <w:r>
        <w:rPr>
          <w:rFonts w:hAnsi="宋体"/>
          <w:color w:val="000000"/>
          <w:spacing w:val="-6"/>
          <w:kern w:val="21"/>
          <w:szCs w:val="21"/>
          <w:lang w:val="en-US"/>
        </w:rPr>
        <w:fldChar w:fldCharType="end"/>
      </w:r>
      <w:r>
        <w:rPr>
          <w:rFonts w:hAnsi="宋体"/>
          <w:snapToGrid w:val="0"/>
          <w:color w:val="000000"/>
          <w:spacing w:val="-6"/>
          <w:kern w:val="21"/>
          <w:szCs w:val="21"/>
          <w:lang w:val="en-US"/>
        </w:rPr>
        <w:t>=</w:t>
      </w:r>
      <w:r>
        <w:rPr>
          <w:rFonts w:hAnsi="宋体"/>
          <w:color w:val="000000"/>
          <w:spacing w:val="-16"/>
          <w:kern w:val="21"/>
          <w:szCs w:val="21"/>
          <w:lang w:val="en-US"/>
        </w:rPr>
        <w:fldChar w:fldCharType="begin"/>
      </w:r>
      <w:r>
        <w:rPr>
          <w:rFonts w:hAnsi="宋体"/>
          <w:snapToGrid w:val="0"/>
          <w:color w:val="000000"/>
          <w:spacing w:val="-16"/>
          <w:kern w:val="21"/>
          <w:szCs w:val="21"/>
          <w:lang w:val="en-US"/>
        </w:rPr>
        <w:instrText xml:space="preserve"> = 6 \* GB3 \* MERGEFORMAT </w:instrText>
      </w:r>
      <w:r>
        <w:rPr>
          <w:rFonts w:hAnsi="宋体"/>
          <w:color w:val="000000"/>
          <w:spacing w:val="-16"/>
          <w:kern w:val="21"/>
          <w:szCs w:val="21"/>
          <w:lang w:val="en-US"/>
        </w:rPr>
        <w:fldChar w:fldCharType="separate"/>
      </w:r>
      <w:r>
        <w:rPr>
          <w:rFonts w:hAnsi="宋体"/>
          <w:color w:val="000000"/>
          <w:szCs w:val="21"/>
          <w:lang w:eastAsia="zh-CN"/>
        </w:rPr>
        <w:t>⑥</w:t>
      </w:r>
      <w:r>
        <w:rPr>
          <w:rFonts w:hAnsi="宋体"/>
          <w:color w:val="000000"/>
          <w:spacing w:val="-16"/>
          <w:kern w:val="21"/>
          <w:szCs w:val="21"/>
          <w:lang w:val="en-US"/>
        </w:rPr>
        <w:fldChar w:fldCharType="end"/>
      </w:r>
      <w:r>
        <w:rPr>
          <w:rFonts w:hAnsi="宋体"/>
          <w:snapToGrid w:val="0"/>
          <w:color w:val="000000"/>
          <w:spacing w:val="-16"/>
          <w:kern w:val="21"/>
          <w:szCs w:val="21"/>
          <w:lang w:val="en-US"/>
        </w:rPr>
        <w:t>-</w:t>
      </w:r>
      <w:r>
        <w:rPr>
          <w:rFonts w:hAnsi="宋体"/>
          <w:color w:val="000000"/>
          <w:spacing w:val="-6"/>
          <w:kern w:val="21"/>
          <w:szCs w:val="21"/>
          <w:lang w:val="en-US"/>
        </w:rPr>
        <w:fldChar w:fldCharType="begin"/>
      </w:r>
      <w:r>
        <w:rPr>
          <w:rFonts w:hAnsi="宋体"/>
          <w:snapToGrid w:val="0"/>
          <w:color w:val="000000"/>
          <w:spacing w:val="-6"/>
          <w:kern w:val="21"/>
          <w:szCs w:val="21"/>
          <w:lang w:val="en-US"/>
        </w:rPr>
        <w:instrText xml:space="preserve"> = 1 \* GB3 \* MERGEFORMAT </w:instrText>
      </w:r>
      <w:r>
        <w:rPr>
          <w:rFonts w:hAnsi="宋体"/>
          <w:color w:val="000000"/>
          <w:spacing w:val="-6"/>
          <w:kern w:val="21"/>
          <w:szCs w:val="21"/>
          <w:lang w:val="en-US"/>
        </w:rPr>
        <w:fldChar w:fldCharType="separate"/>
      </w:r>
      <w:r>
        <w:rPr>
          <w:rFonts w:hAnsi="宋体"/>
          <w:color w:val="000000"/>
          <w:szCs w:val="21"/>
          <w:lang w:eastAsia="zh-CN"/>
        </w:rPr>
        <w:t>①</w:t>
      </w:r>
      <w:r>
        <w:rPr>
          <w:rFonts w:hAnsi="宋体"/>
          <w:color w:val="000000"/>
          <w:spacing w:val="-6"/>
          <w:kern w:val="21"/>
          <w:szCs w:val="21"/>
          <w:lang w:val="en-US"/>
        </w:rPr>
        <w:fldChar w:fldCharType="end"/>
      </w:r>
      <w:bookmarkStart w:id="58" w:name="_GoBack"/>
      <w:bookmarkEnd w:id="58"/>
    </w:p>
    <w:sectPr>
      <w:pgSz w:w="16838" w:h="11906" w:orient="landscape"/>
      <w:pgMar w:top="1531" w:right="1702" w:bottom="1531" w:left="1702" w:header="851" w:footer="851" w:gutter="0"/>
      <w:paperSrc/>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haparral Pro Light">
    <w:panose1 w:val="02060403030505090203"/>
    <w:charset w:val="00"/>
    <w:family w:val="auto"/>
    <w:pitch w:val="variable"/>
    <w:sig w:usb0="00000007" w:usb1="00000001" w:usb2="00000000" w:usb3="00000000" w:csb0="20000093" w:csb1="00000000"/>
  </w:font>
  <w:font w:name="方正小标宋_GBK">
    <w:altName w:val="Arial Unicode MS"/>
    <w:panose1 w:val="00000000000000000000"/>
    <w:charset w:val="86"/>
    <w:family w:val="auto"/>
    <w:pitch w:val="default"/>
    <w:sig w:usb0="00000000" w:usb1="38CF7CFA" w:usb2="00082016" w:usb3="00000000" w:csb0="00040001" w:csb1="00000000"/>
  </w:font>
  <w:font w:name="@华文行楷">
    <w:panose1 w:val="02010800040101010101"/>
    <w:charset w:val="86"/>
    <w:family w:val="auto"/>
    <w:pitch w:val="variable"/>
    <w:sig w:usb0="00000001" w:usb1="080F0000" w:usb2="00000000" w:usb3="00000000" w:csb0="00040000" w:csb1="00000000"/>
  </w:font>
  <w:font w:name="Prestige Elite Std">
    <w:panose1 w:val="02060509020206020304"/>
    <w:charset w:val="00"/>
    <w:family w:val="auto"/>
    <w:pitch w:val="fixed"/>
    <w:sig w:usb0="00000003" w:usb1="00000000" w:usb2="00000000" w:usb3="00000000" w:csb0="60000001" w:csb1="00000000"/>
  </w:font>
  <w:font w:name="Plantagenet Cherokee">
    <w:panose1 w:val="02020602070100000000"/>
    <w:charset w:val="00"/>
    <w:family w:val="auto"/>
    <w:pitch w:val="variable"/>
    <w:sig w:usb0="00000003" w:usb1="00000000" w:usb2="00001000" w:usb3="00000000" w:csb0="00000001" w:csb1="00000000"/>
  </w:font>
  <w:font w:name="PMingLiU">
    <w:panose1 w:val="02020500000000000000"/>
    <w:charset w:val="88"/>
    <w:family w:val="auto"/>
    <w:pitch w:val="variable"/>
    <w:sig w:usb0="A00002FF" w:usb1="28CFFCFA" w:usb2="00000016" w:usb3="00000000" w:csb0="00100001" w:csb1="00000000"/>
  </w:font>
  <w:font w:name="Helvetica">
    <w:altName w:val="Arial"/>
    <w:panose1 w:val="020B0504020202020204"/>
    <w:charset w:val="00"/>
    <w:family w:val="auto"/>
    <w:pitch w:val="variable"/>
    <w:sig w:usb0="00000003" w:usb1="00000000" w:usb2="00000000" w:usb3="00000000" w:csb0="00000001" w:csb1="00000000"/>
  </w:font>
  <w:font w:name="@Kozuka Mincho Pro EL">
    <w:panose1 w:val="02020200000000000000"/>
    <w:charset w:val="80"/>
    <w:family w:val="auto"/>
    <w:pitch w:val="variable"/>
    <w:sig w:usb0="00000083" w:usb1="2AC71C11" w:usb2="00000012" w:usb3="00000000" w:csb0="20020005" w:csb1="00000000"/>
  </w:font>
  <w:font w:name="Constantia">
    <w:panose1 w:val="02030602050306030303"/>
    <w:charset w:val="00"/>
    <w:family w:val="auto"/>
    <w:pitch w:val="variable"/>
    <w:sig w:usb0="A00002EF" w:usb1="4000204B" w:usb2="00000000" w:usb3="00000000" w:csb0="2000019F" w:csb1="00000000"/>
  </w:font>
  <w:font w:name="@MingLiU">
    <w:panose1 w:val="02020509000000000000"/>
    <w:charset w:val="88"/>
    <w:family w:val="auto"/>
    <w:pitch w:val="fixed"/>
    <w:sig w:usb0="A00002FF" w:usb1="28CFFCFA" w:usb2="00000016" w:usb3="00000000" w:csb0="00100001" w:csb1="00000000"/>
  </w:font>
  <w:font w:name="Cordia New">
    <w:panose1 w:val="020B0304020202020204"/>
    <w:charset w:val="00"/>
    <w:family w:val="auto"/>
    <w:pitch w:val="variable"/>
    <w:sig w:usb0="81000003" w:usb1="00000000" w:usb2="00000000" w:usb3="00000000" w:csb0="00010001" w:csb1="00000000"/>
  </w:font>
  <w:font w:name="Tw Cen MT Condensed Extra Bold">
    <w:panose1 w:val="020B0803020202020204"/>
    <w:charset w:val="00"/>
    <w:family w:val="auto"/>
    <w:pitch w:val="variable"/>
    <w:sig w:usb0="00000003" w:usb1="00000000" w:usb2="00000000" w:usb3="00000000" w:csb0="20000003" w:csb1="00000000"/>
  </w:font>
  <w:font w:name="Complex">
    <w:panose1 w:val="00000400000000000000"/>
    <w:charset w:val="00"/>
    <w:family w:val="auto"/>
    <w:pitch w:val="variable"/>
    <w:sig w:usb0="00000287" w:usb1="00001800" w:usb2="00000000" w:usb3="00000000" w:csb0="000001FF" w:csb1="00000000"/>
  </w:font>
  <w:font w:name="Batang">
    <w:panose1 w:val="02030600000101010101"/>
    <w:charset w:val="81"/>
    <w:family w:val="auto"/>
    <w:pitch w:val="variable"/>
    <w:sig w:usb0="B00002AF" w:usb1="69D77CFB" w:usb2="00000030" w:usb3="00000000" w:csb0="4008009F" w:csb1="DFD70000"/>
  </w:font>
  <w:font w:name="Helv">
    <w:altName w:val="Segoe Print"/>
    <w:panose1 w:val="020B0604020202030204"/>
    <w:charset w:val="00"/>
    <w:family w:val="auto"/>
    <w:pitch w:val="variable"/>
    <w:sig w:usb0="00000003" w:usb1="00000000" w:usb2="00000000" w:usb3="00000000" w:csb0="00000001" w:csb1="00000000"/>
  </w:font>
  <w:font w:name="Dutch801 XBd BT">
    <w:panose1 w:val="02020903060505020304"/>
    <w:charset w:val="00"/>
    <w:family w:val="auto"/>
    <w:pitch w:val="variable"/>
    <w:sig w:usb0="00000000" w:usb1="00000000" w:usb2="00000000" w:usb3="00000000" w:csb0="00000000" w:csb1="00000000"/>
  </w:font>
  <w:font w:name="Courier">
    <w:altName w:val="Courier New"/>
    <w:panose1 w:val="02070409020205020404"/>
    <w:charset w:val="00"/>
    <w:family w:val="auto"/>
    <w:pitch w:val="fixed"/>
    <w:sig w:usb0="00000003" w:usb1="00000000" w:usb2="00000000" w:usb3="00000000" w:csb0="00000001" w:csb1="00000000"/>
  </w:font>
  <w:font w:name="幼圆">
    <w:panose1 w:val="02010509060101010101"/>
    <w:charset w:val="86"/>
    <w:family w:val="auto"/>
    <w:pitch w:val="fixed"/>
    <w:sig w:usb0="00000001" w:usb1="080E0000" w:usb2="00000000" w:usb3="00000000" w:csb0="00040000" w:csb1="00000000"/>
  </w:font>
  <w:font w:name="Tms Rmn">
    <w:altName w:val="Segoe Print"/>
    <w:panose1 w:val="02020603040505020304"/>
    <w:charset w:val="00"/>
    <w:family w:val="auto"/>
    <w:pitch w:val="variable"/>
    <w:sig w:usb0="00000003" w:usb1="00000000" w:usb2="00000000" w:usb3="00000000" w:csb0="00000001" w:csb1="00000000"/>
  </w:font>
  <w:font w:name="GulimChe">
    <w:panose1 w:val="020B0609000101010101"/>
    <w:charset w:val="81"/>
    <w:family w:val="auto"/>
    <w:pitch w:val="fixed"/>
    <w:sig w:usb0="B00002AF" w:usb1="69D77CFB" w:usb2="00000030" w:usb3="00000000" w:csb0="4008009F" w:csb1="DFD70000"/>
  </w:font>
  <w:font w:name="Blackoak Std">
    <w:panose1 w:val="04050907060602020202"/>
    <w:charset w:val="00"/>
    <w:family w:val="auto"/>
    <w:pitch w:val="variable"/>
    <w:sig w:usb0="00000003" w:usb1="00000000" w:usb2="00000000" w:usb3="00000000" w:csb0="20000001" w:csb1="00000000"/>
  </w:font>
  <w:font w:name="New York">
    <w:altName w:val="DejaVu Math TeX Gyre"/>
    <w:panose1 w:val="02040503060506020304"/>
    <w:charset w:val="00"/>
    <w:family w:val="auto"/>
    <w:pitch w:val="variable"/>
    <w:sig w:usb0="00000003" w:usb1="00000000" w:usb2="00000000" w:usb3="00000000" w:csb0="00000001" w:csb1="00000000"/>
  </w:font>
  <w:font w:name="CityBlueprint">
    <w:panose1 w:val="00000400000000000000"/>
    <w:charset w:val="02"/>
    <w:family w:val="auto"/>
    <w:pitch w:val="variable"/>
    <w:sig w:usb0="00000000" w:usb1="00000000" w:usb2="00000000" w:usb3="00000000" w:csb0="00000000" w:csb1="00000000"/>
  </w:font>
  <w:font w:name="Myriad Pro Cond">
    <w:panose1 w:val="020B0506030403020204"/>
    <w:charset w:val="00"/>
    <w:family w:val="auto"/>
    <w:pitch w:val="variable"/>
    <w:sig w:usb0="20000287" w:usb1="00000001" w:usb2="00000000" w:usb3="00000000" w:csb0="2000019F" w:csb1="00000000"/>
  </w:font>
  <w:font w:name="Baskerville Old Face">
    <w:panose1 w:val="02020602080505020303"/>
    <w:charset w:val="00"/>
    <w:family w:val="auto"/>
    <w:pitch w:val="variable"/>
    <w:sig w:usb0="00000003" w:usb1="00000000" w:usb2="00000000" w:usb3="00000000" w:csb0="20000001" w:csb1="00000000"/>
  </w:font>
  <w:font w:name="@Adobe 楷体 Std R">
    <w:panose1 w:val="02020400000000000000"/>
    <w:charset w:val="86"/>
    <w:family w:val="auto"/>
    <w:pitch w:val="variable"/>
    <w:sig w:usb0="00000001" w:usb1="0A0F1810" w:usb2="00000016" w:usb3="00000000" w:csb0="00060007" w:csb1="00000000"/>
  </w:font>
  <w:font w:name="System">
    <w:altName w:val="宋体"/>
    <w:panose1 w:val="00000000000000000000"/>
    <w:charset w:val="86"/>
    <w:family w:val="auto"/>
    <w:pitch w:val="default"/>
    <w:sig w:usb0="00000001" w:usb1="080E0000" w:usb2="00000010" w:usb3="00000000" w:csb0="00040000" w:csb1="00000000"/>
  </w:font>
  <w:font w:name="Tekton Pro Cond">
    <w:panose1 w:val="020F0606020208020904"/>
    <w:charset w:val="00"/>
    <w:family w:val="auto"/>
    <w:pitch w:val="variable"/>
    <w:sig w:usb0="00000007" w:usb1="00000001" w:usb2="00000000" w:usb3="00000000" w:csb0="20000093" w:csb1="00000000"/>
  </w:font>
  <w:font w:name="MS Mincho">
    <w:panose1 w:val="02020609040205080304"/>
    <w:charset w:val="80"/>
    <w:family w:val="auto"/>
    <w:pitch w:val="fixed"/>
    <w:sig w:usb0="E00002FF" w:usb1="6AC7FDFB" w:usb2="00000012" w:usb3="00000000" w:csb0="4002009F" w:csb1="DFD70000"/>
  </w:font>
  <w:font w:name="华文隶书">
    <w:panose1 w:val="02010800040101010101"/>
    <w:charset w:val="86"/>
    <w:family w:val="auto"/>
    <w:pitch w:val="variable"/>
    <w:sig w:usb0="00000001" w:usb1="080F0000" w:usb2="00000000" w:usb3="00000000" w:csb0="00040000" w:csb1="00000000"/>
  </w:font>
  <w:font w:name="Adobe Caslon Pro Bold">
    <w:panose1 w:val="0205070206050A020403"/>
    <w:charset w:val="00"/>
    <w:family w:val="auto"/>
    <w:pitch w:val="variable"/>
    <w:sig w:usb0="00000007" w:usb1="00000001" w:usb2="00000000" w:usb3="00000000" w:csb0="20000093" w:csb1="00000000"/>
  </w:font>
  <w:font w:name="Century">
    <w:panose1 w:val="02040604050505020304"/>
    <w:charset w:val="00"/>
    <w:family w:val="auto"/>
    <w:pitch w:val="variable"/>
    <w:sig w:usb0="00000287" w:usb1="00000000" w:usb2="00000000" w:usb3="00000000" w:csb0="2000009F" w:csb1="DFD70000"/>
  </w:font>
  <w:font w:name="@华文宋体">
    <w:panose1 w:val="02010600040101010101"/>
    <w:charset w:val="86"/>
    <w:family w:val="auto"/>
    <w:pitch w:val="variable"/>
    <w:sig w:usb0="00000287" w:usb1="080F0000" w:usb2="00000000" w:usb3="00000000" w:csb0="0004009F" w:csb1="DFD70000"/>
  </w:font>
  <w:font w:name="Bradley Hand ITC">
    <w:panose1 w:val="03070402050302030203"/>
    <w:charset w:val="00"/>
    <w:family w:val="auto"/>
    <w:pitch w:val="variable"/>
    <w:sig w:usb0="00000003" w:usb1="00000000" w:usb2="00000000" w:usb3="00000000" w:csb0="20000001" w:csb1="00000000"/>
  </w:font>
  <w:font w:name="Haettenschweiler">
    <w:panose1 w:val="020B0706040902060204"/>
    <w:charset w:val="00"/>
    <w:family w:val="auto"/>
    <w:pitch w:val="variable"/>
    <w:sig w:usb0="00000287" w:usb1="00000000" w:usb2="00000000" w:usb3="00000000" w:csb0="2000009F" w:csb1="DFD70000"/>
  </w:font>
  <w:font w:name="GreekS">
    <w:panose1 w:val="00000400000000000000"/>
    <w:charset w:val="00"/>
    <w:family w:val="auto"/>
    <w:pitch w:val="variable"/>
    <w:sig w:usb0="00000081" w:usb1="00000000" w:usb2="00000000" w:usb3="00000000" w:csb0="000001FF" w:csb1="00000000"/>
  </w:font>
  <w:font w:name="Simplex">
    <w:panose1 w:val="00000400000000000000"/>
    <w:charset w:val="00"/>
    <w:family w:val="auto"/>
    <w:pitch w:val="variable"/>
    <w:sig w:usb0="00000287" w:usb1="00000000" w:usb2="00000000" w:usb3="00000000" w:csb0="000001FF" w:csb1="00000000"/>
  </w:font>
  <w:font w:name="MS Gothic">
    <w:panose1 w:val="020B0609070205080204"/>
    <w:charset w:val="80"/>
    <w:family w:val="auto"/>
    <w:pitch w:val="fixed"/>
    <w:sig w:usb0="E00002FF" w:usb1="6AC7FDFB" w:usb2="00000012" w:usb3="00000000" w:csb0="4002009F" w:csb1="DFD70000"/>
  </w:font>
  <w:font w:name="Vrinda">
    <w:panose1 w:val="020B0502040204020203"/>
    <w:charset w:val="00"/>
    <w:family w:val="auto"/>
    <w:pitch w:val="variable"/>
    <w:sig w:usb0="00010003" w:usb1="00000000" w:usb2="00000000" w:usb3="00000000" w:csb0="00000001" w:csb1="00000000"/>
  </w:font>
  <w:font w:name="BankGothic Md BT">
    <w:panose1 w:val="020B0807020203060204"/>
    <w:charset w:val="00"/>
    <w:family w:val="auto"/>
    <w:pitch w:val="variable"/>
    <w:sig w:usb0="00000000" w:usb1="00000000" w:usb2="00000000" w:usb3="00000000" w:csb0="00000000" w:csb1="00000000"/>
  </w:font>
  <w:font w:name="Dotum">
    <w:panose1 w:val="020B0600000101010101"/>
    <w:charset w:val="81"/>
    <w:family w:val="auto"/>
    <w:pitch w:val="variable"/>
    <w:sig w:usb0="B00002AF" w:usb1="69D77CFB" w:usb2="00000030" w:usb3="00000000" w:csb0="4008009F" w:csb1="DFD70000"/>
  </w:font>
  <w:font w:name="@宋体">
    <w:panose1 w:val="02010600030101010101"/>
    <w:charset w:val="86"/>
    <w:family w:val="auto"/>
    <w:pitch w:val="variable"/>
    <w:sig w:usb0="00000003" w:usb1="288F0000" w:usb2="00000006" w:usb3="00000000" w:csb0="00040001" w:csb1="00000000"/>
  </w:font>
  <w:font w:name="Consolas">
    <w:panose1 w:val="020B0609020204030204"/>
    <w:charset w:val="00"/>
    <w:family w:val="auto"/>
    <w:pitch w:val="fixed"/>
    <w:sig w:usb0="E10002FF" w:usb1="4000FCFF" w:usb2="00000009" w:usb3="00000000" w:csb0="6000019F" w:csb1="DFD70000"/>
  </w:font>
  <w:font w:name="MingLiU">
    <w:panose1 w:val="02020509000000000000"/>
    <w:charset w:val="88"/>
    <w:family w:val="auto"/>
    <w:pitch w:val="fixed"/>
    <w:sig w:usb0="A00002FF" w:usb1="28CFFCFA" w:usb2="00000016" w:usb3="00000000" w:csb0="00100001" w:csb1="00000000"/>
  </w:font>
  <w:font w:name="Kozuka Mincho Pr6N B">
    <w:panose1 w:val="02020800000000000000"/>
    <w:charset w:val="80"/>
    <w:family w:val="auto"/>
    <w:pitch w:val="variable"/>
    <w:sig w:usb0="000002D7" w:usb1="2AC71C11" w:usb2="00000012" w:usb3="00000000" w:csb0="2002009F" w:csb1="00000000"/>
  </w:font>
  <w:font w:name="Mincho">
    <w:altName w:val="Kozuka Mincho Pr6N B"/>
    <w:panose1 w:val="02020609040305080305"/>
    <w:charset w:val="80"/>
    <w:family w:val="auto"/>
    <w:pitch w:val="fixed"/>
    <w:sig w:usb0="00000001" w:usb1="08070000" w:usb2="00000010" w:usb3="00000000" w:csb0="00020000" w:csb1="00000000"/>
  </w:font>
  <w:font w:name="等线">
    <w:altName w:val="微软雅黑"/>
    <w:panose1 w:val="00000000000000000000"/>
    <w:charset w:val="86"/>
    <w:family w:val="auto"/>
    <w:pitch w:val="default"/>
    <w:sig w:usb0="00000000" w:usb1="00000000" w:usb2="00000016" w:usb3="00000000" w:csb0="0004000F" w:csb1="00000000"/>
  </w:font>
  <w:font w:name="Verdana">
    <w:panose1 w:val="020B0604030504040204"/>
    <w:charset w:val="00"/>
    <w:family w:val="auto"/>
    <w:pitch w:val="variable"/>
    <w:sig w:usb0="A10006FF" w:usb1="4000205B" w:usb2="00000010" w:usb3="00000000" w:csb0="2000019F" w:csb1="00000000"/>
  </w:font>
  <w:font w:name="NumberOnly">
    <w:panose1 w:val="020B0500000000000000"/>
    <w:charset w:val="00"/>
    <w:family w:val="auto"/>
    <w:pitch w:val="variable"/>
    <w:sig w:usb0="8000002F" w:usb1="10000048" w:usb2="00000000" w:usb3="00000000" w:csb0="00000111" w:csb1="40000000"/>
  </w:font>
  <w:font w:name="Tunga">
    <w:panose1 w:val="020B0502040204020203"/>
    <w:charset w:val="00"/>
    <w:family w:val="auto"/>
    <w:pitch w:val="variable"/>
    <w:sig w:usb0="00400003" w:usb1="00000000" w:usb2="00000000" w:usb3="00000000" w:csb0="00000001" w:csb1="00000000"/>
  </w:font>
  <w:font w:name="Gulim">
    <w:panose1 w:val="020B0600000101010101"/>
    <w:charset w:val="81"/>
    <w:family w:val="auto"/>
    <w:pitch w:val="variable"/>
    <w:sig w:usb0="B00002AF" w:usb1="69D77CFB" w:usb2="00000030" w:usb3="00000000" w:csb0="4008009F" w:csb1="DFD70000"/>
  </w:font>
  <w:font w:name="Bookshelf Symbol 7">
    <w:panose1 w:val="05010101010101010101"/>
    <w:charset w:val="02"/>
    <w:family w:val="auto"/>
    <w:pitch w:val="variable"/>
    <w:sig w:usb0="00000000" w:usb1="00000000" w:usb2="00000000" w:usb3="00000000" w:csb0="80000000" w:csb1="00000000"/>
  </w:font>
  <w:font w:name="Adobe 仿宋 Std R">
    <w:panose1 w:val="02020400000000000000"/>
    <w:charset w:val="86"/>
    <w:family w:val="auto"/>
    <w:pitch w:val="variable"/>
    <w:sig w:usb0="00000001" w:usb1="0A0F1810" w:usb2="00000016" w:usb3="00000000" w:csb0="00060007" w:csb1="00000000"/>
  </w:font>
  <w:font w:name="Angsana New">
    <w:panose1 w:val="02020603050405020304"/>
    <w:charset w:val="00"/>
    <w:family w:val="auto"/>
    <w:pitch w:val="variable"/>
    <w:sig w:usb0="81000003" w:usb1="00000000" w:usb2="00000000" w:usb3="00000000" w:csb0="00010001" w:csb1="00000000"/>
  </w:font>
  <w:font w:name="Adobe Garamond Pro Bold">
    <w:panose1 w:val="02020702060506020403"/>
    <w:charset w:val="00"/>
    <w:family w:val="auto"/>
    <w:pitch w:val="variable"/>
    <w:sig w:usb0="00000007" w:usb1="00000001" w:usb2="00000000" w:usb3="00000000" w:csb0="20000093" w:csb1="00000000"/>
  </w:font>
  <w:font w:name="微软雅黑">
    <w:panose1 w:val="020B0503020204020204"/>
    <w:charset w:val="86"/>
    <w:family w:val="auto"/>
    <w:pitch w:val="variable"/>
    <w:sig w:usb0="80000287" w:usb1="280F3C52" w:usb2="00000016" w:usb3="00000000" w:csb0="0004001F" w:csb1="00000000"/>
  </w:font>
  <w:font w:name="@MingLiU_HKSCS-ExtB">
    <w:panose1 w:val="02020500000000000000"/>
    <w:charset w:val="88"/>
    <w:family w:val="auto"/>
    <w:pitch w:val="variable"/>
    <w:sig w:usb0="8000002F" w:usb1="02000008" w:usb2="00000000" w:usb3="00000000" w:csb0="00100001" w:csb1="00000000"/>
  </w:font>
  <w:font w:name="Rockwell Condensed">
    <w:panose1 w:val="02060603050405020104"/>
    <w:charset w:val="00"/>
    <w:family w:val="auto"/>
    <w:pitch w:val="variable"/>
    <w:sig w:usb0="00000003" w:usb1="00000000" w:usb2="00000000" w:usb3="00000000" w:csb0="20000001" w:csb1="00000000"/>
  </w:font>
  <w:font w:name="Sendnya">
    <w:altName w:val="AMGDT"/>
    <w:panose1 w:val="00000400000000000000"/>
    <w:charset w:val="01"/>
    <w:family w:val="auto"/>
    <w:pitch w:val="variable"/>
    <w:sig w:usb0="00000000" w:usb1="00000000" w:usb2="00000000" w:usb3="00000000" w:csb0="00000000" w:csb1="00000000"/>
  </w:font>
  <w:font w:name="Lucida Handwriting">
    <w:panose1 w:val="03010101010101010101"/>
    <w:charset w:val="00"/>
    <w:family w:val="auto"/>
    <w:pitch w:val="variable"/>
    <w:sig w:usb0="00000003" w:usb1="00000000" w:usb2="00000000" w:usb3="00000000" w:csb0="20000001" w:csb1="00000000"/>
  </w:font>
  <w:font w:name="DIN Next LT Pro">
    <w:panose1 w:val="020B0503020203050203"/>
    <w:charset w:val="00"/>
    <w:family w:val="auto"/>
    <w:pitch w:val="variable"/>
    <w:sig w:usb0="A00000AF" w:usb1="5000205B" w:usb2="00000000" w:usb3="00000000" w:csb0="20000093" w:csb1="00000000"/>
  </w:font>
  <w:font w:name="Mangal">
    <w:panose1 w:val="02040503050203030202"/>
    <w:charset w:val="00"/>
    <w:family w:val="auto"/>
    <w:pitch w:val="variable"/>
    <w:sig w:usb0="00008003" w:usb1="00000000" w:usb2="00000000" w:usb3="00000000" w:csb0="00000001" w:csb1="00000000"/>
  </w:font>
  <w:font w:name="Latha">
    <w:panose1 w:val="020B0604020202020204"/>
    <w:charset w:val="00"/>
    <w:family w:val="auto"/>
    <w:pitch w:val="variable"/>
    <w:sig w:usb0="00100003" w:usb1="00000000" w:usb2="00000000" w:usb3="00000000" w:csb0="00000001" w:csb1="00000000"/>
  </w:font>
  <w:font w:name="Chaparral Pro">
    <w:panose1 w:val="02060503040505020203"/>
    <w:charset w:val="00"/>
    <w:family w:val="auto"/>
    <w:pitch w:val="variable"/>
    <w:sig w:usb0="00000007" w:usb1="00000001" w:usb2="00000000" w:usb3="00000000" w:csb0="20000093" w:csb1="00000000"/>
  </w:font>
  <w:font w:name="Sylfaen">
    <w:panose1 w:val="010A0502050306030303"/>
    <w:charset w:val="00"/>
    <w:family w:val="auto"/>
    <w:pitch w:val="variable"/>
    <w:sig w:usb0="04000687" w:usb1="00000000" w:usb2="00000000" w:usb3="00000000" w:csb0="2000009F" w:csb1="00000000"/>
  </w:font>
  <w:font w:name="Tekton Pro">
    <w:panose1 w:val="020F0603020208020904"/>
    <w:charset w:val="00"/>
    <w:family w:val="auto"/>
    <w:pitch w:val="variable"/>
    <w:sig w:usb0="00000007" w:usb1="00000001" w:usb2="00000000" w:usb3="00000000" w:csb0="20000093" w:csb1="00000000"/>
  </w:font>
  <w:font w:name="@Adobe 黑体 Std R">
    <w:panose1 w:val="020B0400000000000000"/>
    <w:charset w:val="86"/>
    <w:family w:val="auto"/>
    <w:pitch w:val="variable"/>
    <w:sig w:usb0="00000001" w:usb1="0A0F1810" w:usb2="00000016" w:usb3="00000000" w:csb0="00060007" w:csb1="00000000"/>
  </w:font>
  <w:font w:name="Raavi">
    <w:panose1 w:val="020B0502040204020203"/>
    <w:charset w:val="00"/>
    <w:family w:val="auto"/>
    <w:pitch w:val="variable"/>
    <w:sig w:usb0="00020003" w:usb1="00000000" w:usb2="00000000" w:usb3="00000000" w:csb0="00000001" w:csb1="00000000"/>
  </w:font>
  <w:font w:name="@Kozuka Gothic Pr6N M">
    <w:panose1 w:val="020B0700000000000000"/>
    <w:charset w:val="80"/>
    <w:family w:val="auto"/>
    <w:pitch w:val="variable"/>
    <w:sig w:usb0="000002D7" w:usb1="2AC71C11" w:usb2="00000012" w:usb3="00000000" w:csb0="2002009F" w:csb1="00000000"/>
  </w:font>
  <w:font w:name="@DotumChe">
    <w:panose1 w:val="020B0609000101010101"/>
    <w:charset w:val="81"/>
    <w:family w:val="auto"/>
    <w:pitch w:val="fixed"/>
    <w:sig w:usb0="B00002AF" w:usb1="69D77CFB" w:usb2="00000030" w:usb3="00000000" w:csb0="4008009F" w:csb1="DFD70000"/>
  </w:font>
  <w:font w:name="Shruti">
    <w:panose1 w:val="020B0502040204020203"/>
    <w:charset w:val="00"/>
    <w:family w:val="auto"/>
    <w:pitch w:val="variable"/>
    <w:sig w:usb0="00040003" w:usb1="00000000" w:usb2="00000000" w:usb3="00000000" w:csb0="00000001" w:csb1="00000000"/>
  </w:font>
  <w:font w:name="Gautami">
    <w:panose1 w:val="020B0502040204020203"/>
    <w:charset w:val="00"/>
    <w:family w:val="auto"/>
    <w:pitch w:val="variable"/>
    <w:sig w:usb0="00200003" w:usb1="00000000" w:usb2="00000000" w:usb3="00000000" w:csb0="00000001" w:csb1="00000000"/>
  </w:font>
  <w:font w:name="Estrangelo Edessa">
    <w:panose1 w:val="03080600000000000000"/>
    <w:charset w:val="00"/>
    <w:family w:val="auto"/>
    <w:pitch w:val="variable"/>
    <w:sig w:usb0="80002043" w:usb1="00000000" w:usb2="00000080" w:usb3="00000000" w:csb0="00000001" w:csb1="00000000"/>
  </w:font>
  <w:font w:name="@PMingLiU-ExtB">
    <w:panose1 w:val="02020500000000000000"/>
    <w:charset w:val="88"/>
    <w:family w:val="auto"/>
    <w:pitch w:val="variable"/>
    <w:sig w:usb0="8000002F" w:usb1="02000008" w:usb2="00000000" w:usb3="00000000" w:csb0="00100001" w:csb1="00000000"/>
  </w:font>
  <w:font w:name="Cambria Math">
    <w:panose1 w:val="02040503050406030204"/>
    <w:charset w:val="00"/>
    <w:family w:val="auto"/>
    <w:pitch w:val="variable"/>
    <w:sig w:usb0="E00002FF" w:usb1="420024FF" w:usb2="00000000" w:usb3="00000000" w:csb0="2000019F" w:csb1="00000000"/>
  </w:font>
  <w:font w:name="Rod">
    <w:panose1 w:val="02030509050101010101"/>
    <w:charset w:val="B1"/>
    <w:family w:val="auto"/>
    <w:pitch w:val="fixed"/>
    <w:sig w:usb0="00000801" w:usb1="00000000" w:usb2="00000000" w:usb3="00000000" w:csb0="00000020" w:csb1="00200000"/>
  </w:font>
  <w:font w:name="AcadEref">
    <w:panose1 w:val="02000500000000020003"/>
    <w:charset w:val="00"/>
    <w:family w:val="auto"/>
    <w:pitch w:val="variable"/>
    <w:sig w:usb0="00000003" w:usb1="00000000" w:usb2="00000000" w:usb3="00000000" w:csb0="00000001" w:csb1="00000000"/>
  </w:font>
  <w:font w:name="Birch Std">
    <w:panose1 w:val="03060502040705060204"/>
    <w:charset w:val="00"/>
    <w:family w:val="auto"/>
    <w:pitch w:val="variable"/>
    <w:sig w:usb0="00000003" w:usb1="00000000" w:usb2="00000000" w:usb3="00000000" w:csb0="20000001" w:csb1="00000000"/>
  </w:font>
  <w:font w:name="Adobe 楷体 Std R">
    <w:panose1 w:val="02020400000000000000"/>
    <w:charset w:val="86"/>
    <w:family w:val="auto"/>
    <w:pitch w:val="variable"/>
    <w:sig w:usb0="00000001" w:usb1="0A0F1810" w:usb2="00000016" w:usb3="00000000" w:csb0="00060007" w:csb1="00000000"/>
  </w:font>
  <w:font w:name="Arial Unicode MS">
    <w:panose1 w:val="020B0604020202020204"/>
    <w:charset w:val="86"/>
    <w:family w:val="auto"/>
    <w:pitch w:val="variable"/>
    <w:sig w:usb0="FFFFFFFF" w:usb1="E9FFFFFF" w:usb2="0000003F" w:usb3="00000000" w:csb0="603F01FF" w:csb1="FFFF0000"/>
  </w:font>
  <w:font w:name="Californian FB">
    <w:panose1 w:val="0207040306080B030204"/>
    <w:charset w:val="00"/>
    <w:family w:val="auto"/>
    <w:pitch w:val="variable"/>
    <w:sig w:usb0="00000003" w:usb1="00000000" w:usb2="00000000" w:usb3="00000000" w:csb0="20000001" w:csb1="00000000"/>
  </w:font>
  <w:font w:name="Adobe Naskh Medium">
    <w:panose1 w:val="01010101010101010101"/>
    <w:charset w:val="00"/>
    <w:family w:val="auto"/>
    <w:pitch w:val="variable"/>
    <w:sig w:usb0="00002003" w:usb1="00000000" w:usb2="00000000" w:usb3="00000000" w:csb0="20000041" w:csb1="00000000"/>
  </w:font>
  <w:font w:name="华文彩云">
    <w:panose1 w:val="02010800040101010101"/>
    <w:charset w:val="86"/>
    <w:family w:val="auto"/>
    <w:pitch w:val="variable"/>
    <w:sig w:usb0="00000001" w:usb1="080F0000" w:usb2="00000000" w:usb3="00000000" w:csb0="00040000" w:csb1="00000000"/>
  </w:font>
  <w:font w:name="Cambria">
    <w:panose1 w:val="02040503050406030204"/>
    <w:charset w:val="00"/>
    <w:family w:val="auto"/>
    <w:pitch w:val="variable"/>
    <w:sig w:usb0="E00002FF" w:usb1="400004FF" w:usb2="00000000" w:usb3="00000000" w:csb0="2000019F" w:csb1="00000000"/>
  </w:font>
  <w:font w:name="Bodoni MT Condensed">
    <w:panose1 w:val="02070606080606020203"/>
    <w:charset w:val="00"/>
    <w:family w:val="auto"/>
    <w:pitch w:val="variable"/>
    <w:sig w:usb0="00000003" w:usb1="00000000" w:usb2="00000000" w:usb3="00000000" w:csb0="20000001" w:csb1="00000000"/>
  </w:font>
  <w:font w:name="@楷体">
    <w:panose1 w:val="02010609060101010101"/>
    <w:charset w:val="86"/>
    <w:family w:val="auto"/>
    <w:pitch w:val="fixed"/>
    <w:sig w:usb0="800002BF" w:usb1="38CF7CFA" w:usb2="00000016" w:usb3="00000000" w:csb0="00040001" w:csb1="00000000"/>
  </w:font>
  <w:font w:name="Microsoft Uighur">
    <w:panose1 w:val="02000000000000000000"/>
    <w:charset w:val="00"/>
    <w:family w:val="auto"/>
    <w:pitch w:val="variable"/>
    <w:sig w:usb0="00002003" w:usb1="80000000" w:usb2="00000008" w:usb3="00000000" w:csb0="00000041" w:csb1="00000000"/>
  </w:font>
  <w:font w:name="Adobe Arabic">
    <w:panose1 w:val="02040503050201020203"/>
    <w:charset w:val="00"/>
    <w:family w:val="auto"/>
    <w:pitch w:val="variable"/>
    <w:sig w:usb0="8000202F" w:usb1="8000A04A" w:usb2="00000008" w:usb3="00000000" w:csb0="20000041" w:csb1="00000000"/>
  </w:font>
  <w:font w:name="DilleniaUPC">
    <w:panose1 w:val="02020603050405020304"/>
    <w:charset w:val="00"/>
    <w:family w:val="auto"/>
    <w:pitch w:val="variable"/>
    <w:sig w:usb0="81000027" w:usb1="00000002" w:usb2="00000000" w:usb3="00000000" w:csb0="00010001" w:csb1="00000000"/>
  </w:font>
  <w:font w:name="仿宋">
    <w:panose1 w:val="02010609060101010101"/>
    <w:charset w:val="86"/>
    <w:family w:val="auto"/>
    <w:pitch w:val="fixed"/>
    <w:sig w:usb0="800002BF" w:usb1="38CF7CFA" w:usb2="00000016" w:usb3="00000000" w:csb0="00040001" w:csb1="00000000"/>
  </w:font>
  <w:font w:name="仿宋_GB2312">
    <w:altName w:val="仿宋"/>
    <w:panose1 w:val="00000000000000000000"/>
    <w:charset w:val="86"/>
    <w:family w:val="auto"/>
    <w:pitch w:val="fixed"/>
    <w:sig w:usb0="00000001" w:usb1="080E0000" w:usb2="00000010" w:usb3="00000000" w:csb0="00040000" w:csb1="00000000"/>
  </w:font>
  <w:font w:name="Kozuka Mincho Pr6N H">
    <w:panose1 w:val="02020900000000000000"/>
    <w:charset w:val="80"/>
    <w:family w:val="auto"/>
    <w:pitch w:val="variable"/>
    <w:sig w:usb0="000002D7" w:usb1="2AC71C11" w:usb2="00000012" w:usb3="00000000" w:csb0="2002009F" w:csb1="00000000"/>
  </w:font>
  <w:font w:name="Dutch801 Rm BT">
    <w:panose1 w:val="02020603060505020304"/>
    <w:charset w:val="00"/>
    <w:family w:val="auto"/>
    <w:pitch w:val="variable"/>
    <w:sig w:usb0="00000000" w:usb1="00000000" w:usb2="00000000" w:usb3="00000000" w:csb0="00000000" w:csb1="00000000"/>
  </w:font>
  <w:font w:name="Kozuka Mincho Pro R">
    <w:panose1 w:val="02020400000000000000"/>
    <w:charset w:val="80"/>
    <w:family w:val="auto"/>
    <w:pitch w:val="variable"/>
    <w:sig w:usb0="00000083" w:usb1="2AC71C11" w:usb2="00000012" w:usb3="00000000" w:csb0="20020005" w:csb1="00000000"/>
  </w:font>
  <w:font w:name="@Kozuka Gothic Pr6N EL">
    <w:panose1 w:val="020B0200000000000000"/>
    <w:charset w:val="80"/>
    <w:family w:val="auto"/>
    <w:pitch w:val="variable"/>
    <w:sig w:usb0="000002D7" w:usb1="2AC71C11" w:usb2="00000012" w:usb3="00000000" w:csb0="2002009F" w:csb1="00000000"/>
  </w:font>
  <w:font w:name="楷体_GB2312">
    <w:altName w:val="楷体"/>
    <w:panose1 w:val="00000000000000000000"/>
    <w:charset w:val="86"/>
    <w:family w:val="auto"/>
    <w:pitch w:val="default"/>
    <w:sig w:usb0="00000000" w:usb1="00000000" w:usb2="00000010" w:usb3="00000000" w:csb0="00040000" w:csb1="00000000"/>
  </w:font>
  <w:font w:name="BankGothic Lt BT">
    <w:panose1 w:val="020B0607020203060204"/>
    <w:charset w:val="00"/>
    <w:family w:val="auto"/>
    <w:pitch w:val="variable"/>
    <w:sig w:usb0="00000000" w:usb1="00000000" w:usb2="00000000" w:usb3="00000000" w:csb0="00000000" w:csb1="00000000"/>
  </w:font>
  <w:font w:name="方正仿宋_GBK">
    <w:altName w:val="Arial Unicode MS"/>
    <w:panose1 w:val="00000000000000000000"/>
    <w:charset w:val="86"/>
    <w:family w:val="auto"/>
    <w:pitch w:val="default"/>
    <w:sig w:usb0="00000000" w:usb1="38CF7CFA" w:usb2="00082016" w:usb3="00000000" w:csb0="00040001" w:csb1="00000000"/>
  </w:font>
  <w:font w:name="Adobe Caslon Pro">
    <w:panose1 w:val="0205050205050A020403"/>
    <w:charset w:val="00"/>
    <w:family w:val="auto"/>
    <w:pitch w:val="variable"/>
    <w:sig w:usb0="00000007" w:usb1="00000001" w:usb2="00000000" w:usb3="00000000" w:csb0="20000093" w:csb1="00000000"/>
  </w:font>
  <w:font w:name="MS PMincho">
    <w:panose1 w:val="02020600040205080304"/>
    <w:charset w:val="80"/>
    <w:family w:val="auto"/>
    <w:pitch w:val="variable"/>
    <w:sig w:usb0="E00002FF" w:usb1="6AC7FDFB" w:usb2="00000012" w:usb3="00000000" w:csb0="4002009F" w:csb1="DFD70000"/>
  </w:font>
  <w:font w:name="@Adobe 仿宋 Std R">
    <w:panose1 w:val="02020400000000000000"/>
    <w:charset w:val="86"/>
    <w:family w:val="auto"/>
    <w:pitch w:val="variable"/>
    <w:sig w:usb0="00000001" w:usb1="0A0F1810" w:usb2="00000016" w:usb3="00000000" w:csb0="00060007" w:csb1="00000000"/>
  </w:font>
  <w:font w:name="Stylus BT">
    <w:panose1 w:val="020E0402020206020304"/>
    <w:charset w:val="00"/>
    <w:family w:val="auto"/>
    <w:pitch w:val="variable"/>
    <w:sig w:usb0="00000000" w:usb1="00000000" w:usb2="00000000" w:usb3="00000000" w:csb0="00000000" w:csb1="00000000"/>
  </w:font>
  <w:font w:name="Adobe 繁黑體 Std B">
    <w:panose1 w:val="020B0700000000000000"/>
    <w:charset w:val="80"/>
    <w:family w:val="auto"/>
    <w:pitch w:val="variable"/>
    <w:sig w:usb0="00000001" w:usb1="1A0F1900" w:usb2="00000016" w:usb3="00000000" w:csb0="00120005" w:csb1="00000000"/>
  </w:font>
  <w:font w:name="Charlemagne Std">
    <w:panose1 w:val="04020705060702020204"/>
    <w:charset w:val="00"/>
    <w:family w:val="auto"/>
    <w:pitch w:val="variable"/>
    <w:sig w:usb0="00000003" w:usb1="00000000" w:usb2="00000000" w:usb3="00000000" w:csb0="20000001" w:csb1="00000000"/>
  </w:font>
  <w:font w:name="Algerian">
    <w:panose1 w:val="04020705040A02060702"/>
    <w:charset w:val="00"/>
    <w:family w:val="auto"/>
    <w:pitch w:val="variable"/>
    <w:sig w:usb0="00000003" w:usb1="00000000" w:usb2="00000000" w:usb3="00000000" w:csb0="20000001" w:csb1="00000000"/>
  </w:font>
  <w:font w:name="@Adobe 繁黑體 Std B">
    <w:panose1 w:val="020B0700000000000000"/>
    <w:charset w:val="80"/>
    <w:family w:val="auto"/>
    <w:pitch w:val="variable"/>
    <w:sig w:usb0="00000001" w:usb1="1A0F1900" w:usb2="00000016" w:usb3="00000000" w:csb0="00120005" w:csb1="00000000"/>
  </w:font>
  <w:font w:name="Leelawadee">
    <w:panose1 w:val="020B0502040204020203"/>
    <w:charset w:val="00"/>
    <w:family w:val="auto"/>
    <w:pitch w:val="variable"/>
    <w:sig w:usb0="810000AF" w:usb1="4000204B" w:usb2="00000000" w:usb3="00000000" w:csb0="20010001" w:csb1="00000000"/>
  </w:font>
  <w:font w:name="Colonna MT">
    <w:panose1 w:val="04020805060202030203"/>
    <w:charset w:val="00"/>
    <w:family w:val="auto"/>
    <w:pitch w:val="variable"/>
    <w:sig w:usb0="00000003" w:usb1="00000000" w:usb2="00000000" w:usb3="00000000" w:csb0="20000001" w:csb1="00000000"/>
  </w:font>
  <w:font w:name="Adobe Gothic Std B">
    <w:panose1 w:val="020B0800000000000000"/>
    <w:charset w:val="80"/>
    <w:family w:val="auto"/>
    <w:pitch w:val="variable"/>
    <w:sig w:usb0="00000001" w:usb1="21D72C10" w:usb2="00000010" w:usb3="00000000" w:csb0="602A0005" w:csb1="00000000"/>
  </w:font>
  <w:font w:name="@Adobe Gothic Std B">
    <w:panose1 w:val="020B0800000000000000"/>
    <w:charset w:val="80"/>
    <w:family w:val="auto"/>
    <w:pitch w:val="variable"/>
    <w:sig w:usb0="00000001" w:usb1="21D72C10" w:usb2="00000010" w:usb3="00000000" w:csb0="602A0005" w:csb1="00000000"/>
  </w:font>
  <w:font w:name="Adobe 黑体 Std R">
    <w:panose1 w:val="020B0400000000000000"/>
    <w:charset w:val="86"/>
    <w:family w:val="auto"/>
    <w:pitch w:val="variable"/>
    <w:sig w:usb0="00000001" w:usb1="0A0F1810" w:usb2="00000016" w:usb3="00000000" w:csb0="00060007" w:csb1="00000000"/>
  </w:font>
  <w:font w:name="Adobe Garamond Pro">
    <w:panose1 w:val="02020502060506020403"/>
    <w:charset w:val="00"/>
    <w:family w:val="auto"/>
    <w:pitch w:val="variable"/>
    <w:sig w:usb0="00000007" w:usb1="00000001" w:usb2="00000000" w:usb3="00000000" w:csb0="20000093" w:csb1="00000000"/>
  </w:font>
  <w:font w:name="Magneto">
    <w:panose1 w:val="04030805050802020D02"/>
    <w:charset w:val="00"/>
    <w:family w:val="auto"/>
    <w:pitch w:val="variable"/>
    <w:sig w:usb0="00000003" w:usb1="00000000" w:usb2="00000000" w:usb3="00000000" w:csb0="20000001" w:csb1="00000000"/>
  </w:font>
  <w:font w:name="隶书">
    <w:panose1 w:val="02010509060101010101"/>
    <w:charset w:val="86"/>
    <w:family w:val="auto"/>
    <w:pitch w:val="fixed"/>
    <w:sig w:usb0="00000001" w:usb1="080E0000" w:usb2="00000000" w:usb3="00000000" w:csb0="00040000" w:csb1="00000000"/>
  </w:font>
  <w:font w:name="Brush Script Std">
    <w:panose1 w:val="03060802040607070404"/>
    <w:charset w:val="00"/>
    <w:family w:val="auto"/>
    <w:pitch w:val="variable"/>
    <w:sig w:usb0="00000003" w:usb1="00000000" w:usb2="00000000" w:usb3="00000000" w:csb0="20000001" w:csb1="00000000"/>
  </w:font>
  <w:font w:name="Cooper Std Black">
    <w:panose1 w:val="0208090304030B020404"/>
    <w:charset w:val="00"/>
    <w:family w:val="auto"/>
    <w:pitch w:val="variable"/>
    <w:sig w:usb0="00000003" w:usb1="00000000" w:usb2="00000000" w:usb3="00000000" w:csb0="20000001" w:csb1="00000000"/>
  </w:font>
  <w:font w:name="MS Reference Specialty">
    <w:panose1 w:val="05000500000000000000"/>
    <w:charset w:val="02"/>
    <w:family w:val="auto"/>
    <w:pitch w:val="variable"/>
    <w:sig w:usb0="00000000" w:usb1="00000000" w:usb2="00000000" w:usb3="00000000" w:csb0="80000000" w:csb1="00000000"/>
  </w:font>
  <w:font w:name="@方正姚体">
    <w:panose1 w:val="02010601030101010101"/>
    <w:charset w:val="86"/>
    <w:family w:val="auto"/>
    <w:pitch w:val="variable"/>
    <w:sig w:usb0="00000003" w:usb1="080E0000" w:usb2="00000000" w:usb3="00000000" w:csb0="00040000" w:csb1="00000000"/>
  </w:font>
  <w:font w:name="@MS UI Gothic">
    <w:panose1 w:val="020B0600070205080204"/>
    <w:charset w:val="80"/>
    <w:family w:val="auto"/>
    <w:pitch w:val="variable"/>
    <w:sig w:usb0="E00002FF" w:usb1="6AC7FDFB" w:usb2="00000012" w:usb3="00000000" w:csb0="4002009F" w:csb1="DFD70000"/>
  </w:font>
  <w:font w:name="Giddyup Std">
    <w:panose1 w:val="03050402040302040404"/>
    <w:charset w:val="00"/>
    <w:family w:val="auto"/>
    <w:pitch w:val="variable"/>
    <w:sig w:usb0="00000003" w:usb1="00000000" w:usb2="00000000" w:usb3="00000000" w:csb0="20000001" w:csb1="00000000"/>
  </w:font>
  <w:font w:name="@Adobe 宋体 Std L">
    <w:panose1 w:val="02020300000000000000"/>
    <w:charset w:val="86"/>
    <w:family w:val="auto"/>
    <w:pitch w:val="variable"/>
    <w:sig w:usb0="00000001" w:usb1="0A0F1810" w:usb2="00000016" w:usb3="00000000" w:csb0="00060007" w:csb1="00000000"/>
  </w:font>
  <w:font w:name="Hobo Std">
    <w:panose1 w:val="020B0803040709020204"/>
    <w:charset w:val="00"/>
    <w:family w:val="auto"/>
    <w:pitch w:val="variable"/>
    <w:sig w:usb0="00000003" w:usb1="00000000" w:usb2="00000000" w:usb3="00000000" w:csb0="20000001" w:csb1="00000000"/>
  </w:font>
  <w:font w:name="Kozuka Mincho Pro M">
    <w:panose1 w:val="02020600000000000000"/>
    <w:charset w:val="80"/>
    <w:family w:val="auto"/>
    <w:pitch w:val="variable"/>
    <w:sig w:usb0="00000083" w:usb1="2AC71C11" w:usb2="00000012" w:usb3="00000000" w:csb0="20020005" w:csb1="00000000"/>
  </w:font>
  <w:font w:name="Miriam Fixed">
    <w:panose1 w:val="020B0509050101010101"/>
    <w:charset w:val="B1"/>
    <w:family w:val="auto"/>
    <w:pitch w:val="fixed"/>
    <w:sig w:usb0="00000801" w:usb1="00000000" w:usb2="00000000" w:usb3="00000000" w:csb0="00000020" w:csb1="00200000"/>
  </w:font>
  <w:font w:name="Kozuka Mincho Pr6N M">
    <w:panose1 w:val="02020600000000000000"/>
    <w:charset w:val="80"/>
    <w:family w:val="auto"/>
    <w:pitch w:val="variable"/>
    <w:sig w:usb0="000002D7" w:usb1="2AC71C11" w:usb2="00000012" w:usb3="00000000" w:csb0="2002009F" w:csb1="00000000"/>
  </w:font>
  <w:font w:name="Miriam">
    <w:panose1 w:val="020B0502050101010101"/>
    <w:charset w:val="B1"/>
    <w:family w:val="auto"/>
    <w:pitch w:val="variable"/>
    <w:sig w:usb0="00000801" w:usb1="00000000" w:usb2="00000000" w:usb3="00000000" w:csb0="00000020" w:csb1="00200000"/>
  </w:font>
  <w:font w:name="Swis721 BdOul BT">
    <w:panose1 w:val="04020705020B03040203"/>
    <w:charset w:val="00"/>
    <w:family w:val="auto"/>
    <w:pitch w:val="variable"/>
    <w:sig w:usb0="00000000" w:usb1="00000000" w:usb2="00000000" w:usb3="00000000" w:csb0="00000000" w:csb1="00000000"/>
  </w:font>
  <w:font w:name="Kozuka Gothic Pro B">
    <w:panose1 w:val="020B0800000000000000"/>
    <w:charset w:val="80"/>
    <w:family w:val="auto"/>
    <w:pitch w:val="variable"/>
    <w:sig w:usb0="00000083" w:usb1="2AC71C11" w:usb2="00000012" w:usb3="00000000" w:csb0="20020005" w:csb1="00000000"/>
  </w:font>
  <w:font w:name="@Kozuka Gothic Pro B">
    <w:panose1 w:val="020B0800000000000000"/>
    <w:charset w:val="80"/>
    <w:family w:val="auto"/>
    <w:pitch w:val="variable"/>
    <w:sig w:usb0="00000083" w:usb1="2AC71C11" w:usb2="00000012" w:usb3="00000000" w:csb0="20020005" w:csb1="00000000"/>
  </w:font>
  <w:font w:name="Kozuka Gothic Pro EL">
    <w:panose1 w:val="020B0200000000000000"/>
    <w:charset w:val="80"/>
    <w:family w:val="auto"/>
    <w:pitch w:val="variable"/>
    <w:sig w:usb0="00000083" w:usb1="2AC71C11" w:usb2="00000012" w:usb3="00000000" w:csb0="20020005" w:csb1="00000000"/>
  </w:font>
  <w:font w:name="@Kozuka Gothic Pro EL">
    <w:panose1 w:val="020B0200000000000000"/>
    <w:charset w:val="80"/>
    <w:family w:val="auto"/>
    <w:pitch w:val="variable"/>
    <w:sig w:usb0="00000083" w:usb1="2AC71C11" w:usb2="00000012" w:usb3="00000000" w:csb0="20020005" w:csb1="00000000"/>
  </w:font>
  <w:font w:name="Kozuka Gothic Pro H">
    <w:panose1 w:val="020B0800000000000000"/>
    <w:charset w:val="80"/>
    <w:family w:val="auto"/>
    <w:pitch w:val="variable"/>
    <w:sig w:usb0="00000083" w:usb1="2AC71C11" w:usb2="00000012" w:usb3="00000000" w:csb0="20020005" w:csb1="00000000"/>
  </w:font>
  <w:font w:name="Swis721 BdCnOul BT">
    <w:panose1 w:val="04020704030B03040203"/>
    <w:charset w:val="00"/>
    <w:family w:val="auto"/>
    <w:pitch w:val="variable"/>
    <w:sig w:usb0="00000000" w:usb1="00000000" w:usb2="00000000" w:usb3="00000000" w:csb0="00000000" w:csb1="00000000"/>
  </w:font>
  <w:font w:name="Vineta BT">
    <w:panose1 w:val="04020906050602070202"/>
    <w:charset w:val="00"/>
    <w:family w:val="auto"/>
    <w:pitch w:val="variable"/>
    <w:sig w:usb0="00000000" w:usb1="00000000" w:usb2="00000000" w:usb3="00000000" w:csb0="00000000" w:csb1="00000000"/>
  </w:font>
  <w:font w:name="@新宋体">
    <w:panose1 w:val="02010609030101010101"/>
    <w:charset w:val="86"/>
    <w:family w:val="auto"/>
    <w:pitch w:val="fixed"/>
    <w:sig w:usb0="00000003" w:usb1="288F0000" w:usb2="00000006" w:usb3="00000000" w:csb0="00040001" w:csb1="00000000"/>
  </w:font>
  <w:font w:name="@Kozuka Gothic Pro H">
    <w:panose1 w:val="020B0800000000000000"/>
    <w:charset w:val="80"/>
    <w:family w:val="auto"/>
    <w:pitch w:val="variable"/>
    <w:sig w:usb0="00000083" w:usb1="2AC71C11" w:usb2="00000012" w:usb3="00000000" w:csb0="20020005" w:csb1="00000000"/>
  </w:font>
  <w:font w:name="SimSun-ExtB">
    <w:panose1 w:val="02010609060101010101"/>
    <w:charset w:val="86"/>
    <w:family w:val="auto"/>
    <w:pitch w:val="fixed"/>
    <w:sig w:usb0="00000001" w:usb1="02000000" w:usb2="00000000" w:usb3="00000000" w:csb0="00040001" w:csb1="00000000"/>
  </w:font>
  <w:font w:name="Kozuka Gothic Pro L">
    <w:panose1 w:val="020B0200000000000000"/>
    <w:charset w:val="80"/>
    <w:family w:val="auto"/>
    <w:pitch w:val="variable"/>
    <w:sig w:usb0="00000083" w:usb1="2AC71C11" w:usb2="00000012" w:usb3="00000000" w:csb0="20020005" w:csb1="00000000"/>
  </w:font>
  <w:font w:name="@Kozuka Mincho Pr6N H">
    <w:panose1 w:val="02020900000000000000"/>
    <w:charset w:val="80"/>
    <w:family w:val="auto"/>
    <w:pitch w:val="variable"/>
    <w:sig w:usb0="000002D7" w:usb1="2AC71C11" w:usb2="00000012" w:usb3="00000000" w:csb0="2002009F" w:csb1="00000000"/>
  </w:font>
  <w:font w:name="@Kozuka Gothic Pro L">
    <w:panose1 w:val="020B0200000000000000"/>
    <w:charset w:val="80"/>
    <w:family w:val="auto"/>
    <w:pitch w:val="variable"/>
    <w:sig w:usb0="00000083" w:usb1="2AC71C11" w:usb2="00000012" w:usb3="00000000" w:csb0="20020005" w:csb1="00000000"/>
  </w:font>
  <w:font w:name="Kozuka Gothic Pro M">
    <w:panose1 w:val="020B0700000000000000"/>
    <w:charset w:val="80"/>
    <w:family w:val="auto"/>
    <w:pitch w:val="variable"/>
    <w:sig w:usb0="00000083" w:usb1="2AC71C11" w:usb2="00000012" w:usb3="00000000" w:csb0="20020005" w:csb1="00000000"/>
  </w:font>
  <w:font w:name="@Kozuka Gothic Pro M">
    <w:panose1 w:val="020B0700000000000000"/>
    <w:charset w:val="80"/>
    <w:family w:val="auto"/>
    <w:pitch w:val="variable"/>
    <w:sig w:usb0="00000083" w:usb1="2AC71C11" w:usb2="00000012" w:usb3="00000000" w:csb0="20020005" w:csb1="00000000"/>
  </w:font>
  <w:font w:name="Kozuka Gothic Pro R">
    <w:panose1 w:val="020B0400000000000000"/>
    <w:charset w:val="80"/>
    <w:family w:val="auto"/>
    <w:pitch w:val="variable"/>
    <w:sig w:usb0="00000083" w:usb1="2AC71C11" w:usb2="00000012" w:usb3="00000000" w:csb0="20020005" w:csb1="00000000"/>
  </w:font>
  <w:font w:name="@Kozuka Gothic Pro R">
    <w:panose1 w:val="020B0400000000000000"/>
    <w:charset w:val="80"/>
    <w:family w:val="auto"/>
    <w:pitch w:val="variable"/>
    <w:sig w:usb0="00000083" w:usb1="2AC71C11" w:usb2="00000012" w:usb3="00000000" w:csb0="20020005" w:csb1="00000000"/>
  </w:font>
  <w:font w:name="Iskoola Pota">
    <w:panose1 w:val="020B0502040204020203"/>
    <w:charset w:val="00"/>
    <w:family w:val="auto"/>
    <w:pitch w:val="variable"/>
    <w:sig w:usb0="00000003" w:usb1="00000000" w:usb2="00000200" w:usb3="00000000" w:csb0="20000001" w:csb1="00000000"/>
  </w:font>
  <w:font w:name="@MS PMincho">
    <w:panose1 w:val="02020600040205080304"/>
    <w:charset w:val="80"/>
    <w:family w:val="auto"/>
    <w:pitch w:val="variable"/>
    <w:sig w:usb0="E00002FF" w:usb1="6AC7FDFB" w:usb2="00000012" w:usb3="00000000" w:csb0="4002009F" w:csb1="DFD70000"/>
  </w:font>
  <w:font w:name="Franklin Gothic Heavy">
    <w:panose1 w:val="020B0903020102020204"/>
    <w:charset w:val="00"/>
    <w:family w:val="auto"/>
    <w:pitch w:val="variable"/>
    <w:sig w:usb0="00000287" w:usb1="00000000" w:usb2="00000000" w:usb3="00000000" w:csb0="2000009F" w:csb1="DFD70000"/>
  </w:font>
  <w:font w:name="Kozuka Mincho Pro B">
    <w:panose1 w:val="02020800000000000000"/>
    <w:charset w:val="80"/>
    <w:family w:val="auto"/>
    <w:pitch w:val="variable"/>
    <w:sig w:usb0="00000083" w:usb1="2AC71C11" w:usb2="00000012" w:usb3="00000000" w:csb0="20020005" w:csb1="00000000"/>
  </w:font>
  <w:font w:name="FrankRuehl">
    <w:panose1 w:val="020E0503060101010101"/>
    <w:charset w:val="B1"/>
    <w:family w:val="auto"/>
    <w:pitch w:val="variable"/>
    <w:sig w:usb0="00000801" w:usb1="00000000" w:usb2="00000000" w:usb3="00000000" w:csb0="00000020" w:csb1="00200000"/>
  </w:font>
  <w:font w:name="@Kozuka Mincho Pro B">
    <w:panose1 w:val="02020800000000000000"/>
    <w:charset w:val="80"/>
    <w:family w:val="auto"/>
    <w:pitch w:val="variable"/>
    <w:sig w:usb0="00000083" w:usb1="2AC71C11" w:usb2="00000012" w:usb3="00000000" w:csb0="20020005" w:csb1="00000000"/>
  </w:font>
  <w:font w:name="Kozuka Mincho Pro EL">
    <w:panose1 w:val="02020200000000000000"/>
    <w:charset w:val="80"/>
    <w:family w:val="auto"/>
    <w:pitch w:val="variable"/>
    <w:sig w:usb0="00000083" w:usb1="2AC71C11" w:usb2="00000012" w:usb3="00000000" w:csb0="20020005" w:csb1="00000000"/>
  </w:font>
  <w:font w:name="@Kozuka Gothic Pr6N H">
    <w:panose1 w:val="020B0800000000000000"/>
    <w:charset w:val="80"/>
    <w:family w:val="auto"/>
    <w:pitch w:val="variable"/>
    <w:sig w:usb0="000002D7" w:usb1="2AC71C11" w:usb2="00000012" w:usb3="00000000" w:csb0="2002009F" w:csb1="00000000"/>
  </w:font>
  <w:font w:name="Simplified Arabic">
    <w:panose1 w:val="02020603050405020304"/>
    <w:charset w:val="00"/>
    <w:family w:val="auto"/>
    <w:pitch w:val="variable"/>
    <w:sig w:usb0="00002003" w:usb1="00000000" w:usb2="00000000" w:usb3="00000000" w:csb0="00000041" w:csb1="20080000"/>
  </w:font>
  <w:font w:name="Kozuka Mincho Pro H">
    <w:panose1 w:val="02020A00000000000000"/>
    <w:charset w:val="80"/>
    <w:family w:val="auto"/>
    <w:pitch w:val="variable"/>
    <w:sig w:usb0="00000083" w:usb1="2AC71C11" w:usb2="00000012" w:usb3="00000000" w:csb0="20020005" w:csb1="00000000"/>
  </w:font>
  <w:font w:name="@Kozuka Mincho Pro H">
    <w:panose1 w:val="02020A00000000000000"/>
    <w:charset w:val="80"/>
    <w:family w:val="auto"/>
    <w:pitch w:val="variable"/>
    <w:sig w:usb0="00000083" w:usb1="2AC71C11" w:usb2="00000012" w:usb3="00000000" w:csb0="20020005" w:csb1="00000000"/>
  </w:font>
  <w:font w:name="Kozuka Mincho Pro L">
    <w:panose1 w:val="02020300000000000000"/>
    <w:charset w:val="80"/>
    <w:family w:val="auto"/>
    <w:pitch w:val="variable"/>
    <w:sig w:usb0="00000083" w:usb1="2AC71C11" w:usb2="00000012" w:usb3="00000000" w:csb0="20020005" w:csb1="00000000"/>
  </w:font>
  <w:font w:name="@Kozuka Mincho Pro L">
    <w:panose1 w:val="02020300000000000000"/>
    <w:charset w:val="80"/>
    <w:family w:val="auto"/>
    <w:pitch w:val="variable"/>
    <w:sig w:usb0="00000083" w:usb1="2AC71C11" w:usb2="00000012" w:usb3="00000000" w:csb0="20020005" w:csb1="00000000"/>
  </w:font>
  <w:font w:name="@Kozuka Mincho Pro M">
    <w:panose1 w:val="02020600000000000000"/>
    <w:charset w:val="80"/>
    <w:family w:val="auto"/>
    <w:pitch w:val="variable"/>
    <w:sig w:usb0="00000083" w:usb1="2AC71C11" w:usb2="00000012" w:usb3="00000000" w:csb0="20020005" w:csb1="00000000"/>
  </w:font>
  <w:font w:name="@Kozuka Mincho Pro R">
    <w:panose1 w:val="02020400000000000000"/>
    <w:charset w:val="80"/>
    <w:family w:val="auto"/>
    <w:pitch w:val="variable"/>
    <w:sig w:usb0="00000083" w:usb1="2AC71C11" w:usb2="00000012" w:usb3="00000000" w:csb0="20020005" w:csb1="00000000"/>
  </w:font>
  <w:font w:name="Tw Cen MT Condensed">
    <w:panose1 w:val="020B0606020104020203"/>
    <w:charset w:val="00"/>
    <w:family w:val="auto"/>
    <w:pitch w:val="variable"/>
    <w:sig w:usb0="00000003" w:usb1="00000000" w:usb2="00000000" w:usb3="00000000" w:csb0="20000003" w:csb1="00000000"/>
  </w:font>
  <w:font w:name="Lithos Pro Regular">
    <w:panose1 w:val="04020505030E02020A04"/>
    <w:charset w:val="00"/>
    <w:family w:val="auto"/>
    <w:pitch w:val="variable"/>
    <w:sig w:usb0="00000087" w:usb1="00000000" w:usb2="00000000" w:usb3="00000000" w:csb0="2000009B" w:csb1="00000000"/>
  </w:font>
  <w:font w:name="Mesquite Std">
    <w:panose1 w:val="04090703060E02020A04"/>
    <w:charset w:val="00"/>
    <w:family w:val="auto"/>
    <w:pitch w:val="variable"/>
    <w:sig w:usb0="00000003" w:usb1="00000000" w:usb2="00000000" w:usb3="00000000" w:csb0="20000001" w:csb1="00000000"/>
  </w:font>
  <w:font w:name="Rage Italic">
    <w:panose1 w:val="03070502040507070304"/>
    <w:charset w:val="00"/>
    <w:family w:val="auto"/>
    <w:pitch w:val="variable"/>
    <w:sig w:usb0="00000003" w:usb1="00000000" w:usb2="00000000" w:usb3="00000000" w:csb0="20000001" w:csb1="00000000"/>
  </w:font>
  <w:font w:name="MingLiU-ExtB">
    <w:panose1 w:val="02020500000000000000"/>
    <w:charset w:val="88"/>
    <w:family w:val="auto"/>
    <w:pitch w:val="variable"/>
    <w:sig w:usb0="8000002F" w:usb1="02000008" w:usb2="00000000" w:usb3="00000000" w:csb0="00100001" w:csb1="00000000"/>
  </w:font>
  <w:font w:name="Minion Pro Cond">
    <w:panose1 w:val="02040706060306020203"/>
    <w:charset w:val="00"/>
    <w:family w:val="auto"/>
    <w:pitch w:val="variable"/>
    <w:sig w:usb0="60000287" w:usb1="00000001" w:usb2="00000000" w:usb3="00000000" w:csb0="2000019F" w:csb1="00000000"/>
  </w:font>
  <w:font w:name="Minion Pro Med">
    <w:panose1 w:val="02040503050306020203"/>
    <w:charset w:val="00"/>
    <w:family w:val="auto"/>
    <w:pitch w:val="variable"/>
    <w:sig w:usb0="60000287" w:usb1="00000001" w:usb2="00000000" w:usb3="00000000" w:csb0="2000019F" w:csb1="00000000"/>
  </w:font>
  <w:font w:name="Minion Pro SmBd">
    <w:panose1 w:val="02040603060306020203"/>
    <w:charset w:val="00"/>
    <w:family w:val="auto"/>
    <w:pitch w:val="variable"/>
    <w:sig w:usb0="60000287" w:usb1="00000001" w:usb2="00000000" w:usb3="00000000" w:csb0="2000019F" w:csb1="00000000"/>
  </w:font>
  <w:font w:name="Franklin Gothic Book">
    <w:panose1 w:val="020B0503020102020204"/>
    <w:charset w:val="00"/>
    <w:family w:val="auto"/>
    <w:pitch w:val="variable"/>
    <w:sig w:usb0="00000287" w:usb1="00000000" w:usb2="00000000" w:usb3="00000000" w:csb0="2000009F" w:csb1="DFD70000"/>
  </w:font>
  <w:font w:name="Cooper Black">
    <w:panose1 w:val="0208090404030B020404"/>
    <w:charset w:val="00"/>
    <w:family w:val="auto"/>
    <w:pitch w:val="variable"/>
    <w:sig w:usb0="00000003" w:usb1="00000000" w:usb2="00000000" w:usb3="00000000" w:csb0="20000001" w:csb1="00000000"/>
  </w:font>
  <w:font w:name="华文中宋">
    <w:panose1 w:val="02010600040101010101"/>
    <w:charset w:val="86"/>
    <w:family w:val="auto"/>
    <w:pitch w:val="variable"/>
    <w:sig w:usb0="00000287" w:usb1="080F0000" w:usb2="00000000" w:usb3="00000000" w:csb0="0004009F" w:csb1="DFD70000"/>
  </w:font>
  <w:font w:name="Myriad Arabic">
    <w:panose1 w:val="01010101010101010101"/>
    <w:charset w:val="00"/>
    <w:family w:val="auto"/>
    <w:pitch w:val="variable"/>
    <w:sig w:usb0="00002007" w:usb1="00000000" w:usb2="00000000" w:usb3="00000000" w:csb0="20000043" w:csb1="00000000"/>
  </w:font>
  <w:font w:name="楷体">
    <w:panose1 w:val="02010609060101010101"/>
    <w:charset w:val="86"/>
    <w:family w:val="auto"/>
    <w:pitch w:val="fixed"/>
    <w:sig w:usb0="800002BF" w:usb1="38CF7CFA" w:usb2="00000016" w:usb3="00000000" w:csb0="00040001" w:csb1="00000000"/>
  </w:font>
  <w:font w:name="AMGDT">
    <w:panose1 w:val="02000400000000000000"/>
    <w:charset w:val="00"/>
    <w:family w:val="auto"/>
    <w:pitch w:val="variable"/>
    <w:sig w:usb0="80000003" w:usb1="10000000" w:usb2="00000000" w:usb3="00000000" w:csb0="00000001" w:csb1="00000000"/>
  </w:font>
  <w:font w:name="Nueva Std">
    <w:panose1 w:val="020B0503070504090203"/>
    <w:charset w:val="00"/>
    <w:family w:val="auto"/>
    <w:pitch w:val="variable"/>
    <w:sig w:usb0="00000003" w:usb1="00000000" w:usb2="00000000" w:usb3="00000000" w:csb0="20000001" w:csb1="00000000"/>
  </w:font>
  <w:font w:name="@黑体">
    <w:panose1 w:val="02010609060101010101"/>
    <w:charset w:val="86"/>
    <w:family w:val="auto"/>
    <w:pitch w:val="fixed"/>
    <w:sig w:usb0="800002BF" w:usb1="38CF7CFA" w:usb2="00000016" w:usb3="00000000" w:csb0="00040001" w:csb1="00000000"/>
  </w:font>
  <w:font w:name="Nueva Std Cond">
    <w:panose1 w:val="020B0506070504020203"/>
    <w:charset w:val="00"/>
    <w:family w:val="auto"/>
    <w:pitch w:val="variable"/>
    <w:sig w:usb0="00000003" w:usb1="00000000" w:usb2="00000000" w:usb3="00000000" w:csb0="20000001" w:csb1="00000000"/>
  </w:font>
  <w:font w:name="Browallia New">
    <w:panose1 w:val="020B0604020202020204"/>
    <w:charset w:val="00"/>
    <w:family w:val="auto"/>
    <w:pitch w:val="variable"/>
    <w:sig w:usb0="81000003" w:usb1="00000000" w:usb2="00000000" w:usb3="00000000" w:csb0="00010001" w:csb1="00000000"/>
  </w:font>
  <w:font w:name="OCR A Std">
    <w:panose1 w:val="020F0609000104060307"/>
    <w:charset w:val="00"/>
    <w:family w:val="auto"/>
    <w:pitch w:val="fixed"/>
    <w:sig w:usb0="00000003" w:usb1="00000000" w:usb2="00000000" w:usb3="00000000" w:csb0="20000001" w:csb1="00000000"/>
  </w:font>
  <w:font w:name="Orator Std">
    <w:panose1 w:val="020D0509020203030204"/>
    <w:charset w:val="00"/>
    <w:family w:val="auto"/>
    <w:pitch w:val="fixed"/>
    <w:sig w:usb0="00000003" w:usb1="00000000" w:usb2="00000000" w:usb3="00000000" w:csb0="60000001" w:csb1="00000000"/>
  </w:font>
  <w:font w:name="@华文琥珀">
    <w:panose1 w:val="02010800040101010101"/>
    <w:charset w:val="86"/>
    <w:family w:val="auto"/>
    <w:pitch w:val="variable"/>
    <w:sig w:usb0="00000001" w:usb1="080F0000" w:usb2="00000000" w:usb3="00000000" w:csb0="00040000" w:csb1="00000000"/>
  </w:font>
  <w:font w:name="ScriptS">
    <w:panose1 w:val="00000400000000000000"/>
    <w:charset w:val="00"/>
    <w:family w:val="auto"/>
    <w:pitch w:val="variable"/>
    <w:sig w:usb0="00000207" w:usb1="00000000" w:usb2="00000000" w:usb3="00000000" w:csb0="000001FF" w:csb1="00000000"/>
  </w:font>
  <w:font w:name="Poplar Std">
    <w:panose1 w:val="04020903030B02020202"/>
    <w:charset w:val="00"/>
    <w:family w:val="auto"/>
    <w:pitch w:val="variable"/>
    <w:sig w:usb0="00000003" w:usb1="00000000" w:usb2="00000000" w:usb3="00000000" w:csb0="20000001" w:csb1="00000000"/>
  </w:font>
  <w:font w:name="Franklin Gothic Medium Cond">
    <w:panose1 w:val="020B0606030402020204"/>
    <w:charset w:val="00"/>
    <w:family w:val="auto"/>
    <w:pitch w:val="variable"/>
    <w:sig w:usb0="00000287" w:usb1="00000000" w:usb2="00000000" w:usb3="00000000" w:csb0="2000009F" w:csb1="DFD70000"/>
  </w:font>
  <w:font w:name="Kingsoft UE">
    <w:panose1 w:val="02000100010000000000"/>
    <w:charset w:val="00"/>
    <w:family w:val="auto"/>
    <w:pitch w:val="variable"/>
    <w:sig w:usb0="00000001" w:usb1="00004000" w:usb2="00000000" w:usb3="00000000" w:csb0="00000001" w:csb1="00000000"/>
  </w:font>
  <w:font w:name="Rosewood Std Regular">
    <w:panose1 w:val="04090804040204020202"/>
    <w:charset w:val="00"/>
    <w:family w:val="auto"/>
    <w:pitch w:val="variable"/>
    <w:sig w:usb0="00000003" w:usb1="00000000" w:usb2="00000000" w:usb3="00000000" w:csb0="20000001" w:csb1="00000000"/>
  </w:font>
  <w:font w:name="Engravers MT">
    <w:panose1 w:val="02090707080505020304"/>
    <w:charset w:val="00"/>
    <w:family w:val="auto"/>
    <w:pitch w:val="variable"/>
    <w:sig w:usb0="00000003" w:usb1="00000000" w:usb2="00000000" w:usb3="00000000" w:csb0="20000001" w:csb1="00000000"/>
  </w:font>
  <w:font w:name="Stencil Std">
    <w:panose1 w:val="04020904080802020404"/>
    <w:charset w:val="00"/>
    <w:family w:val="auto"/>
    <w:pitch w:val="variable"/>
    <w:sig w:usb0="00000003" w:usb1="00000000" w:usb2="00000000" w:usb3="00000000" w:csb0="20000001" w:csb1="00000000"/>
  </w:font>
  <w:font w:name="Ebrima">
    <w:panose1 w:val="02000000000000000000"/>
    <w:charset w:val="00"/>
    <w:family w:val="auto"/>
    <w:pitch w:val="variable"/>
    <w:sig w:usb0="A000505F" w:usb1="02000041" w:usb2="00000000" w:usb3="00000404" w:csb0="00000093" w:csb1="00000000"/>
  </w:font>
  <w:font w:name="Edwardian Script ITC">
    <w:panose1 w:val="030303020407070D0804"/>
    <w:charset w:val="00"/>
    <w:family w:val="auto"/>
    <w:pitch w:val="variable"/>
    <w:sig w:usb0="00000003" w:usb1="00000000" w:usb2="00000000" w:usb3="00000000" w:csb0="20000001" w:csb1="00000000"/>
  </w:font>
  <w:font w:name="Adobe Devanagari">
    <w:panose1 w:val="02040503050201020203"/>
    <w:charset w:val="00"/>
    <w:family w:val="auto"/>
    <w:pitch w:val="variable"/>
    <w:sig w:usb0="A00080EF" w:usb1="4000204A" w:usb2="00000000" w:usb3="00000000" w:csb0="20000001" w:csb1="00000000"/>
  </w:font>
  <w:font w:name="Tekton Pro Ext">
    <w:panose1 w:val="020F0605020208020904"/>
    <w:charset w:val="00"/>
    <w:family w:val="auto"/>
    <w:pitch w:val="variable"/>
    <w:sig w:usb0="00000007" w:usb1="00000001" w:usb2="00000000" w:usb3="00000000" w:csb0="20000093" w:csb1="00000000"/>
  </w:font>
  <w:font w:name="Trajan Pro">
    <w:panose1 w:val="02020502050506020301"/>
    <w:charset w:val="00"/>
    <w:family w:val="auto"/>
    <w:pitch w:val="variable"/>
    <w:sig w:usb0="00000007" w:usb1="00000000" w:usb2="00000000" w:usb3="00000000" w:csb0="20000093" w:csb1="00000000"/>
  </w:font>
  <w:font w:name="Adobe Hebrew">
    <w:panose1 w:val="02040503050201020203"/>
    <w:charset w:val="00"/>
    <w:family w:val="auto"/>
    <w:pitch w:val="variable"/>
    <w:sig w:usb0="8000086F" w:usb1="4000204A" w:usb2="00000000" w:usb3="00000000" w:csb0="20000021" w:csb1="00000000"/>
  </w:font>
  <w:font w:name="Adobe 明體 Std L">
    <w:panose1 w:val="02020300000000000000"/>
    <w:charset w:val="80"/>
    <w:family w:val="auto"/>
    <w:pitch w:val="variable"/>
    <w:sig w:usb0="00000001" w:usb1="1A0F1900" w:usb2="00000016" w:usb3="00000000" w:csb0="00120005" w:csb1="00000000"/>
  </w:font>
  <w:font w:name="CommercialPi BT">
    <w:panose1 w:val="05020102010206080802"/>
    <w:charset w:val="02"/>
    <w:family w:val="auto"/>
    <w:pitch w:val="variable"/>
    <w:sig w:usb0="00000000" w:usb1="00000000" w:usb2="00000000" w:usb3="00000000" w:csb0="00000000" w:csb1="00000000"/>
  </w:font>
  <w:font w:name="Swis721 Lt BT">
    <w:panose1 w:val="020B0403020202020204"/>
    <w:charset w:val="00"/>
    <w:family w:val="auto"/>
    <w:pitch w:val="variable"/>
    <w:sig w:usb0="00000000" w:usb1="00000000" w:usb2="00000000" w:usb3="00000000" w:csb0="00000000" w:csb1="00000000"/>
  </w:font>
  <w:font w:name="@Adobe 明體 Std L">
    <w:panose1 w:val="02020300000000000000"/>
    <w:charset w:val="80"/>
    <w:family w:val="auto"/>
    <w:pitch w:val="variable"/>
    <w:sig w:usb0="00000001" w:usb1="1A0F1900" w:usb2="00000016" w:usb3="00000000" w:csb0="00120005" w:csb1="00000000"/>
  </w:font>
  <w:font w:name="Lucida Fax">
    <w:panose1 w:val="02060602050505020204"/>
    <w:charset w:val="00"/>
    <w:family w:val="auto"/>
    <w:pitch w:val="variable"/>
    <w:sig w:usb0="00000003" w:usb1="00000000" w:usb2="00000000" w:usb3="00000000" w:csb0="20000001" w:csb1="00000000"/>
  </w:font>
  <w:font w:name="Adobe Myungjo Std M">
    <w:panose1 w:val="02020600000000000000"/>
    <w:charset w:val="80"/>
    <w:family w:val="auto"/>
    <w:pitch w:val="variable"/>
    <w:sig w:usb0="00000001" w:usb1="21D72C10" w:usb2="00000010" w:usb3="00000000" w:csb0="602A0005" w:csb1="00000000"/>
  </w:font>
  <w:font w:name="@Adobe Myungjo Std M">
    <w:panose1 w:val="02020600000000000000"/>
    <w:charset w:val="80"/>
    <w:family w:val="auto"/>
    <w:pitch w:val="variable"/>
    <w:sig w:usb0="00000001" w:usb1="21D72C10" w:usb2="00000010" w:usb3="00000000" w:csb0="602A0005" w:csb1="00000000"/>
  </w:font>
  <w:font w:name="Calisto MT">
    <w:panose1 w:val="02040603050505030304"/>
    <w:charset w:val="00"/>
    <w:family w:val="auto"/>
    <w:pitch w:val="variable"/>
    <w:sig w:usb0="00000003" w:usb1="00000000" w:usb2="00000000" w:usb3="00000000" w:csb0="20000001" w:csb1="00000000"/>
  </w:font>
  <w:font w:name="Adobe 宋体 Std L">
    <w:panose1 w:val="02020300000000000000"/>
    <w:charset w:val="86"/>
    <w:family w:val="auto"/>
    <w:pitch w:val="variable"/>
    <w:sig w:usb0="00000001" w:usb1="0A0F1810" w:usb2="00000016" w:usb3="00000000" w:csb0="00060007" w:csb1="00000000"/>
  </w:font>
  <w:font w:name="Kozuka Gothic Pr6N B">
    <w:panose1 w:val="020B0800000000000000"/>
    <w:charset w:val="80"/>
    <w:family w:val="auto"/>
    <w:pitch w:val="variable"/>
    <w:sig w:usb0="000002D7" w:usb1="2AC71C11" w:usb2="00000012" w:usb3="00000000" w:csb0="2002009F" w:csb1="00000000"/>
  </w:font>
  <w:font w:name="DIN Next LT Pro Light">
    <w:panose1 w:val="020B0303020203050203"/>
    <w:charset w:val="00"/>
    <w:family w:val="auto"/>
    <w:pitch w:val="variable"/>
    <w:sig w:usb0="A00000AF" w:usb1="5000205B" w:usb2="00000000" w:usb3="00000000" w:csb0="20000093" w:csb1="00000000"/>
  </w:font>
  <w:font w:name="@Kozuka Gothic Pr6N B">
    <w:panose1 w:val="020B0800000000000000"/>
    <w:charset w:val="80"/>
    <w:family w:val="auto"/>
    <w:pitch w:val="variable"/>
    <w:sig w:usb0="000002D7" w:usb1="2AC71C11" w:usb2="00000012" w:usb3="00000000" w:csb0="2002009F" w:csb1="00000000"/>
  </w:font>
  <w:font w:name="Narkisim">
    <w:panose1 w:val="020E0502050101010101"/>
    <w:charset w:val="B1"/>
    <w:family w:val="auto"/>
    <w:pitch w:val="variable"/>
    <w:sig w:usb0="00000801" w:usb1="00000000" w:usb2="00000000" w:usb3="00000000" w:csb0="00000020" w:csb1="00200000"/>
  </w:font>
  <w:font w:name="Kozuka Gothic Pr6N EL">
    <w:panose1 w:val="020B0200000000000000"/>
    <w:charset w:val="80"/>
    <w:family w:val="auto"/>
    <w:pitch w:val="variable"/>
    <w:sig w:usb0="000002D7" w:usb1="2AC71C11" w:usb2="00000012" w:usb3="00000000" w:csb0="2002009F" w:csb1="00000000"/>
  </w:font>
  <w:font w:name="Myriad Hebrew">
    <w:panose1 w:val="01010101010101010101"/>
    <w:charset w:val="00"/>
    <w:family w:val="auto"/>
    <w:pitch w:val="variable"/>
    <w:sig w:usb0="00000803" w:usb1="40000000" w:usb2="00000000" w:usb3="00000000" w:csb0="20000023" w:csb1="00000000"/>
  </w:font>
  <w:font w:name="方正粗黑宋简体">
    <w:panose1 w:val="02000000000000000000"/>
    <w:charset w:val="86"/>
    <w:family w:val="auto"/>
    <w:pitch w:val="variable"/>
    <w:sig w:usb0="A00002BF" w:usb1="184F6CFA" w:usb2="00000012" w:usb3="00000000" w:csb0="00040001" w:csb1="00000000"/>
  </w:font>
  <w:font w:name="Kozuka Gothic Pr6N H">
    <w:panose1 w:val="020B0800000000000000"/>
    <w:charset w:val="80"/>
    <w:family w:val="auto"/>
    <w:pitch w:val="variable"/>
    <w:sig w:usb0="000002D7" w:usb1="2AC71C11" w:usb2="00000012" w:usb3="00000000" w:csb0="2002009F" w:csb1="00000000"/>
  </w:font>
  <w:font w:name="Swis721 Blk BT">
    <w:panose1 w:val="020B0904030502020204"/>
    <w:charset w:val="00"/>
    <w:family w:val="auto"/>
    <w:pitch w:val="variable"/>
    <w:sig w:usb0="00000000" w:usb1="00000000" w:usb2="00000000" w:usb3="00000000" w:csb0="00000000" w:csb1="00000000"/>
  </w:font>
  <w:font w:name="Kozuka Gothic Pr6N L">
    <w:panose1 w:val="020B0200000000000000"/>
    <w:charset w:val="80"/>
    <w:family w:val="auto"/>
    <w:pitch w:val="variable"/>
    <w:sig w:usb0="000002D7" w:usb1="2AC71C11" w:usb2="00000012" w:usb3="00000000" w:csb0="2002009F" w:csb1="00000000"/>
  </w:font>
  <w:font w:name="@MS PGothic">
    <w:panose1 w:val="020B0600070205080204"/>
    <w:charset w:val="80"/>
    <w:family w:val="auto"/>
    <w:pitch w:val="variable"/>
    <w:sig w:usb0="E00002FF" w:usb1="6AC7FDFB" w:usb2="00000012" w:usb3="00000000" w:csb0="4002009F" w:csb1="DFD70000"/>
  </w:font>
  <w:font w:name="@Kozuka Gothic Pr6N L">
    <w:panose1 w:val="020B0200000000000000"/>
    <w:charset w:val="80"/>
    <w:family w:val="auto"/>
    <w:pitch w:val="variable"/>
    <w:sig w:usb0="000002D7" w:usb1="2AC71C11" w:usb2="00000012" w:usb3="00000000" w:csb0="2002009F" w:csb1="00000000"/>
  </w:font>
  <w:font w:name="Kozuka Gothic Pr6N M">
    <w:panose1 w:val="020B0700000000000000"/>
    <w:charset w:val="80"/>
    <w:family w:val="auto"/>
    <w:pitch w:val="variable"/>
    <w:sig w:usb0="000002D7" w:usb1="2AC71C11" w:usb2="00000012" w:usb3="00000000" w:csb0="2002009F" w:csb1="00000000"/>
  </w:font>
  <w:font w:name="Italic">
    <w:panose1 w:val="00000400000000000000"/>
    <w:charset w:val="00"/>
    <w:family w:val="auto"/>
    <w:pitch w:val="variable"/>
    <w:sig w:usb0="00000207" w:usb1="00000000" w:usb2="00000000" w:usb3="00000000" w:csb0="000001FF" w:csb1="00000000"/>
  </w:font>
  <w:font w:name="Kozuka Gothic Pr6N R">
    <w:panose1 w:val="020B0400000000000000"/>
    <w:charset w:val="80"/>
    <w:family w:val="auto"/>
    <w:pitch w:val="variable"/>
    <w:sig w:usb0="000002D7" w:usb1="2AC71C11" w:usb2="00000012" w:usb3="00000000" w:csb0="2002009F" w:csb1="00000000"/>
  </w:font>
  <w:font w:name="Segoe Script">
    <w:panose1 w:val="020B0504020000000003"/>
    <w:charset w:val="00"/>
    <w:family w:val="auto"/>
    <w:pitch w:val="variable"/>
    <w:sig w:usb0="0000028F" w:usb1="00000000" w:usb2="00000000" w:usb3="00000000" w:csb0="0000009F" w:csb1="00000000"/>
  </w:font>
  <w:font w:name="Agency FB">
    <w:panose1 w:val="020B0503020202020204"/>
    <w:charset w:val="00"/>
    <w:family w:val="auto"/>
    <w:pitch w:val="variable"/>
    <w:sig w:usb0="00000003" w:usb1="00000000" w:usb2="00000000" w:usb3="00000000" w:csb0="20000001" w:csb1="00000000"/>
  </w:font>
  <w:font w:name="Romantic">
    <w:panose1 w:val="00000400000000000000"/>
    <w:charset w:val="02"/>
    <w:family w:val="auto"/>
    <w:pitch w:val="variable"/>
    <w:sig w:usb0="00000000" w:usb1="00000000" w:usb2="00000000" w:usb3="00000000" w:csb0="00000000" w:csb1="00000000"/>
  </w:font>
  <w:font w:name="@Kozuka Gothic Pr6N R">
    <w:panose1 w:val="020B0400000000000000"/>
    <w:charset w:val="80"/>
    <w:family w:val="auto"/>
    <w:pitch w:val="variable"/>
    <w:sig w:usb0="000002D7" w:usb1="2AC71C11" w:usb2="00000012" w:usb3="00000000" w:csb0="2002009F" w:csb1="00000000"/>
  </w:font>
  <w:font w:name="Lucida Console">
    <w:panose1 w:val="020B0609040504020204"/>
    <w:charset w:val="00"/>
    <w:family w:val="auto"/>
    <w:pitch w:val="fixed"/>
    <w:sig w:usb0="8000028F" w:usb1="00001800" w:usb2="00000000" w:usb3="00000000" w:csb0="0000001F" w:csb1="D7D70000"/>
  </w:font>
  <w:font w:name="@Kozuka Mincho Pr6N B">
    <w:panose1 w:val="02020800000000000000"/>
    <w:charset w:val="80"/>
    <w:family w:val="auto"/>
    <w:pitch w:val="variable"/>
    <w:sig w:usb0="000002D7" w:usb1="2AC71C11" w:usb2="00000012" w:usb3="00000000" w:csb0="2002009F" w:csb1="00000000"/>
  </w:font>
  <w:font w:name="DotumChe">
    <w:panose1 w:val="020B0609000101010101"/>
    <w:charset w:val="81"/>
    <w:family w:val="auto"/>
    <w:pitch w:val="fixed"/>
    <w:sig w:usb0="B00002AF" w:usb1="69D77CFB" w:usb2="00000030" w:usb3="00000000" w:csb0="4008009F" w:csb1="DFD70000"/>
  </w:font>
  <w:font w:name="Kozuka Mincho Pr6N EL">
    <w:panose1 w:val="02020200000000000000"/>
    <w:charset w:val="80"/>
    <w:family w:val="auto"/>
    <w:pitch w:val="variable"/>
    <w:sig w:usb0="000002D7" w:usb1="2AC71C11" w:usb2="00000012" w:usb3="00000000" w:csb0="2002009F" w:csb1="00000000"/>
  </w:font>
  <w:font w:name="@Kozuka Mincho Pr6N EL">
    <w:panose1 w:val="02020200000000000000"/>
    <w:charset w:val="80"/>
    <w:family w:val="auto"/>
    <w:pitch w:val="variable"/>
    <w:sig w:usb0="000002D7" w:usb1="2AC71C11" w:usb2="00000012" w:usb3="00000000" w:csb0="2002009F" w:csb1="00000000"/>
  </w:font>
  <w:font w:name="Kozuka Mincho Pr6N L">
    <w:panose1 w:val="02020300000000000000"/>
    <w:charset w:val="80"/>
    <w:family w:val="auto"/>
    <w:pitch w:val="variable"/>
    <w:sig w:usb0="000002D7" w:usb1="2AC71C11" w:usb2="00000012" w:usb3="00000000" w:csb0="2002009F" w:csb1="00000000"/>
  </w:font>
  <w:font w:name="华文琥珀">
    <w:panose1 w:val="02010800040101010101"/>
    <w:charset w:val="86"/>
    <w:family w:val="auto"/>
    <w:pitch w:val="variable"/>
    <w:sig w:usb0="00000001" w:usb1="080F0000" w:usb2="00000000" w:usb3="00000000" w:csb0="00040000" w:csb1="00000000"/>
  </w:font>
  <w:font w:name="@Kozuka Mincho Pr6N L">
    <w:panose1 w:val="02020300000000000000"/>
    <w:charset w:val="80"/>
    <w:family w:val="auto"/>
    <w:pitch w:val="variable"/>
    <w:sig w:usb0="000002D7" w:usb1="2AC71C11" w:usb2="00000012" w:usb3="00000000" w:csb0="2002009F" w:csb1="00000000"/>
  </w:font>
  <w:font w:name="GungsuhChe">
    <w:panose1 w:val="02030609000101010101"/>
    <w:charset w:val="81"/>
    <w:family w:val="auto"/>
    <w:pitch w:val="fixed"/>
    <w:sig w:usb0="B00002AF" w:usb1="69D77CFB" w:usb2="00000030" w:usb3="00000000" w:csb0="4008009F" w:csb1="DFD70000"/>
  </w:font>
  <w:font w:name="@Kozuka Mincho Pr6N M">
    <w:panose1 w:val="02020600000000000000"/>
    <w:charset w:val="80"/>
    <w:family w:val="auto"/>
    <w:pitch w:val="variable"/>
    <w:sig w:usb0="000002D7" w:usb1="2AC71C11" w:usb2="00000012" w:usb3="00000000" w:csb0="2002009F" w:csb1="00000000"/>
  </w:font>
  <w:font w:name="Traditional Arabic">
    <w:panose1 w:val="02020603050405020304"/>
    <w:charset w:val="00"/>
    <w:family w:val="auto"/>
    <w:pitch w:val="variable"/>
    <w:sig w:usb0="00006003" w:usb1="80000000" w:usb2="00000008" w:usb3="00000000" w:csb0="00000041" w:csb1="20080000"/>
  </w:font>
  <w:font w:name="Kozuka Mincho Pr6N R">
    <w:panose1 w:val="02020400000000000000"/>
    <w:charset w:val="80"/>
    <w:family w:val="auto"/>
    <w:pitch w:val="variable"/>
    <w:sig w:usb0="000002D7" w:usb1="2AC71C11" w:usb2="00000012" w:usb3="00000000" w:csb0="2002009F" w:csb1="00000000"/>
  </w:font>
  <w:font w:name="@Kozuka Mincho Pr6N R">
    <w:panose1 w:val="02020400000000000000"/>
    <w:charset w:val="80"/>
    <w:family w:val="auto"/>
    <w:pitch w:val="variable"/>
    <w:sig w:usb0="000002D7" w:usb1="2AC71C11" w:usb2="00000012" w:usb3="00000000" w:csb0="2002009F" w:csb1="00000000"/>
  </w:font>
  <w:font w:name="Letter Gothic Std">
    <w:panose1 w:val="020B0409020202030304"/>
    <w:charset w:val="00"/>
    <w:family w:val="auto"/>
    <w:pitch w:val="fixed"/>
    <w:sig w:usb0="00000003" w:usb1="00000000" w:usb2="00000000" w:usb3="00000000" w:csb0="60000001" w:csb1="00000000"/>
  </w:font>
  <w:font w:name="@Microsoft JhengHei">
    <w:panose1 w:val="020B0604030504040204"/>
    <w:charset w:val="88"/>
    <w:family w:val="auto"/>
    <w:pitch w:val="variable"/>
    <w:sig w:usb0="00000087" w:usb1="28AF4000" w:usb2="00000016" w:usb3="00000000" w:csb0="00100009" w:csb1="00000000"/>
  </w:font>
  <w:font w:name="ISOCP2">
    <w:panose1 w:val="00000400000000000000"/>
    <w:charset w:val="00"/>
    <w:family w:val="auto"/>
    <w:pitch w:val="variable"/>
    <w:sig w:usb0="00000007" w:usb1="00000000" w:usb2="00000000" w:usb3="00000000" w:csb0="000001FF" w:csb1="00000000"/>
  </w:font>
  <w:font w:name="Minion Pro">
    <w:panose1 w:val="02040503050306020203"/>
    <w:charset w:val="00"/>
    <w:family w:val="auto"/>
    <w:pitch w:val="variable"/>
    <w:sig w:usb0="60000287" w:usb1="00000001" w:usb2="00000000" w:usb3="00000000" w:csb0="2000019F" w:csb1="00000000"/>
  </w:font>
  <w:font w:name="Myriad Pro">
    <w:panose1 w:val="020B0503030403020204"/>
    <w:charset w:val="00"/>
    <w:family w:val="auto"/>
    <w:pitch w:val="variable"/>
    <w:sig w:usb0="20000287" w:usb1="00000001" w:usb2="00000000" w:usb3="00000000" w:csb0="2000019F" w:csb1="00000000"/>
  </w:font>
  <w:font w:name="RomanC">
    <w:panose1 w:val="00000400000000000000"/>
    <w:charset w:val="00"/>
    <w:family w:val="auto"/>
    <w:pitch w:val="variable"/>
    <w:sig w:usb0="00000207" w:usb1="00000000" w:usb2="00000000" w:usb3="00000000" w:csb0="000001FF" w:csb1="00000000"/>
  </w:font>
  <w:font w:name="Myriad Pro Light">
    <w:panose1 w:val="020B0603030403020204"/>
    <w:charset w:val="00"/>
    <w:family w:val="auto"/>
    <w:pitch w:val="variable"/>
    <w:sig w:usb0="20000287" w:usb1="00000001" w:usb2="00000000" w:usb3="00000000" w:csb0="2000019F" w:csb1="00000000"/>
  </w:font>
  <w:font w:name="Arial Rounded MT Bold">
    <w:panose1 w:val="020F0704030504030204"/>
    <w:charset w:val="00"/>
    <w:family w:val="auto"/>
    <w:pitch w:val="variable"/>
    <w:sig w:usb0="00000003" w:usb1="00000000" w:usb2="00000000" w:usb3="00000000" w:csb0="20000001" w:csb1="00000000"/>
  </w:font>
  <w:font w:name="Marlett">
    <w:panose1 w:val="00000000000000000000"/>
    <w:charset w:val="02"/>
    <w:family w:val="auto"/>
    <w:pitch w:val="variable"/>
    <w:sig w:usb0="00000000" w:usb1="00000000" w:usb2="00000000" w:usb3="00000000" w:csb0="80000000" w:csb1="00000000"/>
  </w:font>
  <w:font w:name="@Batang">
    <w:panose1 w:val="02030600000101010101"/>
    <w:charset w:val="81"/>
    <w:family w:val="auto"/>
    <w:pitch w:val="variable"/>
    <w:sig w:usb0="B00002AF" w:usb1="69D77CFB" w:usb2="00000030" w:usb3="00000000" w:csb0="4008009F" w:csb1="DFD70000"/>
  </w:font>
  <w:font w:name="BatangChe">
    <w:panose1 w:val="02030609000101010101"/>
    <w:charset w:val="81"/>
    <w:family w:val="auto"/>
    <w:pitch w:val="fixed"/>
    <w:sig w:usb0="B00002AF" w:usb1="69D77CFB" w:usb2="00000030" w:usb3="00000000" w:csb0="4008009F" w:csb1="DFD70000"/>
  </w:font>
  <w:font w:name="@幼圆">
    <w:panose1 w:val="02010509060101010101"/>
    <w:charset w:val="86"/>
    <w:family w:val="auto"/>
    <w:pitch w:val="fixed"/>
    <w:sig w:usb0="00000001" w:usb1="080E0000" w:usb2="00000000" w:usb3="00000000" w:csb0="00040000" w:csb1="00000000"/>
  </w:font>
  <w:font w:name="@BatangChe">
    <w:panose1 w:val="02030609000101010101"/>
    <w:charset w:val="81"/>
    <w:family w:val="auto"/>
    <w:pitch w:val="fixed"/>
    <w:sig w:usb0="B00002AF" w:usb1="69D77CFB" w:usb2="00000030" w:usb3="00000000" w:csb0="4008009F" w:csb1="DFD70000"/>
  </w:font>
  <w:font w:name="Gungsuh">
    <w:panose1 w:val="02030600000101010101"/>
    <w:charset w:val="81"/>
    <w:family w:val="auto"/>
    <w:pitch w:val="variable"/>
    <w:sig w:usb0="B00002AF" w:usb1="69D77CFB" w:usb2="00000030" w:usb3="00000000" w:csb0="4008009F" w:csb1="DFD70000"/>
  </w:font>
  <w:font w:name="@Gungsuh">
    <w:panose1 w:val="02030600000101010101"/>
    <w:charset w:val="81"/>
    <w:family w:val="auto"/>
    <w:pitch w:val="variable"/>
    <w:sig w:usb0="B00002AF" w:usb1="69D77CFB" w:usb2="00000030" w:usb3="00000000" w:csb0="4008009F" w:csb1="DFD70000"/>
  </w:font>
  <w:font w:name="@GungsuhChe">
    <w:panose1 w:val="02030609000101010101"/>
    <w:charset w:val="81"/>
    <w:family w:val="auto"/>
    <w:pitch w:val="fixed"/>
    <w:sig w:usb0="B00002AF" w:usb1="69D77CFB" w:usb2="00000030" w:usb3="00000000" w:csb0="4008009F" w:csb1="DFD70000"/>
  </w:font>
  <w:font w:name="DaunPenh">
    <w:panose1 w:val="01010101010101010101"/>
    <w:charset w:val="00"/>
    <w:family w:val="auto"/>
    <w:pitch w:val="variable"/>
    <w:sig w:usb0="00000003" w:usb1="00000000" w:usb2="00010000" w:usb3="00000000" w:csb0="00000001" w:csb1="00000000"/>
  </w:font>
  <w:font w:name="DokChampa">
    <w:panose1 w:val="020B0604020202020204"/>
    <w:charset w:val="00"/>
    <w:family w:val="auto"/>
    <w:pitch w:val="variable"/>
    <w:sig w:usb0="03000003" w:usb1="00000000" w:usb2="00000000" w:usb3="00000000" w:csb0="40010001" w:csb1="00000000"/>
  </w:font>
  <w:font w:name="Perpetua Titling MT">
    <w:panose1 w:val="02020502060505020804"/>
    <w:charset w:val="00"/>
    <w:family w:val="auto"/>
    <w:pitch w:val="variable"/>
    <w:sig w:usb0="00000003" w:usb1="00000000" w:usb2="00000000" w:usb3="00000000" w:csb0="20000001" w:csb1="00000000"/>
  </w:font>
  <w:font w:name="Onyx">
    <w:panose1 w:val="04050602080702020203"/>
    <w:charset w:val="00"/>
    <w:family w:val="auto"/>
    <w:pitch w:val="variable"/>
    <w:sig w:usb0="00000003" w:usb1="00000000" w:usb2="00000000" w:usb3="00000000" w:csb0="20000001" w:csb1="00000000"/>
  </w:font>
  <w:font w:name="Euphemia">
    <w:panose1 w:val="020B0503040102020104"/>
    <w:charset w:val="00"/>
    <w:family w:val="auto"/>
    <w:pitch w:val="variable"/>
    <w:sig w:usb0="8000006F" w:usb1="0000004A" w:usb2="00002000" w:usb3="00000000" w:csb0="00000001" w:csb1="00000000"/>
  </w:font>
  <w:font w:name="Vani">
    <w:panose1 w:val="020B0502040204020203"/>
    <w:charset w:val="00"/>
    <w:family w:val="auto"/>
    <w:pitch w:val="variable"/>
    <w:sig w:usb0="00200003" w:usb1="00000000" w:usb2="00000000" w:usb3="00000000" w:csb0="00000001" w:csb1="00000000"/>
  </w:font>
  <w:font w:name="ISOCP">
    <w:panose1 w:val="00000400000000000000"/>
    <w:charset w:val="00"/>
    <w:family w:val="auto"/>
    <w:pitch w:val="variable"/>
    <w:sig w:usb0="00000003" w:usb1="00000000" w:usb2="00000040" w:usb3="00000000" w:csb0="000001FF" w:csb1="00000000"/>
  </w:font>
  <w:font w:name="Sakkal Majalla">
    <w:panose1 w:val="02000000000000000000"/>
    <w:charset w:val="00"/>
    <w:family w:val="auto"/>
    <w:pitch w:val="variable"/>
    <w:sig w:usb0="A000207F" w:usb1="C000204B" w:usb2="00000008" w:usb3="00000000" w:csb0="200000D3" w:csb1="00000000"/>
  </w:font>
  <w:font w:name="Parchment">
    <w:panose1 w:val="03040602040708040804"/>
    <w:charset w:val="00"/>
    <w:family w:val="auto"/>
    <w:pitch w:val="variable"/>
    <w:sig w:usb0="00000003" w:usb1="00000000" w:usb2="00000000" w:usb3="00000000" w:csb0="20000001" w:csb1="00000000"/>
  </w:font>
  <w:font w:name="@Gulim">
    <w:panose1 w:val="020B0600000101010101"/>
    <w:charset w:val="81"/>
    <w:family w:val="auto"/>
    <w:pitch w:val="variable"/>
    <w:sig w:usb0="B00002AF" w:usb1="69D77CFB" w:usb2="00000030" w:usb3="00000000" w:csb0="4008009F" w:csb1="DFD70000"/>
  </w:font>
  <w:font w:name="Eras Demi ITC">
    <w:panose1 w:val="020B0805030504020804"/>
    <w:charset w:val="00"/>
    <w:family w:val="auto"/>
    <w:pitch w:val="variable"/>
    <w:sig w:usb0="00000003" w:usb1="00000000" w:usb2="00000000" w:usb3="00000000" w:csb0="20000001" w:csb1="00000000"/>
  </w:font>
  <w:font w:name="@GulimChe">
    <w:panose1 w:val="020B0609000101010101"/>
    <w:charset w:val="81"/>
    <w:family w:val="auto"/>
    <w:pitch w:val="fixed"/>
    <w:sig w:usb0="B00002AF" w:usb1="69D77CFB" w:usb2="00000030" w:usb3="00000000" w:csb0="4008009F" w:csb1="DFD70000"/>
  </w:font>
  <w:font w:name="Microsoft PhagsPa">
    <w:panose1 w:val="020B0502040204020203"/>
    <w:charset w:val="00"/>
    <w:family w:val="auto"/>
    <w:pitch w:val="variable"/>
    <w:sig w:usb0="00000003" w:usb1="00200000" w:usb2="08000000" w:usb3="00000000" w:csb0="00000001" w:csb1="00000000"/>
  </w:font>
  <w:font w:name="@Dotum">
    <w:panose1 w:val="020B0600000101010101"/>
    <w:charset w:val="81"/>
    <w:family w:val="auto"/>
    <w:pitch w:val="variable"/>
    <w:sig w:usb0="B00002AF" w:usb1="69D77CFB" w:usb2="00000030" w:usb3="00000000" w:csb0="4008009F" w:csb1="DFD70000"/>
  </w:font>
  <w:font w:name="Lao UI">
    <w:panose1 w:val="020B0502040204020203"/>
    <w:charset w:val="00"/>
    <w:family w:val="auto"/>
    <w:pitch w:val="variable"/>
    <w:sig w:usb0="02000003" w:usb1="00000000" w:usb2="00000000" w:usb3="00000000" w:csb0="00000001" w:csb1="00000000"/>
  </w:font>
  <w:font w:name="Impact">
    <w:panose1 w:val="020B0806030902050204"/>
    <w:charset w:val="00"/>
    <w:family w:val="auto"/>
    <w:pitch w:val="variable"/>
    <w:sig w:usb0="00000287" w:usb1="00000000" w:usb2="00000000" w:usb3="00000000" w:csb0="2000009F" w:csb1="DFD70000"/>
  </w:font>
  <w:font w:name="AngsanaUPC">
    <w:panose1 w:val="02020603050405020304"/>
    <w:charset w:val="00"/>
    <w:family w:val="auto"/>
    <w:pitch w:val="variable"/>
    <w:sig w:usb0="81000003" w:usb1="00000000" w:usb2="00000000" w:usb3="00000000" w:csb0="00010001" w:csb1="00000000"/>
  </w:font>
  <w:font w:name="Kalinga">
    <w:panose1 w:val="020B0502040204020203"/>
    <w:charset w:val="00"/>
    <w:family w:val="auto"/>
    <w:pitch w:val="variable"/>
    <w:sig w:usb0="00080003" w:usb1="00000000" w:usb2="00000000" w:usb3="00000000" w:csb0="00000001" w:csb1="00000000"/>
  </w:font>
  <w:font w:name="Microsoft Yi Baiti">
    <w:panose1 w:val="03000500000000000000"/>
    <w:charset w:val="00"/>
    <w:family w:val="auto"/>
    <w:pitch w:val="variable"/>
    <w:sig w:usb0="80000003" w:usb1="00010402" w:usb2="00080002" w:usb3="00000000" w:csb0="00000001" w:csb1="00000000"/>
  </w:font>
  <w:font w:name="Swis721 Cn BT">
    <w:panose1 w:val="020B0506020202030204"/>
    <w:charset w:val="00"/>
    <w:family w:val="auto"/>
    <w:pitch w:val="variable"/>
    <w:sig w:usb0="00000000" w:usb1="00000000" w:usb2="00000000" w:usb3="00000000" w:csb0="00000000" w:csb1="00000000"/>
  </w:font>
  <w:font w:name="Kartika">
    <w:panose1 w:val="02020503030404060203"/>
    <w:charset w:val="00"/>
    <w:family w:val="auto"/>
    <w:pitch w:val="variable"/>
    <w:sig w:usb0="00800003" w:usb1="00000000" w:usb2="00000000" w:usb3="00000000" w:csb0="00000001" w:csb1="00000000"/>
  </w:font>
  <w:font w:name="Khmer UI">
    <w:panose1 w:val="020B0502040204020203"/>
    <w:charset w:val="00"/>
    <w:family w:val="auto"/>
    <w:pitch w:val="variable"/>
    <w:sig w:usb0="8000002F" w:usb1="0000204A" w:usb2="00010000" w:usb3="00000000" w:csb0="00000001" w:csb1="00000000"/>
  </w:font>
  <w:font w:name="Centaur">
    <w:panose1 w:val="02030504050205020304"/>
    <w:charset w:val="00"/>
    <w:family w:val="auto"/>
    <w:pitch w:val="variable"/>
    <w:sig w:usb0="00000003" w:usb1="00000000" w:usb2="00000000" w:usb3="00000000" w:csb0="20000001" w:csb1="00000000"/>
  </w:font>
  <w:font w:name="Malgun Gothic">
    <w:panose1 w:val="020B0503020000020004"/>
    <w:charset w:val="81"/>
    <w:family w:val="auto"/>
    <w:pitch w:val="variable"/>
    <w:sig w:usb0="900002AF" w:usb1="01D77CFB" w:usb2="00000012" w:usb3="00000000" w:csb0="00080001" w:csb1="00000000"/>
  </w:font>
  <w:font w:name="@Malgun Gothic">
    <w:panose1 w:val="020B0503020000020004"/>
    <w:charset w:val="81"/>
    <w:family w:val="auto"/>
    <w:pitch w:val="variable"/>
    <w:sig w:usb0="900002AF" w:usb1="01D77CFB" w:usb2="00000012" w:usb3="00000000" w:csb0="00080001" w:csb1="00000000"/>
  </w:font>
  <w:font w:name="Trebuchet MS">
    <w:panose1 w:val="020B0603020202020204"/>
    <w:charset w:val="00"/>
    <w:family w:val="auto"/>
    <w:pitch w:val="variable"/>
    <w:sig w:usb0="00000287" w:usb1="00000000" w:usb2="00000000" w:usb3="00000000" w:csb0="2000009F" w:csb1="00000000"/>
  </w:font>
  <w:font w:name="Gill Sans MT">
    <w:panose1 w:val="020B0502020104020203"/>
    <w:charset w:val="00"/>
    <w:family w:val="auto"/>
    <w:pitch w:val="variable"/>
    <w:sig w:usb0="00000003" w:usb1="00000000" w:usb2="00000000" w:usb3="00000000" w:csb0="20000003" w:csb1="00000000"/>
  </w:font>
  <w:font w:name="Txt">
    <w:panose1 w:val="00000400000000000000"/>
    <w:charset w:val="00"/>
    <w:family w:val="auto"/>
    <w:pitch w:val="variable"/>
    <w:sig w:usb0="80000227" w:usb1="00000000" w:usb2="00000000" w:usb3="00000000" w:csb0="000001FF" w:csb1="00000000"/>
  </w:font>
  <w:font w:name="SansSerif">
    <w:panose1 w:val="00000400000000000000"/>
    <w:charset w:val="02"/>
    <w:family w:val="auto"/>
    <w:pitch w:val="variable"/>
    <w:sig w:usb0="00000000" w:usb1="00000000" w:usb2="00000000" w:usb3="00000000" w:csb0="00000000" w:csb1="00000000"/>
  </w:font>
  <w:font w:name="Meiryo">
    <w:panose1 w:val="020B0604030504040204"/>
    <w:charset w:val="80"/>
    <w:family w:val="auto"/>
    <w:pitch w:val="variable"/>
    <w:sig w:usb0="E10102FF" w:usb1="EAC7FFFF" w:usb2="00010012" w:usb3="00000000" w:csb0="6002009F" w:csb1="DFD70000"/>
  </w:font>
  <w:font w:name="@Meiryo">
    <w:panose1 w:val="020B0604030504040204"/>
    <w:charset w:val="80"/>
    <w:family w:val="auto"/>
    <w:pitch w:val="variable"/>
    <w:sig w:usb0="E10102FF" w:usb1="EAC7FFFF" w:usb2="00010012" w:usb3="00000000" w:csb0="6002009F" w:csb1="DFD70000"/>
  </w:font>
  <w:font w:name="Meiryo UI">
    <w:panose1 w:val="020B0604030504040204"/>
    <w:charset w:val="80"/>
    <w:family w:val="auto"/>
    <w:pitch w:val="variable"/>
    <w:sig w:usb0="E10102FF" w:usb1="EAC7FFFF" w:usb2="00010012" w:usb3="00000000" w:csb0="6002009F" w:csb1="DFD70000"/>
  </w:font>
  <w:font w:name="@Meiryo UI">
    <w:panose1 w:val="020B0604030504040204"/>
    <w:charset w:val="80"/>
    <w:family w:val="auto"/>
    <w:pitch w:val="variable"/>
    <w:sig w:usb0="E10102FF" w:usb1="EAC7FFFF" w:usb2="00010012" w:usb3="00000000" w:csb0="6002009F" w:csb1="DFD70000"/>
  </w:font>
  <w:font w:name="Microsoft Himalaya">
    <w:panose1 w:val="01010100010101010101"/>
    <w:charset w:val="00"/>
    <w:family w:val="auto"/>
    <w:pitch w:val="variable"/>
    <w:sig w:usb0="80000003" w:usb1="00010000" w:usb2="00000040" w:usb3="00000000" w:csb0="00000001" w:csb1="00000000"/>
  </w:font>
  <w:font w:name="汉仪中黑 197">
    <w:panose1 w:val="00020600040101010101"/>
    <w:charset w:val="86"/>
    <w:family w:val="auto"/>
    <w:pitch w:val="variable"/>
    <w:sig w:usb0="A00002BF" w:usb1="18EF7CFA" w:usb2="00000016" w:usb3="00000000" w:csb0="0004009F" w:csb1="00000000"/>
  </w:font>
  <w:font w:name="Microsoft JhengHei">
    <w:panose1 w:val="020B0604030504040204"/>
    <w:charset w:val="88"/>
    <w:family w:val="auto"/>
    <w:pitch w:val="variable"/>
    <w:sig w:usb0="00000087" w:usb1="28AF4000" w:usb2="00000016" w:usb3="00000000" w:csb0="00100009" w:csb1="00000000"/>
  </w:font>
  <w:font w:name="JasmineUPC">
    <w:panose1 w:val="02020603050405020304"/>
    <w:charset w:val="00"/>
    <w:family w:val="auto"/>
    <w:pitch w:val="variable"/>
    <w:sig w:usb0="01000007" w:usb1="00000002" w:usb2="00000000" w:usb3="00000000" w:csb0="00010001" w:csb1="00000000"/>
  </w:font>
  <w:font w:name="@微软雅黑">
    <w:panose1 w:val="020B0503020204020204"/>
    <w:charset w:val="86"/>
    <w:family w:val="auto"/>
    <w:pitch w:val="variable"/>
    <w:sig w:usb0="80000287" w:usb1="280F3C52" w:usb2="00000016" w:usb3="00000000" w:csb0="0004001F" w:csb1="00000000"/>
  </w:font>
  <w:font w:name="华文新魏">
    <w:panose1 w:val="02010800040101010101"/>
    <w:charset w:val="86"/>
    <w:family w:val="auto"/>
    <w:pitch w:val="variable"/>
    <w:sig w:usb0="00000001" w:usb1="080F0000" w:usb2="00000000" w:usb3="00000000" w:csb0="00040000" w:csb1="00000000"/>
  </w:font>
  <w:font w:name="@PMingLiU">
    <w:panose1 w:val="02020500000000000000"/>
    <w:charset w:val="88"/>
    <w:family w:val="auto"/>
    <w:pitch w:val="variable"/>
    <w:sig w:usb0="A00002FF" w:usb1="28CFFCFA" w:usb2="00000016" w:usb3="00000000" w:csb0="00100001" w:csb1="00000000"/>
  </w:font>
  <w:font w:name="MingLiU_HKSCS">
    <w:panose1 w:val="02020500000000000000"/>
    <w:charset w:val="88"/>
    <w:family w:val="auto"/>
    <w:pitch w:val="variable"/>
    <w:sig w:usb0="A00002FF" w:usb1="38CFFCFA" w:usb2="00000016" w:usb3="00000000" w:csb0="00100001" w:csb1="00000000"/>
  </w:font>
  <w:font w:name="Rockwell">
    <w:panose1 w:val="02060603020205020403"/>
    <w:charset w:val="00"/>
    <w:family w:val="auto"/>
    <w:pitch w:val="variable"/>
    <w:sig w:usb0="00000003" w:usb1="00000000" w:usb2="00000000" w:usb3="00000000" w:csb0="20000001" w:csb1="00000000"/>
  </w:font>
  <w:font w:name="CommercialScript BT">
    <w:panose1 w:val="03030803040807090C04"/>
    <w:charset w:val="00"/>
    <w:family w:val="auto"/>
    <w:pitch w:val="variable"/>
    <w:sig w:usb0="00000000" w:usb1="00000000" w:usb2="00000000" w:usb3="00000000" w:csb0="00000000" w:csb1="00000000"/>
  </w:font>
  <w:font w:name="@MingLiU_HKSCS">
    <w:panose1 w:val="02020500000000000000"/>
    <w:charset w:val="88"/>
    <w:family w:val="auto"/>
    <w:pitch w:val="variable"/>
    <w:sig w:usb0="A00002FF" w:usb1="38CFFCFA" w:usb2="00000016" w:usb3="00000000" w:csb0="00100001" w:csb1="00000000"/>
  </w:font>
  <w:font w:name="Swis721 BlkOul BT">
    <w:panose1 w:val="04020905030B03040203"/>
    <w:charset w:val="00"/>
    <w:family w:val="auto"/>
    <w:pitch w:val="variable"/>
    <w:sig w:usb0="00000000" w:usb1="00000000" w:usb2="00000000" w:usb3="00000000" w:csb0="00000000" w:csb1="00000000"/>
  </w:font>
  <w:font w:name="@MingLiU-ExtB">
    <w:panose1 w:val="02020500000000000000"/>
    <w:charset w:val="88"/>
    <w:family w:val="auto"/>
    <w:pitch w:val="variable"/>
    <w:sig w:usb0="8000002F" w:usb1="02000008" w:usb2="00000000" w:usb3="00000000" w:csb0="00100001" w:csb1="00000000"/>
  </w:font>
  <w:font w:name="Eras Light ITC">
    <w:panose1 w:val="020B0402030504020804"/>
    <w:charset w:val="00"/>
    <w:family w:val="auto"/>
    <w:pitch w:val="variable"/>
    <w:sig w:usb0="00000003" w:usb1="00000000" w:usb2="00000000" w:usb3="00000000" w:csb0="20000001" w:csb1="00000000"/>
  </w:font>
  <w:font w:name="PMingLiU-ExtB">
    <w:panose1 w:val="02020500000000000000"/>
    <w:charset w:val="88"/>
    <w:family w:val="auto"/>
    <w:pitch w:val="variable"/>
    <w:sig w:usb0="8000002F" w:usb1="02000008" w:usb2="00000000" w:usb3="00000000" w:csb0="00100001" w:csb1="00000000"/>
  </w:font>
  <w:font w:name="MingLiU_HKSCS-ExtB">
    <w:panose1 w:val="02020500000000000000"/>
    <w:charset w:val="88"/>
    <w:family w:val="auto"/>
    <w:pitch w:val="variable"/>
    <w:sig w:usb0="8000002F" w:usb1="02000008" w:usb2="00000000" w:usb3="00000000" w:csb0="00100001" w:csb1="00000000"/>
  </w:font>
  <w:font w:name="Mongolian Baiti">
    <w:panose1 w:val="03000500000000000000"/>
    <w:charset w:val="00"/>
    <w:family w:val="auto"/>
    <w:pitch w:val="variable"/>
    <w:sig w:usb0="80000023" w:usb1="00000000" w:usb2="00020000" w:usb3="00000000" w:csb0="00000001" w:csb1="00000000"/>
  </w:font>
  <w:font w:name="@MS Gothic">
    <w:panose1 w:val="020B0609070205080204"/>
    <w:charset w:val="80"/>
    <w:family w:val="auto"/>
    <w:pitch w:val="fixed"/>
    <w:sig w:usb0="E00002FF" w:usb1="6AC7FDFB" w:usb2="00000012" w:usb3="00000000" w:csb0="4002009F" w:csb1="DFD70000"/>
  </w:font>
  <w:font w:name="@仿宋">
    <w:panose1 w:val="02010609060101010101"/>
    <w:charset w:val="86"/>
    <w:family w:val="auto"/>
    <w:pitch w:val="fixed"/>
    <w:sig w:usb0="800002BF" w:usb1="38CF7CFA" w:usb2="00000016" w:usb3="00000000" w:csb0="00040001" w:csb1="00000000"/>
  </w:font>
  <w:font w:name="MS PGothic">
    <w:panose1 w:val="020B0600070205080204"/>
    <w:charset w:val="80"/>
    <w:family w:val="auto"/>
    <w:pitch w:val="variable"/>
    <w:sig w:usb0="E00002FF" w:usb1="6AC7FDFB" w:usb2="00000012" w:usb3="00000000" w:csb0="4002009F" w:csb1="DFD70000"/>
  </w:font>
  <w:font w:name="MS UI Gothic">
    <w:panose1 w:val="020B0600070205080204"/>
    <w:charset w:val="80"/>
    <w:family w:val="auto"/>
    <w:pitch w:val="variable"/>
    <w:sig w:usb0="E00002FF" w:usb1="6AC7FDFB" w:usb2="00000012" w:usb3="00000000" w:csb0="4002009F" w:csb1="DFD70000"/>
  </w:font>
  <w:font w:name="@MS Mincho">
    <w:panose1 w:val="02020609040205080304"/>
    <w:charset w:val="80"/>
    <w:family w:val="auto"/>
    <w:pitch w:val="fixed"/>
    <w:sig w:usb0="E00002FF" w:usb1="6AC7FDFB" w:usb2="00000012" w:usb3="00000000" w:csb0="4002009F" w:csb1="DFD70000"/>
  </w:font>
  <w:font w:name="MV Boli">
    <w:panose1 w:val="02000500030200090000"/>
    <w:charset w:val="00"/>
    <w:family w:val="auto"/>
    <w:pitch w:val="variable"/>
    <w:sig w:usb0="00000003" w:usb1="00000000" w:usb2="00000100" w:usb3="00000000" w:csb0="00000001" w:csb1="00000000"/>
  </w:font>
  <w:font w:name="Microsoft New Tai Lue">
    <w:panose1 w:val="020B0502040204020203"/>
    <w:charset w:val="00"/>
    <w:family w:val="auto"/>
    <w:pitch w:val="variable"/>
    <w:sig w:usb0="00000003" w:usb1="00000000" w:usb2="80000000" w:usb3="00000000" w:csb0="00000001" w:csb1="00000000"/>
  </w:font>
  <w:font w:name="Monospac821 BT">
    <w:panose1 w:val="020B0609020202020204"/>
    <w:charset w:val="00"/>
    <w:family w:val="auto"/>
    <w:pitch w:val="fixed"/>
    <w:sig w:usb0="00000000" w:usb1="00000000" w:usb2="00000000" w:usb3="00000000" w:csb0="00000000" w:csb1="00000000"/>
  </w:font>
  <w:font w:name="Nyala">
    <w:panose1 w:val="02000504070300020003"/>
    <w:charset w:val="00"/>
    <w:family w:val="auto"/>
    <w:pitch w:val="variable"/>
    <w:sig w:usb0="A000006F" w:usb1="00000000" w:usb2="00000800" w:usb3="00000000" w:csb0="00000093" w:csb1="00000000"/>
  </w:font>
  <w:font w:name="Segoe UI">
    <w:panose1 w:val="020B0502040204020203"/>
    <w:charset w:val="00"/>
    <w:family w:val="auto"/>
    <w:pitch w:val="variable"/>
    <w:sig w:usb0="E10022FF" w:usb1="C000E47F" w:usb2="00000029" w:usb3="00000000" w:csb0="200001DF" w:csb1="20000000"/>
  </w:font>
  <w:font w:name="Segoe UI Semibold">
    <w:panose1 w:val="020B0702040204020203"/>
    <w:charset w:val="00"/>
    <w:family w:val="auto"/>
    <w:pitch w:val="variable"/>
    <w:sig w:usb0="E00002FF" w:usb1="4000A47B" w:usb2="00000001" w:usb3="00000000" w:csb0="2000019F" w:csb1="00000000"/>
  </w:font>
  <w:font w:name="Segoe UI Light">
    <w:panose1 w:val="020B0502040204020203"/>
    <w:charset w:val="00"/>
    <w:family w:val="auto"/>
    <w:pitch w:val="variable"/>
    <w:sig w:usb0="E00002FF" w:usb1="4000A47B" w:usb2="00000001" w:usb3="00000000" w:csb0="2000019F" w:csb1="00000000"/>
  </w:font>
  <w:font w:name="Forte">
    <w:panose1 w:val="03060902040502070203"/>
    <w:charset w:val="00"/>
    <w:family w:val="auto"/>
    <w:pitch w:val="variable"/>
    <w:sig w:usb0="00000003" w:usb1="00000000" w:usb2="00000000" w:usb3="00000000" w:csb0="20000001" w:csb1="00000000"/>
  </w:font>
  <w:font w:name="Segoe UI Symbol">
    <w:panose1 w:val="020B0502040204020203"/>
    <w:charset w:val="00"/>
    <w:family w:val="auto"/>
    <w:pitch w:val="variable"/>
    <w:sig w:usb0="8000006F" w:usb1="1200FBEF" w:usb2="0064C000" w:usb3="00000002" w:csb0="00000001" w:csb1="40000000"/>
  </w:font>
  <w:font w:name="新宋体">
    <w:panose1 w:val="02010609030101010101"/>
    <w:charset w:val="86"/>
    <w:family w:val="auto"/>
    <w:pitch w:val="fixed"/>
    <w:sig w:usb0="00000003" w:usb1="288F0000" w:usb2="00000006" w:usb3="00000000" w:csb0="00040001" w:csb1="00000000"/>
  </w:font>
  <w:font w:name="@SimSun-ExtB">
    <w:panose1 w:val="02010609060101010101"/>
    <w:charset w:val="86"/>
    <w:family w:val="auto"/>
    <w:pitch w:val="fixed"/>
    <w:sig w:usb0="00000001" w:usb1="02000000" w:usb2="00000000" w:usb3="00000000" w:csb0="00040001" w:csb1="00000000"/>
  </w:font>
  <w:font w:name="Mistral">
    <w:panose1 w:val="03090702030407020403"/>
    <w:charset w:val="00"/>
    <w:family w:val="auto"/>
    <w:pitch w:val="variable"/>
    <w:sig w:usb0="00000287" w:usb1="00000000" w:usb2="00000000" w:usb3="00000000" w:csb0="2000009F" w:csb1="DFD70000"/>
  </w:font>
  <w:font w:name="Microsoft Tai Le">
    <w:panose1 w:val="020B0502040204020203"/>
    <w:charset w:val="00"/>
    <w:family w:val="auto"/>
    <w:pitch w:val="variable"/>
    <w:sig w:usb0="00000003" w:usb1="00000000" w:usb2="40000000" w:usb3="00000000" w:csb0="00000001" w:csb1="00000000"/>
  </w:font>
  <w:font w:name="RomanD">
    <w:panose1 w:val="00000400000000000000"/>
    <w:charset w:val="00"/>
    <w:family w:val="auto"/>
    <w:pitch w:val="variable"/>
    <w:sig w:usb0="00000207" w:usb1="00000000" w:usb2="00000000" w:usb3="00000000" w:csb0="000001FF" w:csb1="00000000"/>
  </w:font>
  <w:font w:name="LilyUPC">
    <w:panose1 w:val="020B0604020202020204"/>
    <w:charset w:val="00"/>
    <w:family w:val="auto"/>
    <w:pitch w:val="variable"/>
    <w:sig w:usb0="01000007" w:usb1="00000002" w:usb2="00000000" w:usb3="00000000" w:csb0="00010001" w:csb1="00000000"/>
  </w:font>
  <w:font w:name="Shonar Bangla">
    <w:panose1 w:val="020B0502040204020203"/>
    <w:charset w:val="00"/>
    <w:family w:val="auto"/>
    <w:pitch w:val="variable"/>
    <w:sig w:usb0="00010003" w:usb1="00000000" w:usb2="00000000" w:usb3="00000000" w:csb0="00000001" w:csb1="00000000"/>
  </w:font>
  <w:font w:name="Tahoma">
    <w:panose1 w:val="020B0604030504040204"/>
    <w:charset w:val="00"/>
    <w:family w:val="auto"/>
    <w:pitch w:val="variable"/>
    <w:sig w:usb0="E1002EFF" w:usb1="C000605B" w:usb2="00000029" w:usb3="00000000" w:csb0="200101FF" w:csb1="20280000"/>
  </w:font>
  <w:font w:name="Microsoft Sans Serif">
    <w:panose1 w:val="020B0604020202020204"/>
    <w:charset w:val="00"/>
    <w:family w:val="auto"/>
    <w:pitch w:val="variable"/>
    <w:sig w:usb0="E1002AFF" w:usb1="C0000002" w:usb2="00000008" w:usb3="00000000" w:csb0="200101FF" w:csb1="20280000"/>
  </w:font>
  <w:font w:name="Aparajita">
    <w:panose1 w:val="020B0604020202020204"/>
    <w:charset w:val="00"/>
    <w:family w:val="auto"/>
    <w:pitch w:val="variable"/>
    <w:sig w:usb0="00008003" w:usb1="00000000" w:usb2="00000000" w:usb3="00000000" w:csb0="00000001" w:csb1="00000000"/>
  </w:font>
  <w:font w:name="BrowalliaUPC">
    <w:panose1 w:val="020B0604020202020204"/>
    <w:charset w:val="00"/>
    <w:family w:val="auto"/>
    <w:pitch w:val="variable"/>
    <w:sig w:usb0="81000003" w:usb1="00000000" w:usb2="00000000" w:usb3="00000000" w:csb0="00010001" w:csb1="00000000"/>
  </w:font>
  <w:font w:name="Calibri Light">
    <w:panose1 w:val="020F0302020204030204"/>
    <w:charset w:val="00"/>
    <w:family w:val="auto"/>
    <w:pitch w:val="variable"/>
    <w:sig w:usb0="A00002EF" w:usb1="4000207B" w:usb2="00000000" w:usb3="00000000" w:csb0="2000019F" w:csb1="00000000"/>
  </w:font>
  <w:font w:name="Gisha">
    <w:panose1 w:val="020B0502040204020203"/>
    <w:charset w:val="00"/>
    <w:family w:val="auto"/>
    <w:pitch w:val="variable"/>
    <w:sig w:usb0="80000807" w:usb1="40000042" w:usb2="00000000" w:usb3="00000000" w:csb0="00000021" w:csb1="00000000"/>
  </w:font>
  <w:font w:name="Kokila">
    <w:panose1 w:val="020B0604020202020204"/>
    <w:charset w:val="00"/>
    <w:family w:val="auto"/>
    <w:pitch w:val="variable"/>
    <w:sig w:usb0="00008003" w:usb1="00000000" w:usb2="00000000" w:usb3="00000000" w:csb0="00000001" w:csb1="00000000"/>
  </w:font>
  <w:font w:name="MoolBoran">
    <w:panose1 w:val="020B0100010101010101"/>
    <w:charset w:val="00"/>
    <w:family w:val="auto"/>
    <w:pitch w:val="variable"/>
    <w:sig w:usb0="8000000F" w:usb1="0000204A" w:usb2="00010000" w:usb3="00000000" w:csb0="00000001" w:csb1="00000000"/>
  </w:font>
  <w:font w:name="Utsaah">
    <w:panose1 w:val="020B0604020202020204"/>
    <w:charset w:val="00"/>
    <w:family w:val="auto"/>
    <w:pitch w:val="variable"/>
    <w:sig w:usb0="00008003" w:usb1="00000000" w:usb2="00000000" w:usb3="00000000" w:csb0="00000001" w:csb1="00000000"/>
  </w:font>
  <w:font w:name="Vijaya">
    <w:panose1 w:val="020B0604020202020204"/>
    <w:charset w:val="00"/>
    <w:family w:val="auto"/>
    <w:pitch w:val="variable"/>
    <w:sig w:usb0="00100003" w:usb1="00000000" w:usb2="00000000" w:usb3="00000000" w:csb0="00000001" w:csb1="00000000"/>
  </w:font>
  <w:font w:name="Andalus">
    <w:panose1 w:val="02020603050405020304"/>
    <w:charset w:val="00"/>
    <w:family w:val="auto"/>
    <w:pitch w:val="variable"/>
    <w:sig w:usb0="00002003" w:usb1="80000000" w:usb2="00000008" w:usb3="00000000" w:csb0="00000041" w:csb1="20080000"/>
  </w:font>
  <w:font w:name="Arabic Typesetting">
    <w:panose1 w:val="03020402040406030203"/>
    <w:charset w:val="00"/>
    <w:family w:val="auto"/>
    <w:pitch w:val="variable"/>
    <w:sig w:usb0="A000206F" w:usb1="C0000000" w:usb2="00000008" w:usb3="00000000" w:csb0="200000D3" w:csb1="00000000"/>
  </w:font>
  <w:font w:name="Eras Medium ITC">
    <w:panose1 w:val="020B0602030504020804"/>
    <w:charset w:val="00"/>
    <w:family w:val="auto"/>
    <w:pitch w:val="variable"/>
    <w:sig w:usb0="00000003" w:usb1="00000000" w:usb2="00000000" w:usb3="00000000" w:csb0="20000001" w:csb1="00000000"/>
  </w:font>
  <w:font w:name="Simplified Arabic Fixed">
    <w:panose1 w:val="02070309020205020404"/>
    <w:charset w:val="00"/>
    <w:family w:val="auto"/>
    <w:pitch w:val="fixed"/>
    <w:sig w:usb0="00002003" w:usb1="00000000" w:usb2="00000000" w:usb3="00000000" w:csb0="00000041" w:csb1="20080000"/>
  </w:font>
  <w:font w:name="Aharoni">
    <w:panose1 w:val="02010803020104030203"/>
    <w:charset w:val="B1"/>
    <w:family w:val="auto"/>
    <w:pitch w:val="variable"/>
    <w:sig w:usb0="00000801" w:usb1="00000000" w:usb2="00000000" w:usb3="00000000" w:csb0="00000020" w:csb1="00200000"/>
  </w:font>
  <w:font w:name="David">
    <w:panose1 w:val="020E0502060401010101"/>
    <w:charset w:val="B1"/>
    <w:family w:val="auto"/>
    <w:pitch w:val="variable"/>
    <w:sig w:usb0="00000801" w:usb1="00000000" w:usb2="00000000" w:usb3="00000000" w:csb0="00000020" w:csb1="00200000"/>
  </w:font>
  <w:font w:name="Levenim MT">
    <w:panose1 w:val="02010502060101010101"/>
    <w:charset w:val="B1"/>
    <w:family w:val="auto"/>
    <w:pitch w:val="variable"/>
    <w:sig w:usb0="00000801" w:usb1="00000000" w:usb2="00000000" w:usb3="00000000" w:csb0="00000020" w:csb1="00200000"/>
  </w:font>
  <w:font w:name="ZWAdobeF">
    <w:panose1 w:val="00000000000000000000"/>
    <w:charset w:val="00"/>
    <w:family w:val="auto"/>
    <w:pitch w:val="variable"/>
    <w:sig w:usb0="00000001" w:usb1="00000000" w:usb2="00000000" w:usb3="00000000" w:csb0="400001FF" w:csb1="FFFF0000"/>
  </w:font>
  <w:font w:name="CordiaUPC">
    <w:panose1 w:val="020B0304020202020204"/>
    <w:charset w:val="00"/>
    <w:family w:val="auto"/>
    <w:pitch w:val="variable"/>
    <w:sig w:usb0="81000003" w:usb1="00000000" w:usb2="00000000" w:usb3="00000000" w:csb0="00010001" w:csb1="00000000"/>
  </w:font>
  <w:font w:name="EucrosiaUPC">
    <w:panose1 w:val="02020603050405020304"/>
    <w:charset w:val="00"/>
    <w:family w:val="auto"/>
    <w:pitch w:val="variable"/>
    <w:sig w:usb0="81000027" w:usb1="00000002" w:usb2="00000000" w:usb3="00000000" w:csb0="00010001" w:csb1="00000000"/>
  </w:font>
  <w:font w:name="FreesiaUPC">
    <w:panose1 w:val="020B0604020202020204"/>
    <w:charset w:val="00"/>
    <w:family w:val="auto"/>
    <w:pitch w:val="variable"/>
    <w:sig w:usb0="01000007" w:usb1="00000002" w:usb2="00000000" w:usb3="00000000" w:csb0="00010001" w:csb1="00000000"/>
  </w:font>
  <w:font w:name="IrisUPC">
    <w:panose1 w:val="020B0604020202020204"/>
    <w:charset w:val="00"/>
    <w:family w:val="auto"/>
    <w:pitch w:val="variable"/>
    <w:sig w:usb0="01000007" w:usb1="00000002" w:usb2="00000000" w:usb3="00000000" w:csb0="00010001" w:csb1="00000000"/>
  </w:font>
  <w:font w:name="KodchiangUPC">
    <w:panose1 w:val="02020603050405020304"/>
    <w:charset w:val="00"/>
    <w:family w:val="auto"/>
    <w:pitch w:val="variable"/>
    <w:sig w:usb0="01000007" w:usb1="00000002" w:usb2="00000000" w:usb3="00000000" w:csb0="00010001" w:csb1="00000000"/>
  </w:font>
  <w:font w:name="Century Gothic">
    <w:panose1 w:val="020B0502020202020204"/>
    <w:charset w:val="00"/>
    <w:family w:val="auto"/>
    <w:pitch w:val="variable"/>
    <w:sig w:usb0="00000287" w:usb1="00000000" w:usb2="00000000" w:usb3="00000000" w:csb0="2000009F" w:csb1="DFD70000"/>
  </w:font>
  <w:font w:name="GreekC">
    <w:panose1 w:val="00000400000000000000"/>
    <w:charset w:val="00"/>
    <w:family w:val="auto"/>
    <w:pitch w:val="variable"/>
    <w:sig w:usb0="00000081" w:usb1="00000000" w:usb2="00000000" w:usb3="00000000" w:csb0="000001FF" w:csb1="00000000"/>
  </w:font>
  <w:font w:name="DFKai-SB">
    <w:panose1 w:val="03000509000000000000"/>
    <w:charset w:val="88"/>
    <w:family w:val="auto"/>
    <w:pitch w:val="fixed"/>
    <w:sig w:usb0="00000003" w:usb1="082E0000" w:usb2="00000016" w:usb3="00000000" w:csb0="00100001" w:csb1="00000000"/>
  </w:font>
  <w:font w:name="Proxy 6">
    <w:panose1 w:val="00000400000000000000"/>
    <w:charset w:val="00"/>
    <w:family w:val="auto"/>
    <w:pitch w:val="variable"/>
    <w:sig w:usb0="80000023" w:usb1="00000000" w:usb2="00000000" w:usb3="00000000" w:csb0="000001FF" w:csb1="00000000"/>
  </w:font>
  <w:font w:name="@DFKai-SB">
    <w:panose1 w:val="03000509000000000000"/>
    <w:charset w:val="88"/>
    <w:family w:val="auto"/>
    <w:pitch w:val="fixed"/>
    <w:sig w:usb0="00000003" w:usb1="082E0000" w:usb2="00000016" w:usb3="00000000" w:csb0="00100001" w:csb1="00000000"/>
  </w:font>
  <w:font w:name="Lucida Sans Unicode">
    <w:panose1 w:val="020B0602030504020204"/>
    <w:charset w:val="00"/>
    <w:family w:val="auto"/>
    <w:pitch w:val="variable"/>
    <w:sig w:usb0="80001AFF" w:usb1="0000396B" w:usb2="00000000" w:usb3="00000000" w:csb0="200000BF" w:csb1="D7F70000"/>
  </w:font>
  <w:font w:name="Arial Black">
    <w:panose1 w:val="020B0A04020102020204"/>
    <w:charset w:val="00"/>
    <w:family w:val="auto"/>
    <w:pitch w:val="variable"/>
    <w:sig w:usb0="00000287" w:usb1="00000000" w:usb2="00000000" w:usb3="00000000" w:csb0="2000009F" w:csb1="DFD70000"/>
  </w:font>
  <w:font w:name="Franklin Gothic Demi Cond">
    <w:panose1 w:val="020B0706030402020204"/>
    <w:charset w:val="00"/>
    <w:family w:val="auto"/>
    <w:pitch w:val="variable"/>
    <w:sig w:usb0="00000287" w:usb1="00000000" w:usb2="00000000" w:usb3="00000000" w:csb0="2000009F" w:csb1="DFD70000"/>
  </w:font>
  <w:font w:name="Webdings">
    <w:panose1 w:val="05030102010509060703"/>
    <w:charset w:val="02"/>
    <w:family w:val="auto"/>
    <w:pitch w:val="variable"/>
    <w:sig w:usb0="00000000" w:usb1="00000000" w:usb2="00000000" w:usb3="00000000" w:csb0="80000000" w:csb1="00000000"/>
  </w:font>
  <w:font w:name="Candara">
    <w:panose1 w:val="020E0502030303020204"/>
    <w:charset w:val="00"/>
    <w:family w:val="auto"/>
    <w:pitch w:val="variable"/>
    <w:sig w:usb0="A00002EF" w:usb1="4000A44B" w:usb2="00000000" w:usb3="00000000" w:csb0="2000019F" w:csb1="00000000"/>
  </w:font>
  <w:font w:name="TechnicBold">
    <w:panose1 w:val="00000400000000000000"/>
    <w:charset w:val="02"/>
    <w:family w:val="auto"/>
    <w:pitch w:val="variable"/>
    <w:sig w:usb0="00000000" w:usb1="00000000" w:usb2="00000000" w:usb3="00000000" w:csb0="00000000" w:csb1="00000000"/>
  </w:font>
  <w:font w:name="Comic Sans MS">
    <w:panose1 w:val="030F0702030302020204"/>
    <w:charset w:val="00"/>
    <w:family w:val="auto"/>
    <w:pitch w:val="variable"/>
    <w:sig w:usb0="00000287" w:usb1="00000000" w:usb2="00000000" w:usb3="00000000" w:csb0="2000009F" w:csb1="00000000"/>
  </w:font>
  <w:font w:name="Corbel">
    <w:panose1 w:val="020B0503020204020204"/>
    <w:charset w:val="00"/>
    <w:family w:val="auto"/>
    <w:pitch w:val="variable"/>
    <w:sig w:usb0="A00002EF" w:usb1="4000A44B" w:usb2="00000000" w:usb3="00000000" w:csb0="2000019F" w:csb1="00000000"/>
  </w:font>
  <w:font w:name="Franklin Gothic Medium">
    <w:panose1 w:val="020B0603020102020204"/>
    <w:charset w:val="00"/>
    <w:family w:val="auto"/>
    <w:pitch w:val="variable"/>
    <w:sig w:usb0="00000287" w:usb1="00000000" w:usb2="00000000" w:usb3="00000000" w:csb0="2000009F" w:csb1="DFD70000"/>
  </w:font>
  <w:font w:name="Gabriola">
    <w:panose1 w:val="04040605051002020D02"/>
    <w:charset w:val="00"/>
    <w:family w:val="auto"/>
    <w:pitch w:val="variable"/>
    <w:sig w:usb0="E00002EF" w:usb1="5000204B" w:usb2="00000000" w:usb3="00000000" w:csb0="2000009F" w:csb1="00000000"/>
  </w:font>
  <w:font w:name="Georgia">
    <w:panose1 w:val="02040502050405020303"/>
    <w:charset w:val="00"/>
    <w:family w:val="auto"/>
    <w:pitch w:val="variable"/>
    <w:sig w:usb0="00000287" w:usb1="00000000" w:usb2="00000000" w:usb3="00000000" w:csb0="2000009F" w:csb1="00000000"/>
  </w:font>
  <w:font w:name="Palatino Linotype">
    <w:panose1 w:val="02040502050505030304"/>
    <w:charset w:val="00"/>
    <w:family w:val="auto"/>
    <w:pitch w:val="variable"/>
    <w:sig w:usb0="E0000287" w:usb1="40000013" w:usb2="00000000" w:usb3="00000000" w:csb0="2000019F" w:csb1="00000000"/>
  </w:font>
  <w:font w:name="Segoe Print">
    <w:panose1 w:val="02000600000000000000"/>
    <w:charset w:val="00"/>
    <w:family w:val="auto"/>
    <w:pitch w:val="variable"/>
    <w:sig w:usb0="0000028F" w:usb1="00000000" w:usb2="00000000" w:usb3="00000000" w:csb0="2000009F" w:csb1="47010000"/>
  </w:font>
  <w:font w:name="Eras Bold ITC">
    <w:panose1 w:val="020B0907030504020204"/>
    <w:charset w:val="00"/>
    <w:family w:val="auto"/>
    <w:pitch w:val="variable"/>
    <w:sig w:usb0="00000003" w:usb1="00000000" w:usb2="00000000" w:usb3="00000000" w:csb0="20000001" w:csb1="00000000"/>
  </w:font>
  <w:font w:name="方正舒体">
    <w:panose1 w:val="02010601030101010101"/>
    <w:charset w:val="86"/>
    <w:family w:val="auto"/>
    <w:pitch w:val="variable"/>
    <w:sig w:usb0="00000003" w:usb1="080E0000" w:usb2="00000000" w:usb3="00000000" w:csb0="00040000" w:csb1="00000000"/>
  </w:font>
  <w:font w:name="@方正舒体">
    <w:panose1 w:val="02010601030101010101"/>
    <w:charset w:val="86"/>
    <w:family w:val="auto"/>
    <w:pitch w:val="variable"/>
    <w:sig w:usb0="00000003" w:usb1="080E0000" w:usb2="00000000" w:usb3="00000000" w:csb0="00040000" w:csb1="00000000"/>
  </w:font>
  <w:font w:name="方正姚体">
    <w:panose1 w:val="02010601030101010101"/>
    <w:charset w:val="86"/>
    <w:family w:val="auto"/>
    <w:pitch w:val="variable"/>
    <w:sig w:usb0="00000003" w:usb1="080E0000" w:usb2="00000000" w:usb3="00000000" w:csb0="00040000" w:csb1="00000000"/>
  </w:font>
  <w:font w:name="Pristina">
    <w:panose1 w:val="03060402040406080204"/>
    <w:charset w:val="00"/>
    <w:family w:val="auto"/>
    <w:pitch w:val="variable"/>
    <w:sig w:usb0="00000003" w:usb1="00000000" w:usb2="00000000" w:usb3="00000000" w:csb0="20000001" w:csb1="00000000"/>
  </w:font>
  <w:font w:name="@隶书">
    <w:panose1 w:val="02010509060101010101"/>
    <w:charset w:val="86"/>
    <w:family w:val="auto"/>
    <w:pitch w:val="fixed"/>
    <w:sig w:usb0="00000001" w:usb1="080E0000" w:usb2="00000000" w:usb3="00000000" w:csb0="00040000" w:csb1="00000000"/>
  </w:font>
  <w:font w:name="@华文彩云">
    <w:panose1 w:val="02010800040101010101"/>
    <w:charset w:val="86"/>
    <w:family w:val="auto"/>
    <w:pitch w:val="variable"/>
    <w:sig w:usb0="00000001" w:usb1="080F0000" w:usb2="00000000" w:usb3="00000000" w:csb0="00040000" w:csb1="00000000"/>
  </w:font>
  <w:font w:name="华文仿宋">
    <w:panose1 w:val="02010600040101010101"/>
    <w:charset w:val="86"/>
    <w:family w:val="auto"/>
    <w:pitch w:val="variable"/>
    <w:sig w:usb0="00000287" w:usb1="080F0000" w:usb2="00000000" w:usb3="00000000" w:csb0="0004009F" w:csb1="DFD70000"/>
  </w:font>
  <w:font w:name="@华文仿宋">
    <w:panose1 w:val="02010600040101010101"/>
    <w:charset w:val="86"/>
    <w:family w:val="auto"/>
    <w:pitch w:val="variable"/>
    <w:sig w:usb0="00000287" w:usb1="080F0000" w:usb2="00000000" w:usb3="00000000" w:csb0="0004009F" w:csb1="DFD70000"/>
  </w:font>
  <w:font w:name="华文楷体">
    <w:panose1 w:val="02010600040101010101"/>
    <w:charset w:val="86"/>
    <w:family w:val="auto"/>
    <w:pitch w:val="variable"/>
    <w:sig w:usb0="00000287" w:usb1="080F0000" w:usb2="00000000" w:usb3="00000000" w:csb0="0004009F" w:csb1="DFD70000"/>
  </w:font>
  <w:font w:name="@华文楷体">
    <w:panose1 w:val="02010600040101010101"/>
    <w:charset w:val="86"/>
    <w:family w:val="auto"/>
    <w:pitch w:val="variable"/>
    <w:sig w:usb0="00000287" w:usb1="080F0000" w:usb2="00000000" w:usb3="00000000" w:csb0="0004009F" w:csb1="DFD70000"/>
  </w:font>
  <w:font w:name="@华文隶书">
    <w:panose1 w:val="02010800040101010101"/>
    <w:charset w:val="86"/>
    <w:family w:val="auto"/>
    <w:pitch w:val="variable"/>
    <w:sig w:usb0="00000001" w:usb1="080F0000" w:usb2="00000000" w:usb3="00000000" w:csb0="00040000" w:csb1="00000000"/>
  </w:font>
  <w:font w:name="华文宋体">
    <w:panose1 w:val="02010600040101010101"/>
    <w:charset w:val="86"/>
    <w:family w:val="auto"/>
    <w:pitch w:val="variable"/>
    <w:sig w:usb0="00000287" w:usb1="080F0000" w:usb2="00000000" w:usb3="00000000" w:csb0="0004009F" w:csb1="DFD70000"/>
  </w:font>
  <w:font w:name="华文细黑">
    <w:panose1 w:val="02010600040101010101"/>
    <w:charset w:val="86"/>
    <w:family w:val="auto"/>
    <w:pitch w:val="variable"/>
    <w:sig w:usb0="00000287" w:usb1="080F0000" w:usb2="00000000" w:usb3="00000000" w:csb0="0004009F" w:csb1="DFD70000"/>
  </w:font>
  <w:font w:name="@华文细黑">
    <w:panose1 w:val="02010600040101010101"/>
    <w:charset w:val="86"/>
    <w:family w:val="auto"/>
    <w:pitch w:val="variable"/>
    <w:sig w:usb0="00000287" w:usb1="080F0000" w:usb2="00000000" w:usb3="00000000" w:csb0="0004009F" w:csb1="DFD70000"/>
  </w:font>
  <w:font w:name="华文行楷">
    <w:panose1 w:val="02010800040101010101"/>
    <w:charset w:val="86"/>
    <w:family w:val="auto"/>
    <w:pitch w:val="variable"/>
    <w:sig w:usb0="00000001" w:usb1="080F0000" w:usb2="00000000" w:usb3="00000000" w:csb0="00040000" w:csb1="00000000"/>
  </w:font>
  <w:font w:name="@华文新魏">
    <w:panose1 w:val="02010800040101010101"/>
    <w:charset w:val="86"/>
    <w:family w:val="auto"/>
    <w:pitch w:val="variable"/>
    <w:sig w:usb0="00000001" w:usb1="080F0000" w:usb2="00000000" w:usb3="00000000" w:csb0="00040000" w:csb1="00000000"/>
  </w:font>
  <w:font w:name="@华文中宋">
    <w:panose1 w:val="02010600040101010101"/>
    <w:charset w:val="86"/>
    <w:family w:val="auto"/>
    <w:pitch w:val="variable"/>
    <w:sig w:usb0="00000287" w:usb1="080F0000" w:usb2="00000000" w:usb3="00000000" w:csb0="0004009F" w:csb1="DFD70000"/>
  </w:font>
  <w:font w:name="MS Outlook">
    <w:panose1 w:val="05010100010000000000"/>
    <w:charset w:val="02"/>
    <w:family w:val="auto"/>
    <w:pitch w:val="variable"/>
    <w:sig w:usb0="00000000" w:usb1="00000000" w:usb2="00000000" w:usb3="00000000" w:csb0="80000000" w:csb1="00000000"/>
  </w:font>
  <w:font w:name="Bookman Old Style">
    <w:panose1 w:val="02050604050505020204"/>
    <w:charset w:val="00"/>
    <w:family w:val="auto"/>
    <w:pitch w:val="variable"/>
    <w:sig w:usb0="00000287" w:usb1="00000000" w:usb2="00000000" w:usb3="00000000" w:csb0="2000009F" w:csb1="DFD70000"/>
  </w:font>
  <w:font w:name="Book Antiqua">
    <w:panose1 w:val="02040602050305030304"/>
    <w:charset w:val="00"/>
    <w:family w:val="auto"/>
    <w:pitch w:val="variable"/>
    <w:sig w:usb0="00000287" w:usb1="00000000" w:usb2="00000000" w:usb3="00000000" w:csb0="2000009F" w:csb1="DFD70000"/>
  </w:font>
  <w:font w:name="MS Reference Sans Serif">
    <w:panose1 w:val="020B0604030504040204"/>
    <w:charset w:val="00"/>
    <w:family w:val="auto"/>
    <w:pitch w:val="variable"/>
    <w:sig w:usb0="00000287" w:usb1="00000000" w:usb2="00000000" w:usb3="00000000" w:csb0="2000019F" w:csb1="00000000"/>
  </w:font>
  <w:font w:name="Freestyle Script">
    <w:panose1 w:val="030804020302050B0404"/>
    <w:charset w:val="00"/>
    <w:family w:val="auto"/>
    <w:pitch w:val="variable"/>
    <w:sig w:usb0="00000003" w:usb1="00000000" w:usb2="00000000" w:usb3="00000000" w:csb0="20000001" w:csb1="00000000"/>
  </w:font>
  <w:font w:name="Bodoni MT Poster Compressed">
    <w:panose1 w:val="02070706080601050204"/>
    <w:charset w:val="00"/>
    <w:family w:val="auto"/>
    <w:pitch w:val="variable"/>
    <w:sig w:usb0="00000003" w:usb1="00000000" w:usb2="00000000" w:usb3="00000000" w:csb0="20000011" w:csb1="00000000"/>
  </w:font>
  <w:font w:name="French Script MT">
    <w:panose1 w:val="03020402040607040605"/>
    <w:charset w:val="00"/>
    <w:family w:val="auto"/>
    <w:pitch w:val="variable"/>
    <w:sig w:usb0="00000003" w:usb1="00000000" w:usb2="00000000" w:usb3="00000000" w:csb0="20000001" w:csb1="00000000"/>
  </w:font>
  <w:font w:name="Juice ITC">
    <w:panose1 w:val="04040403040A02020202"/>
    <w:charset w:val="00"/>
    <w:family w:val="auto"/>
    <w:pitch w:val="variable"/>
    <w:sig w:usb0="00000003" w:usb1="00000000" w:usb2="00000000" w:usb3="00000000" w:csb0="20000001" w:csb1="00000000"/>
  </w:font>
  <w:font w:name="GothicI">
    <w:panose1 w:val="00000400000000000000"/>
    <w:charset w:val="00"/>
    <w:family w:val="auto"/>
    <w:pitch w:val="variable"/>
    <w:sig w:usb0="00000207" w:usb1="00000000" w:usb2="00000000" w:usb3="00000000" w:csb0="000001FF" w:csb1="00000000"/>
  </w:font>
  <w:font w:name="Kristen ITC">
    <w:panose1 w:val="03050502040202030202"/>
    <w:charset w:val="00"/>
    <w:family w:val="auto"/>
    <w:pitch w:val="variable"/>
    <w:sig w:usb0="00000003" w:usb1="00000000" w:usb2="00000000" w:usb3="00000000" w:csb0="20000001" w:csb1="00000000"/>
  </w:font>
  <w:font w:name="Papyrus">
    <w:panose1 w:val="03070502060502030205"/>
    <w:charset w:val="00"/>
    <w:family w:val="auto"/>
    <w:pitch w:val="variable"/>
    <w:sig w:usb0="00000003" w:usb1="00000000" w:usb2="00000000" w:usb3="00000000" w:csb0="20000001" w:csb1="00000000"/>
  </w:font>
  <w:font w:name="@Arial Unicode MS">
    <w:panose1 w:val="020B0604020202020204"/>
    <w:charset w:val="86"/>
    <w:family w:val="auto"/>
    <w:pitch w:val="variable"/>
    <w:sig w:usb0="FFFFFFFF" w:usb1="E9FFFFFF" w:usb2="0000003F" w:usb3="00000000" w:csb0="603F01FF" w:csb1="FFFF0000"/>
  </w:font>
  <w:font w:name="Copperplate Gothic Bold">
    <w:panose1 w:val="020E0705020206020404"/>
    <w:charset w:val="00"/>
    <w:family w:val="auto"/>
    <w:pitch w:val="variable"/>
    <w:sig w:usb0="00000003" w:usb1="00000000" w:usb2="00000000" w:usb3="00000000" w:csb0="20000001" w:csb1="00000000"/>
  </w:font>
  <w:font w:name="Tempus Sans ITC">
    <w:panose1 w:val="04020404030D07020202"/>
    <w:charset w:val="00"/>
    <w:family w:val="auto"/>
    <w:pitch w:val="variable"/>
    <w:sig w:usb0="00000003" w:usb1="00000000" w:usb2="00000000" w:usb3="00000000" w:csb0="20000001" w:csb1="00000000"/>
  </w:font>
  <w:font w:name="Arial Narrow">
    <w:panose1 w:val="020B0606020202030204"/>
    <w:charset w:val="00"/>
    <w:family w:val="auto"/>
    <w:pitch w:val="variable"/>
    <w:sig w:usb0="00000287" w:usb1="00000800" w:usb2="00000000" w:usb3="00000000" w:csb0="2000009F" w:csb1="DFD70000"/>
  </w:font>
  <w:font w:name="Goudy Stout">
    <w:panose1 w:val="0202090407030B020401"/>
    <w:charset w:val="00"/>
    <w:family w:val="auto"/>
    <w:pitch w:val="variable"/>
    <w:sig w:usb0="00000003" w:usb1="00000000" w:usb2="00000000" w:usb3="00000000" w:csb0="20000001" w:csb1="00000000"/>
  </w:font>
  <w:font w:name="Garamond">
    <w:panose1 w:val="02020404030301010803"/>
    <w:charset w:val="00"/>
    <w:family w:val="auto"/>
    <w:pitch w:val="variable"/>
    <w:sig w:usb0="00000287" w:usb1="00000000" w:usb2="00000000" w:usb3="00000000" w:csb0="0000009F" w:csb1="DFD70000"/>
  </w:font>
  <w:font w:name="Monotype Corsiva">
    <w:panose1 w:val="03010101010201010101"/>
    <w:charset w:val="00"/>
    <w:family w:val="auto"/>
    <w:pitch w:val="variable"/>
    <w:sig w:usb0="00000287" w:usb1="00000000" w:usb2="00000000" w:usb3="00000000" w:csb0="2000009F" w:csb1="DFD70000"/>
  </w:font>
  <w:font w:name="Blackadder ITC">
    <w:panose1 w:val="04020505051007020D02"/>
    <w:charset w:val="00"/>
    <w:family w:val="auto"/>
    <w:pitch w:val="variable"/>
    <w:sig w:usb0="00000003" w:usb1="00000000" w:usb2="00000000" w:usb3="00000000" w:csb0="20000001" w:csb1="00000000"/>
  </w:font>
  <w:font w:name="Bodoni MT">
    <w:panose1 w:val="02070603080606020203"/>
    <w:charset w:val="00"/>
    <w:family w:val="auto"/>
    <w:pitch w:val="variable"/>
    <w:sig w:usb0="00000003" w:usb1="00000000" w:usb2="00000000" w:usb3="00000000" w:csb0="20000001" w:csb1="00000000"/>
  </w:font>
  <w:font w:name="Symeteo">
    <w:panose1 w:val="00000400000000000000"/>
    <w:charset w:val="00"/>
    <w:family w:val="auto"/>
    <w:pitch w:val="variable"/>
    <w:sig w:usb0="00000001" w:usb1="00000000" w:usb2="00000000" w:usb3="00000000" w:csb0="000001FF" w:csb1="00000000"/>
  </w:font>
  <w:font w:name="Bodoni MT Black">
    <w:panose1 w:val="02070A03080606020203"/>
    <w:charset w:val="00"/>
    <w:family w:val="auto"/>
    <w:pitch w:val="variable"/>
    <w:sig w:usb0="00000003" w:usb1="00000000" w:usb2="00000000" w:usb3="00000000" w:csb0="20000001" w:csb1="00000000"/>
  </w:font>
  <w:font w:name="Castellar">
    <w:panose1 w:val="020A0402060406010301"/>
    <w:charset w:val="00"/>
    <w:family w:val="auto"/>
    <w:pitch w:val="variable"/>
    <w:sig w:usb0="00000003" w:usb1="00000000" w:usb2="00000000" w:usb3="00000000" w:csb0="20000001" w:csb1="00000000"/>
  </w:font>
  <w:font w:name="Century Schoolbook">
    <w:panose1 w:val="02040604050505020304"/>
    <w:charset w:val="00"/>
    <w:family w:val="auto"/>
    <w:pitch w:val="variable"/>
    <w:sig w:usb0="00000287" w:usb1="00000000" w:usb2="00000000" w:usb3="00000000" w:csb0="2000009F" w:csb1="DFD70000"/>
  </w:font>
  <w:font w:name="Gloucester MT Extra Condensed">
    <w:panose1 w:val="02030808020601010101"/>
    <w:charset w:val="00"/>
    <w:family w:val="auto"/>
    <w:pitch w:val="variable"/>
    <w:sig w:usb0="00000003" w:usb1="00000000" w:usb2="00000000" w:usb3="00000000" w:csb0="20000001" w:csb1="00000000"/>
  </w:font>
  <w:font w:name="ISOCT3">
    <w:panose1 w:val="00000400000000000000"/>
    <w:charset w:val="00"/>
    <w:family w:val="auto"/>
    <w:pitch w:val="variable"/>
    <w:sig w:usb0="00000007" w:usb1="00000000" w:usb2="00000000" w:usb3="00000000" w:csb0="000001FF" w:csb1="00000000"/>
  </w:font>
  <w:font w:name="@等线">
    <w:altName w:val="宋体"/>
    <w:panose1 w:val="00000000000000000000"/>
    <w:charset w:val="86"/>
    <w:family w:val="auto"/>
    <w:pitch w:val="default"/>
    <w:sig w:usb0="00000000" w:usb1="00000000" w:usb2="00000016" w:usb3="00000000" w:csb0="0004000F" w:csb1="00000000"/>
  </w:font>
  <w:font w:name="Copperplate Gothic Light">
    <w:panose1 w:val="020E0507020206020404"/>
    <w:charset w:val="00"/>
    <w:family w:val="auto"/>
    <w:pitch w:val="variable"/>
    <w:sig w:usb0="00000003" w:usb1="00000000" w:usb2="00000000" w:usb3="00000000" w:csb0="20000001" w:csb1="00000000"/>
  </w:font>
  <w:font w:name="Curlz MT">
    <w:panose1 w:val="04040404050702020202"/>
    <w:charset w:val="00"/>
    <w:family w:val="auto"/>
    <w:pitch w:val="variable"/>
    <w:sig w:usb0="00000003" w:usb1="00000000" w:usb2="00000000" w:usb3="00000000" w:csb0="20000001" w:csb1="00000000"/>
  </w:font>
  <w:font w:name="Palace Script MT">
    <w:panose1 w:val="030303020206070C0B05"/>
    <w:charset w:val="00"/>
    <w:family w:val="auto"/>
    <w:pitch w:val="variable"/>
    <w:sig w:usb0="00000003" w:usb1="00000000" w:usb2="00000000" w:usb3="00000000" w:csb0="20000001" w:csb1="00000000"/>
  </w:font>
  <w:font w:name="Elephant">
    <w:panose1 w:val="02020904090505020303"/>
    <w:charset w:val="00"/>
    <w:family w:val="auto"/>
    <w:pitch w:val="variable"/>
    <w:sig w:usb0="00000003" w:usb1="00000000" w:usb2="00000000" w:usb3="00000000" w:csb0="20000001" w:csb1="00000000"/>
  </w:font>
  <w:font w:name="Felix Titling">
    <w:panose1 w:val="04060505060202020A04"/>
    <w:charset w:val="00"/>
    <w:family w:val="auto"/>
    <w:pitch w:val="variable"/>
    <w:sig w:usb0="00000003" w:usb1="00000000" w:usb2="00000000" w:usb3="00000000" w:csb0="20000001" w:csb1="00000000"/>
  </w:font>
  <w:font w:name="Franklin Gothic Demi">
    <w:panose1 w:val="020B0703020102020204"/>
    <w:charset w:val="00"/>
    <w:family w:val="auto"/>
    <w:pitch w:val="variable"/>
    <w:sig w:usb0="00000287" w:usb1="00000000" w:usb2="00000000" w:usb3="00000000" w:csb0="2000009F" w:csb1="DFD70000"/>
  </w:font>
  <w:font w:name="Gigi">
    <w:panose1 w:val="04040504061007020D02"/>
    <w:charset w:val="00"/>
    <w:family w:val="auto"/>
    <w:pitch w:val="variable"/>
    <w:sig w:usb0="00000003" w:usb1="00000000" w:usb2="00000000" w:usb3="00000000" w:csb0="20000001" w:csb1="00000000"/>
  </w:font>
  <w:font w:name="Gill Sans MT Condensed">
    <w:panose1 w:val="020B0506020104020203"/>
    <w:charset w:val="00"/>
    <w:family w:val="auto"/>
    <w:pitch w:val="variable"/>
    <w:sig w:usb0="00000003" w:usb1="00000000" w:usb2="00000000" w:usb3="00000000" w:csb0="20000003" w:csb1="00000000"/>
  </w:font>
  <w:font w:name="Gill Sans Ultra Bold">
    <w:panose1 w:val="020B0A02020104020203"/>
    <w:charset w:val="00"/>
    <w:family w:val="auto"/>
    <w:pitch w:val="variable"/>
    <w:sig w:usb0="00000003" w:usb1="00000000" w:usb2="00000000" w:usb3="00000000" w:csb0="20000003" w:csb1="00000000"/>
  </w:font>
  <w:font w:name="Gill Sans Ultra Bold Condensed">
    <w:panose1 w:val="020B0A06020104020203"/>
    <w:charset w:val="00"/>
    <w:family w:val="auto"/>
    <w:pitch w:val="variable"/>
    <w:sig w:usb0="00000003" w:usb1="00000000" w:usb2="00000000" w:usb3="00000000" w:csb0="00000003" w:csb1="00000000"/>
  </w:font>
  <w:font w:name="Gill Sans MT Ext Condensed Bold">
    <w:panose1 w:val="020B0902020104020203"/>
    <w:charset w:val="00"/>
    <w:family w:val="auto"/>
    <w:pitch w:val="variable"/>
    <w:sig w:usb0="00000003" w:usb1="00000000" w:usb2="00000000" w:usb3="00000000" w:csb0="20000003" w:csb1="00000000"/>
  </w:font>
  <w:font w:name="Matura MT Script Capitals">
    <w:panose1 w:val="03020802060602070202"/>
    <w:charset w:val="00"/>
    <w:family w:val="auto"/>
    <w:pitch w:val="variable"/>
    <w:sig w:usb0="00000003" w:usb1="00000000" w:usb2="00000000" w:usb3="00000000" w:csb0="20000001" w:csb1="00000000"/>
  </w:font>
  <w:font w:name="Goudy Old Style">
    <w:panose1 w:val="02020502050305020303"/>
    <w:charset w:val="00"/>
    <w:family w:val="auto"/>
    <w:pitch w:val="variable"/>
    <w:sig w:usb0="00000003" w:usb1="00000000" w:usb2="00000000" w:usb3="00000000" w:csb0="20000001" w:csb1="00000000"/>
  </w:font>
  <w:font w:name="Imprint MT Shadow">
    <w:panose1 w:val="04020605060303030202"/>
    <w:charset w:val="00"/>
    <w:family w:val="auto"/>
    <w:pitch w:val="variable"/>
    <w:sig w:usb0="00000003" w:usb1="00000000" w:usb2="00000000" w:usb3="00000000" w:csb0="20000001" w:csb1="00000000"/>
  </w:font>
  <w:font w:name="Kunstler Script">
    <w:panose1 w:val="030304020206070D0D06"/>
    <w:charset w:val="00"/>
    <w:family w:val="auto"/>
    <w:pitch w:val="variable"/>
    <w:sig w:usb0="00000003" w:usb1="00000000" w:usb2="00000000" w:usb3="00000000" w:csb0="20000001" w:csb1="00000000"/>
  </w:font>
  <w:font w:name="Lucida Sans">
    <w:panose1 w:val="020B0602040502020204"/>
    <w:charset w:val="00"/>
    <w:family w:val="auto"/>
    <w:pitch w:val="variable"/>
    <w:sig w:usb0="00000003" w:usb1="00000000" w:usb2="00000000" w:usb3="00000000" w:csb0="20000001" w:csb1="00000000"/>
  </w:font>
  <w:font w:name="Lucida Sans Typewriter">
    <w:panose1 w:val="020B0602040502020304"/>
    <w:charset w:val="00"/>
    <w:family w:val="auto"/>
    <w:pitch w:val="fixed"/>
    <w:sig w:usb0="00000003" w:usb1="00000000" w:usb2="00000000" w:usb3="00000000" w:csb0="20000001" w:csb1="00000000"/>
  </w:font>
  <w:font w:name="ISOCT2">
    <w:panose1 w:val="00000400000000000000"/>
    <w:charset w:val="00"/>
    <w:family w:val="auto"/>
    <w:pitch w:val="variable"/>
    <w:sig w:usb0="00000007" w:usb1="00000000" w:usb2="00000000" w:usb3="00000000" w:csb0="000001FF" w:csb1="00000000"/>
  </w:font>
  <w:font w:name="Maiandra GD">
    <w:panose1 w:val="020E0502030308020204"/>
    <w:charset w:val="00"/>
    <w:family w:val="auto"/>
    <w:pitch w:val="variable"/>
    <w:sig w:usb0="00000003" w:usb1="00000000" w:usb2="00000000" w:usb3="00000000" w:csb0="20000001" w:csb1="00000000"/>
  </w:font>
  <w:font w:name="OCR A Extended">
    <w:panose1 w:val="02010509020102010303"/>
    <w:charset w:val="00"/>
    <w:family w:val="auto"/>
    <w:pitch w:val="variable"/>
    <w:sig w:usb0="00000003" w:usb1="00000000" w:usb2="00000000" w:usb3="00000000" w:csb0="20000001" w:csb1="00000000"/>
  </w:font>
  <w:font w:name="Perpetua">
    <w:panose1 w:val="02020502060401020303"/>
    <w:charset w:val="00"/>
    <w:family w:val="auto"/>
    <w:pitch w:val="variable"/>
    <w:sig w:usb0="00000003" w:usb1="00000000" w:usb2="00000000" w:usb3="00000000" w:csb0="00000001" w:csb1="00000000"/>
  </w:font>
  <w:font w:name="Rockwell Extra Bold">
    <w:panose1 w:val="02060903040505020403"/>
    <w:charset w:val="00"/>
    <w:family w:val="auto"/>
    <w:pitch w:val="variable"/>
    <w:sig w:usb0="00000003" w:usb1="00000000" w:usb2="00000000" w:usb3="00000000" w:csb0="20000001" w:csb1="00000000"/>
  </w:font>
  <w:font w:name="Script MT Bold">
    <w:panose1 w:val="03040602040607080904"/>
    <w:charset w:val="00"/>
    <w:family w:val="auto"/>
    <w:pitch w:val="variable"/>
    <w:sig w:usb0="00000003" w:usb1="00000000" w:usb2="00000000" w:usb3="00000000" w:csb0="20000001" w:csb1="00000000"/>
  </w:font>
  <w:font w:name="Vivaldi">
    <w:panose1 w:val="03020602050506090804"/>
    <w:charset w:val="00"/>
    <w:family w:val="auto"/>
    <w:pitch w:val="variable"/>
    <w:sig w:usb0="00000003" w:usb1="00000000" w:usb2="00000000" w:usb3="00000000" w:csb0="20000001" w:csb1="00000000"/>
  </w:font>
  <w:font w:name="Tw Cen MT">
    <w:panose1 w:val="020B0602020104020603"/>
    <w:charset w:val="00"/>
    <w:family w:val="auto"/>
    <w:pitch w:val="variable"/>
    <w:sig w:usb0="00000003" w:usb1="00000000" w:usb2="00000000" w:usb3="00000000" w:csb0="20000003" w:csb1="00000000"/>
  </w:font>
  <w:font w:name="Bauhaus 93">
    <w:panose1 w:val="04030905020B02020C02"/>
    <w:charset w:val="00"/>
    <w:family w:val="auto"/>
    <w:pitch w:val="variable"/>
    <w:sig w:usb0="00000003" w:usb1="00000000" w:usb2="00000000" w:usb3="00000000" w:csb0="20000001" w:csb1="00000000"/>
  </w:font>
  <w:font w:name="Bell MT">
    <w:panose1 w:val="02020503060305020303"/>
    <w:charset w:val="00"/>
    <w:family w:val="auto"/>
    <w:pitch w:val="variable"/>
    <w:sig w:usb0="00000003" w:usb1="00000000" w:usb2="00000000" w:usb3="00000000" w:csb0="20000001" w:csb1="00000000"/>
  </w:font>
  <w:font w:name="ISOCTEUR">
    <w:panose1 w:val="020B0609020202020204"/>
    <w:charset w:val="00"/>
    <w:family w:val="auto"/>
    <w:pitch w:val="fixed"/>
    <w:sig w:usb0="00000287" w:usb1="00000000" w:usb2="00000000" w:usb3="00000000" w:csb0="4000009F" w:csb1="DFD70000"/>
  </w:font>
  <w:font w:name="Berlin Sans FB">
    <w:panose1 w:val="020E0602020502020306"/>
    <w:charset w:val="00"/>
    <w:family w:val="auto"/>
    <w:pitch w:val="variable"/>
    <w:sig w:usb0="00000003" w:usb1="00000000" w:usb2="00000000" w:usb3="00000000" w:csb0="20000001" w:csb1="00000000"/>
  </w:font>
  <w:font w:name="Berlin Sans FB Demi">
    <w:panose1 w:val="020E0802020502020306"/>
    <w:charset w:val="00"/>
    <w:family w:val="auto"/>
    <w:pitch w:val="variable"/>
    <w:sig w:usb0="00000003" w:usb1="00000000" w:usb2="00000000" w:usb3="00000000" w:csb0="20000001" w:csb1="00000000"/>
  </w:font>
  <w:font w:name="Broadway">
    <w:panose1 w:val="04040905080B02020502"/>
    <w:charset w:val="00"/>
    <w:family w:val="auto"/>
    <w:pitch w:val="variable"/>
    <w:sig w:usb0="00000003" w:usb1="00000000" w:usb2="00000000" w:usb3="00000000" w:csb0="20000001" w:csb1="00000000"/>
  </w:font>
  <w:font w:name="Bernard MT Condensed">
    <w:panose1 w:val="02050806060905020404"/>
    <w:charset w:val="00"/>
    <w:family w:val="auto"/>
    <w:pitch w:val="variable"/>
    <w:sig w:usb0="00000003" w:usb1="00000000" w:usb2="00000000" w:usb3="00000000" w:csb0="20000001" w:csb1="00000000"/>
  </w:font>
  <w:font w:name="ItalicT">
    <w:panose1 w:val="00000400000000000000"/>
    <w:charset w:val="00"/>
    <w:family w:val="auto"/>
    <w:pitch w:val="variable"/>
    <w:sig w:usb0="00000207" w:usb1="00000000" w:usb2="00000000" w:usb3="00000000" w:csb0="000001FF" w:csb1="00000000"/>
  </w:font>
  <w:font w:name="Britannic Bold">
    <w:panose1 w:val="020B0903060703020204"/>
    <w:charset w:val="00"/>
    <w:family w:val="auto"/>
    <w:pitch w:val="variable"/>
    <w:sig w:usb0="00000003" w:usb1="00000000" w:usb2="00000000" w:usb3="00000000" w:csb0="20000001" w:csb1="00000000"/>
  </w:font>
  <w:font w:name="Ravie">
    <w:panose1 w:val="04040805050809020602"/>
    <w:charset w:val="00"/>
    <w:family w:val="auto"/>
    <w:pitch w:val="variable"/>
    <w:sig w:usb0="00000003" w:usb1="00000000" w:usb2="00000000" w:usb3="00000000" w:csb0="20000001" w:csb1="00000000"/>
  </w:font>
  <w:font w:name="Brush Script MT">
    <w:panose1 w:val="03060802040406070304"/>
    <w:charset w:val="00"/>
    <w:family w:val="auto"/>
    <w:pitch w:val="variable"/>
    <w:sig w:usb0="00000003" w:usb1="00000000" w:usb2="00000000" w:usb3="00000000" w:csb0="20000001" w:csb1="00000000"/>
  </w:font>
  <w:font w:name="Chiller">
    <w:panose1 w:val="04020404031007020602"/>
    <w:charset w:val="00"/>
    <w:family w:val="auto"/>
    <w:pitch w:val="variable"/>
    <w:sig w:usb0="00000003" w:usb1="00000000" w:usb2="00000000" w:usb3="00000000" w:csb0="20000001" w:csb1="00000000"/>
  </w:font>
  <w:font w:name="Informal Roman">
    <w:panose1 w:val="030604020304060B0204"/>
    <w:charset w:val="00"/>
    <w:family w:val="auto"/>
    <w:pitch w:val="variable"/>
    <w:sig w:usb0="00000003" w:usb1="00000000" w:usb2="00000000" w:usb3="00000000" w:csb0="20000001" w:csb1="00000000"/>
  </w:font>
  <w:font w:name="Footlight MT Light">
    <w:panose1 w:val="0204060206030A020304"/>
    <w:charset w:val="00"/>
    <w:family w:val="auto"/>
    <w:pitch w:val="variable"/>
    <w:sig w:usb0="00000003" w:usb1="00000000" w:usb2="00000000" w:usb3="00000000" w:csb0="20000001" w:csb1="00000000"/>
  </w:font>
  <w:font w:name="Harlow Solid Italic">
    <w:panose1 w:val="04030604020F02020D02"/>
    <w:charset w:val="00"/>
    <w:family w:val="auto"/>
    <w:pitch w:val="variable"/>
    <w:sig w:usb0="00000003" w:usb1="00000000" w:usb2="00000000" w:usb3="00000000" w:csb0="20000001" w:csb1="00000000"/>
  </w:font>
  <w:font w:name="Harrington">
    <w:panose1 w:val="04040505050A02020702"/>
    <w:charset w:val="00"/>
    <w:family w:val="auto"/>
    <w:pitch w:val="variable"/>
    <w:sig w:usb0="00000003" w:usb1="00000000" w:usb2="00000000" w:usb3="00000000" w:csb0="20000001" w:csb1="00000000"/>
  </w:font>
  <w:font w:name="High Tower Text">
    <w:panose1 w:val="02040502050506030303"/>
    <w:charset w:val="00"/>
    <w:family w:val="auto"/>
    <w:pitch w:val="variable"/>
    <w:sig w:usb0="00000003" w:usb1="00000000" w:usb2="00000000" w:usb3="00000000" w:csb0="20000001" w:csb1="00000000"/>
  </w:font>
  <w:font w:name="Proxy 9">
    <w:panose1 w:val="00000400000000000000"/>
    <w:charset w:val="00"/>
    <w:family w:val="auto"/>
    <w:pitch w:val="variable"/>
    <w:sig w:usb0="80000023" w:usb1="00000000" w:usb2="00000000" w:usb3="00000000" w:csb0="000001FF" w:csb1="00000000"/>
  </w:font>
  <w:font w:name="Jokerman">
    <w:panose1 w:val="04090605060D06020702"/>
    <w:charset w:val="00"/>
    <w:family w:val="auto"/>
    <w:pitch w:val="variable"/>
    <w:sig w:usb0="00000003" w:usb1="00000000" w:usb2="00000000" w:usb3="00000000" w:csb0="20000001" w:csb1="00000000"/>
  </w:font>
  <w:font w:name="Niagara Engraved">
    <w:panose1 w:val="04020502070703030202"/>
    <w:charset w:val="00"/>
    <w:family w:val="auto"/>
    <w:pitch w:val="variable"/>
    <w:sig w:usb0="00000003" w:usb1="00000000" w:usb2="00000000" w:usb3="00000000" w:csb0="20000001" w:csb1="00000000"/>
  </w:font>
  <w:font w:name="Stencil">
    <w:panose1 w:val="040409050D0802020404"/>
    <w:charset w:val="00"/>
    <w:family w:val="auto"/>
    <w:pitch w:val="variable"/>
    <w:sig w:usb0="00000003" w:usb1="00000000" w:usb2="00000000" w:usb3="00000000" w:csb0="20000001" w:csb1="00000000"/>
  </w:font>
  <w:font w:name="Lucida Bright">
    <w:panose1 w:val="02040602050505020304"/>
    <w:charset w:val="00"/>
    <w:family w:val="auto"/>
    <w:pitch w:val="variable"/>
    <w:sig w:usb0="00000003" w:usb1="00000000" w:usb2="00000000" w:usb3="00000000" w:csb0="20000001" w:csb1="00000000"/>
  </w:font>
  <w:font w:name="Lucida Calligraphy">
    <w:panose1 w:val="03010101010101010101"/>
    <w:charset w:val="00"/>
    <w:family w:val="auto"/>
    <w:pitch w:val="variable"/>
    <w:sig w:usb0="00000003" w:usb1="00000000" w:usb2="00000000" w:usb3="00000000" w:csb0="20000001" w:csb1="00000000"/>
  </w:font>
  <w:font w:name="ScriptC">
    <w:panose1 w:val="00000400000000000000"/>
    <w:charset w:val="00"/>
    <w:family w:val="auto"/>
    <w:pitch w:val="variable"/>
    <w:sig w:usb0="00000207" w:usb1="00000000" w:usb2="00000000" w:usb3="00000000" w:csb0="000001FF" w:csb1="00000000"/>
  </w:font>
  <w:font w:name="Modern No. 20">
    <w:panose1 w:val="02070704070505020303"/>
    <w:charset w:val="00"/>
    <w:family w:val="auto"/>
    <w:pitch w:val="variable"/>
    <w:sig w:usb0="00000003" w:usb1="00000000" w:usb2="00000000" w:usb3="00000000" w:csb0="20000001" w:csb1="00000000"/>
  </w:font>
  <w:font w:name="Niagara Solid">
    <w:panose1 w:val="04020502070702020202"/>
    <w:charset w:val="00"/>
    <w:family w:val="auto"/>
    <w:pitch w:val="variable"/>
    <w:sig w:usb0="00000003" w:usb1="00000000" w:usb2="00000000" w:usb3="00000000" w:csb0="20000001" w:csb1="00000000"/>
  </w:font>
  <w:font w:name="Old English Text MT">
    <w:panose1 w:val="03040902040508030806"/>
    <w:charset w:val="00"/>
    <w:family w:val="auto"/>
    <w:pitch w:val="variable"/>
    <w:sig w:usb0="00000003" w:usb1="00000000" w:usb2="00000000" w:usb3="00000000" w:csb0="20000001" w:csb1="00000000"/>
  </w:font>
  <w:font w:name="Playbill">
    <w:panose1 w:val="040506030A0602020202"/>
    <w:charset w:val="00"/>
    <w:family w:val="auto"/>
    <w:pitch w:val="variable"/>
    <w:sig w:usb0="00000003" w:usb1="00000000" w:usb2="00000000" w:usb3="00000000" w:csb0="20000001" w:csb1="00000000"/>
  </w:font>
  <w:font w:name="Poor Richard">
    <w:panose1 w:val="02080502050505020702"/>
    <w:charset w:val="00"/>
    <w:family w:val="auto"/>
    <w:pitch w:val="variable"/>
    <w:sig w:usb0="00000003" w:usb1="00000000" w:usb2="00000000" w:usb3="00000000" w:csb0="20000001" w:csb1="00000000"/>
  </w:font>
  <w:font w:name="Showcard Gothic">
    <w:panose1 w:val="04020904020102020604"/>
    <w:charset w:val="00"/>
    <w:family w:val="auto"/>
    <w:pitch w:val="variable"/>
    <w:sig w:usb0="00000003" w:usb1="00000000" w:usb2="00000000" w:usb3="00000000" w:csb0="20000001" w:csb1="00000000"/>
  </w:font>
  <w:font w:name="Snap ITC">
    <w:panose1 w:val="04040A07060A02020202"/>
    <w:charset w:val="00"/>
    <w:family w:val="auto"/>
    <w:pitch w:val="variable"/>
    <w:sig w:usb0="00000003" w:usb1="00000000" w:usb2="00000000" w:usb3="00000000" w:csb0="20000001" w:csb1="00000000"/>
  </w:font>
  <w:font w:name="Viner Hand ITC">
    <w:panose1 w:val="03070502030502020203"/>
    <w:charset w:val="00"/>
    <w:family w:val="auto"/>
    <w:pitch w:val="variable"/>
    <w:sig w:usb0="00000003" w:usb1="00000000" w:usb2="00000000" w:usb3="00000000" w:csb0="20000001" w:csb1="00000000"/>
  </w:font>
  <w:font w:name="Vladimir Script">
    <w:panose1 w:val="03050402040407070305"/>
    <w:charset w:val="00"/>
    <w:family w:val="auto"/>
    <w:pitch w:val="variable"/>
    <w:sig w:usb0="00000003" w:usb1="00000000" w:usb2="00000000" w:usb3="00000000" w:csb0="20000001" w:csb1="00000000"/>
  </w:font>
  <w:font w:name="Wide Latin">
    <w:panose1 w:val="020A0A07050505020404"/>
    <w:charset w:val="00"/>
    <w:family w:val="auto"/>
    <w:pitch w:val="variable"/>
    <w:sig w:usb0="00000003" w:usb1="00000000" w:usb2="00000000" w:usb3="00000000" w:csb0="20000001" w:csb1="00000000"/>
  </w:font>
  <w:font w:name="Wingdings 2">
    <w:panose1 w:val="05020102010507070707"/>
    <w:charset w:val="02"/>
    <w:family w:val="auto"/>
    <w:pitch w:val="variable"/>
    <w:sig w:usb0="00000000" w:usb1="00000000" w:usb2="00000000" w:usb3="00000000" w:csb0="80000000" w:csb1="00000000"/>
  </w:font>
  <w:font w:name="Wingdings 3">
    <w:panose1 w:val="05040102010807070707"/>
    <w:charset w:val="02"/>
    <w:family w:val="auto"/>
    <w:pitch w:val="variable"/>
    <w:sig w:usb0="00000000" w:usb1="00000000" w:usb2="00000000" w:usb3="00000000" w:csb0="80000000" w:csb1="00000000"/>
  </w:font>
  <w:font w:name="MT Extra">
    <w:panose1 w:val="05050102010205020202"/>
    <w:charset w:val="02"/>
    <w:family w:val="auto"/>
    <w:pitch w:val="variable"/>
    <w:sig w:usb0="80000000" w:usb1="00000000" w:usb2="00000000" w:usb3="00000000" w:csb0="00000000" w:csb1="00000000"/>
  </w:font>
  <w:font w:name="@汉仪中黑 197">
    <w:panose1 w:val="00020600040101010101"/>
    <w:charset w:val="86"/>
    <w:family w:val="auto"/>
    <w:pitch w:val="variable"/>
    <w:sig w:usb0="A00002BF" w:usb1="18EF7CFA" w:usb2="00000016" w:usb3="00000000" w:csb0="0004009F" w:csb1="00000000"/>
  </w:font>
  <w:font w:name="@方正粗黑宋简体">
    <w:panose1 w:val="02000000000000000000"/>
    <w:charset w:val="86"/>
    <w:family w:val="auto"/>
    <w:pitch w:val="variable"/>
    <w:sig w:usb0="A00002BF" w:usb1="184F6CFA" w:usb2="00000012" w:usb3="00000000" w:csb0="00040001" w:csb1="00000000"/>
  </w:font>
  <w:font w:name="DIN Next LT Pro Medium">
    <w:panose1 w:val="020B0603020203050203"/>
    <w:charset w:val="00"/>
    <w:family w:val="auto"/>
    <w:pitch w:val="variable"/>
    <w:sig w:usb0="A00000AF" w:usb1="5000205B" w:usb2="00000000" w:usb3="00000000" w:csb0="20000093" w:csb1="00000000"/>
  </w:font>
  <w:font w:name="DejaVu Math TeX Gyre">
    <w:panose1 w:val="02000503000000000000"/>
    <w:charset w:val="00"/>
    <w:family w:val="auto"/>
    <w:pitch w:val="variable"/>
    <w:sig w:usb0="A10000EF" w:usb1="4201F9EE" w:usb2="02000000" w:usb3="00000000" w:csb0="60000193" w:csb1="0DD40000"/>
  </w:font>
  <w:font w:name="AIGDT">
    <w:panose1 w:val="00000400000000000000"/>
    <w:charset w:val="02"/>
    <w:family w:val="auto"/>
    <w:pitch w:val="variable"/>
    <w:sig w:usb0="00000000" w:usb1="00000000" w:usb2="00000000" w:usb3="00000000" w:csb0="80000000" w:csb1="00000000"/>
  </w:font>
  <w:font w:name="AmdtSymbols">
    <w:panose1 w:val="02000500000000020004"/>
    <w:charset w:val="00"/>
    <w:family w:val="auto"/>
    <w:pitch w:val="variable"/>
    <w:sig w:usb0="00000001" w:usb1="00000000" w:usb2="00000000" w:usb3="00000000" w:csb0="00000001" w:csb1="00000000"/>
  </w:font>
  <w:font w:name="GENISO">
    <w:panose1 w:val="02000400000000000000"/>
    <w:charset w:val="00"/>
    <w:family w:val="auto"/>
    <w:pitch w:val="variable"/>
    <w:sig w:usb0="00000003" w:usb1="00000000" w:usb2="00000040" w:usb3="00000000" w:csb0="000001FF" w:csb1="00000000"/>
  </w:font>
  <w:font w:name="CountryBlueprint">
    <w:panose1 w:val="00000400000000000000"/>
    <w:charset w:val="02"/>
    <w:family w:val="auto"/>
    <w:pitch w:val="variable"/>
    <w:sig w:usb0="00000000" w:usb1="00000000" w:usb2="00000000" w:usb3="00000000" w:csb0="00000000" w:csb1="00000000"/>
  </w:font>
  <w:font w:name="EuroRoman">
    <w:panose1 w:val="00000400000000000000"/>
    <w:charset w:val="02"/>
    <w:family w:val="auto"/>
    <w:pitch w:val="variable"/>
    <w:sig w:usb0="00000000" w:usb1="00000000" w:usb2="00000000" w:usb3="00000000" w:csb0="00000000" w:csb1="00000000"/>
  </w:font>
  <w:font w:name="PanRoman">
    <w:panose1 w:val="00000400000000000000"/>
    <w:charset w:val="02"/>
    <w:family w:val="auto"/>
    <w:pitch w:val="variable"/>
    <w:sig w:usb0="00000000" w:usb1="00000000" w:usb2="00000000" w:usb3="00000000" w:csb0="00000000" w:csb1="00000000"/>
  </w:font>
  <w:font w:name="RomanS">
    <w:panose1 w:val="02000400000000000000"/>
    <w:charset w:val="00"/>
    <w:family w:val="auto"/>
    <w:pitch w:val="variable"/>
    <w:sig w:usb0="00000207" w:usb1="00000000" w:usb2="00000000" w:usb3="00000000" w:csb0="000001FF" w:csb1="00000000"/>
  </w:font>
  <w:font w:name="SuperFrench">
    <w:panose1 w:val="00000400000000000000"/>
    <w:charset w:val="02"/>
    <w:family w:val="auto"/>
    <w:pitch w:val="variable"/>
    <w:sig w:usb0="00000000" w:usb1="00000000" w:usb2="00000000" w:usb3="00000000" w:csb0="00000000" w:csb1="00000000"/>
  </w:font>
  <w:font w:name="Swis721 BT">
    <w:panose1 w:val="020B0504020202020204"/>
    <w:charset w:val="00"/>
    <w:family w:val="auto"/>
    <w:pitch w:val="variable"/>
    <w:sig w:usb0="00000000" w:usb1="00000000" w:usb2="00000000" w:usb3="00000000" w:csb0="00000000" w:csb1="00000000"/>
  </w:font>
  <w:font w:name="Swis721 BlkCn BT">
    <w:panose1 w:val="020B0806030502040204"/>
    <w:charset w:val="00"/>
    <w:family w:val="auto"/>
    <w:pitch w:val="variable"/>
    <w:sig w:usb0="00000000" w:usb1="00000000" w:usb2="00000000" w:usb3="00000000" w:csb0="00000000" w:csb1="00000000"/>
  </w:font>
  <w:font w:name="Swis721 LtCn BT">
    <w:panose1 w:val="020B0406020202030204"/>
    <w:charset w:val="00"/>
    <w:family w:val="auto"/>
    <w:pitch w:val="variable"/>
    <w:sig w:usb0="00000000" w:usb1="00000000" w:usb2="00000000" w:usb3="00000000" w:csb0="00000000" w:csb1="00000000"/>
  </w:font>
  <w:font w:name="Swis721 Ex BT">
    <w:panose1 w:val="020B0605020202020204"/>
    <w:charset w:val="00"/>
    <w:family w:val="auto"/>
    <w:pitch w:val="variable"/>
    <w:sig w:usb0="00000000" w:usb1="00000000" w:usb2="00000000" w:usb3="00000000" w:csb0="00000000" w:csb1="00000000"/>
  </w:font>
  <w:font w:name="UniversalMath1 BT">
    <w:panose1 w:val="05050102010205020602"/>
    <w:charset w:val="02"/>
    <w:family w:val="auto"/>
    <w:pitch w:val="variable"/>
    <w:sig w:usb0="00000000" w:usb1="00000000" w:usb2="00000000" w:usb3="00000000" w:csb0="00000000" w:csb1="00000000"/>
  </w:font>
  <w:font w:name="Swis721 BlkEx BT">
    <w:panose1 w:val="020B0907040502030204"/>
    <w:charset w:val="00"/>
    <w:family w:val="auto"/>
    <w:pitch w:val="variable"/>
    <w:sig w:usb0="00000000" w:usb1="00000000" w:usb2="00000000" w:usb3="00000000" w:csb0="00000000" w:csb1="00000000"/>
  </w:font>
  <w:font w:name="Swis721 LtEx BT">
    <w:panose1 w:val="020B0505020202020204"/>
    <w:charset w:val="00"/>
    <w:family w:val="auto"/>
    <w:pitch w:val="variable"/>
    <w:sig w:usb0="00000000" w:usb1="00000000" w:usb2="00000000" w:usb3="00000000" w:csb0="00000000" w:csb1="00000000"/>
  </w:font>
  <w:font w:name="TechnicLite">
    <w:panose1 w:val="00000400000000000000"/>
    <w:charset w:val="02"/>
    <w:family w:val="auto"/>
    <w:pitch w:val="variable"/>
    <w:sig w:usb0="00000000" w:usb1="00000000" w:usb2="00000000" w:usb3="00000000" w:csb0="00000000" w:csb1="00000000"/>
  </w:font>
  <w:font w:name="Proxy 8">
    <w:panose1 w:val="00000400000000000000"/>
    <w:charset w:val="00"/>
    <w:family w:val="auto"/>
    <w:pitch w:val="variable"/>
    <w:sig w:usb0="80000023" w:usb1="00000000" w:usb2="00000000" w:usb3="00000000" w:csb0="000001FF" w:csb1="00000000"/>
  </w:font>
  <w:font w:name="Technic">
    <w:panose1 w:val="00000400000000000000"/>
    <w:charset w:val="02"/>
    <w:family w:val="auto"/>
    <w:pitch w:val="variable"/>
    <w:sig w:usb0="00000000" w:usb1="00000000" w:usb2="00000000" w:usb3="00000000" w:csb0="00000000" w:csb1="00000000"/>
  </w:font>
  <w:font w:name="ISOCPEUR">
    <w:panose1 w:val="020B0604020202020204"/>
    <w:charset w:val="00"/>
    <w:family w:val="auto"/>
    <w:pitch w:val="variable"/>
    <w:sig w:usb0="00000287" w:usb1="00000000" w:usb2="00000000" w:usb3="00000000" w:csb0="4000009F" w:csb1="DFD70000"/>
  </w:font>
  <w:font w:name="Proxy 7">
    <w:panose1 w:val="00000400000000000000"/>
    <w:charset w:val="00"/>
    <w:family w:val="auto"/>
    <w:pitch w:val="variable"/>
    <w:sig w:usb0="80000023" w:usb1="00000000" w:usb2="00000000" w:usb3="00000000" w:csb0="000001FF" w:csb1="00000000"/>
  </w:font>
  <w:font w:name="Proxy 5">
    <w:panose1 w:val="00000400000000000000"/>
    <w:charset w:val="00"/>
    <w:family w:val="auto"/>
    <w:pitch w:val="variable"/>
    <w:sig w:usb0="80000023" w:usb1="00000000" w:usb2="00000000" w:usb3="00000000" w:csb0="000001FF" w:csb1="00000000"/>
  </w:font>
  <w:font w:name="Proxy 4">
    <w:panose1 w:val="00000400000000000000"/>
    <w:charset w:val="00"/>
    <w:family w:val="auto"/>
    <w:pitch w:val="variable"/>
    <w:sig w:usb0="80000023" w:usb1="00000000" w:usb2="00000000" w:usb3="00000000" w:csb0="000001FF" w:csb1="00000000"/>
  </w:font>
  <w:font w:name="Proxy 3">
    <w:panose1 w:val="00000400000000000000"/>
    <w:charset w:val="00"/>
    <w:family w:val="auto"/>
    <w:pitch w:val="variable"/>
    <w:sig w:usb0="80000023" w:usb1="00000000" w:usb2="00000000" w:usb3="00000000" w:csb0="000001FF" w:csb1="00000000"/>
  </w:font>
  <w:font w:name="Symusic">
    <w:panose1 w:val="00000400000000000000"/>
    <w:charset w:val="00"/>
    <w:family w:val="auto"/>
    <w:pitch w:val="variable"/>
    <w:sig w:usb0="00000001" w:usb1="00000000" w:usb2="00000000" w:usb3="00000000" w:csb0="000001FF" w:csb1="00000000"/>
  </w:font>
  <w:font w:name="Symath">
    <w:panose1 w:val="00000400000000000000"/>
    <w:charset w:val="00"/>
    <w:family w:val="auto"/>
    <w:pitch w:val="variable"/>
    <w:sig w:usb0="00000001" w:usb1="00000000" w:usb2="00000000" w:usb3="00000000" w:csb0="000001FF" w:csb1="00000000"/>
  </w:font>
  <w:font w:name="Symap">
    <w:panose1 w:val="00000400000000000000"/>
    <w:charset w:val="00"/>
    <w:family w:val="auto"/>
    <w:pitch w:val="variable"/>
    <w:sig w:usb0="00000001" w:usb1="00000000" w:usb2="00000000" w:usb3="00000000" w:csb0="000001FF" w:csb1="00000000"/>
  </w:font>
  <w:font w:name="Syastro">
    <w:panose1 w:val="00000400000000000000"/>
    <w:charset w:val="00"/>
    <w:family w:val="auto"/>
    <w:pitch w:val="variable"/>
    <w:sig w:usb0="00000001" w:usb1="00000000" w:usb2="00000000" w:usb3="00000000" w:csb0="000001FF" w:csb1="00000000"/>
  </w:font>
  <w:font w:name="RomanT">
    <w:panose1 w:val="00000400000000000000"/>
    <w:charset w:val="00"/>
    <w:family w:val="auto"/>
    <w:pitch w:val="variable"/>
    <w:sig w:usb0="00000207" w:usb1="00000000" w:usb2="00000000" w:usb3="00000000" w:csb0="000001FF" w:csb1="00000000"/>
  </w:font>
  <w:font w:name="GothicG">
    <w:panose1 w:val="00000400000000000000"/>
    <w:charset w:val="00"/>
    <w:family w:val="auto"/>
    <w:pitch w:val="variable"/>
    <w:sig w:usb0="00000207" w:usb1="00000000" w:usb2="00000000" w:usb3="00000000" w:csb0="000001FF" w:csb1="00000000"/>
  </w:font>
  <w:font w:name="GothicE">
    <w:panose1 w:val="00000400000000000000"/>
    <w:charset w:val="00"/>
    <w:family w:val="auto"/>
    <w:pitch w:val="variable"/>
    <w:sig w:usb0="00000207" w:usb1="00000000" w:usb2="00000000" w:usb3="00000000" w:csb0="000001FF" w:csb1="00000000"/>
  </w:font>
  <w:font w:name="Proxy 2">
    <w:panose1 w:val="00000400000000000000"/>
    <w:charset w:val="00"/>
    <w:family w:val="auto"/>
    <w:pitch w:val="variable"/>
    <w:sig w:usb0="80000023" w:usb1="00000000" w:usb2="00000000" w:usb3="00000000" w:csb0="000001FF" w:csb1="00000000"/>
  </w:font>
  <w:font w:name="Proxy 1">
    <w:panose1 w:val="00000400000000000000"/>
    <w:charset w:val="00"/>
    <w:family w:val="auto"/>
    <w:pitch w:val="variable"/>
    <w:sig w:usb0="80000023" w:usb1="00000000" w:usb2="00000000" w:usb3="00000000" w:csb0="000001FF" w:csb1="00000000"/>
  </w:font>
  <w:font w:name="Monotxt">
    <w:panose1 w:val="00000400000000000000"/>
    <w:charset w:val="00"/>
    <w:family w:val="auto"/>
    <w:pitch w:val="variable"/>
    <w:sig w:usb0="80000207" w:usb1="00000000" w:usb2="00000000" w:usb3="00000000" w:csb0="000001FF" w:csb1="00000000"/>
  </w:font>
  <w:font w:name="ItalicC">
    <w:panose1 w:val="00000400000000000000"/>
    <w:charset w:val="00"/>
    <w:family w:val="auto"/>
    <w:pitch w:val="variable"/>
    <w:sig w:usb0="00000207" w:usb1="00000000" w:usb2="00000000" w:usb3="00000000" w:csb0="000001FF" w:csb1="00000000"/>
  </w:font>
  <w:font w:name="ISOCT">
    <w:panose1 w:val="00000400000000000000"/>
    <w:charset w:val="00"/>
    <w:family w:val="auto"/>
    <w:pitch w:val="variable"/>
    <w:sig w:usb0="00000007" w:usb1="00000000" w:usb2="00000000" w:usb3="00000000" w:csb0="000001FF" w:csb1="00000000"/>
  </w:font>
  <w:font w:name="ISOCP3">
    <w:panose1 w:val="00000400000000000000"/>
    <w:charset w:val="00"/>
    <w:family w:val="auto"/>
    <w:pitch w:val="variable"/>
    <w:sig w:usb0="00000007" w:usb1="00000000" w:usb2="00000000" w:usb3="00000000" w:csb0="000001FF" w:csb1="00000000"/>
  </w:font>
  <w:font w:name="GDT">
    <w:panose1 w:val="00000400000000000000"/>
    <w:charset w:val="00"/>
    <w:family w:val="auto"/>
    <w:pitch w:val="variable"/>
    <w:sig w:usb0="80000003" w:usb1="10000000" w:usb2="00000000" w:usb3="00000000" w:csb0="00000001" w:csb1="00000000"/>
  </w:font>
  <w:font w:name="Euro Sign">
    <w:panose1 w:val="020B0603020201020101"/>
    <w:charset w:val="00"/>
    <w:family w:val="auto"/>
    <w:pitch w:val="variable"/>
    <w:sig w:usb0="00000001" w:usb1="00000002" w:usb2="00000000" w:usb3="00000000" w:csb0="20000001" w:csb1="00000000"/>
  </w:font>
  <w:font w:name="Plotter">
    <w:altName w:val="Lucida Console"/>
    <w:panose1 w:val="00000000000000000000"/>
    <w:charset w:val="00"/>
    <w:family w:val="auto"/>
    <w:pitch w:val="default"/>
    <w:sig w:usb0="00000003" w:usb1="00000000" w:usb2="00000000" w:usb3="00000000" w:csb0="00000001" w:csb1="00000000"/>
  </w:font>
  <w:font w:name="@仿宋_GB2312">
    <w:altName w:val="仿宋"/>
    <w:panose1 w:val="00000000000000000000"/>
    <w:charset w:val="86"/>
    <w:family w:val="auto"/>
    <w:pitch w:val="fixed"/>
    <w:sig w:usb0="00000001" w:usb1="080E0000" w:usb2="00000010" w:usb3="00000000" w:csb0="00040000" w:csb1="00000000"/>
  </w:font>
  <w:font w:name="@楷体_GB2312">
    <w:altName w:val="宋体"/>
    <w:panose1 w:val="00000000000000000000"/>
    <w:charset w:val="86"/>
    <w:family w:val="auto"/>
    <w:pitch w:val="default"/>
    <w:sig w:usb0="00000000" w:usb1="00000000" w:usb2="00000010" w:usb3="00000000" w:csb0="00040000" w:csb1="00000000"/>
  </w:font>
  <w:font w:name="Courier New">
    <w:panose1 w:val="020703090202050204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4EE72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48"/>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3"/>
    <w:basedOn w:val="1"/>
    <w:next w:val="1"/>
    <w:link w:val="27"/>
    <w:semiHidden/>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20">
    <w:name w:val="Default Paragraph Font"/>
    <w:semiHidden/>
    <w:uiPriority w:val="0"/>
  </w:style>
  <w:style w:type="table" w:default="1" w:styleId="18">
    <w:name w:val="Normal Table"/>
    <w:semiHidden/>
    <w:uiPriority w:val="0"/>
    <w:pPr>
      <w:keepNext w:val="0"/>
      <w:keepLines w:val="0"/>
      <w:widowControl/>
      <w:suppressLineNumbers w:val="0"/>
      <w:spacing w:before="0" w:beforeAutospacing="0" w:after="0" w:afterAutospacing="0"/>
      <w:ind w:left="0" w:right="0"/>
    </w:pPr>
    <w:rPr>
      <w:rFonts w:hint="default" w:ascii="Calibri" w:hAnsi="Calibri" w:cs="Calibri"/>
      <w:sz w:val="20"/>
      <w:szCs w:val="20"/>
    </w:rPr>
    <w:tblPr>
      <w:tblCellMar>
        <w:top w:w="0" w:type="dxa"/>
        <w:left w:w="108" w:type="dxa"/>
        <w:bottom w:w="0" w:type="dxa"/>
        <w:right w:w="108" w:type="dxa"/>
      </w:tblCellMar>
    </w:tblPr>
  </w:style>
  <w:style w:type="paragraph" w:styleId="4">
    <w:name w:val="Normal Indent"/>
    <w:basedOn w:val="1"/>
    <w:link w:val="26"/>
    <w:uiPriority w:val="0"/>
    <w:pPr>
      <w:ind w:firstLine="420" w:firstLineChars="200"/>
    </w:pPr>
  </w:style>
  <w:style w:type="paragraph" w:styleId="5">
    <w:name w:val="Document Map"/>
    <w:basedOn w:val="1"/>
    <w:link w:val="39"/>
    <w:uiPriority w:val="0"/>
    <w:pPr>
      <w:shd w:val="clear" w:color="auto" w:fill="000080"/>
    </w:pPr>
  </w:style>
  <w:style w:type="paragraph" w:styleId="6">
    <w:name w:val="annotation text"/>
    <w:basedOn w:val="1"/>
    <w:link w:val="47"/>
    <w:uiPriority w:val="0"/>
    <w:pPr>
      <w:jc w:val="left"/>
    </w:pPr>
  </w:style>
  <w:style w:type="paragraph" w:styleId="7">
    <w:name w:val="Body Text"/>
    <w:basedOn w:val="1"/>
    <w:link w:val="41"/>
    <w:uiPriority w:val="0"/>
    <w:pPr>
      <w:spacing w:after="120" w:afterLines="0" w:afterAutospacing="0"/>
    </w:pPr>
  </w:style>
  <w:style w:type="paragraph" w:styleId="8">
    <w:name w:val="Body Text Indent"/>
    <w:basedOn w:val="1"/>
    <w:link w:val="35"/>
    <w:uiPriority w:val="0"/>
    <w:pPr>
      <w:spacing w:after="120" w:afterLines="0" w:afterAutospacing="0"/>
      <w:ind w:left="420" w:leftChars="200"/>
    </w:pPr>
  </w:style>
  <w:style w:type="paragraph" w:styleId="9">
    <w:name w:val="Plain Text"/>
    <w:basedOn w:val="1"/>
    <w:link w:val="49"/>
    <w:uiPriority w:val="0"/>
    <w:pPr>
      <w:keepNext w:val="0"/>
      <w:keepLines w:val="0"/>
      <w:widowControl w:val="0"/>
      <w:suppressLineNumbers w:val="0"/>
      <w:spacing w:before="0" w:beforeAutospacing="0" w:after="0" w:afterAutospacing="0"/>
      <w:ind w:left="0" w:right="0"/>
      <w:jc w:val="both"/>
    </w:pPr>
    <w:rPr>
      <w:rFonts w:hint="eastAsia" w:ascii="宋体" w:hAnsi="Courier New" w:eastAsia="宋体" w:cs="Times New Roman"/>
      <w:kern w:val="2"/>
      <w:sz w:val="21"/>
      <w:szCs w:val="20"/>
      <w:lang w:val="en-US" w:eastAsia="zh-CN" w:bidi="ar"/>
    </w:rPr>
  </w:style>
  <w:style w:type="paragraph" w:styleId="10">
    <w:name w:val="Date"/>
    <w:basedOn w:val="1"/>
    <w:next w:val="1"/>
    <w:link w:val="29"/>
    <w:uiPriority w:val="0"/>
    <w:pPr>
      <w:ind w:left="100" w:leftChars="2500"/>
    </w:pPr>
  </w:style>
  <w:style w:type="paragraph" w:styleId="11">
    <w:name w:val="Balloon Text"/>
    <w:basedOn w:val="1"/>
    <w:link w:val="43"/>
    <w:uiPriority w:val="0"/>
    <w:rPr>
      <w:sz w:val="18"/>
    </w:rPr>
  </w:style>
  <w:style w:type="paragraph" w:styleId="12">
    <w:name w:val="footer"/>
    <w:basedOn w:val="1"/>
    <w:link w:val="50"/>
    <w:uiPriority w:val="0"/>
    <w:pPr>
      <w:tabs>
        <w:tab w:val="center" w:pos="4153"/>
        <w:tab w:val="right" w:pos="8306"/>
      </w:tabs>
      <w:snapToGrid w:val="0"/>
      <w:jc w:val="left"/>
    </w:pPr>
    <w:rPr>
      <w:sz w:val="18"/>
    </w:rPr>
  </w:style>
  <w:style w:type="paragraph" w:styleId="13">
    <w:name w:val="header"/>
    <w:basedOn w:val="1"/>
    <w:link w:val="34"/>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Normal (Web)"/>
    <w:basedOn w:val="1"/>
    <w:link w:val="32"/>
    <w:uiPriority w:val="0"/>
    <w:pPr>
      <w:keepNext w:val="0"/>
      <w:keepLines w:val="0"/>
      <w:widowControl/>
      <w:suppressLineNumbers w:val="0"/>
      <w:spacing w:before="0" w:beforeAutospacing="1" w:after="0" w:afterAutospacing="1"/>
      <w:ind w:left="0" w:right="0"/>
      <w:jc w:val="left"/>
    </w:pPr>
    <w:rPr>
      <w:rFonts w:hint="eastAsia" w:ascii="宋体" w:hAnsi="宋体" w:eastAsia="宋体" w:cs="Times New Roman"/>
      <w:kern w:val="0"/>
      <w:sz w:val="24"/>
      <w:szCs w:val="20"/>
      <w:lang w:val="en-US" w:eastAsia="zh-CN" w:bidi="ar"/>
    </w:rPr>
  </w:style>
  <w:style w:type="paragraph" w:styleId="15">
    <w:name w:val="annotation subject"/>
    <w:basedOn w:val="6"/>
    <w:next w:val="6"/>
    <w:link w:val="51"/>
    <w:uiPriority w:val="0"/>
    <w:rPr>
      <w:b/>
    </w:rPr>
  </w:style>
  <w:style w:type="paragraph" w:styleId="16">
    <w:name w:val="Body Text First Indent"/>
    <w:basedOn w:val="7"/>
    <w:link w:val="52"/>
    <w:uiPriority w:val="0"/>
    <w:pPr>
      <w:ind w:firstLine="420" w:firstLineChars="100"/>
    </w:pPr>
  </w:style>
  <w:style w:type="paragraph" w:styleId="17">
    <w:name w:val="Body Text First Indent 2"/>
    <w:basedOn w:val="8"/>
    <w:link w:val="53"/>
    <w:uiPriority w:val="0"/>
    <w:pPr>
      <w:ind w:firstLine="420" w:firstLineChars="200"/>
    </w:pPr>
  </w:style>
  <w:style w:type="table" w:styleId="19">
    <w:name w:val="Table Grid"/>
    <w:basedOn w:val="18"/>
    <w:uiPriority w:val="0"/>
    <w:pPr>
      <w:keepNext w:val="0"/>
      <w:keepLines w:val="0"/>
      <w:widowControl/>
      <w:suppressLineNumbers w:val="0"/>
      <w:spacing w:before="0" w:beforeAutospacing="0" w:after="0" w:afterAutospacing="0"/>
      <w:ind w:left="0" w:right="0"/>
    </w:pPr>
    <w:rPr>
      <w:rFonts w:hint="default" w:ascii="Calibri" w:hAnsi="Calibri" w:cs="Calibri"/>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1">
    <w:name w:val="Strong"/>
    <w:basedOn w:val="20"/>
    <w:qFormat/>
    <w:uiPriority w:val="0"/>
    <w:rPr>
      <w:rFonts w:hint="eastAsia" w:ascii="宋体" w:hAnsi="宋体" w:eastAsia="宋体" w:cs="宋体"/>
      <w:b/>
      <w:sz w:val="28"/>
    </w:rPr>
  </w:style>
  <w:style w:type="character" w:styleId="22">
    <w:name w:val="FollowedHyperlink"/>
    <w:basedOn w:val="20"/>
    <w:uiPriority w:val="0"/>
    <w:rPr>
      <w:color w:val="800080"/>
      <w:u w:val="single"/>
    </w:rPr>
  </w:style>
  <w:style w:type="character" w:styleId="23">
    <w:name w:val="Hyperlink"/>
    <w:basedOn w:val="20"/>
    <w:uiPriority w:val="0"/>
    <w:rPr>
      <w:color w:val="0000FF"/>
      <w:u w:val="single"/>
    </w:rPr>
  </w:style>
  <w:style w:type="character" w:styleId="24">
    <w:name w:val="annotation reference"/>
    <w:basedOn w:val="20"/>
    <w:uiPriority w:val="0"/>
    <w:rPr>
      <w:sz w:val="21"/>
    </w:rPr>
  </w:style>
  <w:style w:type="paragraph" w:customStyle="1" w:styleId="25">
    <w:name w:val="1正文"/>
    <w:basedOn w:val="1"/>
    <w:link w:val="40"/>
    <w:uiPriority w:val="0"/>
    <w:pPr>
      <w:keepNext w:val="0"/>
      <w:keepLines w:val="0"/>
      <w:widowControl w:val="0"/>
      <w:suppressLineNumbers w:val="0"/>
      <w:spacing w:before="0" w:beforeAutospacing="0" w:after="0" w:afterAutospacing="0" w:line="460" w:lineRule="exact"/>
      <w:ind w:left="0" w:right="0" w:firstLine="200" w:firstLineChars="200"/>
      <w:jc w:val="left"/>
    </w:pPr>
    <w:rPr>
      <w:rFonts w:hint="default" w:ascii="Times New Roman" w:hAnsi="Times New Roman" w:eastAsia="宋体" w:cs="Times New Roman"/>
      <w:kern w:val="2"/>
      <w:sz w:val="24"/>
      <w:szCs w:val="24"/>
      <w:lang w:val="en-US" w:eastAsia="zh-CN" w:bidi="ar"/>
    </w:rPr>
  </w:style>
  <w:style w:type="character" w:customStyle="1" w:styleId="26">
    <w:name w:val="正文缩进 Char"/>
    <w:basedOn w:val="20"/>
    <w:link w:val="4"/>
    <w:uiPriority w:val="0"/>
    <w:rPr>
      <w:b/>
      <w:kern w:val="2"/>
      <w:sz w:val="24"/>
      <w:szCs w:val="28"/>
    </w:rPr>
  </w:style>
  <w:style w:type="character" w:customStyle="1" w:styleId="27">
    <w:name w:val="标题 3 Char"/>
    <w:basedOn w:val="20"/>
    <w:link w:val="3"/>
    <w:uiPriority w:val="0"/>
    <w:rPr>
      <w:b/>
      <w:bCs/>
      <w:kern w:val="2"/>
      <w:sz w:val="32"/>
      <w:szCs w:val="32"/>
    </w:rPr>
  </w:style>
  <w:style w:type="paragraph" w:customStyle="1" w:styleId="28">
    <w:name w:val="表格内居中文字"/>
    <w:basedOn w:val="1"/>
    <w:link w:val="99"/>
    <w:uiPriority w:val="0"/>
    <w:pPr>
      <w:keepNext w:val="0"/>
      <w:keepLines w:val="0"/>
      <w:widowControl/>
      <w:suppressLineNumbers w:val="0"/>
      <w:spacing w:before="0" w:beforeAutospacing="0" w:after="0" w:afterAutospacing="0"/>
      <w:ind w:left="0" w:right="0"/>
      <w:jc w:val="center"/>
    </w:pPr>
    <w:rPr>
      <w:rFonts w:hint="default" w:ascii="Times New Roman" w:hAnsi="Times New Roman" w:eastAsia="宋体" w:cs="Times New Roman"/>
      <w:kern w:val="2"/>
      <w:sz w:val="21"/>
      <w:szCs w:val="24"/>
      <w:lang w:val="en-US" w:eastAsia="zh-CN" w:bidi="ar"/>
    </w:rPr>
  </w:style>
  <w:style w:type="character" w:customStyle="1" w:styleId="29">
    <w:name w:val="日期 Char"/>
    <w:basedOn w:val="20"/>
    <w:link w:val="10"/>
    <w:uiPriority w:val="0"/>
    <w:rPr>
      <w:rFonts w:hint="default" w:ascii="Times New Roman" w:hAnsi="Times New Roman" w:cs="Times New Roman"/>
      <w:sz w:val="24"/>
    </w:rPr>
  </w:style>
  <w:style w:type="paragraph" w:customStyle="1" w:styleId="30">
    <w:name w:val="Default"/>
    <w:basedOn w:val="1"/>
    <w:link w:val="90"/>
    <w:uiPriority w:val="0"/>
    <w:pPr>
      <w:keepNext w:val="0"/>
      <w:keepLines w:val="0"/>
      <w:widowControl w:val="0"/>
      <w:suppressLineNumbers w:val="0"/>
      <w:autoSpaceDE w:val="0"/>
      <w:autoSpaceDN w:val="0"/>
      <w:adjustRightInd w:val="0"/>
      <w:spacing w:before="0" w:beforeAutospacing="0" w:after="0" w:afterAutospacing="0"/>
      <w:ind w:left="0" w:right="0"/>
      <w:jc w:val="left"/>
    </w:pPr>
    <w:rPr>
      <w:rFonts w:hint="eastAsia" w:ascii="宋体" w:hAnsi="Times New Roman" w:eastAsia="宋体" w:cs="Times New Roman"/>
      <w:color w:val="000000"/>
      <w:kern w:val="0"/>
      <w:sz w:val="24"/>
      <w:szCs w:val="24"/>
      <w:lang w:val="en-US" w:eastAsia="zh-CN" w:bidi="ar"/>
    </w:rPr>
  </w:style>
  <w:style w:type="character" w:customStyle="1" w:styleId="31">
    <w:name w:val="样式 首行缩进:  2 字符1 Char"/>
    <w:basedOn w:val="20"/>
    <w:uiPriority w:val="0"/>
    <w:rPr>
      <w:rFonts w:hint="default" w:ascii="Times New Roman" w:hAnsi="Times New Roman" w:cs="Times New Roman"/>
      <w:bCs/>
      <w:kern w:val="2"/>
      <w:sz w:val="21"/>
      <w:szCs w:val="21"/>
    </w:rPr>
  </w:style>
  <w:style w:type="character" w:customStyle="1" w:styleId="32">
    <w:name w:val="普通(网站) Char"/>
    <w:basedOn w:val="20"/>
    <w:link w:val="14"/>
    <w:uiPriority w:val="0"/>
    <w:rPr>
      <w:rFonts w:hint="eastAsia" w:ascii="宋体" w:hAnsi="宋体" w:eastAsia="宋体" w:cs="宋体"/>
      <w:sz w:val="24"/>
    </w:rPr>
  </w:style>
  <w:style w:type="character" w:customStyle="1" w:styleId="33">
    <w:name w:val="正文（首行缩进2字） Char1"/>
    <w:basedOn w:val="20"/>
    <w:uiPriority w:val="0"/>
    <w:rPr>
      <w:b/>
      <w:bCs/>
      <w:kern w:val="2"/>
      <w:sz w:val="24"/>
      <w:szCs w:val="24"/>
    </w:rPr>
  </w:style>
  <w:style w:type="character" w:customStyle="1" w:styleId="34">
    <w:name w:val="页眉 Char"/>
    <w:basedOn w:val="20"/>
    <w:link w:val="13"/>
    <w:uiPriority w:val="0"/>
    <w:rPr>
      <w:sz w:val="18"/>
    </w:rPr>
  </w:style>
  <w:style w:type="character" w:customStyle="1" w:styleId="35">
    <w:name w:val="正文文本缩进 Char"/>
    <w:basedOn w:val="20"/>
    <w:link w:val="8"/>
    <w:uiPriority w:val="0"/>
    <w:rPr>
      <w:rFonts w:hint="default" w:ascii="Times New Roman" w:hAnsi="Times New Roman" w:cs="Times New Roman"/>
      <w:sz w:val="24"/>
    </w:rPr>
  </w:style>
  <w:style w:type="character" w:customStyle="1" w:styleId="36">
    <w:name w:val="1表文 字符"/>
    <w:basedOn w:val="20"/>
    <w:link w:val="37"/>
    <w:uiPriority w:val="0"/>
    <w:rPr>
      <w:rFonts w:hint="default" w:ascii="Times New Roman" w:hAnsi="Times New Roman" w:cs="Times New Roman"/>
      <w:kern w:val="2"/>
      <w:sz w:val="21"/>
      <w:szCs w:val="22"/>
    </w:rPr>
  </w:style>
  <w:style w:type="paragraph" w:customStyle="1" w:styleId="37">
    <w:name w:val="1表文"/>
    <w:basedOn w:val="1"/>
    <w:next w:val="1"/>
    <w:link w:val="36"/>
    <w:uiPriority w:val="0"/>
    <w:pPr>
      <w:keepNext w:val="0"/>
      <w:keepLines w:val="0"/>
      <w:widowControl w:val="0"/>
      <w:suppressLineNumbers w:val="0"/>
      <w:spacing w:before="0" w:beforeAutospacing="0" w:after="0" w:afterAutospacing="0" w:line="320" w:lineRule="exact"/>
      <w:ind w:left="0" w:right="0"/>
      <w:jc w:val="center"/>
    </w:pPr>
    <w:rPr>
      <w:rFonts w:hint="default" w:ascii="Times New Roman" w:hAnsi="Times New Roman" w:eastAsia="宋体" w:cs="Times New Roman"/>
      <w:kern w:val="2"/>
      <w:sz w:val="21"/>
      <w:szCs w:val="22"/>
      <w:lang w:val="en-US" w:eastAsia="zh-CN" w:bidi="ar"/>
    </w:rPr>
  </w:style>
  <w:style w:type="character" w:customStyle="1" w:styleId="38">
    <w:name w:val="纯文本 Char1"/>
    <w:basedOn w:val="20"/>
    <w:link w:val="9"/>
    <w:uiPriority w:val="0"/>
    <w:rPr>
      <w:rFonts w:hint="eastAsia" w:ascii="宋体" w:hAnsi="Courier New" w:eastAsia="宋体" w:cs="宋体"/>
      <w:kern w:val="2"/>
      <w:sz w:val="21"/>
    </w:rPr>
  </w:style>
  <w:style w:type="character" w:customStyle="1" w:styleId="39">
    <w:name w:val="文档结构图 Char"/>
    <w:basedOn w:val="20"/>
    <w:link w:val="5"/>
    <w:uiPriority w:val="0"/>
    <w:rPr>
      <w:rFonts w:hint="eastAsia" w:ascii="宋体" w:hAnsi="宋体" w:eastAsia="宋体" w:cs="宋体"/>
      <w:kern w:val="2"/>
      <w:sz w:val="18"/>
      <w:szCs w:val="18"/>
    </w:rPr>
  </w:style>
  <w:style w:type="character" w:customStyle="1" w:styleId="40">
    <w:name w:val="1正文 Char"/>
    <w:basedOn w:val="20"/>
    <w:link w:val="25"/>
    <w:uiPriority w:val="0"/>
    <w:rPr>
      <w:rFonts w:hint="default" w:ascii="Times New Roman" w:hAnsi="Times New Roman" w:cs="Times New Roman"/>
      <w:kern w:val="2"/>
      <w:sz w:val="24"/>
      <w:szCs w:val="24"/>
    </w:rPr>
  </w:style>
  <w:style w:type="character" w:customStyle="1" w:styleId="41">
    <w:name w:val="正文文本 Char"/>
    <w:basedOn w:val="20"/>
    <w:link w:val="7"/>
    <w:uiPriority w:val="0"/>
    <w:rPr>
      <w:sz w:val="18"/>
    </w:rPr>
  </w:style>
  <w:style w:type="character" w:customStyle="1" w:styleId="42">
    <w:name w:val="日期 字符"/>
    <w:basedOn w:val="20"/>
    <w:uiPriority w:val="0"/>
    <w:rPr>
      <w:rFonts w:hint="default" w:ascii="Times New Roman" w:hAnsi="Times New Roman" w:eastAsia="宋体" w:cs="Times New Roman"/>
      <w:sz w:val="24"/>
    </w:rPr>
  </w:style>
  <w:style w:type="character" w:customStyle="1" w:styleId="43">
    <w:name w:val="批注框文本 Char"/>
    <w:basedOn w:val="20"/>
    <w:link w:val="11"/>
    <w:uiPriority w:val="0"/>
    <w:rPr>
      <w:rFonts w:hint="default" w:ascii="Times New Roman" w:hAnsi="Times New Roman" w:cs="Times New Roman"/>
      <w:sz w:val="18"/>
    </w:rPr>
  </w:style>
  <w:style w:type="paragraph" w:customStyle="1" w:styleId="44">
    <w:name w:val="msonospacing"/>
    <w:basedOn w:val="1"/>
    <w:uiPriority w:val="0"/>
    <w:pPr>
      <w:keepNext w:val="0"/>
      <w:keepLines w:val="0"/>
      <w:widowControl w:val="0"/>
      <w:suppressLineNumbers w:val="0"/>
      <w:spacing w:before="0" w:beforeAutospacing="0" w:after="0" w:afterAutospacing="0" w:line="440" w:lineRule="exact"/>
      <w:ind w:left="0" w:right="0"/>
      <w:jc w:val="center"/>
      <w:outlineLvl w:val="4"/>
    </w:pPr>
    <w:rPr>
      <w:rFonts w:hint="default" w:ascii="Times New Roman" w:hAnsi="Times New Roman" w:eastAsia="宋体" w:cs="Times New Roman"/>
      <w:kern w:val="0"/>
      <w:sz w:val="24"/>
      <w:szCs w:val="24"/>
      <w:lang w:val="en-US" w:eastAsia="zh-CN" w:bidi="ar"/>
    </w:rPr>
  </w:style>
  <w:style w:type="paragraph" w:customStyle="1" w:styleId="45">
    <w:name w:val="msolistparagraph"/>
    <w:basedOn w:val="1"/>
    <w:uiPriority w:val="0"/>
    <w:pPr>
      <w:keepNext w:val="0"/>
      <w:keepLines w:val="0"/>
      <w:widowControl w:val="0"/>
      <w:suppressLineNumbers w:val="0"/>
      <w:spacing w:before="0" w:beforeAutospacing="0" w:after="0" w:afterAutospacing="0" w:line="440" w:lineRule="exact"/>
      <w:ind w:left="0" w:right="0" w:firstLine="420" w:firstLineChars="200"/>
      <w:jc w:val="both"/>
    </w:pPr>
    <w:rPr>
      <w:rFonts w:hint="default" w:ascii="Times New Roman" w:hAnsi="Times New Roman" w:eastAsia="宋体" w:cs="Times New Roman"/>
      <w:kern w:val="2"/>
      <w:sz w:val="21"/>
      <w:szCs w:val="20"/>
      <w:lang w:val="en-US" w:eastAsia="zh-CN" w:bidi="ar"/>
    </w:rPr>
  </w:style>
  <w:style w:type="character" w:customStyle="1" w:styleId="46">
    <w:name w:val="表格格式 Char"/>
    <w:basedOn w:val="20"/>
    <w:uiPriority w:val="0"/>
    <w:rPr>
      <w:sz w:val="21"/>
    </w:rPr>
  </w:style>
  <w:style w:type="character" w:customStyle="1" w:styleId="47">
    <w:name w:val="批注文字 Char"/>
    <w:basedOn w:val="20"/>
    <w:link w:val="6"/>
    <w:uiPriority w:val="0"/>
    <w:rPr>
      <w:rFonts w:hint="default" w:ascii="Times New Roman" w:hAnsi="Times New Roman" w:cs="Times New Roman"/>
      <w:sz w:val="24"/>
    </w:rPr>
  </w:style>
  <w:style w:type="character" w:customStyle="1" w:styleId="48">
    <w:name w:val="标题 1 Char"/>
    <w:basedOn w:val="20"/>
    <w:link w:val="2"/>
    <w:uiPriority w:val="0"/>
    <w:rPr>
      <w:rFonts w:hint="eastAsia" w:ascii="黑体" w:hAnsi="宋体" w:eastAsia="黑体" w:cs="黑体"/>
      <w:b/>
      <w:bCs/>
      <w:color w:val="000000"/>
      <w:kern w:val="44"/>
      <w:sz w:val="30"/>
      <w:szCs w:val="30"/>
    </w:rPr>
  </w:style>
  <w:style w:type="character" w:customStyle="1" w:styleId="49">
    <w:name w:val="纯文本 Char"/>
    <w:basedOn w:val="20"/>
    <w:link w:val="9"/>
    <w:uiPriority w:val="0"/>
    <w:rPr>
      <w:rFonts w:hint="eastAsia" w:ascii="宋体" w:hAnsi="Courier New" w:eastAsia="宋体" w:cs="Courier New"/>
      <w:kern w:val="2"/>
      <w:sz w:val="21"/>
      <w:szCs w:val="21"/>
    </w:rPr>
  </w:style>
  <w:style w:type="character" w:customStyle="1" w:styleId="50">
    <w:name w:val="页脚 Char"/>
    <w:basedOn w:val="20"/>
    <w:link w:val="12"/>
    <w:uiPriority w:val="0"/>
    <w:rPr>
      <w:sz w:val="18"/>
    </w:rPr>
  </w:style>
  <w:style w:type="character" w:customStyle="1" w:styleId="51">
    <w:name w:val="批注主题 Char"/>
    <w:basedOn w:val="47"/>
    <w:link w:val="15"/>
    <w:uiPriority w:val="0"/>
    <w:rPr>
      <w:rFonts w:hint="default" w:ascii="Times New Roman" w:hAnsi="Times New Roman" w:cs="Times New Roman"/>
      <w:b/>
      <w:kern w:val="2"/>
      <w:sz w:val="24"/>
    </w:rPr>
  </w:style>
  <w:style w:type="character" w:customStyle="1" w:styleId="52">
    <w:name w:val="正文首行缩进 Char"/>
    <w:basedOn w:val="41"/>
    <w:link w:val="16"/>
    <w:uiPriority w:val="0"/>
    <w:rPr>
      <w:rFonts w:hint="default" w:ascii="Times New Roman" w:hAnsi="Times New Roman" w:cs="Times New Roman"/>
      <w:kern w:val="2"/>
      <w:sz w:val="21"/>
      <w:szCs w:val="24"/>
    </w:rPr>
  </w:style>
  <w:style w:type="character" w:customStyle="1" w:styleId="53">
    <w:name w:val="正文首行缩进 2 Char"/>
    <w:basedOn w:val="35"/>
    <w:link w:val="17"/>
    <w:uiPriority w:val="0"/>
    <w:rPr>
      <w:rFonts w:hint="default" w:ascii="Times New Roman" w:hAnsi="Times New Roman" w:cs="Times New Roman"/>
      <w:kern w:val="2"/>
      <w:sz w:val="21"/>
      <w:szCs w:val="24"/>
    </w:rPr>
  </w:style>
  <w:style w:type="character" w:customStyle="1" w:styleId="54">
    <w:name w:val="zi1"/>
    <w:basedOn w:val="20"/>
    <w:uiPriority w:val="0"/>
    <w:rPr>
      <w:color w:val="000000"/>
      <w:sz w:val="18"/>
      <w:szCs w:val="18"/>
    </w:rPr>
  </w:style>
  <w:style w:type="character" w:customStyle="1" w:styleId="55">
    <w:name w:val="表内字 Char Char"/>
    <w:basedOn w:val="20"/>
    <w:link w:val="56"/>
    <w:uiPriority w:val="0"/>
    <w:rPr>
      <w:rFonts w:hint="default" w:ascii="Tahoma" w:hAnsi="Tahoma" w:eastAsia="Tahoma" w:cs="Tahoma"/>
      <w:sz w:val="21"/>
      <w:szCs w:val="21"/>
    </w:rPr>
  </w:style>
  <w:style w:type="paragraph" w:customStyle="1" w:styleId="56">
    <w:name w:val="表内字"/>
    <w:basedOn w:val="1"/>
    <w:link w:val="55"/>
    <w:uiPriority w:val="0"/>
    <w:pPr>
      <w:keepNext w:val="0"/>
      <w:keepLines w:val="0"/>
      <w:widowControl w:val="0"/>
      <w:suppressLineNumbers w:val="0"/>
      <w:autoSpaceDE w:val="0"/>
      <w:autoSpaceDN w:val="0"/>
      <w:adjustRightInd w:val="0"/>
      <w:snapToGrid w:val="0"/>
      <w:spacing w:before="0" w:beforeAutospacing="0" w:after="0" w:afterAutospacing="0"/>
      <w:ind w:left="0" w:right="0"/>
      <w:jc w:val="center"/>
    </w:pPr>
    <w:rPr>
      <w:rFonts w:hint="default" w:ascii="Tahoma" w:hAnsi="Tahoma" w:eastAsia="宋体" w:cs="Tahoma"/>
      <w:kern w:val="0"/>
      <w:sz w:val="21"/>
      <w:szCs w:val="21"/>
      <w:lang w:val="en-US" w:eastAsia="zh-CN" w:bidi="ar"/>
    </w:rPr>
  </w:style>
  <w:style w:type="character" w:customStyle="1" w:styleId="57">
    <w:name w:val="表格 Char"/>
    <w:basedOn w:val="20"/>
    <w:link w:val="58"/>
    <w:uiPriority w:val="0"/>
    <w:rPr>
      <w:rFonts w:hint="eastAsia" w:ascii="宋体" w:hAnsi="宋体" w:eastAsia="宋体" w:cs="宋体"/>
      <w:sz w:val="21"/>
    </w:rPr>
  </w:style>
  <w:style w:type="paragraph" w:customStyle="1" w:styleId="58">
    <w:name w:val="表格"/>
    <w:basedOn w:val="1"/>
    <w:next w:val="1"/>
    <w:link w:val="57"/>
    <w:uiPriority w:val="0"/>
    <w:pPr>
      <w:keepNext w:val="0"/>
      <w:keepLines w:val="0"/>
      <w:widowControl w:val="0"/>
      <w:suppressLineNumbers w:val="0"/>
      <w:adjustRightInd w:val="0"/>
      <w:snapToGrid w:val="0"/>
      <w:spacing w:before="0" w:beforeLines="10" w:beforeAutospacing="0" w:after="0" w:afterAutospacing="0" w:line="256" w:lineRule="auto"/>
      <w:ind w:left="0" w:right="0"/>
      <w:jc w:val="center"/>
    </w:pPr>
    <w:rPr>
      <w:rFonts w:hint="eastAsia" w:ascii="宋体" w:hAnsi="Calibri" w:eastAsia="宋体" w:cs="Times New Roman"/>
      <w:kern w:val="0"/>
      <w:sz w:val="21"/>
      <w:szCs w:val="20"/>
      <w:lang w:val="en-US" w:eastAsia="zh-CN" w:bidi="ar"/>
    </w:rPr>
  </w:style>
  <w:style w:type="paragraph" w:customStyle="1" w:styleId="59">
    <w:name w:val="表内文本"/>
    <w:basedOn w:val="1"/>
    <w:link w:val="61"/>
    <w:uiPriority w:val="0"/>
    <w:pPr>
      <w:keepNext w:val="0"/>
      <w:keepLines w:val="0"/>
      <w:widowControl w:val="0"/>
      <w:suppressLineNumbers w:val="0"/>
      <w:adjustRightInd w:val="0"/>
      <w:snapToGrid w:val="0"/>
      <w:spacing w:before="0" w:beforeAutospacing="0" w:after="0" w:afterAutospacing="0" w:line="460" w:lineRule="atLeast"/>
      <w:ind w:left="0" w:right="0" w:firstLine="200" w:firstLineChars="200"/>
      <w:jc w:val="both"/>
    </w:pPr>
    <w:rPr>
      <w:rFonts w:hint="default" w:ascii="Times New Roman" w:hAnsi="Times New Roman" w:eastAsia="宋体" w:cs="Times New Roman"/>
      <w:bCs/>
      <w:kern w:val="2"/>
      <w:sz w:val="26"/>
      <w:szCs w:val="72"/>
      <w:lang w:val="en-US" w:eastAsia="zh-CN" w:bidi="ar"/>
    </w:rPr>
  </w:style>
  <w:style w:type="character" w:customStyle="1" w:styleId="60">
    <w:name w:val="样式 表中文字 + Char"/>
    <w:basedOn w:val="20"/>
    <w:uiPriority w:val="0"/>
    <w:rPr>
      <w:rFonts w:hint="default" w:ascii="Times New Roman" w:hAnsi="Times New Roman" w:cs="Times New Roman"/>
      <w:b/>
      <w:sz w:val="21"/>
      <w:szCs w:val="21"/>
    </w:rPr>
  </w:style>
  <w:style w:type="character" w:customStyle="1" w:styleId="61">
    <w:name w:val="表内文本 Char"/>
    <w:basedOn w:val="20"/>
    <w:link w:val="59"/>
    <w:uiPriority w:val="0"/>
    <w:rPr>
      <w:rFonts w:hint="default" w:ascii="Times New Roman" w:hAnsi="Times New Roman" w:cs="Times New Roman"/>
      <w:bCs/>
      <w:kern w:val="2"/>
      <w:sz w:val="26"/>
      <w:szCs w:val="72"/>
    </w:rPr>
  </w:style>
  <w:style w:type="character" w:customStyle="1" w:styleId="62">
    <w:name w:val="正文文本 字符1"/>
    <w:basedOn w:val="20"/>
    <w:uiPriority w:val="0"/>
    <w:rPr>
      <w:rFonts w:hint="default" w:ascii="Times New Roman" w:hAnsi="Times New Roman" w:eastAsia="宋体" w:cs="Times New Roman"/>
      <w:sz w:val="24"/>
    </w:rPr>
  </w:style>
  <w:style w:type="character" w:customStyle="1" w:styleId="63">
    <w:name w:val="纯文本 字符"/>
    <w:basedOn w:val="20"/>
    <w:uiPriority w:val="0"/>
    <w:rPr>
      <w:rFonts w:hint="eastAsia" w:ascii="宋体" w:hAnsi="Courier New" w:eastAsia="宋体" w:cs="宋体"/>
      <w:kern w:val="2"/>
      <w:sz w:val="24"/>
      <w:lang w:val="en-US" w:eastAsia="zh-CN" w:bidi="ar"/>
    </w:rPr>
  </w:style>
  <w:style w:type="character" w:customStyle="1" w:styleId="64">
    <w:name w:val="表中文字 Char1"/>
    <w:basedOn w:val="20"/>
    <w:uiPriority w:val="0"/>
    <w:rPr>
      <w:rFonts w:hint="default" w:ascii="Times New Roman" w:hAnsi="Times New Roman" w:eastAsia="宋体" w:cs="Times New Roman"/>
      <w:sz w:val="21"/>
      <w:szCs w:val="24"/>
    </w:rPr>
  </w:style>
  <w:style w:type="character" w:customStyle="1" w:styleId="65">
    <w:name w:val="正文四号 Char"/>
    <w:basedOn w:val="20"/>
    <w:uiPriority w:val="0"/>
    <w:rPr>
      <w:rFonts w:hint="eastAsia" w:ascii="宋体" w:hAnsi="宋体" w:eastAsia="宋体" w:cs="宋体"/>
      <w:kern w:val="2"/>
      <w:sz w:val="24"/>
    </w:rPr>
  </w:style>
  <w:style w:type="character" w:customStyle="1" w:styleId="66">
    <w:name w:val="页脚 字符"/>
    <w:basedOn w:val="20"/>
    <w:uiPriority w:val="0"/>
  </w:style>
  <w:style w:type="character" w:customStyle="1" w:styleId="67">
    <w:name w:val="MY表内字 Char"/>
    <w:basedOn w:val="20"/>
    <w:uiPriority w:val="0"/>
    <w:rPr>
      <w:color w:val="000000"/>
      <w:sz w:val="21"/>
      <w:szCs w:val="24"/>
    </w:rPr>
  </w:style>
  <w:style w:type="character" w:customStyle="1" w:styleId="68">
    <w:name w:val="表中文字 Char"/>
    <w:basedOn w:val="20"/>
    <w:link w:val="69"/>
    <w:uiPriority w:val="0"/>
    <w:rPr>
      <w:sz w:val="21"/>
    </w:rPr>
  </w:style>
  <w:style w:type="paragraph" w:customStyle="1" w:styleId="69">
    <w:name w:val="表中文字"/>
    <w:basedOn w:val="1"/>
    <w:link w:val="68"/>
    <w:uiPriority w:val="0"/>
    <w:pPr>
      <w:keepNext w:val="0"/>
      <w:keepLines w:val="0"/>
      <w:widowControl w:val="0"/>
      <w:suppressLineNumbers w:val="0"/>
      <w:adjustRightInd w:val="0"/>
      <w:snapToGrid w:val="0"/>
      <w:spacing w:before="0" w:beforeAutospacing="0" w:after="0" w:afterAutospacing="0" w:line="240" w:lineRule="atLeast"/>
      <w:ind w:left="0" w:right="0"/>
      <w:jc w:val="center"/>
    </w:pPr>
    <w:rPr>
      <w:rFonts w:hint="default" w:ascii="Calibri" w:hAnsi="Calibri" w:eastAsia="宋体" w:cs="Times New Roman"/>
      <w:kern w:val="0"/>
      <w:sz w:val="21"/>
      <w:szCs w:val="20"/>
      <w:lang w:val="en-US" w:eastAsia="zh-CN" w:bidi="ar"/>
    </w:rPr>
  </w:style>
  <w:style w:type="paragraph" w:customStyle="1" w:styleId="70">
    <w:name w:val="表头"/>
    <w:basedOn w:val="7"/>
    <w:link w:val="105"/>
    <w:uiPriority w:val="0"/>
    <w:pPr>
      <w:keepNext w:val="0"/>
      <w:keepLines w:val="0"/>
      <w:widowControl w:val="0"/>
      <w:suppressLineNumbers w:val="0"/>
      <w:adjustRightInd w:val="0"/>
      <w:snapToGrid w:val="0"/>
      <w:spacing w:before="0" w:beforeAutospacing="0" w:after="0" w:afterAutospacing="0" w:line="400" w:lineRule="exact"/>
      <w:ind w:left="0" w:right="0"/>
      <w:jc w:val="center"/>
    </w:pPr>
    <w:rPr>
      <w:rFonts w:hint="default" w:ascii="Times New Roman" w:hAnsi="Times New Roman" w:eastAsia="宋体" w:cs="Times New Roman"/>
      <w:b/>
      <w:kern w:val="2"/>
      <w:sz w:val="24"/>
      <w:szCs w:val="24"/>
      <w:lang w:val="en-US" w:eastAsia="zh-CN" w:bidi="ar"/>
    </w:rPr>
  </w:style>
  <w:style w:type="character" w:customStyle="1" w:styleId="71">
    <w:name w:val="1L表格 Char"/>
    <w:basedOn w:val="20"/>
    <w:uiPriority w:val="0"/>
    <w:rPr>
      <w:rFonts w:hint="default" w:ascii="Times New Roman" w:hAnsi="Times New Roman" w:eastAsia="Times New Roman" w:cs="Times New Roman"/>
      <w:sz w:val="21"/>
    </w:rPr>
  </w:style>
  <w:style w:type="character" w:customStyle="1" w:styleId="72">
    <w:name w:val="正文 首行缩进:  2 字符 Char Char"/>
    <w:basedOn w:val="20"/>
    <w:link w:val="73"/>
    <w:uiPriority w:val="0"/>
    <w:rPr>
      <w:b/>
      <w:bCs/>
      <w:kern w:val="2"/>
      <w:sz w:val="24"/>
      <w:szCs w:val="24"/>
    </w:rPr>
  </w:style>
  <w:style w:type="paragraph" w:customStyle="1" w:styleId="73">
    <w:name w:val="正文 首行缩进:  2 字符"/>
    <w:basedOn w:val="1"/>
    <w:link w:val="72"/>
    <w:uiPriority w:val="0"/>
    <w:pPr>
      <w:keepNext w:val="0"/>
      <w:keepLines w:val="0"/>
      <w:widowControl w:val="0"/>
      <w:suppressLineNumbers w:val="0"/>
      <w:spacing w:before="0" w:beforeAutospacing="0" w:after="0" w:afterAutospacing="0" w:line="440" w:lineRule="exact"/>
      <w:ind w:left="0" w:right="0" w:firstLine="480" w:firstLineChars="200"/>
      <w:jc w:val="both"/>
    </w:pPr>
    <w:rPr>
      <w:rFonts w:hint="default" w:ascii="Calibri" w:hAnsi="Calibri" w:eastAsia="宋体" w:cs="Times New Roman"/>
      <w:b/>
      <w:bCs/>
      <w:kern w:val="2"/>
      <w:sz w:val="24"/>
      <w:szCs w:val="24"/>
      <w:lang w:val="en-US" w:eastAsia="zh-CN" w:bidi="ar"/>
    </w:rPr>
  </w:style>
  <w:style w:type="character" w:customStyle="1" w:styleId="74">
    <w:name w:val="fontstyle01"/>
    <w:basedOn w:val="20"/>
    <w:uiPriority w:val="0"/>
    <w:rPr>
      <w:rFonts w:hint="eastAsia" w:ascii="宋体" w:hAnsi="宋体" w:eastAsia="宋体" w:cs="宋体"/>
      <w:color w:val="000000"/>
      <w:sz w:val="22"/>
      <w:szCs w:val="22"/>
    </w:rPr>
  </w:style>
  <w:style w:type="character" w:customStyle="1" w:styleId="75">
    <w:name w:val=" Char Char1"/>
    <w:basedOn w:val="20"/>
    <w:uiPriority w:val="0"/>
    <w:rPr>
      <w:rFonts w:hint="eastAsia" w:ascii="宋体" w:hAnsi="Courier New" w:eastAsia="宋体" w:cs="宋体"/>
      <w:kern w:val="2"/>
      <w:sz w:val="21"/>
      <w:lang w:val="en-US" w:eastAsia="zh-CN" w:bidi="ar"/>
    </w:rPr>
  </w:style>
  <w:style w:type="character" w:customStyle="1" w:styleId="76">
    <w:name w:val="4小表 Char"/>
    <w:basedOn w:val="20"/>
    <w:uiPriority w:val="0"/>
    <w:rPr>
      <w:rFonts w:hint="default" w:ascii="Times New Roman" w:hAnsi="Times New Roman" w:cs="Times New Roman"/>
      <w:sz w:val="22"/>
      <w:szCs w:val="21"/>
    </w:rPr>
  </w:style>
  <w:style w:type="character" w:customStyle="1" w:styleId="77">
    <w:name w:val="批注文字 字符1"/>
    <w:basedOn w:val="20"/>
    <w:uiPriority w:val="0"/>
    <w:rPr>
      <w:rFonts w:hint="default" w:ascii="Times New Roman" w:hAnsi="Times New Roman" w:eastAsia="宋体" w:cs="Times New Roman"/>
      <w:sz w:val="24"/>
    </w:rPr>
  </w:style>
  <w:style w:type="character" w:customStyle="1" w:styleId="78">
    <w:name w:val="表内小字"/>
    <w:basedOn w:val="20"/>
    <w:uiPriority w:val="0"/>
    <w:rPr>
      <w:rFonts w:hint="default" w:ascii="Times New Roman" w:hAnsi="Times New Roman" w:eastAsia="宋体" w:cs="Times New Roman"/>
      <w:kern w:val="2"/>
      <w:sz w:val="18"/>
      <w:szCs w:val="24"/>
    </w:rPr>
  </w:style>
  <w:style w:type="character" w:customStyle="1" w:styleId="79">
    <w:name w:val="新格式表 Char"/>
    <w:basedOn w:val="20"/>
    <w:link w:val="80"/>
    <w:uiPriority w:val="0"/>
    <w:rPr>
      <w:rFonts w:hint="default" w:ascii="Times New Roman" w:hAnsi="Times New Roman" w:cs="Times New Roman"/>
      <w:b/>
      <w:snapToGrid w:val="0"/>
      <w:kern w:val="2"/>
      <w:sz w:val="21"/>
      <w:szCs w:val="21"/>
    </w:rPr>
  </w:style>
  <w:style w:type="paragraph" w:customStyle="1" w:styleId="80">
    <w:name w:val="新格式表"/>
    <w:basedOn w:val="1"/>
    <w:link w:val="79"/>
    <w:uiPriority w:val="0"/>
    <w:pPr>
      <w:keepNext w:val="0"/>
      <w:keepLines w:val="0"/>
      <w:widowControl w:val="0"/>
      <w:suppressLineNumbers w:val="0"/>
      <w:adjustRightInd w:val="0"/>
      <w:snapToGrid w:val="0"/>
      <w:spacing w:before="0" w:beforeAutospacing="0" w:after="0" w:afterAutospacing="0" w:line="300" w:lineRule="exact"/>
      <w:ind w:left="0" w:right="0"/>
      <w:jc w:val="both"/>
    </w:pPr>
    <w:rPr>
      <w:rFonts w:hint="default" w:ascii="Times New Roman" w:hAnsi="Times New Roman" w:eastAsia="宋体" w:cs="Times New Roman"/>
      <w:b/>
      <w:kern w:val="2"/>
      <w:sz w:val="21"/>
      <w:szCs w:val="21"/>
      <w:lang w:val="en-US" w:eastAsia="zh-CN" w:bidi="ar"/>
    </w:rPr>
  </w:style>
  <w:style w:type="character" w:customStyle="1" w:styleId="81">
    <w:name w:val="L表格 Char"/>
    <w:basedOn w:val="20"/>
    <w:uiPriority w:val="0"/>
    <w:rPr>
      <w:rFonts w:hint="default" w:ascii="Times New Roman" w:hAnsi="Times New Roman" w:eastAsia="Times New Roman" w:cs="Times New Roman"/>
    </w:rPr>
  </w:style>
  <w:style w:type="character" w:customStyle="1" w:styleId="82">
    <w:name w:val="新格式表 Char Char"/>
    <w:basedOn w:val="20"/>
    <w:uiPriority w:val="0"/>
    <w:rPr>
      <w:b/>
      <w:bCs/>
      <w:color w:val="FF0000"/>
      <w:kern w:val="2"/>
      <w:sz w:val="21"/>
      <w:szCs w:val="21"/>
    </w:rPr>
  </w:style>
  <w:style w:type="character" w:customStyle="1" w:styleId="83">
    <w:name w:val="无间隔 Char"/>
    <w:basedOn w:val="20"/>
    <w:uiPriority w:val="0"/>
    <w:rPr>
      <w:rFonts w:hint="default" w:ascii="Times New Roman" w:hAnsi="Times New Roman" w:cs="Times New Roman"/>
      <w:sz w:val="24"/>
      <w:szCs w:val="24"/>
    </w:rPr>
  </w:style>
  <w:style w:type="character" w:customStyle="1" w:styleId="84">
    <w:name w:val="无间隔 Char1"/>
    <w:basedOn w:val="20"/>
    <w:uiPriority w:val="0"/>
    <w:rPr>
      <w:rFonts w:hint="default" w:ascii="Times New Roman" w:hAnsi="Times New Roman" w:cs="Times New Roman"/>
      <w:sz w:val="24"/>
      <w:szCs w:val="24"/>
      <w:lang w:bidi="ar"/>
    </w:rPr>
  </w:style>
  <w:style w:type="character" w:customStyle="1" w:styleId="85">
    <w:name w:val="报告书正文 Char2"/>
    <w:basedOn w:val="20"/>
    <w:uiPriority w:val="0"/>
    <w:rPr>
      <w:rFonts w:hint="default" w:ascii="Times New Roman" w:hAnsi="Times New Roman" w:cs="Times New Roman"/>
      <w:b/>
      <w:bCs/>
      <w:color w:val="000000"/>
      <w:sz w:val="28"/>
      <w:szCs w:val="24"/>
    </w:rPr>
  </w:style>
  <w:style w:type="character" w:customStyle="1" w:styleId="86">
    <w:name w:val="图内字 Char"/>
    <w:basedOn w:val="20"/>
    <w:uiPriority w:val="0"/>
    <w:rPr>
      <w:kern w:val="2"/>
      <w:sz w:val="21"/>
      <w:szCs w:val="22"/>
    </w:rPr>
  </w:style>
  <w:style w:type="paragraph" w:customStyle="1" w:styleId="87">
    <w:name w:val="表内字体111"/>
    <w:basedOn w:val="1"/>
    <w:uiPriority w:val="0"/>
    <w:pPr>
      <w:keepNext w:val="0"/>
      <w:keepLines w:val="0"/>
      <w:widowControl w:val="0"/>
      <w:suppressLineNumbers w:val="0"/>
      <w:adjustRightInd w:val="0"/>
      <w:snapToGrid w:val="0"/>
      <w:spacing w:before="0" w:beforeAutospacing="0" w:after="0" w:afterAutospacing="0" w:line="300" w:lineRule="exact"/>
      <w:ind w:left="0" w:right="0"/>
      <w:jc w:val="center"/>
    </w:pPr>
    <w:rPr>
      <w:rFonts w:hint="default" w:ascii="Times New Roman" w:hAnsi="Times New Roman" w:eastAsia="宋体" w:cs="Times New Roman"/>
      <w:kern w:val="0"/>
      <w:sz w:val="21"/>
      <w:szCs w:val="24"/>
      <w:lang w:val="en-US" w:eastAsia="zh-CN" w:bidi="ar"/>
    </w:rPr>
  </w:style>
  <w:style w:type="paragraph" w:customStyle="1" w:styleId="88">
    <w:name w:val="环评正文"/>
    <w:basedOn w:val="1"/>
    <w:uiPriority w:val="0"/>
    <w:pPr>
      <w:keepNext w:val="0"/>
      <w:keepLines w:val="0"/>
      <w:widowControl w:val="0"/>
      <w:suppressLineNumbers w:val="0"/>
      <w:spacing w:before="60" w:beforeAutospacing="0" w:after="60" w:afterAutospacing="0" w:line="400" w:lineRule="exact"/>
      <w:ind w:left="0" w:right="0" w:firstLine="480" w:firstLineChars="200"/>
      <w:jc w:val="both"/>
    </w:pPr>
    <w:rPr>
      <w:rFonts w:hint="default" w:ascii="Times New Roman" w:hAnsi="Times New Roman" w:eastAsia="仿宋_GB2312" w:cs="Times New Roman"/>
      <w:kern w:val="2"/>
      <w:sz w:val="24"/>
      <w:szCs w:val="24"/>
      <w:lang w:val="en-US" w:eastAsia="zh-CN" w:bidi="ar"/>
    </w:rPr>
  </w:style>
  <w:style w:type="paragraph" w:customStyle="1" w:styleId="89">
    <w:name w:val="m表格文字"/>
    <w:basedOn w:val="1"/>
    <w:link w:val="97"/>
    <w:uiPriority w:val="0"/>
    <w:pPr>
      <w:keepNext w:val="0"/>
      <w:keepLines w:val="0"/>
      <w:widowControl/>
      <w:suppressLineNumbers w:val="0"/>
      <w:spacing w:before="0" w:beforeAutospacing="0" w:after="0" w:afterAutospacing="0"/>
      <w:ind w:left="0" w:right="0"/>
      <w:jc w:val="center"/>
    </w:pPr>
    <w:rPr>
      <w:rFonts w:hint="default" w:ascii="Times New Roman" w:hAnsi="Times New Roman" w:eastAsia="宋体" w:cs="Times New Roman"/>
      <w:kern w:val="0"/>
      <w:sz w:val="21"/>
      <w:szCs w:val="20"/>
      <w:lang w:val="en-US" w:eastAsia="zh-CN" w:bidi="ar"/>
    </w:rPr>
  </w:style>
  <w:style w:type="character" w:customStyle="1" w:styleId="90">
    <w:name w:val="Default Char"/>
    <w:basedOn w:val="20"/>
    <w:link w:val="30"/>
    <w:uiPriority w:val="0"/>
    <w:rPr>
      <w:rFonts w:hint="eastAsia" w:ascii="宋体" w:hAnsi="Times New Roman" w:eastAsia="宋体" w:cs="宋体"/>
      <w:color w:val="000000"/>
      <w:sz w:val="24"/>
      <w:szCs w:val="24"/>
    </w:rPr>
  </w:style>
  <w:style w:type="paragraph" w:customStyle="1" w:styleId="91">
    <w:name w:val="表内容"/>
    <w:basedOn w:val="1"/>
    <w:uiPriority w:val="0"/>
    <w:pPr>
      <w:keepNext w:val="0"/>
      <w:keepLines w:val="0"/>
      <w:widowControl w:val="0"/>
      <w:suppressLineNumbers w:val="0"/>
      <w:spacing w:before="0" w:beforeAutospacing="0" w:after="0" w:afterAutospacing="0" w:line="360" w:lineRule="exact"/>
      <w:ind w:left="0" w:right="0"/>
      <w:jc w:val="center"/>
    </w:pPr>
    <w:rPr>
      <w:rFonts w:hint="default" w:ascii="Times New Roman" w:hAnsi="Times New Roman" w:eastAsia="宋体" w:cs="Times New Roman"/>
      <w:kern w:val="2"/>
      <w:sz w:val="21"/>
      <w:szCs w:val="24"/>
      <w:lang w:val="en-US" w:eastAsia="zh-CN" w:bidi="ar"/>
    </w:rPr>
  </w:style>
  <w:style w:type="paragraph" w:customStyle="1" w:styleId="92">
    <w:name w:val="表格正文"/>
    <w:basedOn w:val="1"/>
    <w:uiPriority w:val="0"/>
    <w:pPr>
      <w:keepNext w:val="0"/>
      <w:keepLines w:val="0"/>
      <w:widowControl w:val="0"/>
      <w:suppressLineNumbers w:val="0"/>
      <w:spacing w:before="0" w:beforeAutospacing="0" w:after="0" w:afterAutospacing="0" w:line="360" w:lineRule="exact"/>
      <w:ind w:left="0" w:right="0"/>
      <w:jc w:val="center"/>
    </w:pPr>
    <w:rPr>
      <w:rFonts w:hint="default" w:ascii="Times New Roman" w:hAnsi="Times New Roman" w:eastAsia="宋体" w:cs="Times New Roman"/>
      <w:kern w:val="2"/>
      <w:sz w:val="21"/>
      <w:szCs w:val="20"/>
      <w:lang w:val="en-US" w:eastAsia="zh-CN" w:bidi="ar"/>
    </w:rPr>
  </w:style>
  <w:style w:type="paragraph" w:customStyle="1" w:styleId="93">
    <w:name w:val="1表题"/>
    <w:basedOn w:val="1"/>
    <w:next w:val="1"/>
    <w:uiPriority w:val="0"/>
    <w:pPr>
      <w:keepNext w:val="0"/>
      <w:keepLines w:val="0"/>
      <w:widowControl w:val="0"/>
      <w:suppressLineNumbers w:val="0"/>
      <w:spacing w:before="0" w:beforeAutospacing="0" w:after="0" w:afterAutospacing="0" w:line="460" w:lineRule="exact"/>
      <w:ind w:left="0" w:right="0"/>
      <w:jc w:val="center"/>
    </w:pPr>
    <w:rPr>
      <w:rFonts w:hint="default" w:ascii="Times New Roman" w:hAnsi="Times New Roman" w:eastAsia="宋体" w:cs="Times New Roman"/>
      <w:b/>
      <w:color w:val="000000"/>
      <w:kern w:val="2"/>
      <w:sz w:val="21"/>
      <w:szCs w:val="24"/>
      <w:lang w:val="en-US" w:eastAsia="zh-CN" w:bidi="ar"/>
    </w:rPr>
  </w:style>
  <w:style w:type="character" w:customStyle="1" w:styleId="94">
    <w:name w:val="m表格多文字 Char"/>
    <w:basedOn w:val="20"/>
    <w:uiPriority w:val="0"/>
    <w:rPr>
      <w:rFonts w:hint="default" w:ascii="Times New Roman" w:hAnsi="Times New Roman" w:cs="Times New Roman"/>
      <w:sz w:val="21"/>
    </w:rPr>
  </w:style>
  <w:style w:type="character" w:customStyle="1" w:styleId="95">
    <w:name w:val="表多行 Char"/>
    <w:basedOn w:val="64"/>
    <w:uiPriority w:val="0"/>
    <w:rPr>
      <w:rFonts w:hint="default" w:ascii="Times New Roman" w:hAnsi="Times New Roman" w:eastAsia="宋体" w:cs="Times New Roman"/>
      <w:color w:val="000000"/>
      <w:sz w:val="21"/>
      <w:szCs w:val="21"/>
    </w:rPr>
  </w:style>
  <w:style w:type="paragraph" w:customStyle="1" w:styleId="96">
    <w:name w:val="表格内容居中"/>
    <w:basedOn w:val="1"/>
    <w:uiPriority w:val="0"/>
    <w:pPr>
      <w:keepNext w:val="0"/>
      <w:keepLines w:val="0"/>
      <w:widowControl/>
      <w:suppressLineNumbers w:val="0"/>
      <w:adjustRightInd w:val="0"/>
      <w:snapToGrid w:val="0"/>
      <w:spacing w:before="0" w:beforeAutospacing="0" w:after="0" w:afterAutospacing="0"/>
      <w:ind w:left="0" w:right="0"/>
      <w:jc w:val="center"/>
    </w:pPr>
    <w:rPr>
      <w:rFonts w:hint="default" w:ascii="Times New Roman" w:hAnsi="Times New Roman" w:eastAsia="宋体" w:cs="Times New Roman"/>
      <w:kern w:val="0"/>
      <w:sz w:val="18"/>
      <w:szCs w:val="21"/>
      <w:lang w:val="en-US" w:eastAsia="zh-CN" w:bidi="ar"/>
    </w:rPr>
  </w:style>
  <w:style w:type="character" w:customStyle="1" w:styleId="97">
    <w:name w:val="m表格文字 Char"/>
    <w:basedOn w:val="20"/>
    <w:link w:val="89"/>
    <w:uiPriority w:val="0"/>
    <w:rPr>
      <w:rFonts w:hint="default" w:ascii="Times New Roman" w:hAnsi="Times New Roman" w:cs="Times New Roman"/>
      <w:sz w:val="21"/>
    </w:rPr>
  </w:style>
  <w:style w:type="paragraph" w:customStyle="1" w:styleId="98">
    <w:name w:val="T表内字"/>
    <w:basedOn w:val="1"/>
    <w:uiPriority w:val="0"/>
    <w:pPr>
      <w:keepNext w:val="0"/>
      <w:keepLines w:val="0"/>
      <w:widowControl/>
      <w:suppressLineNumbers w:val="0"/>
      <w:spacing w:before="0" w:beforeAutospacing="0" w:after="0" w:afterAutospacing="0"/>
      <w:ind w:left="0" w:right="0"/>
      <w:jc w:val="center"/>
    </w:pPr>
    <w:rPr>
      <w:rFonts w:hint="default" w:ascii="Times New Roman" w:hAnsi="Times New Roman" w:eastAsia="宋体" w:cs="Times New Roman"/>
      <w:kern w:val="0"/>
      <w:sz w:val="21"/>
      <w:szCs w:val="24"/>
      <w:lang w:val="en-US" w:eastAsia="zh-CN" w:bidi="ar"/>
    </w:rPr>
  </w:style>
  <w:style w:type="character" w:customStyle="1" w:styleId="99">
    <w:name w:val="表格内居中文字 Char"/>
    <w:basedOn w:val="20"/>
    <w:link w:val="28"/>
    <w:uiPriority w:val="0"/>
    <w:rPr>
      <w:rFonts w:hint="default" w:ascii="Times New Roman" w:hAnsi="Times New Roman" w:cs="Times New Roman"/>
      <w:kern w:val="2"/>
      <w:sz w:val="21"/>
      <w:szCs w:val="24"/>
    </w:rPr>
  </w:style>
  <w:style w:type="paragraph" w:customStyle="1" w:styleId="100">
    <w:name w:val="样式6565656"/>
    <w:basedOn w:val="1"/>
    <w:link w:val="101"/>
    <w:uiPriority w:val="0"/>
    <w:pPr>
      <w:keepNext w:val="0"/>
      <w:keepLines w:val="0"/>
      <w:widowControl w:val="0"/>
      <w:suppressLineNumbers w:val="0"/>
      <w:adjustRightInd w:val="0"/>
      <w:snapToGrid w:val="0"/>
      <w:spacing w:before="0" w:beforeAutospacing="0" w:after="0" w:afterAutospacing="0" w:line="460" w:lineRule="atLeast"/>
      <w:ind w:left="0" w:right="0" w:firstLine="480" w:firstLineChars="200"/>
      <w:jc w:val="left"/>
    </w:pPr>
    <w:rPr>
      <w:rFonts w:hint="default" w:ascii="Times New Roman" w:hAnsi="宋体" w:eastAsia="宋体" w:cs="Times New Roman"/>
      <w:bCs/>
      <w:kern w:val="2"/>
      <w:sz w:val="24"/>
      <w:szCs w:val="24"/>
      <w:lang w:val="en-US" w:eastAsia="zh-CN" w:bidi="ar"/>
    </w:rPr>
  </w:style>
  <w:style w:type="character" w:customStyle="1" w:styleId="101">
    <w:name w:val="样式6565656 Char"/>
    <w:basedOn w:val="20"/>
    <w:link w:val="100"/>
    <w:uiPriority w:val="0"/>
    <w:rPr>
      <w:rFonts w:hint="default" w:ascii="Times New Roman" w:hAnsi="宋体" w:cs="Times New Roman"/>
      <w:bCs/>
      <w:kern w:val="2"/>
      <w:sz w:val="24"/>
      <w:szCs w:val="24"/>
    </w:rPr>
  </w:style>
  <w:style w:type="character" w:customStyle="1" w:styleId="102">
    <w:name w:val="宋体 1.5行距 Char"/>
    <w:basedOn w:val="20"/>
    <w:uiPriority w:val="0"/>
    <w:rPr>
      <w:rFonts w:hint="default" w:ascii="Times New Roman" w:hAnsi="Times New Roman" w:cs="Times New Roman"/>
      <w:color w:val="000000"/>
      <w:kern w:val="2"/>
      <w:sz w:val="21"/>
      <w:szCs w:val="36"/>
    </w:rPr>
  </w:style>
  <w:style w:type="character" w:customStyle="1" w:styleId="103">
    <w:name w:val="列出段落 Char"/>
    <w:basedOn w:val="20"/>
    <w:uiPriority w:val="0"/>
    <w:rPr>
      <w:rFonts w:hint="default" w:ascii="Times New Roman" w:hAnsi="Times New Roman" w:cs="Times New Roman"/>
      <w:kern w:val="2"/>
      <w:sz w:val="21"/>
    </w:rPr>
  </w:style>
  <w:style w:type="character" w:customStyle="1" w:styleId="104">
    <w:name w:val="正文缩进 Char4"/>
    <w:basedOn w:val="20"/>
    <w:uiPriority w:val="0"/>
    <w:rPr>
      <w:rFonts w:hint="eastAsia" w:ascii="宋体" w:hAnsi="宋体" w:eastAsia="宋体" w:cs="宋体"/>
      <w:b/>
      <w:sz w:val="24"/>
      <w:szCs w:val="24"/>
      <w:lang w:bidi="ar"/>
    </w:rPr>
  </w:style>
  <w:style w:type="character" w:customStyle="1" w:styleId="105">
    <w:name w:val="表头 字符"/>
    <w:basedOn w:val="20"/>
    <w:link w:val="70"/>
    <w:uiPriority w:val="0"/>
    <w:rPr>
      <w:rFonts w:hint="default" w:ascii="Times New Roman" w:hAnsi="Times New Roman" w:cs="Times New Roman"/>
      <w:b/>
      <w:kern w:val="2"/>
      <w:sz w:val="24"/>
      <w:szCs w:val="24"/>
    </w:rPr>
  </w:style>
  <w:style w:type="paragraph" w:customStyle="1" w:styleId="106">
    <w:name w:val="样式 正文缩进正文缩进2正文缩进 Char Char正文缩进 Char Char Char Char正文缩进 Char ..."/>
    <w:basedOn w:val="4"/>
    <w:uiPriority w:val="0"/>
    <w:pPr>
      <w:keepNext w:val="0"/>
      <w:keepLines w:val="0"/>
      <w:widowControl w:val="0"/>
      <w:suppressLineNumbers w:val="0"/>
      <w:adjustRightInd w:val="0"/>
      <w:snapToGrid w:val="0"/>
      <w:spacing w:before="0" w:beforeAutospacing="0" w:after="0" w:afterAutospacing="0" w:line="360" w:lineRule="auto"/>
      <w:ind w:left="0" w:right="0" w:firstLine="200"/>
      <w:jc w:val="both"/>
    </w:pPr>
    <w:rPr>
      <w:rFonts w:hint="eastAsia" w:ascii="宋体" w:hAnsi="宋体" w:eastAsia="宋体" w:cs="宋体"/>
      <w:kern w:val="0"/>
      <w:sz w:val="24"/>
      <w:szCs w:val="20"/>
      <w:lang w:val="en-US" w:eastAsia="zh-CN" w:bidi="ar"/>
    </w:rPr>
  </w:style>
  <w:style w:type="paragraph" w:customStyle="1" w:styleId="107">
    <w:name w:val="p0"/>
    <w:basedOn w:val="1"/>
    <w:uiPriority w:val="0"/>
    <w:pPr>
      <w:keepNext w:val="0"/>
      <w:keepLines w:val="0"/>
      <w:widowControl/>
      <w:suppressLineNumbers w:val="0"/>
      <w:spacing w:before="0" w:beforeAutospacing="0" w:after="0" w:afterAutospacing="0"/>
      <w:ind w:left="0" w:right="0"/>
      <w:jc w:val="both"/>
    </w:pPr>
    <w:rPr>
      <w:rFonts w:hint="default" w:ascii="Times New Roman" w:hAnsi="Times New Roman" w:eastAsia="宋体" w:cs="Times New Roman"/>
      <w:kern w:val="0"/>
      <w:sz w:val="21"/>
      <w:szCs w:val="21"/>
      <w:lang w:val="en-US" w:eastAsia="zh-CN" w:bidi="ar"/>
    </w:rPr>
  </w:style>
  <w:style w:type="paragraph" w:customStyle="1" w:styleId="108">
    <w:name w:val="表内格式居中"/>
    <w:basedOn w:val="1"/>
    <w:uiPriority w:val="0"/>
    <w:pPr>
      <w:keepNext w:val="0"/>
      <w:keepLines w:val="0"/>
      <w:widowControl w:val="0"/>
      <w:suppressLineNumbers w:val="0"/>
      <w:adjustRightInd w:val="0"/>
      <w:snapToGrid w:val="0"/>
      <w:spacing w:before="0" w:beforeAutospacing="0" w:after="0" w:afterAutospacing="0"/>
      <w:ind w:left="0" w:right="0"/>
      <w:jc w:val="center"/>
    </w:pPr>
    <w:rPr>
      <w:rFonts w:hint="default" w:ascii="Times New Roman" w:hAnsi="Times New Roman" w:eastAsia="宋体" w:cs="Times New Roman"/>
      <w:color w:val="000000"/>
      <w:kern w:val="2"/>
      <w:sz w:val="21"/>
      <w:szCs w:val="21"/>
      <w:lang w:val="en-US" w:eastAsia="zh-CN" w:bidi="ar"/>
    </w:rPr>
  </w:style>
  <w:style w:type="paragraph" w:customStyle="1" w:styleId="109">
    <w:name w:val="Table Text"/>
    <w:basedOn w:val="1"/>
    <w:hidden/>
    <w:uiPriority w:val="0"/>
    <w:pPr>
      <w:keepNext w:val="0"/>
      <w:keepLines w:val="0"/>
      <w:widowControl w:val="0"/>
      <w:suppressLineNumbers w:val="0"/>
      <w:spacing w:before="0" w:beforeAutospacing="0" w:after="0" w:afterAutospacing="0" w:line="520" w:lineRule="exact"/>
      <w:ind w:left="0" w:right="0" w:firstLine="420" w:firstLineChars="200"/>
      <w:jc w:val="both"/>
    </w:pPr>
    <w:rPr>
      <w:rFonts w:hint="eastAsia" w:ascii="宋体" w:hAnsi="宋体" w:eastAsia="宋体" w:cs="宋体"/>
      <w:kern w:val="2"/>
      <w:sz w:val="21"/>
      <w:szCs w:val="21"/>
      <w:lang w:val="en-US" w:eastAsia="zh-CN" w:bidi="ar"/>
    </w:rPr>
  </w:style>
  <w:style w:type="paragraph" w:customStyle="1" w:styleId="110">
    <w:name w:val="表格文字"/>
    <w:basedOn w:val="9"/>
    <w:uiPriority w:val="0"/>
    <w:pPr>
      <w:keepNext w:val="0"/>
      <w:keepLines w:val="0"/>
      <w:widowControl w:val="0"/>
      <w:suppressLineNumbers w:val="0"/>
      <w:adjustRightInd w:val="0"/>
      <w:spacing w:before="0" w:beforeAutospacing="0" w:after="0" w:afterAutospacing="0"/>
      <w:ind w:left="0" w:right="0"/>
      <w:jc w:val="left"/>
    </w:pPr>
    <w:rPr>
      <w:rFonts w:hint="default" w:ascii="Times New Roman" w:hAnsi="Times New Roman" w:eastAsia="宋体" w:cs="Times New Roman"/>
      <w:color w:val="000000"/>
      <w:kern w:val="2"/>
      <w:sz w:val="21"/>
      <w:szCs w:val="28"/>
      <w:lang w:val="en-US" w:eastAsia="zh-CN" w:bidi="ar"/>
    </w:rPr>
  </w:style>
  <w:style w:type="character" w:customStyle="1" w:styleId="111">
    <w:name w:val="表内字 Char"/>
    <w:basedOn w:val="20"/>
    <w:uiPriority w:val="0"/>
    <w:rPr>
      <w:sz w:val="21"/>
      <w:szCs w:val="24"/>
      <w:lang w:bidi="ar"/>
    </w:rPr>
  </w:style>
  <w:style w:type="paragraph" w:customStyle="1" w:styleId="112">
    <w:name w:val="表头格式"/>
    <w:basedOn w:val="1"/>
    <w:uiPriority w:val="0"/>
    <w:pPr>
      <w:keepNext w:val="0"/>
      <w:keepLines w:val="0"/>
      <w:widowControl/>
      <w:suppressLineNumbers w:val="0"/>
      <w:spacing w:before="0" w:beforeLines="50" w:beforeAutospacing="0" w:after="0" w:afterAutospacing="0" w:line="440" w:lineRule="exact"/>
      <w:ind w:left="0" w:right="0"/>
      <w:jc w:val="center"/>
      <w:outlineLvl w:val="4"/>
    </w:pPr>
    <w:rPr>
      <w:rFonts w:hint="default" w:ascii="Times New Roman" w:hAnsi="Times New Roman" w:eastAsia="宋体" w:cs="宋体"/>
      <w:b/>
      <w:color w:val="000000"/>
      <w:kern w:val="0"/>
      <w:sz w:val="26"/>
      <w:szCs w:val="21"/>
      <w:lang w:val="en-US" w:eastAsia="zh-CN" w:bidi="ar"/>
    </w:rPr>
  </w:style>
  <w:style w:type="character" w:customStyle="1" w:styleId="113">
    <w:name w:val="表头 Char"/>
    <w:basedOn w:val="20"/>
    <w:uiPriority w:val="0"/>
    <w:rPr>
      <w:rFonts w:hint="eastAsia" w:ascii="黑体" w:hAnsi="宋体" w:eastAsia="黑体" w:cs="黑体"/>
      <w:sz w:val="28"/>
    </w:rPr>
  </w:style>
  <w:style w:type="character" w:customStyle="1" w:styleId="114">
    <w:name w:val="text_vhnl9"/>
    <w:basedOn w:val="20"/>
    <w:uiPriority w:val="0"/>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4.emf"/><Relationship Id="rId7" Type="http://schemas.openxmlformats.org/officeDocument/2006/relationships/oleObject" Target="embeddings/oleObject1.bin"/><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oleObject" Target="embeddings/oleObject10.bin"/><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oleObject" Target="embeddings/oleObject7.bin"/><Relationship Id="rId17" Type="http://schemas.openxmlformats.org/officeDocument/2006/relationships/oleObject" Target="embeddings/oleObject6.bin"/><Relationship Id="rId16" Type="http://schemas.openxmlformats.org/officeDocument/2006/relationships/image" Target="media/image8.emf"/><Relationship Id="rId15" Type="http://schemas.openxmlformats.org/officeDocument/2006/relationships/oleObject" Target="embeddings/oleObject5.bin"/><Relationship Id="rId14" Type="http://schemas.openxmlformats.org/officeDocument/2006/relationships/image" Target="media/image7.emf"/><Relationship Id="rId13" Type="http://schemas.openxmlformats.org/officeDocument/2006/relationships/oleObject" Target="embeddings/oleObject4.bin"/><Relationship Id="rId12" Type="http://schemas.openxmlformats.org/officeDocument/2006/relationships/image" Target="media/image6.emf"/><Relationship Id="rId11" Type="http://schemas.openxmlformats.org/officeDocument/2006/relationships/oleObject" Target="embeddings/oleObject3.bin"/><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0</Words>
  <Characters>0</Characters>
  <Lines>0</Lines>
  <Paragraphs>0</Paragraphs>
  <TotalTime>0</TotalTime>
  <ScaleCrop>false</ScaleCrop>
  <LinksUpToDate>false</LinksUpToDate>
  <CharactersWithSpaces>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2025-04-18T03:31:19Z</dcterms:created>
  <dc:creator>Administrator</dc:creator>
  <cp:lastModifiedBy>J</cp:lastModifiedBy>
  <dcterms:modified xsi:type="dcterms:W3CDTF">2025-04-18T03:31:43Z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eyJoZGlkIjoiZmE4ZmZiZjRmMDA2NDkwZjdjZGI3MWRkMjZlOGZjYjgiLCJ1c2VySWQiOiIzODc4ODAwMDQifQ==</vt:lpwstr>
  </property>
  <property fmtid="{D5CDD505-2E9C-101B-9397-08002B2CF9AE}" pid="4" name="ICV">
    <vt:lpwstr>D7B6AD22EBE8485C8CD9E9ABD832195C_12</vt:lpwstr>
  </property>
</Properties>
</file>