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DA179D">
      <w:pPr>
        <w:spacing w:line="240" w:lineRule="auto"/>
        <w:ind w:firstLine="0" w:firstLineChars="0"/>
        <w:rPr>
          <w:rFonts w:ascii="仿宋_GB2312" w:hAnsi="仿宋_GB2312" w:eastAsia="仿宋_GB2312" w:cs="仿宋_GB2312"/>
          <w:color w:val="auto"/>
          <w:sz w:val="36"/>
          <w:szCs w:val="36"/>
        </w:rPr>
      </w:pPr>
    </w:p>
    <w:p w14:paraId="09C066FE">
      <w:pPr>
        <w:spacing w:line="240" w:lineRule="auto"/>
        <w:ind w:firstLine="0" w:firstLineChars="0"/>
        <w:rPr>
          <w:rFonts w:ascii="仿宋_GB2312" w:hAnsi="仿宋_GB2312" w:eastAsia="仿宋_GB2312" w:cs="仿宋_GB2312"/>
          <w:color w:val="auto"/>
          <w:sz w:val="36"/>
          <w:szCs w:val="36"/>
        </w:rPr>
      </w:pPr>
    </w:p>
    <w:p w14:paraId="07E6B89A">
      <w:pPr>
        <w:spacing w:line="240" w:lineRule="auto"/>
        <w:ind w:firstLine="0" w:firstLineChars="0"/>
        <w:rPr>
          <w:rFonts w:ascii="仿宋_GB2312" w:hAnsi="仿宋_GB2312" w:eastAsia="仿宋_GB2312" w:cs="仿宋_GB2312"/>
          <w:color w:val="auto"/>
          <w:sz w:val="36"/>
          <w:szCs w:val="36"/>
        </w:rPr>
      </w:pPr>
    </w:p>
    <w:p w14:paraId="51A5466F">
      <w:pPr>
        <w:spacing w:line="240" w:lineRule="auto"/>
        <w:ind w:firstLine="0" w:firstLineChars="0"/>
        <w:rPr>
          <w:rFonts w:ascii="仿宋_GB2312" w:hAnsi="仿宋_GB2312" w:eastAsia="仿宋_GB2312" w:cs="仿宋_GB2312"/>
          <w:color w:val="auto"/>
          <w:sz w:val="36"/>
          <w:szCs w:val="36"/>
        </w:rPr>
      </w:pPr>
    </w:p>
    <w:p w14:paraId="644C633E">
      <w:pPr>
        <w:spacing w:line="240" w:lineRule="auto"/>
        <w:ind w:firstLine="0" w:firstLineChars="0"/>
        <w:rPr>
          <w:rFonts w:hint="eastAsia" w:ascii="仿宋_GB2312" w:hAnsi="仿宋_GB2312" w:eastAsia="仿宋_GB2312" w:cs="仿宋_GB2312"/>
          <w:color w:val="auto"/>
          <w:sz w:val="36"/>
          <w:szCs w:val="36"/>
        </w:rPr>
      </w:pPr>
    </w:p>
    <w:p w14:paraId="6037E620">
      <w:pPr>
        <w:adjustRightInd w:val="0"/>
        <w:snapToGrid w:val="0"/>
        <w:spacing w:line="240" w:lineRule="auto"/>
        <w:ind w:firstLine="0" w:firstLineChars="0"/>
        <w:jc w:val="center"/>
        <w:outlineLvl w:val="0"/>
        <w:rPr>
          <w:rFonts w:hint="default" w:ascii="方正小标宋_GBK" w:hAnsi="Times New Roman" w:eastAsia="方正小标宋_GBK" w:cs="Times New Roman"/>
          <w:bCs/>
          <w:color w:val="auto"/>
          <w:sz w:val="72"/>
          <w:szCs w:val="72"/>
          <w:lang w:val="en-US" w:eastAsia="zh-CN"/>
        </w:rPr>
      </w:pPr>
      <w:r>
        <w:rPr>
          <w:rFonts w:hint="eastAsia" w:ascii="方正小标宋_GBK" w:hAnsi="Times New Roman" w:eastAsia="方正小标宋_GBK" w:cs="Times New Roman"/>
          <w:bCs/>
          <w:color w:val="auto"/>
          <w:sz w:val="72"/>
          <w:szCs w:val="72"/>
        </w:rPr>
        <w:t>建设</w:t>
      </w:r>
      <w:r>
        <w:rPr>
          <w:rFonts w:hint="eastAsia" w:ascii="方正小标宋_GBK" w:hAnsi="Times New Roman" w:eastAsia="方正小标宋_GBK" w:cs="Times New Roman"/>
          <w:bCs/>
          <w:color w:val="auto"/>
          <w:sz w:val="72"/>
          <w:szCs w:val="72"/>
          <w:lang w:val="en-US" w:eastAsia="zh-CN"/>
        </w:rPr>
        <w:t>项目环境影响报告表</w:t>
      </w:r>
    </w:p>
    <w:p w14:paraId="16CFCDC2">
      <w:pPr>
        <w:adjustRightInd w:val="0"/>
        <w:snapToGrid w:val="0"/>
        <w:spacing w:before="192" w:beforeLines="80" w:line="240" w:lineRule="auto"/>
        <w:ind w:firstLine="0" w:firstLineChars="0"/>
        <w:jc w:val="center"/>
        <w:rPr>
          <w:rFonts w:hint="eastAsia" w:ascii="楷体_GB2312" w:hAnsi="Times New Roman" w:eastAsia="楷体_GB2312" w:cs="Times New Roman"/>
          <w:bCs/>
          <w:color w:val="auto"/>
          <w:sz w:val="48"/>
          <w:szCs w:val="48"/>
        </w:rPr>
      </w:pPr>
      <w:r>
        <w:rPr>
          <w:rFonts w:hint="eastAsia" w:ascii="楷体_GB2312" w:hAnsi="Times New Roman" w:eastAsia="楷体_GB2312" w:cs="Times New Roman"/>
          <w:bCs/>
          <w:color w:val="auto"/>
          <w:sz w:val="48"/>
          <w:szCs w:val="48"/>
        </w:rPr>
        <w:t>（污染影响类）</w:t>
      </w:r>
    </w:p>
    <w:p w14:paraId="04E5F40A">
      <w:pPr>
        <w:adjustRightInd w:val="0"/>
        <w:snapToGrid w:val="0"/>
        <w:spacing w:line="288" w:lineRule="auto"/>
        <w:ind w:firstLine="0" w:firstLineChars="0"/>
        <w:jc w:val="center"/>
        <w:outlineLvl w:val="0"/>
        <w:rPr>
          <w:rFonts w:hint="eastAsia" w:ascii="华文仿宋" w:hAnsi="华文仿宋" w:eastAsia="华文仿宋" w:cs="华文仿宋"/>
          <w:color w:val="auto"/>
          <w:kern w:val="44"/>
          <w:sz w:val="44"/>
          <w:szCs w:val="44"/>
          <w:lang w:eastAsia="zh-CN"/>
        </w:rPr>
      </w:pPr>
      <w:r>
        <w:rPr>
          <w:rFonts w:hint="eastAsia" w:ascii="华文仿宋" w:hAnsi="华文仿宋" w:eastAsia="华文仿宋" w:cs="华文仿宋"/>
          <w:color w:val="auto"/>
          <w:kern w:val="44"/>
          <w:sz w:val="44"/>
          <w:szCs w:val="44"/>
          <w:lang w:eastAsia="zh-CN"/>
        </w:rPr>
        <w:t>（</w:t>
      </w:r>
      <w:r>
        <w:rPr>
          <w:rFonts w:hint="eastAsia" w:ascii="华文仿宋" w:hAnsi="华文仿宋" w:eastAsia="华文仿宋" w:cs="华文仿宋"/>
          <w:color w:val="auto"/>
          <w:kern w:val="44"/>
          <w:sz w:val="44"/>
          <w:szCs w:val="44"/>
          <w:lang w:val="en-US" w:eastAsia="zh-CN"/>
        </w:rPr>
        <w:t>公示版</w:t>
      </w:r>
      <w:r>
        <w:rPr>
          <w:rFonts w:hint="eastAsia" w:ascii="华文仿宋" w:hAnsi="华文仿宋" w:eastAsia="华文仿宋" w:cs="华文仿宋"/>
          <w:color w:val="auto"/>
          <w:kern w:val="44"/>
          <w:sz w:val="44"/>
          <w:szCs w:val="44"/>
          <w:lang w:eastAsia="zh-CN"/>
        </w:rPr>
        <w:t>）</w:t>
      </w:r>
    </w:p>
    <w:p w14:paraId="44AE39E8">
      <w:pPr>
        <w:spacing w:line="240" w:lineRule="auto"/>
        <w:ind w:firstLine="0" w:firstLineChars="0"/>
        <w:jc w:val="left"/>
        <w:rPr>
          <w:rFonts w:ascii="Times New Roman" w:hAnsi="Times New Roman" w:eastAsia="仿宋" w:cs="Times New Roman"/>
          <w:color w:val="auto"/>
          <w:sz w:val="52"/>
          <w:szCs w:val="52"/>
        </w:rPr>
      </w:pPr>
    </w:p>
    <w:p w14:paraId="67C136D1">
      <w:pPr>
        <w:spacing w:line="240" w:lineRule="auto"/>
        <w:ind w:firstLine="1040" w:firstLineChars="0"/>
        <w:rPr>
          <w:rFonts w:ascii="Times New Roman" w:hAnsi="Times New Roman" w:eastAsia="仿宋" w:cs="Times New Roman"/>
          <w:color w:val="auto"/>
          <w:sz w:val="44"/>
          <w:szCs w:val="44"/>
        </w:rPr>
      </w:pPr>
    </w:p>
    <w:p w14:paraId="3F31AC28">
      <w:pPr>
        <w:spacing w:line="240" w:lineRule="auto"/>
        <w:ind w:firstLine="1040" w:firstLineChars="0"/>
        <w:rPr>
          <w:rFonts w:ascii="Times New Roman" w:hAnsi="Times New Roman" w:eastAsia="仿宋" w:cs="Times New Roman"/>
          <w:color w:val="auto"/>
          <w:sz w:val="44"/>
          <w:szCs w:val="44"/>
        </w:rPr>
      </w:pPr>
    </w:p>
    <w:p w14:paraId="61A96EA8">
      <w:pPr>
        <w:spacing w:line="240" w:lineRule="auto"/>
        <w:ind w:firstLine="0" w:firstLineChars="0"/>
        <w:rPr>
          <w:rFonts w:ascii="Times New Roman" w:hAnsi="Times New Roman" w:eastAsia="仿宋" w:cs="Times New Roman"/>
          <w:color w:val="auto"/>
          <w:sz w:val="44"/>
          <w:szCs w:val="44"/>
        </w:rPr>
      </w:pPr>
    </w:p>
    <w:p w14:paraId="6CAB3E24">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720" w:firstLineChars="200"/>
        <w:textAlignment w:val="auto"/>
        <w:rPr>
          <w:rFonts w:hint="eastAsia" w:ascii="仿宋_GB2312" w:hAnsi="Times New Roman" w:eastAsia="仿宋_GB2312" w:cs="Times New Roman"/>
          <w:color w:val="auto"/>
          <w:sz w:val="36"/>
          <w:szCs w:val="36"/>
          <w:u w:val="single"/>
        </w:rPr>
      </w:pPr>
      <w:bookmarkStart w:id="0" w:name="_Hlk57884087"/>
      <w:r>
        <w:rPr>
          <w:rFonts w:hint="eastAsia" w:ascii="仿宋_GB2312" w:hAnsi="Times New Roman" w:eastAsia="仿宋_GB2312" w:cs="Times New Roman"/>
          <w:color w:val="auto"/>
          <w:sz w:val="36"/>
          <w:szCs w:val="36"/>
        </w:rPr>
        <w:t>项目名称：</w:t>
      </w:r>
      <w:r>
        <w:rPr>
          <w:rFonts w:hint="eastAsia" w:ascii="仿宋_GB2312" w:hAnsi="Times New Roman" w:eastAsia="仿宋_GB2312" w:cs="Times New Roman"/>
          <w:color w:val="auto"/>
          <w:sz w:val="36"/>
          <w:szCs w:val="36"/>
          <w:u w:val="single"/>
          <w:lang w:val="en-US" w:eastAsia="zh-CN"/>
        </w:rPr>
        <w:t>年产</w:t>
      </w:r>
      <w:r>
        <w:rPr>
          <w:rFonts w:hint="default" w:ascii="Times New Roman" w:hAnsi="Times New Roman" w:eastAsia="仿宋_GB2312" w:cs="Times New Roman"/>
          <w:color w:val="auto"/>
          <w:sz w:val="36"/>
          <w:szCs w:val="36"/>
          <w:u w:val="single"/>
          <w:lang w:val="en-US" w:eastAsia="zh-CN"/>
        </w:rPr>
        <w:t>5000吨车用隔</w:t>
      </w:r>
      <w:r>
        <w:rPr>
          <w:rFonts w:hint="eastAsia" w:ascii="仿宋_GB2312" w:hAnsi="Times New Roman" w:eastAsia="仿宋_GB2312" w:cs="Times New Roman"/>
          <w:color w:val="auto"/>
          <w:sz w:val="36"/>
          <w:szCs w:val="36"/>
          <w:u w:val="single"/>
          <w:lang w:val="en-US" w:eastAsia="zh-CN"/>
        </w:rPr>
        <w:t>热保温材料生产线</w:t>
      </w:r>
    </w:p>
    <w:p w14:paraId="503071FD">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720" w:firstLineChars="200"/>
        <w:textAlignment w:val="auto"/>
        <w:rPr>
          <w:rFonts w:hint="default" w:ascii="仿宋_GB2312" w:hAnsi="Times New Roman" w:eastAsia="仿宋_GB2312" w:cs="Times New Roman"/>
          <w:color w:val="auto"/>
          <w:sz w:val="36"/>
          <w:szCs w:val="36"/>
          <w:u w:val="single"/>
          <w:lang w:val="en-US" w:eastAsia="zh-CN"/>
        </w:rPr>
      </w:pPr>
      <w:r>
        <w:rPr>
          <w:rFonts w:hint="eastAsia" w:ascii="仿宋_GB2312" w:hAnsi="Times New Roman" w:eastAsia="仿宋_GB2312" w:cs="Times New Roman"/>
          <w:color w:val="auto"/>
          <w:sz w:val="36"/>
          <w:szCs w:val="36"/>
        </w:rPr>
        <w:t>建设单位：</w:t>
      </w:r>
      <w:r>
        <w:rPr>
          <w:rFonts w:hint="eastAsia" w:ascii="仿宋_GB2312" w:eastAsia="仿宋_GB2312" w:cs="Times New Roman"/>
          <w:color w:val="auto"/>
          <w:sz w:val="36"/>
          <w:szCs w:val="36"/>
          <w:u w:val="single"/>
          <w:lang w:val="en-US" w:eastAsia="zh-CN"/>
        </w:rPr>
        <w:t xml:space="preserve">   </w:t>
      </w:r>
      <w:r>
        <w:rPr>
          <w:rFonts w:hint="eastAsia" w:ascii="仿宋_GB2312" w:hAnsi="Times New Roman" w:eastAsia="仿宋_GB2312" w:cs="Times New Roman"/>
          <w:color w:val="auto"/>
          <w:sz w:val="36"/>
          <w:szCs w:val="36"/>
          <w:u w:val="single"/>
        </w:rPr>
        <w:t>重庆维纳轻科技发展有限公司</w:t>
      </w:r>
      <w:r>
        <w:rPr>
          <w:rFonts w:hint="eastAsia" w:ascii="仿宋_GB2312" w:eastAsia="仿宋_GB2312" w:cs="Times New Roman"/>
          <w:color w:val="auto"/>
          <w:sz w:val="36"/>
          <w:szCs w:val="36"/>
          <w:u w:val="single"/>
          <w:lang w:val="en-US" w:eastAsia="zh-CN"/>
        </w:rPr>
        <w:t xml:space="preserve">   </w:t>
      </w:r>
    </w:p>
    <w:p w14:paraId="2BC3C0DC">
      <w:pPr>
        <w:keepNext w:val="0"/>
        <w:keepLines w:val="0"/>
        <w:pageBreakBefore w:val="0"/>
        <w:widowControl w:val="0"/>
        <w:tabs>
          <w:tab w:val="right" w:pos="7804"/>
        </w:tabs>
        <w:kinsoku/>
        <w:wordWrap/>
        <w:overflowPunct/>
        <w:topLinePunct w:val="0"/>
        <w:autoSpaceDE/>
        <w:autoSpaceDN/>
        <w:bidi w:val="0"/>
        <w:adjustRightInd w:val="0"/>
        <w:snapToGrid w:val="0"/>
        <w:spacing w:line="288" w:lineRule="auto"/>
        <w:ind w:left="0" w:leftChars="0" w:firstLine="720" w:firstLineChars="200"/>
        <w:textAlignment w:val="auto"/>
        <w:rPr>
          <w:rFonts w:hint="eastAsia" w:ascii="仿宋_GB2312" w:hAnsi="Times New Roman" w:eastAsia="仿宋_GB2312" w:cs="Times New Roman"/>
          <w:color w:val="auto"/>
          <w:sz w:val="36"/>
          <w:szCs w:val="36"/>
          <w:u w:val="single"/>
          <w:lang w:eastAsia="zh-CN"/>
        </w:rPr>
      </w:pPr>
      <w:r>
        <w:rPr>
          <w:rFonts w:hint="eastAsia" w:ascii="仿宋_GB2312" w:hAnsi="Times New Roman" w:eastAsia="仿宋_GB2312" w:cs="Times New Roman"/>
          <w:color w:val="auto"/>
          <w:sz w:val="36"/>
          <w:szCs w:val="36"/>
        </w:rPr>
        <w:t>编制日期：</w:t>
      </w:r>
      <w:r>
        <w:rPr>
          <w:rFonts w:hint="eastAsia" w:ascii="仿宋_GB2312" w:hAnsi="Times New Roman" w:eastAsia="仿宋_GB2312" w:cs="Times New Roman"/>
          <w:color w:val="auto"/>
          <w:sz w:val="36"/>
          <w:szCs w:val="36"/>
          <w:u w:val="single"/>
        </w:rPr>
        <w:t xml:space="preserve"> </w:t>
      </w:r>
      <w:r>
        <w:rPr>
          <w:rFonts w:ascii="仿宋_GB2312" w:hAnsi="Times New Roman" w:eastAsia="仿宋_GB2312" w:cs="Times New Roman"/>
          <w:color w:val="auto"/>
          <w:sz w:val="36"/>
          <w:szCs w:val="36"/>
          <w:u w:val="single"/>
        </w:rPr>
        <w:t xml:space="preserve">  </w:t>
      </w:r>
      <w:r>
        <w:rPr>
          <w:rFonts w:hint="eastAsia" w:ascii="仿宋_GB2312" w:hAnsi="Times New Roman" w:eastAsia="仿宋_GB2312" w:cs="Times New Roman"/>
          <w:color w:val="auto"/>
          <w:sz w:val="36"/>
          <w:szCs w:val="36"/>
          <w:u w:val="single"/>
          <w:lang w:val="en-US" w:eastAsia="zh-CN"/>
        </w:rPr>
        <w:t xml:space="preserve"> </w:t>
      </w:r>
      <w:r>
        <w:rPr>
          <w:rFonts w:ascii="仿宋_GB2312" w:hAnsi="Times New Roman" w:eastAsia="仿宋_GB2312" w:cs="Times New Roman"/>
          <w:color w:val="auto"/>
          <w:sz w:val="36"/>
          <w:szCs w:val="36"/>
          <w:u w:val="single"/>
        </w:rPr>
        <w:t xml:space="preserve"> </w:t>
      </w:r>
      <w:r>
        <w:rPr>
          <w:rFonts w:hint="default" w:ascii="Times New Roman" w:hAnsi="Times New Roman" w:eastAsia="仿宋_GB2312" w:cs="Times New Roman"/>
          <w:color w:val="auto"/>
          <w:sz w:val="36"/>
          <w:szCs w:val="36"/>
          <w:u w:val="single"/>
          <w:lang w:val="en-US" w:eastAsia="zh-CN"/>
        </w:rPr>
        <w:t>2025年</w:t>
      </w:r>
      <w:r>
        <w:rPr>
          <w:rFonts w:hint="eastAsia" w:eastAsia="仿宋_GB2312" w:cs="Times New Roman"/>
          <w:color w:val="auto"/>
          <w:sz w:val="36"/>
          <w:szCs w:val="36"/>
          <w:u w:val="single"/>
          <w:lang w:val="en-US" w:eastAsia="zh-CN"/>
        </w:rPr>
        <w:t>3</w:t>
      </w:r>
      <w:r>
        <w:rPr>
          <w:rFonts w:hint="default" w:ascii="Times New Roman" w:hAnsi="Times New Roman" w:eastAsia="仿宋_GB2312" w:cs="Times New Roman"/>
          <w:color w:val="auto"/>
          <w:sz w:val="36"/>
          <w:szCs w:val="36"/>
          <w:u w:val="single"/>
          <w:lang w:val="en-US" w:eastAsia="zh-CN"/>
        </w:rPr>
        <w:t>月</w:t>
      </w:r>
      <w:r>
        <w:rPr>
          <w:rFonts w:ascii="仿宋_GB2312" w:hAnsi="Times New Roman" w:eastAsia="仿宋_GB2312" w:cs="Times New Roman"/>
          <w:color w:val="auto"/>
          <w:sz w:val="36"/>
          <w:szCs w:val="36"/>
          <w:u w:val="single"/>
        </w:rPr>
        <w:t xml:space="preserve">    </w:t>
      </w:r>
      <w:r>
        <w:rPr>
          <w:rFonts w:hint="eastAsia" w:ascii="仿宋_GB2312" w:eastAsia="仿宋_GB2312" w:cs="Times New Roman"/>
          <w:color w:val="auto"/>
          <w:sz w:val="36"/>
          <w:szCs w:val="36"/>
          <w:u w:val="single"/>
          <w:lang w:val="en-US" w:eastAsia="zh-CN"/>
        </w:rPr>
        <w:t xml:space="preserve">         </w:t>
      </w:r>
      <w:r>
        <w:rPr>
          <w:rFonts w:ascii="仿宋_GB2312" w:hAnsi="Times New Roman" w:eastAsia="仿宋_GB2312" w:cs="Times New Roman"/>
          <w:color w:val="auto"/>
          <w:sz w:val="36"/>
          <w:szCs w:val="36"/>
          <w:u w:val="single"/>
        </w:rPr>
        <w:t xml:space="preserve">    </w:t>
      </w:r>
    </w:p>
    <w:p w14:paraId="5D32B5B8">
      <w:pPr>
        <w:adjustRightInd w:val="0"/>
        <w:snapToGrid w:val="0"/>
        <w:spacing w:line="288" w:lineRule="auto"/>
        <w:ind w:firstLine="1040" w:firstLineChars="0"/>
        <w:rPr>
          <w:rFonts w:ascii="仿宋_GB2312" w:hAnsi="Times New Roman" w:eastAsia="仿宋_GB2312" w:cs="Times New Roman"/>
          <w:color w:val="auto"/>
          <w:sz w:val="36"/>
          <w:szCs w:val="36"/>
          <w:u w:val="single"/>
        </w:rPr>
      </w:pPr>
    </w:p>
    <w:p w14:paraId="0E4A7BF4">
      <w:pPr>
        <w:adjustRightInd w:val="0"/>
        <w:snapToGrid w:val="0"/>
        <w:spacing w:line="288" w:lineRule="auto"/>
        <w:ind w:firstLine="1040" w:firstLineChars="0"/>
        <w:rPr>
          <w:rFonts w:ascii="仿宋_GB2312" w:hAnsi="Times New Roman" w:eastAsia="仿宋_GB2312" w:cs="Times New Roman"/>
          <w:color w:val="auto"/>
          <w:sz w:val="36"/>
          <w:szCs w:val="36"/>
        </w:rPr>
      </w:pPr>
    </w:p>
    <w:p w14:paraId="7B0B6166">
      <w:pPr>
        <w:adjustRightInd w:val="0"/>
        <w:snapToGrid w:val="0"/>
        <w:spacing w:line="288" w:lineRule="auto"/>
        <w:ind w:firstLine="1040" w:firstLineChars="0"/>
        <w:rPr>
          <w:rFonts w:ascii="仿宋_GB2312" w:hAnsi="Times New Roman" w:eastAsia="仿宋_GB2312" w:cs="Times New Roman"/>
          <w:color w:val="auto"/>
          <w:sz w:val="36"/>
          <w:szCs w:val="36"/>
        </w:rPr>
      </w:pPr>
    </w:p>
    <w:p w14:paraId="0573FF04">
      <w:pPr>
        <w:adjustRightInd w:val="0"/>
        <w:snapToGrid w:val="0"/>
        <w:spacing w:line="288" w:lineRule="auto"/>
        <w:ind w:firstLine="0" w:firstLineChars="0"/>
        <w:jc w:val="both"/>
        <w:rPr>
          <w:rFonts w:hint="eastAsia" w:ascii="仿宋_GB2312" w:hAnsi="Times New Roman" w:eastAsia="仿宋_GB2312" w:cs="Times New Roman"/>
          <w:color w:val="auto"/>
          <w:sz w:val="36"/>
          <w:szCs w:val="36"/>
        </w:rPr>
      </w:pPr>
    </w:p>
    <w:p w14:paraId="34FAEECB">
      <w:pPr>
        <w:adjustRightInd w:val="0"/>
        <w:snapToGrid w:val="0"/>
        <w:spacing w:line="288" w:lineRule="auto"/>
        <w:ind w:firstLine="0" w:firstLineChars="0"/>
        <w:jc w:val="both"/>
        <w:rPr>
          <w:rFonts w:hint="eastAsia" w:ascii="仿宋_GB2312" w:hAnsi="Times New Roman" w:eastAsia="仿宋_GB2312" w:cs="Times New Roman"/>
          <w:color w:val="auto"/>
          <w:sz w:val="36"/>
          <w:szCs w:val="36"/>
        </w:rPr>
      </w:pPr>
    </w:p>
    <w:bookmarkEnd w:id="0"/>
    <w:p w14:paraId="40BBA15A">
      <w:pPr>
        <w:adjustRightInd w:val="0"/>
        <w:snapToGrid w:val="0"/>
        <w:spacing w:line="288" w:lineRule="auto"/>
        <w:ind w:firstLine="0" w:firstLineChars="0"/>
        <w:jc w:val="center"/>
        <w:rPr>
          <w:rFonts w:ascii="Times New Roman" w:hAnsi="Times New Roman" w:eastAsia="宋体" w:cs="Times New Roman"/>
          <w:color w:val="auto"/>
          <w:sz w:val="21"/>
        </w:rPr>
      </w:pPr>
      <w:r>
        <w:rPr>
          <w:rFonts w:hint="eastAsia" w:ascii="楷体_GB2312" w:hAnsi="Times New Roman" w:eastAsia="楷体_GB2312" w:cs="Times New Roman"/>
          <w:color w:val="auto"/>
          <w:sz w:val="36"/>
          <w:szCs w:val="36"/>
        </w:rPr>
        <w:t>中华人民共和国生态环境部制</w:t>
      </w:r>
    </w:p>
    <w:p w14:paraId="20C5B4C8">
      <w:pPr>
        <w:pStyle w:val="2"/>
        <w:bidi w:val="0"/>
        <w:rPr>
          <w:rFonts w:hint="eastAsia"/>
          <w:b w:val="0"/>
          <w:bCs/>
          <w:color w:val="auto"/>
        </w:rPr>
        <w:sectPr>
          <w:footerReference r:id="rId5" w:type="default"/>
          <w:pgSz w:w="11906" w:h="16838"/>
          <w:pgMar w:top="1440" w:right="1803" w:bottom="1440" w:left="1803"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65AC20DE">
      <w:pPr>
        <w:rPr>
          <w:rFonts w:hint="eastAsia"/>
        </w:rPr>
        <w:sectPr>
          <w:pgSz w:w="11906" w:h="16838"/>
          <w:pgMar w:top="1440" w:right="1803" w:bottom="1440" w:left="1803"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300" distR="114300" simplePos="0" relativeHeight="251672576" behindDoc="0" locked="0" layoutInCell="1" allowOverlap="1">
            <wp:simplePos x="0" y="0"/>
            <wp:positionH relativeFrom="column">
              <wp:posOffset>-905510</wp:posOffset>
            </wp:positionH>
            <wp:positionV relativeFrom="paragraph">
              <wp:posOffset>-642620</wp:posOffset>
            </wp:positionV>
            <wp:extent cx="7229475" cy="10222230"/>
            <wp:effectExtent l="0" t="0" r="9525" b="762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tretch>
                      <a:fillRect/>
                    </a:stretch>
                  </pic:blipFill>
                  <pic:spPr>
                    <a:xfrm>
                      <a:off x="0" y="0"/>
                      <a:ext cx="7229475" cy="10222230"/>
                    </a:xfrm>
                    <a:prstGeom prst="rect">
                      <a:avLst/>
                    </a:prstGeom>
                    <a:noFill/>
                    <a:ln>
                      <a:noFill/>
                    </a:ln>
                  </pic:spPr>
                </pic:pic>
              </a:graphicData>
            </a:graphic>
          </wp:anchor>
        </w:drawing>
      </w:r>
    </w:p>
    <w:p w14:paraId="75BF761F">
      <w:pPr>
        <w:rPr>
          <w:rFonts w:hint="eastAsia"/>
        </w:rPr>
        <w:sectPr>
          <w:pgSz w:w="11906" w:h="16838"/>
          <w:pgMar w:top="1440" w:right="1803" w:bottom="1440" w:left="1803"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300" distR="114300" simplePos="0" relativeHeight="251671552" behindDoc="0" locked="0" layoutInCell="1" allowOverlap="1">
            <wp:simplePos x="0" y="0"/>
            <wp:positionH relativeFrom="column">
              <wp:posOffset>-988695</wp:posOffset>
            </wp:positionH>
            <wp:positionV relativeFrom="paragraph">
              <wp:posOffset>-832485</wp:posOffset>
            </wp:positionV>
            <wp:extent cx="7165975" cy="10177145"/>
            <wp:effectExtent l="0" t="0" r="15875" b="14605"/>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7165975" cy="10177145"/>
                    </a:xfrm>
                    <a:prstGeom prst="rect">
                      <a:avLst/>
                    </a:prstGeom>
                    <a:noFill/>
                    <a:ln>
                      <a:noFill/>
                    </a:ln>
                  </pic:spPr>
                </pic:pic>
              </a:graphicData>
            </a:graphic>
          </wp:anchor>
        </w:drawing>
      </w:r>
    </w:p>
    <w:p w14:paraId="044E5752">
      <w:pPr>
        <w:pStyle w:val="2"/>
        <w:bidi w:val="0"/>
        <w:rPr>
          <w:b w:val="0"/>
          <w:bCs/>
          <w:color w:val="auto"/>
        </w:rPr>
      </w:pPr>
      <w:r>
        <w:rPr>
          <w:rFonts w:hint="eastAsia"/>
          <w:b w:val="0"/>
          <w:bCs/>
          <w:color w:val="auto"/>
        </w:rPr>
        <w:t>一、建设项目基本情况</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2455"/>
        <w:gridCol w:w="506"/>
        <w:gridCol w:w="1204"/>
        <w:gridCol w:w="400"/>
        <w:gridCol w:w="2639"/>
      </w:tblGrid>
      <w:tr w14:paraId="3D975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0" w:type="pct"/>
            <w:vAlign w:val="center"/>
          </w:tcPr>
          <w:p w14:paraId="6EFEE06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cs="Times New Roman"/>
                <w:color w:val="auto"/>
                <w:sz w:val="26"/>
                <w:szCs w:val="26"/>
              </w:rPr>
            </w:pPr>
            <w:r>
              <w:rPr>
                <w:rFonts w:cs="Times New Roman"/>
                <w:color w:val="auto"/>
                <w:sz w:val="26"/>
                <w:szCs w:val="26"/>
              </w:rPr>
              <w:t>建设项目名称</w:t>
            </w:r>
          </w:p>
        </w:tc>
        <w:tc>
          <w:tcPr>
            <w:tcW w:w="4229" w:type="pct"/>
            <w:gridSpan w:val="5"/>
            <w:vAlign w:val="center"/>
          </w:tcPr>
          <w:p w14:paraId="170BA14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color w:val="auto"/>
                <w:sz w:val="26"/>
                <w:szCs w:val="26"/>
                <w:lang w:val="en-US" w:eastAsia="zh-CN"/>
              </w:rPr>
            </w:pPr>
            <w:r>
              <w:rPr>
                <w:rFonts w:hint="eastAsia" w:cs="Times New Roman"/>
                <w:color w:val="auto"/>
                <w:sz w:val="26"/>
                <w:szCs w:val="26"/>
                <w:lang w:val="en-US" w:eastAsia="zh-CN"/>
              </w:rPr>
              <w:t>年产5000吨车用隔热保温材料生产线</w:t>
            </w:r>
          </w:p>
        </w:tc>
      </w:tr>
      <w:tr w14:paraId="632BC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0" w:type="pct"/>
            <w:vAlign w:val="center"/>
          </w:tcPr>
          <w:p w14:paraId="545A38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color w:val="auto"/>
                <w:sz w:val="26"/>
                <w:szCs w:val="26"/>
                <w:lang w:eastAsia="zh-CN"/>
              </w:rPr>
            </w:pPr>
            <w:r>
              <w:rPr>
                <w:rFonts w:hint="default" w:ascii="Times New Roman" w:hAnsi="Times New Roman" w:cs="Times New Roman"/>
                <w:color w:val="auto"/>
                <w:sz w:val="26"/>
                <w:szCs w:val="26"/>
              </w:rPr>
              <w:t>项目代码</w:t>
            </w:r>
          </w:p>
        </w:tc>
        <w:tc>
          <w:tcPr>
            <w:tcW w:w="4229" w:type="pct"/>
            <w:gridSpan w:val="5"/>
            <w:vAlign w:val="center"/>
          </w:tcPr>
          <w:p w14:paraId="10AE51A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color w:val="auto"/>
                <w:sz w:val="26"/>
                <w:szCs w:val="26"/>
                <w:lang w:val="en-US" w:eastAsia="zh-CN"/>
              </w:rPr>
            </w:pPr>
            <w:r>
              <w:rPr>
                <w:rFonts w:hint="default" w:eastAsia="宋体" w:cs="Times New Roman"/>
                <w:color w:val="auto"/>
                <w:sz w:val="26"/>
                <w:szCs w:val="26"/>
                <w:lang w:val="en-US" w:eastAsia="zh-CN"/>
              </w:rPr>
              <w:t>2412-500117-04-05-288930</w:t>
            </w:r>
          </w:p>
        </w:tc>
      </w:tr>
      <w:tr w14:paraId="16AED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0" w:type="pct"/>
            <w:vAlign w:val="center"/>
          </w:tcPr>
          <w:p w14:paraId="78C3BE1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cs="Times New Roman"/>
                <w:color w:val="auto"/>
                <w:sz w:val="26"/>
                <w:szCs w:val="26"/>
              </w:rPr>
            </w:pPr>
            <w:r>
              <w:rPr>
                <w:rFonts w:ascii="Times New Roman" w:hAnsi="Times New Roman" w:eastAsia="宋体" w:cs="Times New Roman"/>
                <w:color w:val="auto"/>
                <w:sz w:val="26"/>
                <w:szCs w:val="26"/>
              </w:rPr>
              <w:t>建设单位联系人</w:t>
            </w:r>
          </w:p>
        </w:tc>
        <w:tc>
          <w:tcPr>
            <w:tcW w:w="1738" w:type="pct"/>
            <w:gridSpan w:val="2"/>
            <w:vAlign w:val="center"/>
          </w:tcPr>
          <w:p w14:paraId="1C2FCDF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color w:val="auto"/>
                <w:sz w:val="26"/>
                <w:szCs w:val="26"/>
                <w:lang w:val="en-US" w:eastAsia="zh-CN"/>
              </w:rPr>
            </w:pPr>
            <w:r>
              <w:rPr>
                <w:rFonts w:hint="eastAsia" w:cs="Times New Roman"/>
                <w:color w:val="auto"/>
                <w:sz w:val="26"/>
                <w:szCs w:val="26"/>
                <w:lang w:val="en-US" w:eastAsia="zh-CN"/>
              </w:rPr>
              <w:t>***</w:t>
            </w:r>
          </w:p>
        </w:tc>
        <w:tc>
          <w:tcPr>
            <w:tcW w:w="941" w:type="pct"/>
            <w:gridSpan w:val="2"/>
            <w:vAlign w:val="center"/>
          </w:tcPr>
          <w:p w14:paraId="118D1AD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cs="Times New Roman"/>
                <w:color w:val="auto"/>
                <w:sz w:val="26"/>
                <w:szCs w:val="26"/>
              </w:rPr>
            </w:pPr>
            <w:r>
              <w:rPr>
                <w:rFonts w:cs="Times New Roman"/>
                <w:color w:val="auto"/>
                <w:sz w:val="26"/>
                <w:szCs w:val="26"/>
              </w:rPr>
              <w:t>联系方式</w:t>
            </w:r>
          </w:p>
        </w:tc>
        <w:tc>
          <w:tcPr>
            <w:tcW w:w="1549" w:type="pct"/>
            <w:vAlign w:val="center"/>
          </w:tcPr>
          <w:p w14:paraId="2C9B2FD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color w:val="auto"/>
                <w:sz w:val="26"/>
                <w:szCs w:val="26"/>
                <w:lang w:val="en-US" w:eastAsia="zh-CN"/>
              </w:rPr>
            </w:pPr>
            <w:r>
              <w:rPr>
                <w:rFonts w:hint="eastAsia" w:cs="Times New Roman"/>
                <w:color w:val="auto"/>
                <w:sz w:val="26"/>
                <w:szCs w:val="26"/>
                <w:lang w:val="en-US" w:eastAsia="zh-CN"/>
              </w:rPr>
              <w:t>153****1583</w:t>
            </w:r>
          </w:p>
        </w:tc>
      </w:tr>
      <w:tr w14:paraId="63E4E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0" w:type="pct"/>
            <w:vAlign w:val="center"/>
          </w:tcPr>
          <w:p w14:paraId="717E58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cs="Times New Roman"/>
                <w:color w:val="auto"/>
                <w:sz w:val="26"/>
                <w:szCs w:val="26"/>
              </w:rPr>
            </w:pPr>
            <w:r>
              <w:rPr>
                <w:rFonts w:cs="Times New Roman"/>
                <w:color w:val="auto"/>
                <w:sz w:val="26"/>
                <w:szCs w:val="26"/>
              </w:rPr>
              <w:t>建设地点</w:t>
            </w:r>
          </w:p>
        </w:tc>
        <w:tc>
          <w:tcPr>
            <w:tcW w:w="4229" w:type="pct"/>
            <w:gridSpan w:val="5"/>
            <w:vAlign w:val="center"/>
          </w:tcPr>
          <w:p w14:paraId="214C384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color w:val="auto"/>
                <w:sz w:val="26"/>
                <w:szCs w:val="26"/>
                <w:lang w:val="en-US" w:eastAsia="zh-CN"/>
              </w:rPr>
            </w:pPr>
            <w:r>
              <w:rPr>
                <w:rFonts w:hint="eastAsia" w:cs="Times New Roman"/>
                <w:color w:val="auto"/>
                <w:sz w:val="26"/>
                <w:szCs w:val="26"/>
                <w:lang w:val="en-US" w:eastAsia="zh-CN"/>
              </w:rPr>
              <w:t>******</w:t>
            </w:r>
          </w:p>
        </w:tc>
      </w:tr>
      <w:tr w14:paraId="6EBB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0" w:type="pct"/>
            <w:vAlign w:val="center"/>
          </w:tcPr>
          <w:p w14:paraId="6AD243E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cs="Times New Roman"/>
                <w:color w:val="auto"/>
                <w:sz w:val="26"/>
                <w:szCs w:val="26"/>
              </w:rPr>
            </w:pPr>
            <w:r>
              <w:rPr>
                <w:rFonts w:hint="eastAsia" w:cs="Times New Roman"/>
                <w:color w:val="auto"/>
                <w:sz w:val="26"/>
                <w:szCs w:val="26"/>
              </w:rPr>
              <w:t>地理坐标</w:t>
            </w:r>
          </w:p>
        </w:tc>
        <w:tc>
          <w:tcPr>
            <w:tcW w:w="4229" w:type="pct"/>
            <w:gridSpan w:val="5"/>
            <w:vAlign w:val="center"/>
          </w:tcPr>
          <w:p w14:paraId="05D2EBB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color w:val="auto"/>
                <w:sz w:val="26"/>
                <w:szCs w:val="26"/>
                <w:lang w:val="en-US" w:eastAsia="zh-CN"/>
              </w:rPr>
            </w:pPr>
            <w:r>
              <w:rPr>
                <w:rFonts w:hint="eastAsia" w:cs="Times New Roman"/>
                <w:color w:val="auto"/>
                <w:sz w:val="26"/>
                <w:szCs w:val="26"/>
                <w:lang w:val="en-US" w:eastAsia="zh-CN"/>
              </w:rPr>
              <w:t>*****</w:t>
            </w:r>
          </w:p>
        </w:tc>
      </w:tr>
      <w:tr w14:paraId="29152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0" w:type="pct"/>
            <w:vAlign w:val="center"/>
          </w:tcPr>
          <w:p w14:paraId="01006D6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cs="Times New Roman"/>
                <w:color w:val="auto"/>
                <w:sz w:val="26"/>
                <w:szCs w:val="26"/>
              </w:rPr>
            </w:pPr>
            <w:r>
              <w:rPr>
                <w:rFonts w:cs="Times New Roman"/>
                <w:color w:val="auto"/>
                <w:sz w:val="26"/>
                <w:szCs w:val="26"/>
              </w:rPr>
              <w:t>国民经济行业类别</w:t>
            </w:r>
          </w:p>
        </w:tc>
        <w:tc>
          <w:tcPr>
            <w:tcW w:w="1441" w:type="pct"/>
            <w:vAlign w:val="center"/>
          </w:tcPr>
          <w:p w14:paraId="3A61364B">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cs="Times New Roman"/>
                <w:color w:val="auto"/>
                <w:sz w:val="26"/>
                <w:szCs w:val="26"/>
                <w:lang w:val="en-US" w:eastAsia="zh-CN"/>
              </w:rPr>
            </w:pPr>
            <w:r>
              <w:rPr>
                <w:rFonts w:hint="eastAsia" w:cs="Times New Roman"/>
                <w:color w:val="auto"/>
                <w:sz w:val="26"/>
                <w:szCs w:val="26"/>
                <w:lang w:val="en-US" w:eastAsia="zh-CN"/>
              </w:rPr>
              <w:t>C3061玻璃纤维及制品制造</w:t>
            </w:r>
          </w:p>
        </w:tc>
        <w:tc>
          <w:tcPr>
            <w:tcW w:w="1003" w:type="pct"/>
            <w:gridSpan w:val="2"/>
            <w:vAlign w:val="center"/>
          </w:tcPr>
          <w:p w14:paraId="2451BF7D">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cs="Times New Roman"/>
                <w:color w:val="auto"/>
                <w:sz w:val="26"/>
                <w:szCs w:val="26"/>
              </w:rPr>
            </w:pPr>
            <w:r>
              <w:rPr>
                <w:rFonts w:cs="Times New Roman"/>
                <w:color w:val="auto"/>
                <w:sz w:val="26"/>
                <w:szCs w:val="26"/>
              </w:rPr>
              <w:t>建设项目</w:t>
            </w:r>
          </w:p>
          <w:p w14:paraId="754DB9DC">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cs="Times New Roman"/>
                <w:color w:val="auto"/>
                <w:sz w:val="26"/>
                <w:szCs w:val="26"/>
              </w:rPr>
            </w:pPr>
            <w:r>
              <w:rPr>
                <w:rFonts w:cs="Times New Roman"/>
                <w:color w:val="auto"/>
                <w:sz w:val="26"/>
                <w:szCs w:val="26"/>
              </w:rPr>
              <w:t>行业类别</w:t>
            </w:r>
          </w:p>
        </w:tc>
        <w:tc>
          <w:tcPr>
            <w:tcW w:w="1784" w:type="pct"/>
            <w:gridSpan w:val="2"/>
            <w:vAlign w:val="center"/>
          </w:tcPr>
          <w:p w14:paraId="27128F72">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left"/>
              <w:textAlignment w:val="auto"/>
              <w:rPr>
                <w:rFonts w:hint="default" w:cs="Times New Roman"/>
                <w:color w:val="auto"/>
                <w:sz w:val="26"/>
                <w:szCs w:val="26"/>
                <w:lang w:val="en-US" w:eastAsia="zh-CN"/>
              </w:rPr>
            </w:pPr>
            <w:r>
              <w:rPr>
                <w:rFonts w:hint="eastAsia" w:cs="Times New Roman"/>
                <w:color w:val="auto"/>
                <w:sz w:val="26"/>
                <w:szCs w:val="26"/>
                <w:lang w:val="en-US" w:eastAsia="zh-CN"/>
              </w:rPr>
              <w:t>二十七、非金属矿物制品业30“58玻璃纤维和玻璃纤维增强塑料制品制造306”中的全部</w:t>
            </w:r>
          </w:p>
        </w:tc>
      </w:tr>
      <w:tr w14:paraId="013AE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0" w:type="pct"/>
            <w:vAlign w:val="center"/>
          </w:tcPr>
          <w:p w14:paraId="6678E94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cs="Times New Roman"/>
                <w:color w:val="auto"/>
                <w:sz w:val="26"/>
                <w:szCs w:val="26"/>
              </w:rPr>
            </w:pPr>
            <w:r>
              <w:rPr>
                <w:rFonts w:cs="Times New Roman"/>
                <w:color w:val="auto"/>
                <w:sz w:val="26"/>
                <w:szCs w:val="26"/>
              </w:rPr>
              <w:t>建设性质</w:t>
            </w:r>
          </w:p>
        </w:tc>
        <w:tc>
          <w:tcPr>
            <w:tcW w:w="1441" w:type="pct"/>
            <w:vAlign w:val="center"/>
          </w:tcPr>
          <w:p w14:paraId="0A04FDD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cs="Times New Roman"/>
                <w:color w:val="auto"/>
                <w:sz w:val="26"/>
                <w:szCs w:val="26"/>
              </w:rPr>
            </w:pPr>
            <w:r>
              <w:rPr>
                <w:rFonts w:cs="Times New Roman"/>
                <w:color w:val="auto"/>
                <w:sz w:val="26"/>
                <w:szCs w:val="26"/>
              </w:rPr>
              <w:sym w:font="Wingdings" w:char="00FE"/>
            </w:r>
            <w:r>
              <w:rPr>
                <w:rFonts w:cs="Times New Roman"/>
                <w:color w:val="auto"/>
                <w:sz w:val="26"/>
                <w:szCs w:val="26"/>
              </w:rPr>
              <w:t>新建（迁建）</w:t>
            </w:r>
          </w:p>
          <w:p w14:paraId="01802FF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cs="Times New Roman"/>
                <w:color w:val="auto"/>
                <w:sz w:val="26"/>
                <w:szCs w:val="26"/>
              </w:rPr>
            </w:pPr>
            <w:r>
              <w:rPr>
                <w:rFonts w:cs="Times New Roman"/>
                <w:color w:val="auto"/>
                <w:sz w:val="26"/>
                <w:szCs w:val="26"/>
              </w:rPr>
              <w:sym w:font="Wingdings" w:char="00A8"/>
            </w:r>
            <w:r>
              <w:rPr>
                <w:rFonts w:cs="Times New Roman"/>
                <w:color w:val="auto"/>
                <w:sz w:val="26"/>
                <w:szCs w:val="26"/>
              </w:rPr>
              <w:t>改建</w:t>
            </w:r>
          </w:p>
          <w:p w14:paraId="72C4451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cs="Times New Roman"/>
                <w:color w:val="auto"/>
                <w:sz w:val="26"/>
                <w:szCs w:val="26"/>
              </w:rPr>
            </w:pPr>
            <w:r>
              <w:rPr>
                <w:rFonts w:cs="Times New Roman"/>
                <w:color w:val="auto"/>
                <w:sz w:val="26"/>
                <w:szCs w:val="26"/>
              </w:rPr>
              <w:sym w:font="Wingdings" w:char="00A8"/>
            </w:r>
            <w:r>
              <w:rPr>
                <w:rFonts w:cs="Times New Roman"/>
                <w:color w:val="auto"/>
                <w:sz w:val="26"/>
                <w:szCs w:val="26"/>
              </w:rPr>
              <w:t>扩建</w:t>
            </w:r>
          </w:p>
          <w:p w14:paraId="2013705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cs="Times New Roman"/>
                <w:color w:val="auto"/>
                <w:sz w:val="26"/>
                <w:szCs w:val="26"/>
              </w:rPr>
            </w:pPr>
            <w:r>
              <w:rPr>
                <w:rFonts w:cs="Times New Roman"/>
                <w:color w:val="auto"/>
                <w:sz w:val="26"/>
                <w:szCs w:val="26"/>
              </w:rPr>
              <w:sym w:font="Wingdings" w:char="00A8"/>
            </w:r>
            <w:r>
              <w:rPr>
                <w:rFonts w:cs="Times New Roman"/>
                <w:color w:val="auto"/>
                <w:sz w:val="26"/>
                <w:szCs w:val="26"/>
              </w:rPr>
              <w:t>技术改造</w:t>
            </w:r>
          </w:p>
        </w:tc>
        <w:tc>
          <w:tcPr>
            <w:tcW w:w="1003" w:type="pct"/>
            <w:gridSpan w:val="2"/>
            <w:vAlign w:val="center"/>
          </w:tcPr>
          <w:p w14:paraId="4831A69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cs="Times New Roman"/>
                <w:color w:val="auto"/>
                <w:sz w:val="26"/>
                <w:szCs w:val="26"/>
              </w:rPr>
            </w:pPr>
            <w:r>
              <w:rPr>
                <w:rFonts w:cs="Times New Roman"/>
                <w:color w:val="auto"/>
                <w:sz w:val="26"/>
                <w:szCs w:val="26"/>
              </w:rPr>
              <w:t>建设项目</w:t>
            </w:r>
          </w:p>
          <w:p w14:paraId="636C200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cs="Times New Roman"/>
                <w:color w:val="auto"/>
                <w:sz w:val="26"/>
                <w:szCs w:val="26"/>
              </w:rPr>
            </w:pPr>
            <w:r>
              <w:rPr>
                <w:rFonts w:cs="Times New Roman"/>
                <w:color w:val="auto"/>
                <w:sz w:val="26"/>
                <w:szCs w:val="26"/>
              </w:rPr>
              <w:t>申报情形</w:t>
            </w:r>
          </w:p>
        </w:tc>
        <w:tc>
          <w:tcPr>
            <w:tcW w:w="1784" w:type="pct"/>
            <w:gridSpan w:val="2"/>
            <w:vAlign w:val="center"/>
          </w:tcPr>
          <w:p w14:paraId="710F648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cs="Times New Roman"/>
                <w:color w:val="auto"/>
                <w:sz w:val="26"/>
                <w:szCs w:val="26"/>
              </w:rPr>
            </w:pPr>
            <w:r>
              <w:rPr>
                <w:rFonts w:cs="Times New Roman"/>
                <w:color w:val="auto"/>
                <w:sz w:val="26"/>
                <w:szCs w:val="26"/>
              </w:rPr>
              <w:sym w:font="Wingdings" w:char="00FE"/>
            </w:r>
            <w:r>
              <w:rPr>
                <w:rFonts w:cs="Times New Roman"/>
                <w:color w:val="auto"/>
                <w:sz w:val="26"/>
                <w:szCs w:val="26"/>
              </w:rPr>
              <w:t>首次申报项目</w:t>
            </w:r>
          </w:p>
          <w:p w14:paraId="49EC4C8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cs="Times New Roman"/>
                <w:color w:val="auto"/>
                <w:sz w:val="26"/>
                <w:szCs w:val="26"/>
              </w:rPr>
            </w:pPr>
            <w:r>
              <w:rPr>
                <w:rFonts w:cs="Times New Roman"/>
                <w:color w:val="auto"/>
                <w:sz w:val="26"/>
                <w:szCs w:val="26"/>
              </w:rPr>
              <w:sym w:font="Wingdings" w:char="00A8"/>
            </w:r>
            <w:r>
              <w:rPr>
                <w:rFonts w:cs="Times New Roman"/>
                <w:color w:val="auto"/>
                <w:sz w:val="26"/>
                <w:szCs w:val="26"/>
              </w:rPr>
              <w:t>不予批准后再次申报项目</w:t>
            </w:r>
          </w:p>
          <w:p w14:paraId="54E29E2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cs="Times New Roman"/>
                <w:color w:val="auto"/>
                <w:sz w:val="26"/>
                <w:szCs w:val="26"/>
              </w:rPr>
            </w:pPr>
            <w:r>
              <w:rPr>
                <w:rFonts w:cs="Times New Roman"/>
                <w:color w:val="auto"/>
                <w:sz w:val="26"/>
                <w:szCs w:val="26"/>
              </w:rPr>
              <w:sym w:font="Wingdings" w:char="00A8"/>
            </w:r>
            <w:r>
              <w:rPr>
                <w:rFonts w:cs="Times New Roman"/>
                <w:color w:val="auto"/>
                <w:sz w:val="26"/>
                <w:szCs w:val="26"/>
              </w:rPr>
              <w:t>超过五年重新审核项目</w:t>
            </w:r>
          </w:p>
          <w:p w14:paraId="5307F13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cs="Times New Roman"/>
                <w:color w:val="auto"/>
                <w:sz w:val="26"/>
                <w:szCs w:val="26"/>
              </w:rPr>
            </w:pPr>
            <w:r>
              <w:rPr>
                <w:rFonts w:cs="Times New Roman"/>
                <w:color w:val="auto"/>
                <w:sz w:val="26"/>
                <w:szCs w:val="26"/>
              </w:rPr>
              <w:sym w:font="Wingdings" w:char="00A8"/>
            </w:r>
            <w:r>
              <w:rPr>
                <w:rFonts w:cs="Times New Roman"/>
                <w:color w:val="auto"/>
                <w:sz w:val="26"/>
                <w:szCs w:val="26"/>
              </w:rPr>
              <w:t>重大变动重新报批项目</w:t>
            </w:r>
          </w:p>
        </w:tc>
      </w:tr>
      <w:tr w14:paraId="5CC67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0" w:type="pct"/>
            <w:vAlign w:val="center"/>
          </w:tcPr>
          <w:p w14:paraId="06A06DA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cs="Times New Roman"/>
                <w:color w:val="auto"/>
                <w:sz w:val="26"/>
                <w:szCs w:val="26"/>
              </w:rPr>
            </w:pPr>
            <w:r>
              <w:rPr>
                <w:rFonts w:cs="Times New Roman"/>
                <w:color w:val="auto"/>
                <w:sz w:val="26"/>
                <w:szCs w:val="26"/>
              </w:rPr>
              <w:t>项目审批（核准/备案）部门（选填）</w:t>
            </w:r>
          </w:p>
        </w:tc>
        <w:tc>
          <w:tcPr>
            <w:tcW w:w="1441" w:type="pct"/>
            <w:vAlign w:val="center"/>
          </w:tcPr>
          <w:p w14:paraId="6F6AB97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color w:val="auto"/>
                <w:sz w:val="26"/>
                <w:szCs w:val="26"/>
                <w:lang w:val="en-US"/>
              </w:rPr>
            </w:pPr>
            <w:r>
              <w:rPr>
                <w:rFonts w:hint="eastAsia" w:cs="Times New Roman"/>
                <w:color w:val="auto"/>
                <w:sz w:val="26"/>
                <w:szCs w:val="26"/>
                <w:lang w:val="en-US" w:eastAsia="zh-CN"/>
              </w:rPr>
              <w:t>重庆市合川区发展和改革委员会</w:t>
            </w:r>
          </w:p>
        </w:tc>
        <w:tc>
          <w:tcPr>
            <w:tcW w:w="1003" w:type="pct"/>
            <w:gridSpan w:val="2"/>
            <w:vAlign w:val="center"/>
          </w:tcPr>
          <w:p w14:paraId="3D2E8B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cs="Times New Roman"/>
                <w:color w:val="auto"/>
                <w:sz w:val="26"/>
                <w:szCs w:val="26"/>
              </w:rPr>
            </w:pPr>
            <w:r>
              <w:rPr>
                <w:rFonts w:cs="Times New Roman"/>
                <w:color w:val="auto"/>
                <w:sz w:val="26"/>
                <w:szCs w:val="26"/>
              </w:rPr>
              <w:t>项目审批（核准/备案）文号（选填）</w:t>
            </w:r>
          </w:p>
        </w:tc>
        <w:tc>
          <w:tcPr>
            <w:tcW w:w="1784" w:type="pct"/>
            <w:gridSpan w:val="2"/>
            <w:vAlign w:val="center"/>
          </w:tcPr>
          <w:p w14:paraId="2FD6EE1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cs="Times New Roman"/>
                <w:color w:val="auto"/>
                <w:sz w:val="26"/>
                <w:szCs w:val="26"/>
              </w:rPr>
            </w:pPr>
            <w:r>
              <w:rPr>
                <w:rFonts w:hint="default" w:eastAsia="宋体" w:cs="Times New Roman"/>
                <w:color w:val="auto"/>
                <w:sz w:val="26"/>
                <w:szCs w:val="26"/>
                <w:lang w:val="en-US" w:eastAsia="zh-CN"/>
              </w:rPr>
              <w:t>2412-500117-04-05-288930</w:t>
            </w:r>
          </w:p>
        </w:tc>
      </w:tr>
      <w:tr w14:paraId="30269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0" w:type="pct"/>
            <w:vAlign w:val="center"/>
          </w:tcPr>
          <w:p w14:paraId="2A0C865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cs="Times New Roman"/>
                <w:color w:val="auto"/>
                <w:sz w:val="26"/>
                <w:szCs w:val="26"/>
              </w:rPr>
            </w:pPr>
            <w:r>
              <w:rPr>
                <w:rFonts w:cs="Times New Roman"/>
                <w:color w:val="auto"/>
                <w:sz w:val="26"/>
                <w:szCs w:val="26"/>
              </w:rPr>
              <w:t>总投资（万元）</w:t>
            </w:r>
          </w:p>
        </w:tc>
        <w:tc>
          <w:tcPr>
            <w:tcW w:w="1441" w:type="pct"/>
            <w:vAlign w:val="center"/>
          </w:tcPr>
          <w:p w14:paraId="516A59A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color w:val="auto"/>
                <w:sz w:val="26"/>
                <w:szCs w:val="26"/>
                <w:lang w:val="en-US" w:eastAsia="zh-CN"/>
              </w:rPr>
            </w:pPr>
            <w:r>
              <w:rPr>
                <w:rFonts w:hint="eastAsia" w:cs="Times New Roman"/>
                <w:color w:val="auto"/>
                <w:sz w:val="26"/>
                <w:szCs w:val="26"/>
                <w:lang w:val="en-US" w:eastAsia="zh-CN"/>
              </w:rPr>
              <w:t>500</w:t>
            </w:r>
          </w:p>
        </w:tc>
        <w:tc>
          <w:tcPr>
            <w:tcW w:w="1003" w:type="pct"/>
            <w:gridSpan w:val="2"/>
            <w:vAlign w:val="center"/>
          </w:tcPr>
          <w:p w14:paraId="05E7268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cs="Times New Roman"/>
                <w:color w:val="auto"/>
                <w:sz w:val="26"/>
                <w:szCs w:val="26"/>
              </w:rPr>
            </w:pPr>
            <w:r>
              <w:rPr>
                <w:rFonts w:cs="Times New Roman"/>
                <w:color w:val="auto"/>
                <w:sz w:val="26"/>
                <w:szCs w:val="26"/>
              </w:rPr>
              <w:t>环保投资（万元）</w:t>
            </w:r>
          </w:p>
        </w:tc>
        <w:tc>
          <w:tcPr>
            <w:tcW w:w="1784" w:type="pct"/>
            <w:gridSpan w:val="2"/>
            <w:vAlign w:val="center"/>
          </w:tcPr>
          <w:p w14:paraId="6161CCC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color w:val="auto"/>
                <w:sz w:val="26"/>
                <w:szCs w:val="26"/>
                <w:lang w:val="en-US" w:eastAsia="zh-CN"/>
              </w:rPr>
            </w:pPr>
            <w:r>
              <w:rPr>
                <w:rFonts w:hint="eastAsia" w:cs="Times New Roman"/>
                <w:color w:val="auto"/>
                <w:sz w:val="26"/>
                <w:szCs w:val="26"/>
                <w:lang w:val="en-US" w:eastAsia="zh-CN"/>
              </w:rPr>
              <w:t>10</w:t>
            </w:r>
          </w:p>
        </w:tc>
      </w:tr>
      <w:tr w14:paraId="1DE4B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0" w:type="pct"/>
            <w:vAlign w:val="center"/>
          </w:tcPr>
          <w:p w14:paraId="33CC37C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cs="Times New Roman"/>
                <w:color w:val="auto"/>
                <w:sz w:val="26"/>
                <w:szCs w:val="26"/>
              </w:rPr>
            </w:pPr>
            <w:r>
              <w:rPr>
                <w:rFonts w:hint="eastAsia" w:cs="Times New Roman"/>
                <w:color w:val="auto"/>
                <w:sz w:val="26"/>
                <w:szCs w:val="26"/>
              </w:rPr>
              <w:t>环保投资占比</w:t>
            </w:r>
          </w:p>
        </w:tc>
        <w:tc>
          <w:tcPr>
            <w:tcW w:w="1441" w:type="pct"/>
            <w:vAlign w:val="center"/>
          </w:tcPr>
          <w:p w14:paraId="0F0591D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color w:val="auto"/>
                <w:sz w:val="26"/>
                <w:szCs w:val="26"/>
                <w:lang w:val="en-US" w:eastAsia="zh-CN"/>
              </w:rPr>
            </w:pPr>
            <w:r>
              <w:rPr>
                <w:rFonts w:hint="eastAsia" w:cs="Times New Roman"/>
                <w:color w:val="auto"/>
                <w:sz w:val="26"/>
                <w:szCs w:val="26"/>
                <w:lang w:val="en-US" w:eastAsia="zh-CN"/>
              </w:rPr>
              <w:t>2%</w:t>
            </w:r>
          </w:p>
        </w:tc>
        <w:tc>
          <w:tcPr>
            <w:tcW w:w="1003" w:type="pct"/>
            <w:gridSpan w:val="2"/>
            <w:vAlign w:val="center"/>
          </w:tcPr>
          <w:p w14:paraId="762DEA4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cs="Times New Roman"/>
                <w:color w:val="auto"/>
                <w:sz w:val="26"/>
                <w:szCs w:val="26"/>
              </w:rPr>
            </w:pPr>
            <w:r>
              <w:rPr>
                <w:rFonts w:cs="Times New Roman"/>
                <w:color w:val="auto"/>
                <w:sz w:val="26"/>
                <w:szCs w:val="26"/>
              </w:rPr>
              <w:t>施工工期</w:t>
            </w:r>
          </w:p>
        </w:tc>
        <w:tc>
          <w:tcPr>
            <w:tcW w:w="1784" w:type="pct"/>
            <w:gridSpan w:val="2"/>
            <w:vAlign w:val="center"/>
          </w:tcPr>
          <w:p w14:paraId="3054B84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cs="Times New Roman"/>
                <w:color w:val="auto"/>
                <w:sz w:val="26"/>
                <w:szCs w:val="26"/>
              </w:rPr>
            </w:pPr>
            <w:r>
              <w:rPr>
                <w:rFonts w:hint="eastAsia" w:cs="Times New Roman"/>
                <w:color w:val="auto"/>
                <w:sz w:val="26"/>
                <w:szCs w:val="26"/>
                <w:lang w:val="en-US" w:eastAsia="zh-CN"/>
              </w:rPr>
              <w:t>12</w:t>
            </w:r>
            <w:r>
              <w:rPr>
                <w:rFonts w:hint="eastAsia" w:cs="Times New Roman"/>
                <w:color w:val="auto"/>
                <w:sz w:val="26"/>
                <w:szCs w:val="26"/>
              </w:rPr>
              <w:t>个月</w:t>
            </w:r>
          </w:p>
        </w:tc>
      </w:tr>
      <w:tr w14:paraId="6020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0" w:type="pct"/>
            <w:vAlign w:val="center"/>
          </w:tcPr>
          <w:p w14:paraId="7D87EBA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cs="Times New Roman"/>
                <w:color w:val="auto"/>
                <w:sz w:val="26"/>
                <w:szCs w:val="26"/>
              </w:rPr>
            </w:pPr>
            <w:r>
              <w:rPr>
                <w:rFonts w:hint="eastAsia" w:cs="Times New Roman"/>
                <w:color w:val="auto"/>
                <w:sz w:val="26"/>
                <w:szCs w:val="26"/>
              </w:rPr>
              <w:t>是否开工建设</w:t>
            </w:r>
          </w:p>
        </w:tc>
        <w:tc>
          <w:tcPr>
            <w:tcW w:w="1441" w:type="pct"/>
            <w:vAlign w:val="center"/>
          </w:tcPr>
          <w:p w14:paraId="2A64363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cs="Times New Roman"/>
                <w:color w:val="auto"/>
                <w:sz w:val="26"/>
                <w:szCs w:val="26"/>
              </w:rPr>
            </w:pPr>
            <w:r>
              <w:rPr>
                <w:rFonts w:cs="Times New Roman"/>
                <w:color w:val="auto"/>
                <w:sz w:val="26"/>
                <w:szCs w:val="26"/>
              </w:rPr>
              <w:sym w:font="Wingdings" w:char="00FE"/>
            </w:r>
            <w:r>
              <w:rPr>
                <w:rFonts w:hint="eastAsia" w:cs="Times New Roman"/>
                <w:color w:val="auto"/>
                <w:sz w:val="26"/>
                <w:szCs w:val="26"/>
              </w:rPr>
              <w:t>否</w:t>
            </w:r>
          </w:p>
          <w:p w14:paraId="06C8A59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eastAsia="宋体" w:cs="Times New Roman"/>
                <w:color w:val="auto"/>
                <w:sz w:val="26"/>
                <w:szCs w:val="26"/>
                <w:lang w:val="en-US" w:eastAsia="zh-CN"/>
              </w:rPr>
            </w:pPr>
            <w:r>
              <w:rPr>
                <w:rFonts w:cs="Times New Roman"/>
                <w:color w:val="auto"/>
                <w:sz w:val="26"/>
                <w:szCs w:val="26"/>
              </w:rPr>
              <w:sym w:font="Wingdings" w:char="00A8"/>
            </w:r>
            <w:r>
              <w:rPr>
                <w:rFonts w:hint="eastAsia" w:cs="Times New Roman"/>
                <w:color w:val="auto"/>
                <w:sz w:val="26"/>
                <w:szCs w:val="26"/>
              </w:rPr>
              <w:t>是：</w:t>
            </w:r>
            <w:r>
              <w:rPr>
                <w:rFonts w:hint="eastAsia" w:cs="Times New Roman"/>
                <w:color w:val="auto"/>
                <w:sz w:val="26"/>
                <w:szCs w:val="26"/>
                <w:u w:val="single"/>
                <w:lang w:val="en-US" w:eastAsia="zh-CN"/>
              </w:rPr>
              <w:t xml:space="preserve">        </w:t>
            </w:r>
          </w:p>
        </w:tc>
        <w:tc>
          <w:tcPr>
            <w:tcW w:w="1003" w:type="pct"/>
            <w:gridSpan w:val="2"/>
            <w:vAlign w:val="center"/>
          </w:tcPr>
          <w:p w14:paraId="2C5BF85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cs="Times New Roman"/>
                <w:color w:val="auto"/>
                <w:sz w:val="26"/>
                <w:szCs w:val="26"/>
              </w:rPr>
            </w:pPr>
            <w:r>
              <w:rPr>
                <w:rFonts w:cs="Times New Roman"/>
                <w:color w:val="auto"/>
                <w:sz w:val="26"/>
                <w:szCs w:val="26"/>
              </w:rPr>
              <w:t>用地面积（m</w:t>
            </w:r>
            <w:r>
              <w:rPr>
                <w:rFonts w:cs="Times New Roman"/>
                <w:color w:val="auto"/>
                <w:sz w:val="26"/>
                <w:szCs w:val="26"/>
                <w:vertAlign w:val="superscript"/>
              </w:rPr>
              <w:t>2</w:t>
            </w:r>
            <w:r>
              <w:rPr>
                <w:rFonts w:cs="Times New Roman"/>
                <w:color w:val="auto"/>
                <w:sz w:val="26"/>
                <w:szCs w:val="26"/>
              </w:rPr>
              <w:t>）</w:t>
            </w:r>
          </w:p>
        </w:tc>
        <w:tc>
          <w:tcPr>
            <w:tcW w:w="1784" w:type="pct"/>
            <w:gridSpan w:val="2"/>
            <w:vAlign w:val="center"/>
          </w:tcPr>
          <w:p w14:paraId="572F7CC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color w:val="auto"/>
                <w:sz w:val="26"/>
                <w:szCs w:val="26"/>
                <w:lang w:val="en-US" w:eastAsia="zh-CN"/>
              </w:rPr>
            </w:pPr>
            <w:r>
              <w:rPr>
                <w:rFonts w:hint="default" w:eastAsia="宋体" w:cs="Times New Roman"/>
                <w:color w:val="auto"/>
                <w:sz w:val="26"/>
                <w:szCs w:val="26"/>
                <w:lang w:val="en-US" w:eastAsia="zh-CN"/>
              </w:rPr>
              <w:t>1965.71</w:t>
            </w:r>
            <w:r>
              <w:rPr>
                <w:rFonts w:hint="eastAsia" w:cs="Times New Roman"/>
                <w:color w:val="auto"/>
                <w:sz w:val="26"/>
                <w:szCs w:val="26"/>
                <w:lang w:val="en-US" w:eastAsia="zh-CN"/>
              </w:rPr>
              <w:t>（租赁面积）</w:t>
            </w:r>
          </w:p>
        </w:tc>
      </w:tr>
      <w:tr w14:paraId="6D77E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0" w:type="pct"/>
            <w:vAlign w:val="center"/>
          </w:tcPr>
          <w:p w14:paraId="1858CEE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color w:val="auto"/>
                <w:sz w:val="26"/>
                <w:szCs w:val="26"/>
                <w:lang w:val="en-US" w:eastAsia="zh-CN"/>
              </w:rPr>
            </w:pPr>
            <w:r>
              <w:rPr>
                <w:rFonts w:hint="eastAsia" w:cs="Times New Roman"/>
                <w:color w:val="auto"/>
                <w:sz w:val="26"/>
                <w:szCs w:val="26"/>
                <w:lang w:val="en-US" w:eastAsia="zh-CN"/>
              </w:rPr>
              <w:t>专项评价设置情况</w:t>
            </w:r>
          </w:p>
        </w:tc>
        <w:tc>
          <w:tcPr>
            <w:tcW w:w="4229" w:type="pct"/>
            <w:gridSpan w:val="5"/>
            <w:vAlign w:val="center"/>
          </w:tcPr>
          <w:p w14:paraId="26B9E5C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color w:val="auto"/>
                <w:sz w:val="26"/>
                <w:szCs w:val="26"/>
                <w:lang w:val="en-US" w:eastAsia="zh-CN"/>
              </w:rPr>
            </w:pPr>
          </w:p>
          <w:tbl>
            <w:tblPr>
              <w:tblStyle w:val="17"/>
              <w:tblW w:w="48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2830"/>
              <w:gridCol w:w="2960"/>
            </w:tblGrid>
            <w:tr w14:paraId="7F24C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dxa"/>
                  <w:noWrap w:val="0"/>
                  <w:vAlign w:val="center"/>
                </w:tcPr>
                <w:p w14:paraId="5AA706BD">
                  <w:pPr>
                    <w:pStyle w:val="3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kern w:val="0"/>
                      <w:sz w:val="22"/>
                      <w:szCs w:val="22"/>
                    </w:rPr>
                  </w:pPr>
                  <w:r>
                    <w:rPr>
                      <w:rFonts w:hint="eastAsia"/>
                      <w:color w:val="auto"/>
                      <w:kern w:val="0"/>
                      <w:sz w:val="22"/>
                      <w:szCs w:val="22"/>
                    </w:rPr>
                    <w:t>专项</w:t>
                  </w:r>
                  <w:r>
                    <w:rPr>
                      <w:color w:val="auto"/>
                      <w:kern w:val="0"/>
                      <w:sz w:val="22"/>
                      <w:szCs w:val="22"/>
                    </w:rPr>
                    <w:t>评价类别</w:t>
                  </w:r>
                </w:p>
              </w:tc>
              <w:tc>
                <w:tcPr>
                  <w:tcW w:w="2830" w:type="dxa"/>
                  <w:noWrap w:val="0"/>
                  <w:vAlign w:val="center"/>
                </w:tcPr>
                <w:p w14:paraId="6C63AAF8">
                  <w:pPr>
                    <w:pStyle w:val="3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kern w:val="0"/>
                      <w:sz w:val="22"/>
                      <w:szCs w:val="22"/>
                    </w:rPr>
                  </w:pPr>
                  <w:r>
                    <w:rPr>
                      <w:rFonts w:hint="eastAsia"/>
                      <w:color w:val="auto"/>
                      <w:kern w:val="0"/>
                      <w:sz w:val="22"/>
                      <w:szCs w:val="22"/>
                    </w:rPr>
                    <w:t>设置</w:t>
                  </w:r>
                  <w:r>
                    <w:rPr>
                      <w:color w:val="auto"/>
                      <w:kern w:val="0"/>
                      <w:sz w:val="22"/>
                      <w:szCs w:val="22"/>
                    </w:rPr>
                    <w:t>原则</w:t>
                  </w:r>
                </w:p>
              </w:tc>
              <w:tc>
                <w:tcPr>
                  <w:tcW w:w="2960" w:type="dxa"/>
                  <w:noWrap w:val="0"/>
                  <w:vAlign w:val="center"/>
                </w:tcPr>
                <w:p w14:paraId="096291CA">
                  <w:pPr>
                    <w:pStyle w:val="3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kern w:val="0"/>
                      <w:sz w:val="22"/>
                      <w:szCs w:val="22"/>
                    </w:rPr>
                  </w:pPr>
                  <w:r>
                    <w:rPr>
                      <w:rFonts w:hint="eastAsia"/>
                      <w:color w:val="auto"/>
                      <w:kern w:val="0"/>
                      <w:sz w:val="22"/>
                      <w:szCs w:val="22"/>
                    </w:rPr>
                    <w:t>本项目是否</w:t>
                  </w:r>
                  <w:r>
                    <w:rPr>
                      <w:color w:val="auto"/>
                      <w:kern w:val="0"/>
                      <w:sz w:val="22"/>
                      <w:szCs w:val="22"/>
                    </w:rPr>
                    <w:t>设置专项评价</w:t>
                  </w:r>
                </w:p>
              </w:tc>
            </w:tr>
            <w:tr w14:paraId="336D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dxa"/>
                  <w:noWrap w:val="0"/>
                  <w:vAlign w:val="center"/>
                </w:tcPr>
                <w:p w14:paraId="64F5ED6C">
                  <w:pPr>
                    <w:pStyle w:val="3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kern w:val="0"/>
                      <w:sz w:val="22"/>
                      <w:szCs w:val="22"/>
                    </w:rPr>
                  </w:pPr>
                  <w:r>
                    <w:rPr>
                      <w:rFonts w:hint="eastAsia"/>
                      <w:color w:val="auto"/>
                      <w:kern w:val="0"/>
                      <w:sz w:val="22"/>
                      <w:szCs w:val="22"/>
                    </w:rPr>
                    <w:t>大气</w:t>
                  </w:r>
                </w:p>
              </w:tc>
              <w:tc>
                <w:tcPr>
                  <w:tcW w:w="2830" w:type="dxa"/>
                  <w:noWrap w:val="0"/>
                  <w:vAlign w:val="center"/>
                </w:tcPr>
                <w:p w14:paraId="51A9F005">
                  <w:pPr>
                    <w:pStyle w:val="3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color w:val="auto"/>
                      <w:kern w:val="0"/>
                      <w:sz w:val="22"/>
                      <w:szCs w:val="22"/>
                      <w:lang w:eastAsia="zh-CN"/>
                    </w:rPr>
                  </w:pPr>
                  <w:r>
                    <w:rPr>
                      <w:rFonts w:hint="eastAsia"/>
                      <w:color w:val="auto"/>
                      <w:kern w:val="0"/>
                      <w:sz w:val="22"/>
                      <w:szCs w:val="22"/>
                    </w:rPr>
                    <w:t>排放废气含有毒有害污染物、二噁英、苯并[a]芘、氰化物、氯气且厂界外500米范围内有环境空气保护目标的建设项目</w:t>
                  </w:r>
                  <w:r>
                    <w:rPr>
                      <w:rFonts w:hint="eastAsia"/>
                      <w:color w:val="auto"/>
                      <w:kern w:val="0"/>
                      <w:sz w:val="22"/>
                      <w:szCs w:val="22"/>
                      <w:lang w:eastAsia="zh-CN"/>
                    </w:rPr>
                    <w:t>。</w:t>
                  </w:r>
                </w:p>
              </w:tc>
              <w:tc>
                <w:tcPr>
                  <w:tcW w:w="2960" w:type="dxa"/>
                  <w:noWrap w:val="0"/>
                  <w:vAlign w:val="center"/>
                </w:tcPr>
                <w:p w14:paraId="5A9807F8">
                  <w:pPr>
                    <w:pStyle w:val="3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kern w:val="0"/>
                      <w:sz w:val="22"/>
                      <w:szCs w:val="22"/>
                    </w:rPr>
                  </w:pPr>
                  <w:r>
                    <w:rPr>
                      <w:rFonts w:hint="eastAsia"/>
                      <w:color w:val="auto"/>
                      <w:kern w:val="0"/>
                      <w:sz w:val="22"/>
                      <w:szCs w:val="22"/>
                    </w:rPr>
                    <w:t>否；本项目不涉及</w:t>
                  </w:r>
                  <w:r>
                    <w:rPr>
                      <w:color w:val="auto"/>
                      <w:kern w:val="0"/>
                      <w:sz w:val="22"/>
                      <w:szCs w:val="22"/>
                    </w:rPr>
                    <w:t>有毒有害污染物排放</w:t>
                  </w:r>
                </w:p>
              </w:tc>
            </w:tr>
            <w:tr w14:paraId="30E4F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dxa"/>
                  <w:noWrap w:val="0"/>
                  <w:vAlign w:val="center"/>
                </w:tcPr>
                <w:p w14:paraId="57267F26">
                  <w:pPr>
                    <w:pStyle w:val="3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kern w:val="0"/>
                      <w:sz w:val="22"/>
                      <w:szCs w:val="22"/>
                    </w:rPr>
                  </w:pPr>
                  <w:r>
                    <w:rPr>
                      <w:rFonts w:hint="eastAsia"/>
                      <w:color w:val="auto"/>
                      <w:kern w:val="0"/>
                      <w:sz w:val="22"/>
                      <w:szCs w:val="22"/>
                    </w:rPr>
                    <w:t>地表水</w:t>
                  </w:r>
                </w:p>
              </w:tc>
              <w:tc>
                <w:tcPr>
                  <w:tcW w:w="2830" w:type="dxa"/>
                  <w:noWrap w:val="0"/>
                  <w:vAlign w:val="center"/>
                </w:tcPr>
                <w:p w14:paraId="2FEB1FE9">
                  <w:pPr>
                    <w:pStyle w:val="3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color w:val="auto"/>
                      <w:kern w:val="0"/>
                      <w:sz w:val="22"/>
                      <w:szCs w:val="22"/>
                      <w:lang w:eastAsia="zh-CN"/>
                    </w:rPr>
                  </w:pPr>
                  <w:r>
                    <w:rPr>
                      <w:rFonts w:hint="eastAsia"/>
                      <w:color w:val="auto"/>
                      <w:kern w:val="0"/>
                      <w:sz w:val="22"/>
                      <w:szCs w:val="22"/>
                    </w:rPr>
                    <w:t>新增工业废水直排建设项目（槽罐车外送污水处理厂的除外）；新增废水直排的污水集中处理厂</w:t>
                  </w:r>
                  <w:r>
                    <w:rPr>
                      <w:rFonts w:hint="eastAsia"/>
                      <w:color w:val="auto"/>
                      <w:kern w:val="0"/>
                      <w:sz w:val="22"/>
                      <w:szCs w:val="22"/>
                      <w:lang w:eastAsia="zh-CN"/>
                    </w:rPr>
                    <w:t>。</w:t>
                  </w:r>
                </w:p>
              </w:tc>
              <w:tc>
                <w:tcPr>
                  <w:tcW w:w="2960" w:type="dxa"/>
                  <w:noWrap w:val="0"/>
                  <w:vAlign w:val="center"/>
                </w:tcPr>
                <w:p w14:paraId="432202CB">
                  <w:pPr>
                    <w:pStyle w:val="3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olor w:val="auto"/>
                      <w:kern w:val="0"/>
                      <w:sz w:val="22"/>
                      <w:szCs w:val="22"/>
                      <w:lang w:val="en-US" w:eastAsia="zh-CN"/>
                    </w:rPr>
                  </w:pPr>
                  <w:r>
                    <w:rPr>
                      <w:rFonts w:hint="eastAsia"/>
                      <w:color w:val="auto"/>
                      <w:kern w:val="0"/>
                      <w:sz w:val="22"/>
                      <w:szCs w:val="22"/>
                    </w:rPr>
                    <w:t>否</w:t>
                  </w:r>
                  <w:r>
                    <w:rPr>
                      <w:color w:val="auto"/>
                      <w:kern w:val="0"/>
                      <w:sz w:val="22"/>
                      <w:szCs w:val="22"/>
                    </w:rPr>
                    <w:t>；</w:t>
                  </w:r>
                  <w:r>
                    <w:rPr>
                      <w:rFonts w:hint="eastAsia"/>
                      <w:color w:val="auto"/>
                      <w:kern w:val="0"/>
                      <w:sz w:val="22"/>
                      <w:szCs w:val="22"/>
                    </w:rPr>
                    <w:t>本项目</w:t>
                  </w:r>
                  <w:r>
                    <w:rPr>
                      <w:rFonts w:hint="eastAsia"/>
                      <w:color w:val="auto"/>
                      <w:kern w:val="0"/>
                      <w:sz w:val="22"/>
                      <w:szCs w:val="22"/>
                      <w:lang w:val="en-US" w:eastAsia="zh-CN"/>
                    </w:rPr>
                    <w:t>不涉及生产废水的产生和排放。</w:t>
                  </w:r>
                </w:p>
              </w:tc>
            </w:tr>
            <w:tr w14:paraId="6DDF3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dxa"/>
                  <w:noWrap w:val="0"/>
                  <w:vAlign w:val="center"/>
                </w:tcPr>
                <w:p w14:paraId="3CB9F26B">
                  <w:pPr>
                    <w:pStyle w:val="3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kern w:val="0"/>
                      <w:sz w:val="22"/>
                      <w:szCs w:val="22"/>
                    </w:rPr>
                  </w:pPr>
                  <w:r>
                    <w:rPr>
                      <w:rFonts w:hint="eastAsia"/>
                      <w:color w:val="auto"/>
                      <w:kern w:val="0"/>
                      <w:sz w:val="22"/>
                      <w:szCs w:val="22"/>
                    </w:rPr>
                    <w:t>地下水</w:t>
                  </w:r>
                </w:p>
              </w:tc>
              <w:tc>
                <w:tcPr>
                  <w:tcW w:w="2830" w:type="dxa"/>
                  <w:noWrap w:val="0"/>
                  <w:vAlign w:val="center"/>
                </w:tcPr>
                <w:p w14:paraId="24D00206">
                  <w:pPr>
                    <w:pStyle w:val="3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color w:val="auto"/>
                      <w:kern w:val="0"/>
                      <w:sz w:val="22"/>
                      <w:szCs w:val="22"/>
                      <w:lang w:eastAsia="zh-CN"/>
                    </w:rPr>
                  </w:pPr>
                  <w:r>
                    <w:rPr>
                      <w:rFonts w:hint="eastAsia"/>
                      <w:color w:val="auto"/>
                      <w:kern w:val="0"/>
                      <w:sz w:val="22"/>
                      <w:szCs w:val="22"/>
                    </w:rPr>
                    <w:t>涉及集中式饮用水水源和热水、矿泉水、温泉等特殊地下水资源保护区的</w:t>
                  </w:r>
                  <w:r>
                    <w:rPr>
                      <w:rFonts w:hint="eastAsia"/>
                      <w:color w:val="auto"/>
                      <w:kern w:val="0"/>
                      <w:sz w:val="22"/>
                      <w:szCs w:val="22"/>
                      <w:lang w:eastAsia="zh-CN"/>
                    </w:rPr>
                    <w:t>。</w:t>
                  </w:r>
                </w:p>
              </w:tc>
              <w:tc>
                <w:tcPr>
                  <w:tcW w:w="2960" w:type="dxa"/>
                  <w:noWrap w:val="0"/>
                  <w:vAlign w:val="center"/>
                </w:tcPr>
                <w:p w14:paraId="79BA22C7">
                  <w:pPr>
                    <w:pStyle w:val="3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kern w:val="0"/>
                      <w:sz w:val="22"/>
                      <w:szCs w:val="22"/>
                    </w:rPr>
                  </w:pPr>
                  <w:r>
                    <w:rPr>
                      <w:rFonts w:hint="eastAsia"/>
                      <w:color w:val="auto"/>
                      <w:kern w:val="0"/>
                      <w:sz w:val="22"/>
                      <w:szCs w:val="22"/>
                    </w:rPr>
                    <w:t>否</w:t>
                  </w:r>
                  <w:r>
                    <w:rPr>
                      <w:color w:val="auto"/>
                      <w:kern w:val="0"/>
                      <w:sz w:val="22"/>
                      <w:szCs w:val="22"/>
                    </w:rPr>
                    <w:t>；</w:t>
                  </w:r>
                  <w:r>
                    <w:rPr>
                      <w:rFonts w:hint="eastAsia"/>
                      <w:color w:val="auto"/>
                      <w:kern w:val="0"/>
                      <w:sz w:val="22"/>
                      <w:szCs w:val="22"/>
                    </w:rPr>
                    <w:t>本项目</w:t>
                  </w:r>
                  <w:r>
                    <w:rPr>
                      <w:color w:val="auto"/>
                      <w:kern w:val="0"/>
                      <w:sz w:val="22"/>
                      <w:szCs w:val="22"/>
                    </w:rPr>
                    <w:t>区域不涉及</w:t>
                  </w:r>
                  <w:r>
                    <w:rPr>
                      <w:rFonts w:hint="eastAsia"/>
                      <w:color w:val="auto"/>
                      <w:kern w:val="0"/>
                      <w:sz w:val="22"/>
                      <w:szCs w:val="22"/>
                    </w:rPr>
                    <w:t>集中式饮用水水源和热水、矿泉水、温泉等特殊地下水资源保护区。</w:t>
                  </w:r>
                </w:p>
              </w:tc>
            </w:tr>
            <w:tr w14:paraId="4D86A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dxa"/>
                  <w:noWrap w:val="0"/>
                  <w:vAlign w:val="center"/>
                </w:tcPr>
                <w:p w14:paraId="31F87F40">
                  <w:pPr>
                    <w:pStyle w:val="3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kern w:val="0"/>
                      <w:sz w:val="22"/>
                      <w:szCs w:val="22"/>
                    </w:rPr>
                  </w:pPr>
                  <w:r>
                    <w:rPr>
                      <w:rFonts w:hint="eastAsia"/>
                      <w:color w:val="auto"/>
                      <w:kern w:val="0"/>
                      <w:sz w:val="22"/>
                      <w:szCs w:val="22"/>
                    </w:rPr>
                    <w:t>环境</w:t>
                  </w:r>
                  <w:r>
                    <w:rPr>
                      <w:color w:val="auto"/>
                      <w:kern w:val="0"/>
                      <w:sz w:val="22"/>
                      <w:szCs w:val="22"/>
                    </w:rPr>
                    <w:t>风险</w:t>
                  </w:r>
                </w:p>
              </w:tc>
              <w:tc>
                <w:tcPr>
                  <w:tcW w:w="2830" w:type="dxa"/>
                  <w:noWrap w:val="0"/>
                  <w:vAlign w:val="center"/>
                </w:tcPr>
                <w:p w14:paraId="012340DA">
                  <w:pPr>
                    <w:pStyle w:val="3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color w:val="auto"/>
                      <w:kern w:val="0"/>
                      <w:sz w:val="22"/>
                      <w:szCs w:val="22"/>
                      <w:lang w:eastAsia="zh-CN"/>
                    </w:rPr>
                  </w:pPr>
                  <w:r>
                    <w:rPr>
                      <w:rFonts w:hint="eastAsia"/>
                      <w:color w:val="auto"/>
                      <w:kern w:val="0"/>
                      <w:sz w:val="22"/>
                      <w:szCs w:val="22"/>
                    </w:rPr>
                    <w:t>有毒有害和易燃易爆危险物质存储量超过临界量的建设项目</w:t>
                  </w:r>
                  <w:r>
                    <w:rPr>
                      <w:rFonts w:hint="eastAsia"/>
                      <w:color w:val="auto"/>
                      <w:kern w:val="0"/>
                      <w:sz w:val="22"/>
                      <w:szCs w:val="22"/>
                      <w:lang w:eastAsia="zh-CN"/>
                    </w:rPr>
                    <w:t>。</w:t>
                  </w:r>
                </w:p>
              </w:tc>
              <w:tc>
                <w:tcPr>
                  <w:tcW w:w="2960" w:type="dxa"/>
                  <w:noWrap w:val="0"/>
                  <w:vAlign w:val="center"/>
                </w:tcPr>
                <w:p w14:paraId="501BB619">
                  <w:pPr>
                    <w:pStyle w:val="3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color w:val="auto"/>
                      <w:kern w:val="0"/>
                      <w:sz w:val="22"/>
                      <w:szCs w:val="22"/>
                      <w:lang w:val="en-US" w:eastAsia="zh-CN"/>
                    </w:rPr>
                  </w:pPr>
                  <w:r>
                    <w:rPr>
                      <w:rFonts w:hint="eastAsia"/>
                      <w:color w:val="auto"/>
                      <w:kern w:val="0"/>
                      <w:sz w:val="22"/>
                      <w:szCs w:val="22"/>
                    </w:rPr>
                    <w:t>否</w:t>
                  </w:r>
                  <w:r>
                    <w:rPr>
                      <w:color w:val="auto"/>
                      <w:kern w:val="0"/>
                      <w:sz w:val="22"/>
                      <w:szCs w:val="22"/>
                    </w:rPr>
                    <w:t>；</w:t>
                  </w:r>
                  <w:r>
                    <w:rPr>
                      <w:rFonts w:hint="eastAsia"/>
                      <w:color w:val="auto"/>
                      <w:kern w:val="0"/>
                      <w:sz w:val="22"/>
                      <w:szCs w:val="22"/>
                    </w:rPr>
                    <w:t>依据HJ169-2018《建设项目环境风险评价技术导则》，本项目涉及</w:t>
                  </w:r>
                  <w:r>
                    <w:rPr>
                      <w:rFonts w:hint="eastAsia"/>
                      <w:color w:val="auto"/>
                      <w:kern w:val="0"/>
                      <w:sz w:val="22"/>
                      <w:szCs w:val="22"/>
                      <w:lang w:val="en-US" w:eastAsia="zh-CN"/>
                    </w:rPr>
                    <w:t>风险物质，Q值为0.00002</w:t>
                  </w:r>
                  <w:r>
                    <w:rPr>
                      <w:rFonts w:hint="eastAsia"/>
                      <w:color w:val="auto"/>
                      <w:kern w:val="0"/>
                      <w:sz w:val="22"/>
                      <w:szCs w:val="22"/>
                    </w:rPr>
                    <w:t>，但未超过其临界量</w:t>
                  </w:r>
                  <w:r>
                    <w:rPr>
                      <w:rFonts w:hint="eastAsia"/>
                      <w:color w:val="auto"/>
                      <w:kern w:val="0"/>
                      <w:sz w:val="22"/>
                      <w:szCs w:val="22"/>
                      <w:lang w:eastAsia="zh-CN"/>
                    </w:rPr>
                    <w:t>。</w:t>
                  </w:r>
                </w:p>
              </w:tc>
            </w:tr>
            <w:tr w14:paraId="12C1C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dxa"/>
                  <w:noWrap w:val="0"/>
                  <w:vAlign w:val="center"/>
                </w:tcPr>
                <w:p w14:paraId="3CEA3FE3">
                  <w:pPr>
                    <w:pStyle w:val="3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kern w:val="0"/>
                      <w:sz w:val="22"/>
                      <w:szCs w:val="22"/>
                    </w:rPr>
                  </w:pPr>
                  <w:r>
                    <w:rPr>
                      <w:rFonts w:hint="eastAsia"/>
                      <w:color w:val="auto"/>
                      <w:kern w:val="0"/>
                      <w:sz w:val="22"/>
                      <w:szCs w:val="22"/>
                    </w:rPr>
                    <w:t>生态</w:t>
                  </w:r>
                </w:p>
              </w:tc>
              <w:tc>
                <w:tcPr>
                  <w:tcW w:w="2830" w:type="dxa"/>
                  <w:noWrap w:val="0"/>
                  <w:vAlign w:val="center"/>
                </w:tcPr>
                <w:p w14:paraId="3C899EB5">
                  <w:pPr>
                    <w:pStyle w:val="3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color w:val="auto"/>
                      <w:kern w:val="0"/>
                      <w:sz w:val="22"/>
                      <w:szCs w:val="22"/>
                      <w:lang w:eastAsia="zh-CN"/>
                    </w:rPr>
                  </w:pPr>
                  <w:r>
                    <w:rPr>
                      <w:rFonts w:hint="eastAsia"/>
                      <w:color w:val="auto"/>
                      <w:kern w:val="0"/>
                      <w:sz w:val="22"/>
                      <w:szCs w:val="22"/>
                    </w:rPr>
                    <w:t>取水口下游500米范围内有重要水生生物的自然产卵场、索饵场、越冬场和洄游通道的新增河道取水的污染类建设项目</w:t>
                  </w:r>
                  <w:r>
                    <w:rPr>
                      <w:rFonts w:hint="eastAsia"/>
                      <w:color w:val="auto"/>
                      <w:kern w:val="0"/>
                      <w:sz w:val="22"/>
                      <w:szCs w:val="22"/>
                      <w:lang w:eastAsia="zh-CN"/>
                    </w:rPr>
                    <w:t>。</w:t>
                  </w:r>
                </w:p>
              </w:tc>
              <w:tc>
                <w:tcPr>
                  <w:tcW w:w="2960" w:type="dxa"/>
                  <w:noWrap w:val="0"/>
                  <w:vAlign w:val="center"/>
                </w:tcPr>
                <w:p w14:paraId="01496E97">
                  <w:pPr>
                    <w:pStyle w:val="3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kern w:val="0"/>
                      <w:sz w:val="22"/>
                      <w:szCs w:val="22"/>
                    </w:rPr>
                  </w:pPr>
                  <w:r>
                    <w:rPr>
                      <w:rFonts w:hint="eastAsia"/>
                      <w:color w:val="auto"/>
                      <w:kern w:val="0"/>
                      <w:sz w:val="22"/>
                      <w:szCs w:val="22"/>
                    </w:rPr>
                    <w:t>否</w:t>
                  </w:r>
                  <w:r>
                    <w:rPr>
                      <w:color w:val="auto"/>
                      <w:kern w:val="0"/>
                      <w:sz w:val="22"/>
                      <w:szCs w:val="22"/>
                    </w:rPr>
                    <w:t>；</w:t>
                  </w:r>
                  <w:r>
                    <w:rPr>
                      <w:rFonts w:hint="eastAsia"/>
                      <w:color w:val="auto"/>
                      <w:kern w:val="0"/>
                      <w:sz w:val="22"/>
                      <w:szCs w:val="22"/>
                    </w:rPr>
                    <w:t>本项目</w:t>
                  </w:r>
                  <w:r>
                    <w:rPr>
                      <w:color w:val="auto"/>
                      <w:kern w:val="0"/>
                      <w:sz w:val="22"/>
                      <w:szCs w:val="22"/>
                    </w:rPr>
                    <w:t>位于</w:t>
                  </w:r>
                  <w:r>
                    <w:rPr>
                      <w:color w:val="auto"/>
                      <w:sz w:val="22"/>
                      <w:szCs w:val="22"/>
                    </w:rPr>
                    <w:t>重庆市合川区</w:t>
                  </w:r>
                  <w:r>
                    <w:rPr>
                      <w:rFonts w:hint="eastAsia"/>
                      <w:color w:val="auto"/>
                      <w:sz w:val="22"/>
                      <w:szCs w:val="22"/>
                    </w:rPr>
                    <w:t>工业园区南溪</w:t>
                  </w:r>
                  <w:r>
                    <w:rPr>
                      <w:rFonts w:hint="eastAsia"/>
                      <w:color w:val="auto"/>
                      <w:sz w:val="22"/>
                      <w:szCs w:val="22"/>
                      <w:lang w:val="en-US" w:eastAsia="zh-CN"/>
                    </w:rPr>
                    <w:t>组团B区</w:t>
                  </w:r>
                  <w:r>
                    <w:rPr>
                      <w:rFonts w:hint="eastAsia"/>
                      <w:color w:val="auto"/>
                      <w:kern w:val="0"/>
                      <w:sz w:val="22"/>
                      <w:szCs w:val="22"/>
                    </w:rPr>
                    <w:t>，项目不属于新增河道取水的污染类建设项目。</w:t>
                  </w:r>
                </w:p>
              </w:tc>
            </w:tr>
            <w:tr w14:paraId="5EE3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dxa"/>
                  <w:noWrap w:val="0"/>
                  <w:vAlign w:val="center"/>
                </w:tcPr>
                <w:p w14:paraId="63212998">
                  <w:pPr>
                    <w:pStyle w:val="3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kern w:val="0"/>
                      <w:sz w:val="22"/>
                      <w:szCs w:val="22"/>
                    </w:rPr>
                  </w:pPr>
                  <w:r>
                    <w:rPr>
                      <w:rFonts w:hint="eastAsia"/>
                      <w:color w:val="auto"/>
                      <w:kern w:val="0"/>
                      <w:sz w:val="22"/>
                      <w:szCs w:val="22"/>
                    </w:rPr>
                    <w:t>海洋</w:t>
                  </w:r>
                </w:p>
              </w:tc>
              <w:tc>
                <w:tcPr>
                  <w:tcW w:w="2830" w:type="dxa"/>
                  <w:noWrap w:val="0"/>
                  <w:vAlign w:val="center"/>
                </w:tcPr>
                <w:p w14:paraId="3399507F">
                  <w:pPr>
                    <w:pStyle w:val="3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kern w:val="0"/>
                      <w:sz w:val="22"/>
                      <w:szCs w:val="22"/>
                    </w:rPr>
                  </w:pPr>
                  <w:r>
                    <w:rPr>
                      <w:rFonts w:hint="eastAsia"/>
                      <w:color w:val="auto"/>
                      <w:kern w:val="0"/>
                      <w:sz w:val="22"/>
                      <w:szCs w:val="22"/>
                    </w:rPr>
                    <w:t>直接向海排放污染物的海洋工程建设项目。</w:t>
                  </w:r>
                </w:p>
              </w:tc>
              <w:tc>
                <w:tcPr>
                  <w:tcW w:w="2960" w:type="dxa"/>
                  <w:noWrap w:val="0"/>
                  <w:vAlign w:val="center"/>
                </w:tcPr>
                <w:p w14:paraId="7BFF4F64">
                  <w:pPr>
                    <w:pStyle w:val="3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kern w:val="0"/>
                      <w:sz w:val="22"/>
                      <w:szCs w:val="22"/>
                    </w:rPr>
                  </w:pPr>
                  <w:r>
                    <w:rPr>
                      <w:rFonts w:hint="eastAsia"/>
                      <w:color w:val="auto"/>
                      <w:kern w:val="0"/>
                      <w:sz w:val="22"/>
                      <w:szCs w:val="22"/>
                    </w:rPr>
                    <w:t>否</w:t>
                  </w:r>
                  <w:r>
                    <w:rPr>
                      <w:color w:val="auto"/>
                      <w:kern w:val="0"/>
                      <w:sz w:val="22"/>
                      <w:szCs w:val="22"/>
                    </w:rPr>
                    <w:t>；</w:t>
                  </w:r>
                  <w:r>
                    <w:rPr>
                      <w:rFonts w:hint="eastAsia"/>
                      <w:color w:val="auto"/>
                      <w:kern w:val="0"/>
                      <w:sz w:val="22"/>
                      <w:szCs w:val="22"/>
                    </w:rPr>
                    <w:t>本项目不属于直接向海排放污染物的海洋工程建设项目。</w:t>
                  </w:r>
                </w:p>
              </w:tc>
            </w:tr>
          </w:tbl>
          <w:p w14:paraId="56007025">
            <w:pPr>
              <w:rPr>
                <w:rFonts w:hint="eastAsia" w:ascii="宋体" w:hAnsi="宋体" w:eastAsia="宋体" w:cs="宋体"/>
                <w:color w:val="auto"/>
                <w:sz w:val="26"/>
                <w:szCs w:val="26"/>
              </w:rPr>
            </w:pPr>
          </w:p>
          <w:p w14:paraId="03BE94B2">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cs="Times New Roman"/>
                <w:color w:val="auto"/>
                <w:sz w:val="26"/>
                <w:szCs w:val="26"/>
                <w:lang w:val="en-US" w:eastAsia="zh-CN"/>
              </w:rPr>
            </w:pPr>
            <w:r>
              <w:rPr>
                <w:rFonts w:hint="eastAsia" w:ascii="宋体" w:hAnsi="宋体" w:eastAsia="宋体" w:cs="宋体"/>
                <w:color w:val="auto"/>
                <w:sz w:val="26"/>
                <w:szCs w:val="26"/>
              </w:rPr>
              <w:t>根据《建设项目环境影响报告表编制技术指南（污染影响类）（试行</w:t>
            </w:r>
            <w:r>
              <w:rPr>
                <w:rFonts w:ascii="Times New Roman" w:hAnsi="Times New Roman" w:eastAsia="宋体"/>
                <w:color w:val="auto"/>
                <w:sz w:val="26"/>
                <w:szCs w:val="26"/>
              </w:rPr>
              <w:t>）</w:t>
            </w:r>
            <w:r>
              <w:rPr>
                <w:rFonts w:hint="eastAsia" w:ascii="宋体" w:hAnsi="宋体" w:eastAsia="宋体" w:cs="宋体"/>
                <w:color w:val="auto"/>
                <w:sz w:val="26"/>
                <w:szCs w:val="26"/>
              </w:rPr>
              <w:t>》</w:t>
            </w:r>
            <w:r>
              <w:rPr>
                <w:rFonts w:ascii="Times New Roman" w:hAnsi="Times New Roman" w:eastAsia="宋体"/>
                <w:color w:val="auto"/>
                <w:sz w:val="26"/>
                <w:szCs w:val="26"/>
              </w:rPr>
              <w:t>中表1专项评价设置原则表，本项目不涉及有毒有害物质排放，危险物质存量未超过《建设项目环境风险评价技术导则》（HJ169）附录B中</w:t>
            </w:r>
            <w:r>
              <w:rPr>
                <w:rFonts w:hint="eastAsia" w:ascii="宋体" w:hAnsi="宋体" w:eastAsia="宋体" w:cs="宋体"/>
                <w:color w:val="auto"/>
                <w:sz w:val="26"/>
                <w:szCs w:val="26"/>
              </w:rPr>
              <w:t>的临界量，因此本项目无需开展专项评价。</w:t>
            </w:r>
          </w:p>
        </w:tc>
      </w:tr>
      <w:tr w14:paraId="09AA2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0" w:type="pct"/>
            <w:vAlign w:val="center"/>
          </w:tcPr>
          <w:p w14:paraId="5EC2A2A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color w:val="auto"/>
                <w:sz w:val="26"/>
                <w:szCs w:val="26"/>
                <w:lang w:val="en-US" w:eastAsia="zh-CN"/>
              </w:rPr>
            </w:pPr>
            <w:r>
              <w:rPr>
                <w:rFonts w:hint="eastAsia" w:cs="Times New Roman"/>
                <w:color w:val="auto"/>
                <w:sz w:val="26"/>
                <w:szCs w:val="26"/>
                <w:lang w:val="en-US" w:eastAsia="zh-CN"/>
              </w:rPr>
              <w:t>规划情况</w:t>
            </w:r>
          </w:p>
        </w:tc>
        <w:tc>
          <w:tcPr>
            <w:tcW w:w="4229" w:type="pct"/>
            <w:gridSpan w:val="5"/>
            <w:shd w:val="clear" w:color="auto" w:fill="auto"/>
            <w:vAlign w:val="center"/>
          </w:tcPr>
          <w:p w14:paraId="0831F193">
            <w:pPr>
              <w:keepNext w:val="0"/>
              <w:keepLines w:val="0"/>
              <w:pageBreakBefore w:val="0"/>
              <w:widowControl w:val="0"/>
              <w:kinsoku/>
              <w:wordWrap/>
              <w:overflowPunct/>
              <w:topLinePunct w:val="0"/>
              <w:autoSpaceDE w:val="0"/>
              <w:autoSpaceDN w:val="0"/>
              <w:bidi w:val="0"/>
              <w:adjustRightInd w:val="0"/>
              <w:snapToGrid w:val="0"/>
              <w:spacing w:line="460" w:lineRule="exact"/>
              <w:ind w:left="0" w:leftChars="0" w:firstLine="0" w:firstLineChars="0"/>
              <w:textAlignment w:val="auto"/>
              <w:rPr>
                <w:rFonts w:ascii="Times New Roman" w:hAnsi="Times New Roman" w:eastAsia="宋体"/>
                <w:color w:val="auto"/>
                <w:kern w:val="0"/>
                <w:sz w:val="26"/>
                <w:szCs w:val="26"/>
              </w:rPr>
            </w:pPr>
            <w:r>
              <w:rPr>
                <w:rFonts w:ascii="Times New Roman" w:hAnsi="Times New Roman" w:eastAsia="宋体"/>
                <w:color w:val="auto"/>
                <w:kern w:val="0"/>
                <w:sz w:val="26"/>
                <w:szCs w:val="26"/>
              </w:rPr>
              <w:t>规划名称：《</w:t>
            </w:r>
            <w:r>
              <w:rPr>
                <w:rFonts w:hint="eastAsia" w:ascii="Times New Roman" w:hAnsi="Times New Roman" w:eastAsia="宋体"/>
                <w:color w:val="auto"/>
                <w:kern w:val="0"/>
                <w:sz w:val="26"/>
                <w:szCs w:val="26"/>
              </w:rPr>
              <w:t>合川区信息安全产业城控制性详细规划</w:t>
            </w:r>
            <w:r>
              <w:rPr>
                <w:rFonts w:hint="eastAsia"/>
                <w:color w:val="auto"/>
                <w:kern w:val="0"/>
                <w:sz w:val="26"/>
                <w:szCs w:val="26"/>
                <w:lang w:eastAsia="zh-CN"/>
              </w:rPr>
              <w:t>（</w:t>
            </w:r>
            <w:r>
              <w:rPr>
                <w:rFonts w:hint="eastAsia" w:ascii="Times New Roman" w:hAnsi="Times New Roman" w:eastAsia="宋体"/>
                <w:color w:val="auto"/>
                <w:kern w:val="0"/>
                <w:sz w:val="26"/>
                <w:szCs w:val="26"/>
              </w:rPr>
              <w:t>修编</w:t>
            </w:r>
            <w:r>
              <w:rPr>
                <w:rFonts w:hint="eastAsia"/>
                <w:color w:val="auto"/>
                <w:kern w:val="0"/>
                <w:sz w:val="26"/>
                <w:szCs w:val="26"/>
                <w:lang w:eastAsia="zh-CN"/>
              </w:rPr>
              <w:t>）</w:t>
            </w:r>
            <w:r>
              <w:rPr>
                <w:rFonts w:ascii="Times New Roman" w:hAnsi="Times New Roman" w:eastAsia="宋体"/>
                <w:color w:val="auto"/>
                <w:kern w:val="0"/>
                <w:sz w:val="26"/>
                <w:szCs w:val="26"/>
              </w:rPr>
              <w:t>》；</w:t>
            </w:r>
          </w:p>
          <w:p w14:paraId="1B71CAEE">
            <w:pPr>
              <w:keepNext w:val="0"/>
              <w:keepLines w:val="0"/>
              <w:pageBreakBefore w:val="0"/>
              <w:widowControl w:val="0"/>
              <w:kinsoku/>
              <w:wordWrap/>
              <w:overflowPunct/>
              <w:topLinePunct w:val="0"/>
              <w:autoSpaceDE w:val="0"/>
              <w:autoSpaceDN w:val="0"/>
              <w:bidi w:val="0"/>
              <w:adjustRightInd w:val="0"/>
              <w:snapToGrid w:val="0"/>
              <w:spacing w:line="460" w:lineRule="exact"/>
              <w:ind w:left="0" w:leftChars="0" w:firstLine="0" w:firstLineChars="0"/>
              <w:textAlignment w:val="auto"/>
              <w:rPr>
                <w:rFonts w:ascii="Times New Roman" w:hAnsi="Times New Roman" w:eastAsia="宋体"/>
                <w:color w:val="auto"/>
                <w:kern w:val="0"/>
                <w:sz w:val="26"/>
                <w:szCs w:val="26"/>
              </w:rPr>
            </w:pPr>
            <w:r>
              <w:rPr>
                <w:rFonts w:ascii="Times New Roman" w:hAnsi="Times New Roman" w:eastAsia="宋体"/>
                <w:color w:val="auto"/>
                <w:kern w:val="0"/>
                <w:sz w:val="26"/>
                <w:szCs w:val="26"/>
              </w:rPr>
              <w:t>审查机关：合川区人民政府；</w:t>
            </w:r>
          </w:p>
          <w:p w14:paraId="4F46CF77">
            <w:pPr>
              <w:keepNext w:val="0"/>
              <w:keepLines w:val="0"/>
              <w:pageBreakBefore w:val="0"/>
              <w:widowControl w:val="0"/>
              <w:kinsoku/>
              <w:wordWrap/>
              <w:overflowPunct/>
              <w:topLinePunct w:val="0"/>
              <w:autoSpaceDE w:val="0"/>
              <w:autoSpaceDN w:val="0"/>
              <w:bidi w:val="0"/>
              <w:adjustRightInd w:val="0"/>
              <w:snapToGrid w:val="0"/>
              <w:spacing w:line="460" w:lineRule="exact"/>
              <w:ind w:left="0" w:leftChars="0" w:firstLine="0" w:firstLineChars="0"/>
              <w:textAlignment w:val="auto"/>
              <w:rPr>
                <w:rFonts w:hint="eastAsia" w:ascii="Times New Roman" w:hAnsi="Times New Roman" w:eastAsia="宋体" w:cstheme="minorBidi"/>
                <w:color w:val="auto"/>
                <w:kern w:val="0"/>
                <w:sz w:val="26"/>
                <w:szCs w:val="26"/>
                <w:lang w:val="en-US" w:eastAsia="zh-CN" w:bidi="ar-SA"/>
              </w:rPr>
            </w:pPr>
            <w:r>
              <w:rPr>
                <w:rFonts w:ascii="Times New Roman" w:hAnsi="Times New Roman" w:eastAsia="宋体"/>
                <w:color w:val="auto"/>
                <w:kern w:val="0"/>
                <w:sz w:val="26"/>
                <w:szCs w:val="26"/>
              </w:rPr>
              <w:t>审批文件：《</w:t>
            </w:r>
            <w:r>
              <w:rPr>
                <w:rFonts w:hint="eastAsia" w:ascii="Times New Roman" w:hAnsi="Times New Roman" w:eastAsia="宋体"/>
                <w:color w:val="auto"/>
                <w:kern w:val="0"/>
                <w:sz w:val="26"/>
                <w:szCs w:val="26"/>
              </w:rPr>
              <w:t>重庆市合川区人民政府关于合川区信息安全产业城控制性详细规划</w:t>
            </w:r>
            <w:r>
              <w:rPr>
                <w:rFonts w:hint="eastAsia"/>
                <w:color w:val="auto"/>
                <w:kern w:val="0"/>
                <w:sz w:val="26"/>
                <w:szCs w:val="26"/>
                <w:lang w:eastAsia="zh-CN"/>
              </w:rPr>
              <w:t>（</w:t>
            </w:r>
            <w:r>
              <w:rPr>
                <w:rFonts w:hint="eastAsia" w:ascii="Times New Roman" w:hAnsi="Times New Roman" w:eastAsia="宋体"/>
                <w:color w:val="auto"/>
                <w:kern w:val="0"/>
                <w:sz w:val="26"/>
                <w:szCs w:val="26"/>
              </w:rPr>
              <w:t>修编</w:t>
            </w:r>
            <w:r>
              <w:rPr>
                <w:rFonts w:hint="eastAsia"/>
                <w:color w:val="auto"/>
                <w:kern w:val="0"/>
                <w:sz w:val="26"/>
                <w:szCs w:val="26"/>
                <w:lang w:eastAsia="zh-CN"/>
              </w:rPr>
              <w:t>）</w:t>
            </w:r>
            <w:r>
              <w:rPr>
                <w:rFonts w:hint="eastAsia" w:ascii="Times New Roman" w:hAnsi="Times New Roman" w:eastAsia="宋体"/>
                <w:color w:val="auto"/>
                <w:kern w:val="0"/>
                <w:sz w:val="26"/>
                <w:szCs w:val="26"/>
              </w:rPr>
              <w:t>的批复</w:t>
            </w:r>
            <w:r>
              <w:rPr>
                <w:rFonts w:ascii="Times New Roman" w:hAnsi="Times New Roman" w:eastAsia="宋体"/>
                <w:color w:val="auto"/>
                <w:kern w:val="0"/>
                <w:sz w:val="26"/>
                <w:szCs w:val="26"/>
              </w:rPr>
              <w:t>》（合川府</w:t>
            </w:r>
            <w:r>
              <w:rPr>
                <w:rFonts w:ascii="Times New Roman" w:hAnsi="Times New Roman"/>
                <w:color w:val="auto"/>
                <w:sz w:val="26"/>
                <w:szCs w:val="26"/>
              </w:rPr>
              <w:t>〔201</w:t>
            </w:r>
            <w:r>
              <w:rPr>
                <w:rFonts w:hint="eastAsia"/>
                <w:color w:val="auto"/>
                <w:sz w:val="26"/>
                <w:szCs w:val="26"/>
                <w:lang w:val="en-US" w:eastAsia="zh-CN"/>
              </w:rPr>
              <w:t>8</w:t>
            </w:r>
            <w:r>
              <w:rPr>
                <w:rFonts w:ascii="Times New Roman" w:hAnsi="Times New Roman"/>
                <w:color w:val="auto"/>
                <w:sz w:val="26"/>
                <w:szCs w:val="26"/>
              </w:rPr>
              <w:t>〕</w:t>
            </w:r>
            <w:r>
              <w:rPr>
                <w:rFonts w:hint="eastAsia"/>
                <w:color w:val="auto"/>
                <w:kern w:val="0"/>
                <w:sz w:val="26"/>
                <w:szCs w:val="26"/>
                <w:lang w:val="en-US" w:eastAsia="zh-CN"/>
              </w:rPr>
              <w:t>191</w:t>
            </w:r>
            <w:r>
              <w:rPr>
                <w:rFonts w:ascii="Times New Roman" w:hAnsi="Times New Roman" w:eastAsia="宋体"/>
                <w:color w:val="auto"/>
                <w:kern w:val="0"/>
                <w:sz w:val="26"/>
                <w:szCs w:val="26"/>
              </w:rPr>
              <w:t>号）。</w:t>
            </w:r>
          </w:p>
        </w:tc>
      </w:tr>
      <w:tr w14:paraId="6A388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0" w:type="pct"/>
            <w:vAlign w:val="center"/>
          </w:tcPr>
          <w:p w14:paraId="45BE7339">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eastAsia="宋体" w:cs="Times New Roman"/>
                <w:color w:val="auto"/>
                <w:sz w:val="26"/>
                <w:szCs w:val="26"/>
                <w:lang w:val="en-US" w:eastAsia="zh-CN"/>
              </w:rPr>
            </w:pPr>
            <w:r>
              <w:rPr>
                <w:rFonts w:hint="eastAsia" w:cs="Times New Roman"/>
                <w:color w:val="auto"/>
                <w:sz w:val="26"/>
                <w:szCs w:val="26"/>
                <w:lang w:val="en-US" w:eastAsia="zh-CN"/>
              </w:rPr>
              <w:t>规划环境影响评价情况</w:t>
            </w:r>
          </w:p>
        </w:tc>
        <w:tc>
          <w:tcPr>
            <w:tcW w:w="4229" w:type="pct"/>
            <w:gridSpan w:val="5"/>
            <w:shd w:val="clear" w:color="auto" w:fill="auto"/>
            <w:vAlign w:val="center"/>
          </w:tcPr>
          <w:p w14:paraId="14358404">
            <w:pPr>
              <w:keepNext w:val="0"/>
              <w:keepLines w:val="0"/>
              <w:pageBreakBefore w:val="0"/>
              <w:widowControl w:val="0"/>
              <w:kinsoku/>
              <w:wordWrap/>
              <w:overflowPunct/>
              <w:topLinePunct w:val="0"/>
              <w:autoSpaceDE w:val="0"/>
              <w:autoSpaceDN w:val="0"/>
              <w:bidi w:val="0"/>
              <w:adjustRightInd w:val="0"/>
              <w:snapToGrid w:val="0"/>
              <w:spacing w:line="460" w:lineRule="exact"/>
              <w:ind w:left="0" w:leftChars="0" w:firstLine="0" w:firstLineChars="0"/>
              <w:textAlignment w:val="auto"/>
              <w:rPr>
                <w:rFonts w:hint="eastAsia" w:ascii="Times New Roman" w:hAnsi="Times New Roman" w:eastAsia="宋体"/>
                <w:color w:val="auto"/>
                <w:kern w:val="0"/>
                <w:sz w:val="26"/>
                <w:szCs w:val="26"/>
              </w:rPr>
            </w:pPr>
            <w:r>
              <w:rPr>
                <w:rFonts w:hint="eastAsia" w:ascii="Times New Roman" w:hAnsi="Times New Roman" w:eastAsia="宋体"/>
                <w:color w:val="auto"/>
                <w:kern w:val="0"/>
                <w:sz w:val="26"/>
                <w:szCs w:val="26"/>
              </w:rPr>
              <w:t>规划环评名称：《合川工业园区南溪组团、渭沱组团B区规划环境影响报告书》；</w:t>
            </w:r>
          </w:p>
          <w:p w14:paraId="4481AC58">
            <w:pPr>
              <w:keepNext w:val="0"/>
              <w:keepLines w:val="0"/>
              <w:pageBreakBefore w:val="0"/>
              <w:widowControl w:val="0"/>
              <w:kinsoku/>
              <w:wordWrap/>
              <w:overflowPunct/>
              <w:topLinePunct w:val="0"/>
              <w:autoSpaceDE w:val="0"/>
              <w:autoSpaceDN w:val="0"/>
              <w:bidi w:val="0"/>
              <w:adjustRightInd w:val="0"/>
              <w:snapToGrid w:val="0"/>
              <w:spacing w:line="460" w:lineRule="exact"/>
              <w:ind w:left="0" w:leftChars="0" w:firstLine="0" w:firstLineChars="0"/>
              <w:textAlignment w:val="auto"/>
              <w:rPr>
                <w:rFonts w:hint="eastAsia" w:ascii="Times New Roman" w:hAnsi="Times New Roman" w:eastAsia="宋体"/>
                <w:color w:val="auto"/>
                <w:kern w:val="0"/>
                <w:sz w:val="26"/>
                <w:szCs w:val="26"/>
              </w:rPr>
            </w:pPr>
            <w:r>
              <w:rPr>
                <w:rFonts w:hint="eastAsia" w:ascii="Times New Roman" w:hAnsi="Times New Roman" w:eastAsia="宋体"/>
                <w:color w:val="auto"/>
                <w:kern w:val="0"/>
                <w:sz w:val="26"/>
                <w:szCs w:val="26"/>
              </w:rPr>
              <w:t>审查机关：重庆市生态环境局；</w:t>
            </w:r>
          </w:p>
          <w:p w14:paraId="6CA74A61">
            <w:pPr>
              <w:keepNext w:val="0"/>
              <w:keepLines w:val="0"/>
              <w:pageBreakBefore w:val="0"/>
              <w:widowControl w:val="0"/>
              <w:kinsoku/>
              <w:wordWrap/>
              <w:overflowPunct/>
              <w:topLinePunct w:val="0"/>
              <w:autoSpaceDE w:val="0"/>
              <w:autoSpaceDN w:val="0"/>
              <w:bidi w:val="0"/>
              <w:adjustRightInd w:val="0"/>
              <w:snapToGrid w:val="0"/>
              <w:spacing w:line="460" w:lineRule="exact"/>
              <w:ind w:left="0" w:leftChars="0" w:firstLine="0" w:firstLineChars="0"/>
              <w:textAlignment w:val="auto"/>
              <w:rPr>
                <w:rFonts w:hint="eastAsia" w:ascii="Times New Roman" w:hAnsi="Times New Roman" w:eastAsia="宋体"/>
                <w:color w:val="auto"/>
                <w:kern w:val="0"/>
                <w:sz w:val="26"/>
                <w:szCs w:val="26"/>
              </w:rPr>
            </w:pPr>
            <w:r>
              <w:rPr>
                <w:rFonts w:hint="eastAsia" w:ascii="Times New Roman" w:hAnsi="Times New Roman" w:eastAsia="宋体"/>
                <w:color w:val="auto"/>
                <w:kern w:val="0"/>
                <w:sz w:val="26"/>
                <w:szCs w:val="26"/>
              </w:rPr>
              <w:t>审查文件名称：《重庆市生态环境局关于合川工业园区南溪组团、渭沱组团B区规划环境影响报告书审查意见的函》</w:t>
            </w:r>
          </w:p>
          <w:p w14:paraId="573BCF52">
            <w:pPr>
              <w:keepNext w:val="0"/>
              <w:keepLines w:val="0"/>
              <w:pageBreakBefore w:val="0"/>
              <w:widowControl w:val="0"/>
              <w:kinsoku/>
              <w:wordWrap/>
              <w:overflowPunct/>
              <w:topLinePunct w:val="0"/>
              <w:autoSpaceDE w:val="0"/>
              <w:autoSpaceDN w:val="0"/>
              <w:bidi w:val="0"/>
              <w:adjustRightInd w:val="0"/>
              <w:snapToGrid w:val="0"/>
              <w:spacing w:line="460" w:lineRule="exact"/>
              <w:ind w:left="0" w:leftChars="0" w:firstLine="0" w:firstLineChars="0"/>
              <w:textAlignment w:val="auto"/>
              <w:rPr>
                <w:rFonts w:hint="default" w:ascii="Times New Roman" w:hAnsi="Times New Roman" w:eastAsia="宋体" w:cstheme="minorBidi"/>
                <w:color w:val="auto"/>
                <w:kern w:val="0"/>
                <w:sz w:val="26"/>
                <w:szCs w:val="26"/>
                <w:lang w:val="en-US" w:eastAsia="zh-CN" w:bidi="ar-SA"/>
              </w:rPr>
            </w:pPr>
            <w:r>
              <w:rPr>
                <w:rFonts w:hint="eastAsia" w:ascii="Times New Roman" w:hAnsi="Times New Roman" w:eastAsia="宋体"/>
                <w:color w:val="auto"/>
                <w:kern w:val="0"/>
                <w:sz w:val="26"/>
                <w:szCs w:val="26"/>
              </w:rPr>
              <w:t>审批文号：渝环函〔2019〕1169号</w:t>
            </w:r>
          </w:p>
        </w:tc>
      </w:tr>
      <w:tr w14:paraId="593F1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0" w:type="pct"/>
            <w:vAlign w:val="center"/>
          </w:tcPr>
          <w:p w14:paraId="54A9CB40">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cs="Times New Roman"/>
                <w:color w:val="auto"/>
                <w:sz w:val="26"/>
                <w:szCs w:val="26"/>
                <w:lang w:val="en-US" w:eastAsia="zh-CN"/>
              </w:rPr>
            </w:pPr>
            <w:r>
              <w:rPr>
                <w:rFonts w:hint="eastAsia" w:cs="Times New Roman"/>
                <w:color w:val="auto"/>
                <w:sz w:val="26"/>
                <w:szCs w:val="26"/>
                <w:lang w:val="en-US" w:eastAsia="zh-CN"/>
              </w:rPr>
              <w:t>规划及规划环境影响评价符合性分析</w:t>
            </w:r>
          </w:p>
        </w:tc>
        <w:tc>
          <w:tcPr>
            <w:tcW w:w="4229" w:type="pct"/>
            <w:gridSpan w:val="5"/>
            <w:vAlign w:val="top"/>
          </w:tcPr>
          <w:p w14:paraId="7D0D0B23">
            <w:pPr>
              <w:pStyle w:val="3"/>
              <w:pageBreakBefore w:val="0"/>
              <w:widowControl w:val="0"/>
              <w:kinsoku/>
              <w:wordWrap/>
              <w:overflowPunct/>
              <w:topLinePunct w:val="0"/>
              <w:autoSpaceDE/>
              <w:autoSpaceDN/>
              <w:bidi w:val="0"/>
              <w:adjustRightInd w:val="0"/>
              <w:snapToGrid w:val="0"/>
              <w:spacing w:beforeLines="0" w:afterLines="0" w:line="460" w:lineRule="exact"/>
              <w:ind w:left="0" w:leftChars="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1.1规划符合性分析</w:t>
            </w:r>
          </w:p>
          <w:p w14:paraId="3A7613A3">
            <w:pPr>
              <w:adjustRightInd w:val="0"/>
              <w:snapToGrid w:val="0"/>
              <w:spacing w:line="460" w:lineRule="exact"/>
              <w:ind w:left="0" w:leftChars="0" w:firstLine="0" w:firstLineChars="0"/>
              <w:outlineLvl w:val="1"/>
              <w:rPr>
                <w:rFonts w:ascii="Times New Roman" w:hAnsi="Times New Roman" w:eastAsia="宋体"/>
                <w:b/>
                <w:bCs/>
                <w:color w:val="auto"/>
                <w:sz w:val="26"/>
                <w:szCs w:val="26"/>
              </w:rPr>
            </w:pPr>
            <w:r>
              <w:rPr>
                <w:rFonts w:hint="eastAsia" w:ascii="Times New Roman" w:hAnsi="Times New Roman" w:eastAsia="宋体"/>
                <w:b/>
                <w:bCs/>
                <w:color w:val="auto"/>
                <w:sz w:val="26"/>
                <w:szCs w:val="26"/>
              </w:rPr>
              <w:t>1.1.1</w:t>
            </w:r>
            <w:r>
              <w:rPr>
                <w:rFonts w:ascii="Times New Roman" w:hAnsi="Times New Roman" w:eastAsia="宋体"/>
                <w:b/>
                <w:bCs/>
                <w:color w:val="auto"/>
                <w:sz w:val="26"/>
                <w:szCs w:val="26"/>
              </w:rPr>
              <w:t>与</w:t>
            </w:r>
            <w:r>
              <w:rPr>
                <w:rFonts w:hint="eastAsia" w:ascii="Times New Roman" w:hAnsi="Times New Roman" w:eastAsia="宋体"/>
                <w:b/>
                <w:bCs/>
                <w:color w:val="auto"/>
                <w:sz w:val="26"/>
                <w:szCs w:val="26"/>
              </w:rPr>
              <w:t>合川区信息安全产业城控制性详细规划</w:t>
            </w:r>
            <w:r>
              <w:rPr>
                <w:rFonts w:ascii="Times New Roman" w:hAnsi="Times New Roman" w:eastAsia="宋体"/>
                <w:b/>
                <w:bCs/>
                <w:color w:val="auto"/>
                <w:sz w:val="26"/>
                <w:szCs w:val="26"/>
              </w:rPr>
              <w:t>符合性分析</w:t>
            </w:r>
          </w:p>
          <w:p w14:paraId="2D148A91">
            <w:pPr>
              <w:keepNext w:val="0"/>
              <w:keepLines w:val="0"/>
              <w:pageBreakBefore w:val="0"/>
              <w:widowControl w:val="0"/>
              <w:kinsoku/>
              <w:wordWrap/>
              <w:overflowPunct/>
              <w:topLinePunct w:val="0"/>
              <w:autoSpaceDE w:val="0"/>
              <w:autoSpaceDN w:val="0"/>
              <w:bidi w:val="0"/>
              <w:adjustRightInd w:val="0"/>
              <w:snapToGrid w:val="0"/>
              <w:spacing w:line="460" w:lineRule="exact"/>
              <w:ind w:firstLine="520" w:firstLineChars="200"/>
              <w:textAlignment w:val="auto"/>
              <w:rPr>
                <w:rFonts w:hint="eastAsia" w:ascii="Times New Roman" w:hAnsi="Times New Roman" w:eastAsia="宋体"/>
                <w:color w:val="auto"/>
                <w:kern w:val="0"/>
                <w:sz w:val="26"/>
                <w:szCs w:val="26"/>
                <w:lang w:eastAsia="zh-CN"/>
              </w:rPr>
            </w:pPr>
            <w:r>
              <w:rPr>
                <w:rFonts w:hint="eastAsia" w:ascii="Times New Roman" w:hAnsi="Times New Roman" w:eastAsia="宋体"/>
                <w:color w:val="auto"/>
                <w:kern w:val="0"/>
                <w:sz w:val="26"/>
                <w:szCs w:val="26"/>
              </w:rPr>
              <w:t>根据《合川区信息安全产业城控制性详细规划（修编）》，南溪组团</w:t>
            </w:r>
            <w:r>
              <w:rPr>
                <w:rFonts w:hint="eastAsia"/>
                <w:color w:val="auto"/>
                <w:kern w:val="0"/>
                <w:sz w:val="26"/>
                <w:szCs w:val="26"/>
                <w:lang w:val="en-US" w:eastAsia="zh-CN"/>
              </w:rPr>
              <w:t>B区</w:t>
            </w:r>
            <w:r>
              <w:rPr>
                <w:rFonts w:hint="eastAsia" w:ascii="Times New Roman" w:hAnsi="Times New Roman" w:eastAsia="宋体"/>
                <w:color w:val="auto"/>
                <w:kern w:val="0"/>
                <w:sz w:val="26"/>
                <w:szCs w:val="26"/>
              </w:rPr>
              <w:t>：以信息安全产业和配套居住为主导功能的综合性产业新城，依托优质的山水资源，将规划区打造成为生产生活生态有机融合，宜居宜业宜游的产城融合示范区、高品质智慧新城和中国信息安全产业高地</w:t>
            </w:r>
            <w:r>
              <w:rPr>
                <w:rFonts w:hint="eastAsia"/>
                <w:color w:val="auto"/>
                <w:kern w:val="0"/>
                <w:sz w:val="26"/>
                <w:szCs w:val="26"/>
                <w:lang w:eastAsia="zh-CN"/>
              </w:rPr>
              <w:t>。</w:t>
            </w:r>
          </w:p>
          <w:p w14:paraId="1D10E58F">
            <w:pPr>
              <w:keepNext w:val="0"/>
              <w:keepLines w:val="0"/>
              <w:pageBreakBefore w:val="0"/>
              <w:widowControl w:val="0"/>
              <w:kinsoku/>
              <w:wordWrap/>
              <w:overflowPunct/>
              <w:topLinePunct w:val="0"/>
              <w:autoSpaceDE w:val="0"/>
              <w:autoSpaceDN w:val="0"/>
              <w:bidi w:val="0"/>
              <w:adjustRightInd w:val="0"/>
              <w:snapToGrid w:val="0"/>
              <w:spacing w:line="460" w:lineRule="exact"/>
              <w:ind w:firstLine="520" w:firstLineChars="200"/>
              <w:textAlignment w:val="auto"/>
              <w:rPr>
                <w:rFonts w:hint="eastAsia" w:ascii="Times New Roman" w:hAnsi="Times New Roman" w:eastAsia="宋体"/>
                <w:color w:val="auto"/>
                <w:kern w:val="0"/>
                <w:sz w:val="26"/>
                <w:szCs w:val="26"/>
                <w:lang w:eastAsia="zh-CN"/>
              </w:rPr>
            </w:pPr>
            <w:r>
              <w:rPr>
                <w:rFonts w:hint="eastAsia" w:ascii="Times New Roman" w:hAnsi="Times New Roman" w:eastAsia="宋体"/>
                <w:color w:val="auto"/>
                <w:kern w:val="0"/>
                <w:sz w:val="26"/>
                <w:szCs w:val="26"/>
              </w:rPr>
              <w:t>规划范围：东北至三环高速与双凤镇接壤，东南至涵波路，西北以三环高速为界，西南至嘉陵江。规划面积8.63km</w:t>
            </w:r>
            <w:r>
              <w:rPr>
                <w:rFonts w:hint="eastAsia" w:ascii="Times New Roman" w:hAnsi="Times New Roman" w:eastAsia="宋体"/>
                <w:color w:val="auto"/>
                <w:kern w:val="0"/>
                <w:sz w:val="26"/>
                <w:szCs w:val="26"/>
                <w:vertAlign w:val="superscript"/>
              </w:rPr>
              <w:t>2</w:t>
            </w:r>
            <w:r>
              <w:rPr>
                <w:rFonts w:hint="eastAsia"/>
                <w:color w:val="auto"/>
                <w:kern w:val="0"/>
                <w:sz w:val="26"/>
                <w:szCs w:val="26"/>
                <w:lang w:eastAsia="zh-CN"/>
              </w:rPr>
              <w:t>。</w:t>
            </w:r>
          </w:p>
          <w:p w14:paraId="7FB83E44">
            <w:pPr>
              <w:autoSpaceDE w:val="0"/>
              <w:autoSpaceDN w:val="0"/>
              <w:adjustRightInd w:val="0"/>
              <w:snapToGrid w:val="0"/>
              <w:spacing w:line="460" w:lineRule="exact"/>
              <w:ind w:firstLine="520" w:firstLineChars="200"/>
              <w:rPr>
                <w:rFonts w:hint="eastAsia" w:ascii="Times New Roman" w:hAnsi="Times New Roman" w:eastAsia="宋体"/>
                <w:color w:val="auto"/>
                <w:kern w:val="0"/>
                <w:sz w:val="26"/>
                <w:szCs w:val="26"/>
              </w:rPr>
            </w:pPr>
            <w:r>
              <w:rPr>
                <w:rFonts w:hint="eastAsia" w:ascii="Times New Roman" w:hAnsi="Times New Roman" w:eastAsia="宋体"/>
                <w:color w:val="auto"/>
                <w:kern w:val="0"/>
                <w:sz w:val="26"/>
                <w:szCs w:val="26"/>
              </w:rPr>
              <w:t>拟建项目位于重庆市合川工业园区南溪组团</w:t>
            </w:r>
            <w:r>
              <w:rPr>
                <w:rFonts w:hint="eastAsia" w:ascii="Times New Roman" w:hAnsi="Times New Roman" w:eastAsia="宋体"/>
                <w:color w:val="auto"/>
                <w:kern w:val="0"/>
                <w:sz w:val="26"/>
                <w:szCs w:val="26"/>
                <w:lang w:val="en-US" w:eastAsia="zh-CN"/>
              </w:rPr>
              <w:t>B</w:t>
            </w:r>
            <w:r>
              <w:rPr>
                <w:rFonts w:hint="eastAsia" w:ascii="Times New Roman" w:hAnsi="Times New Roman" w:eastAsia="宋体"/>
                <w:color w:val="auto"/>
                <w:kern w:val="0"/>
                <w:sz w:val="26"/>
                <w:szCs w:val="26"/>
              </w:rPr>
              <w:t>区，该区块规划为工业用地。拟建项目所属行业为</w:t>
            </w:r>
            <w:r>
              <w:rPr>
                <w:rFonts w:hint="eastAsia" w:ascii="Times New Roman" w:hAnsi="Times New Roman" w:eastAsia="宋体"/>
                <w:color w:val="auto"/>
                <w:kern w:val="0"/>
                <w:sz w:val="26"/>
                <w:szCs w:val="26"/>
                <w:lang w:val="en-US" w:eastAsia="zh-CN"/>
              </w:rPr>
              <w:t>玻璃纤维及制品制造业</w:t>
            </w:r>
            <w:r>
              <w:rPr>
                <w:rFonts w:hint="eastAsia" w:ascii="Times New Roman" w:hAnsi="Times New Roman" w:eastAsia="宋体"/>
                <w:color w:val="auto"/>
                <w:kern w:val="0"/>
                <w:sz w:val="26"/>
                <w:szCs w:val="26"/>
              </w:rPr>
              <w:t>，不属于该园区禁止建设项目，不与园区规划相冲突，属于允许入驻项目。</w:t>
            </w:r>
          </w:p>
          <w:p w14:paraId="0F2DDE53">
            <w:pPr>
              <w:autoSpaceDE w:val="0"/>
              <w:autoSpaceDN w:val="0"/>
              <w:adjustRightInd w:val="0"/>
              <w:snapToGrid w:val="0"/>
              <w:spacing w:line="460" w:lineRule="exact"/>
              <w:rPr>
                <w:rFonts w:hint="eastAsia" w:ascii="Times New Roman" w:hAnsi="Times New Roman" w:eastAsia="宋体"/>
                <w:b/>
                <w:bCs/>
                <w:color w:val="auto"/>
                <w:kern w:val="0"/>
                <w:sz w:val="26"/>
                <w:szCs w:val="26"/>
              </w:rPr>
            </w:pPr>
            <w:r>
              <w:rPr>
                <w:rFonts w:hint="eastAsia" w:ascii="Times New Roman" w:hAnsi="Times New Roman" w:eastAsia="宋体"/>
                <w:b/>
                <w:bCs/>
                <w:color w:val="auto"/>
                <w:kern w:val="0"/>
                <w:sz w:val="26"/>
                <w:szCs w:val="26"/>
              </w:rPr>
              <w:t>1.1.2与《合川工业园区南溪组团、渭沱组团B区规划环境影响报告书》生态环境准入清单符合性分析</w:t>
            </w:r>
          </w:p>
          <w:p w14:paraId="11D564D5">
            <w:pPr>
              <w:autoSpaceDE w:val="0"/>
              <w:autoSpaceDN w:val="0"/>
              <w:adjustRightInd w:val="0"/>
              <w:snapToGrid w:val="0"/>
              <w:spacing w:line="460" w:lineRule="exact"/>
              <w:ind w:firstLine="520" w:firstLineChars="200"/>
              <w:rPr>
                <w:rFonts w:hint="default" w:ascii="Times New Roman" w:hAnsi="Times New Roman" w:eastAsia="宋体"/>
                <w:color w:val="auto"/>
                <w:kern w:val="0"/>
                <w:sz w:val="26"/>
                <w:szCs w:val="26"/>
                <w:lang w:val="en-US" w:eastAsia="zh-CN"/>
              </w:rPr>
            </w:pPr>
            <w:r>
              <w:rPr>
                <w:rFonts w:hint="eastAsia" w:ascii="Times New Roman" w:hAnsi="Times New Roman" w:eastAsia="宋体"/>
                <w:color w:val="auto"/>
                <w:kern w:val="0"/>
                <w:sz w:val="26"/>
                <w:szCs w:val="26"/>
              </w:rPr>
              <w:t>根据《重庆市合川工业园区南溪组团南溪片区控制性详细规划（修改）》，</w:t>
            </w:r>
            <w:r>
              <w:rPr>
                <w:rFonts w:hint="eastAsia" w:ascii="Times New Roman" w:hAnsi="Times New Roman" w:eastAsia="宋体"/>
                <w:color w:val="auto"/>
                <w:kern w:val="0"/>
                <w:sz w:val="26"/>
                <w:szCs w:val="26"/>
                <w:lang w:val="en-US" w:eastAsia="zh-CN"/>
              </w:rPr>
              <w:t>南溪组团B区属于市级工业园区，面积为0.55km</w:t>
            </w:r>
            <w:r>
              <w:rPr>
                <w:rFonts w:hint="eastAsia" w:ascii="Times New Roman" w:hAnsi="Times New Roman" w:eastAsia="宋体"/>
                <w:color w:val="auto"/>
                <w:kern w:val="0"/>
                <w:sz w:val="26"/>
                <w:szCs w:val="26"/>
                <w:vertAlign w:val="superscript"/>
                <w:lang w:val="en-US" w:eastAsia="zh-CN"/>
              </w:rPr>
              <w:t>2</w:t>
            </w:r>
            <w:r>
              <w:rPr>
                <w:rFonts w:hint="eastAsia" w:ascii="Times New Roman" w:hAnsi="Times New Roman" w:eastAsia="宋体"/>
                <w:color w:val="auto"/>
                <w:kern w:val="0"/>
                <w:sz w:val="26"/>
                <w:szCs w:val="26"/>
                <w:lang w:val="en-US" w:eastAsia="zh-CN"/>
              </w:rPr>
              <w:t>，东至重庆三环高速草街段，西至市郊铁路草街段，南至区农创园涵波路，北至重庆市三环高速路储备用地。</w:t>
            </w:r>
            <w:r>
              <w:rPr>
                <w:rFonts w:ascii="Times New Roman" w:cs="Times New Roman"/>
                <w:color w:val="auto"/>
                <w:kern w:val="2"/>
                <w:sz w:val="26"/>
                <w:szCs w:val="26"/>
              </w:rPr>
              <w:t>南溪组团</w:t>
            </w:r>
            <w:r>
              <w:rPr>
                <w:rFonts w:ascii="Times New Roman" w:hAnsi="Times New Roman" w:cs="Times New Roman"/>
                <w:color w:val="auto"/>
                <w:kern w:val="2"/>
                <w:sz w:val="26"/>
                <w:szCs w:val="26"/>
              </w:rPr>
              <w:t>B</w:t>
            </w:r>
            <w:r>
              <w:rPr>
                <w:rFonts w:ascii="Times New Roman" w:cs="Times New Roman"/>
                <w:color w:val="auto"/>
                <w:kern w:val="2"/>
                <w:sz w:val="26"/>
                <w:szCs w:val="26"/>
              </w:rPr>
              <w:t>区</w:t>
            </w:r>
            <w:r>
              <w:rPr>
                <w:rFonts w:hint="eastAsia" w:ascii="Times New Roman" w:cs="Times New Roman"/>
                <w:color w:val="auto"/>
                <w:kern w:val="2"/>
                <w:sz w:val="26"/>
                <w:szCs w:val="26"/>
              </w:rPr>
              <w:t>作为信息安全产业城中部分，为</w:t>
            </w:r>
            <w:r>
              <w:rPr>
                <w:rFonts w:ascii="Times New Roman" w:cs="Times New Roman"/>
                <w:color w:val="auto"/>
                <w:kern w:val="2"/>
                <w:sz w:val="26"/>
                <w:szCs w:val="26"/>
              </w:rPr>
              <w:t>全面贯彻</w:t>
            </w:r>
            <w:r>
              <w:rPr>
                <w:rFonts w:hint="eastAsia" w:cs="Times New Roman"/>
                <w:color w:val="auto"/>
                <w:kern w:val="2"/>
                <w:sz w:val="26"/>
                <w:szCs w:val="26"/>
                <w:lang w:eastAsia="zh-CN"/>
              </w:rPr>
              <w:t>区委、区政府</w:t>
            </w:r>
            <w:r>
              <w:rPr>
                <w:rFonts w:ascii="Times New Roman" w:cs="Times New Roman"/>
                <w:color w:val="auto"/>
                <w:kern w:val="2"/>
                <w:sz w:val="26"/>
                <w:szCs w:val="26"/>
              </w:rPr>
              <w:t>改革要求，持续优化投资结构，加快推进信息安全产业向纵深发展，</w:t>
            </w:r>
            <w:r>
              <w:rPr>
                <w:rFonts w:hint="eastAsia" w:ascii="Times New Roman" w:hAnsi="Times New Roman" w:eastAsia="宋体"/>
                <w:color w:val="auto"/>
                <w:kern w:val="0"/>
                <w:sz w:val="26"/>
                <w:szCs w:val="26"/>
                <w:lang w:val="en-US" w:eastAsia="zh-CN"/>
              </w:rPr>
              <w:t>南溪组团B区产业定位：研发、设计及生产物联网芯片、控制芯片、电池芯片、终端芯片、存储芯片、组合芯片、集成电路芯片、5G核心芯片等自主可控芯片。</w:t>
            </w:r>
          </w:p>
          <w:p w14:paraId="71D00CCA">
            <w:pPr>
              <w:autoSpaceDE w:val="0"/>
              <w:autoSpaceDN w:val="0"/>
              <w:adjustRightInd w:val="0"/>
              <w:snapToGrid w:val="0"/>
              <w:spacing w:line="460" w:lineRule="exact"/>
              <w:ind w:firstLine="520" w:firstLineChars="200"/>
              <w:rPr>
                <w:rFonts w:hint="eastAsia" w:ascii="Times New Roman" w:hAnsi="Times New Roman" w:eastAsia="宋体"/>
                <w:bCs/>
                <w:color w:val="auto"/>
                <w:kern w:val="0"/>
                <w:sz w:val="26"/>
                <w:szCs w:val="26"/>
              </w:rPr>
            </w:pPr>
            <w:r>
              <w:rPr>
                <w:rFonts w:hint="eastAsia" w:ascii="Times New Roman" w:hAnsi="Times New Roman" w:eastAsia="宋体"/>
                <w:color w:val="auto"/>
                <w:sz w:val="26"/>
                <w:szCs w:val="26"/>
              </w:rPr>
              <w:t>拟建项目</w:t>
            </w:r>
            <w:r>
              <w:rPr>
                <w:rFonts w:hint="eastAsia" w:ascii="Times New Roman" w:hAnsi="Times New Roman" w:eastAsia="宋体"/>
                <w:color w:val="auto"/>
                <w:sz w:val="26"/>
                <w:szCs w:val="26"/>
                <w:lang w:val="en-US" w:eastAsia="zh-CN"/>
              </w:rPr>
              <w:t>所在区域属于南溪组团B区，因此本项目</w:t>
            </w:r>
            <w:r>
              <w:rPr>
                <w:rFonts w:hint="eastAsia" w:ascii="Times New Roman" w:hAnsi="Times New Roman" w:eastAsia="宋体"/>
                <w:color w:val="auto"/>
                <w:sz w:val="26"/>
                <w:szCs w:val="26"/>
              </w:rPr>
              <w:t>与</w:t>
            </w:r>
            <w:r>
              <w:rPr>
                <w:rFonts w:hint="eastAsia" w:ascii="Times New Roman" w:hAnsi="Times New Roman" w:eastAsia="宋体"/>
                <w:bCs/>
                <w:color w:val="auto"/>
                <w:kern w:val="0"/>
                <w:sz w:val="26"/>
                <w:szCs w:val="26"/>
              </w:rPr>
              <w:t>《合川工业园区南溪组团、渭沱组团B区规划环境影响报告书》</w:t>
            </w:r>
            <w:r>
              <w:rPr>
                <w:rFonts w:hint="eastAsia" w:ascii="Times New Roman" w:hAnsi="Times New Roman" w:eastAsia="宋体"/>
                <w:bCs/>
                <w:color w:val="auto"/>
                <w:kern w:val="0"/>
                <w:sz w:val="26"/>
                <w:szCs w:val="26"/>
                <w:lang w:val="en-US" w:eastAsia="zh-CN"/>
              </w:rPr>
              <w:t>中南溪组团B区</w:t>
            </w:r>
            <w:r>
              <w:rPr>
                <w:rFonts w:hint="eastAsia" w:ascii="Times New Roman" w:hAnsi="Times New Roman" w:eastAsia="宋体"/>
                <w:bCs/>
                <w:color w:val="auto"/>
                <w:kern w:val="0"/>
                <w:sz w:val="26"/>
                <w:szCs w:val="26"/>
              </w:rPr>
              <w:t>生态环境准入要求符合性分析见下表1.1-1。</w:t>
            </w:r>
          </w:p>
          <w:p w14:paraId="4069CF43">
            <w:pPr>
              <w:autoSpaceDE w:val="0"/>
              <w:autoSpaceDN w:val="0"/>
              <w:adjustRightInd w:val="0"/>
              <w:snapToGrid w:val="0"/>
              <w:spacing w:line="460" w:lineRule="exact"/>
              <w:ind w:firstLine="520" w:firstLineChars="200"/>
              <w:rPr>
                <w:rFonts w:ascii="Times New Roman" w:hAnsi="Times New Roman" w:eastAsia="宋体"/>
                <w:color w:val="auto"/>
                <w:sz w:val="26"/>
                <w:szCs w:val="26"/>
              </w:rPr>
            </w:pPr>
          </w:p>
          <w:p w14:paraId="5B5480AE">
            <w:pPr>
              <w:autoSpaceDE w:val="0"/>
              <w:autoSpaceDN w:val="0"/>
              <w:adjustRightInd w:val="0"/>
              <w:spacing w:line="460" w:lineRule="exact"/>
              <w:ind w:firstLine="520" w:firstLineChars="200"/>
              <w:rPr>
                <w:rFonts w:ascii="Times New Roman" w:hAnsi="Times New Roman" w:eastAsia="宋体"/>
                <w:bCs/>
                <w:color w:val="auto"/>
                <w:sz w:val="26"/>
                <w:szCs w:val="26"/>
              </w:rPr>
            </w:pPr>
            <w:r>
              <w:rPr>
                <w:rFonts w:ascii="Times New Roman" w:hAnsi="Times New Roman" w:eastAsia="宋体"/>
                <w:bCs/>
                <w:color w:val="auto"/>
                <w:sz w:val="26"/>
                <w:szCs w:val="26"/>
              </w:rPr>
              <w:t>表</w:t>
            </w:r>
            <w:r>
              <w:rPr>
                <w:rFonts w:hint="eastAsia" w:ascii="Times New Roman" w:hAnsi="Times New Roman" w:eastAsia="宋体"/>
                <w:bCs/>
                <w:color w:val="auto"/>
                <w:sz w:val="26"/>
                <w:szCs w:val="26"/>
              </w:rPr>
              <w:t>1.1-1</w:t>
            </w:r>
            <w:r>
              <w:rPr>
                <w:rFonts w:ascii="Times New Roman" w:hAnsi="Times New Roman" w:eastAsia="宋体"/>
                <w:bCs/>
                <w:color w:val="auto"/>
                <w:sz w:val="26"/>
                <w:szCs w:val="26"/>
              </w:rPr>
              <w:t xml:space="preserve"> </w:t>
            </w:r>
            <w:r>
              <w:rPr>
                <w:rFonts w:hint="eastAsia" w:ascii="Times New Roman" w:hAnsi="Times New Roman" w:eastAsia="宋体"/>
                <w:bCs/>
                <w:color w:val="auto"/>
                <w:sz w:val="26"/>
                <w:szCs w:val="26"/>
              </w:rPr>
              <w:t xml:space="preserve">           </w:t>
            </w:r>
            <w:r>
              <w:rPr>
                <w:rFonts w:ascii="Times New Roman" w:hAnsi="Times New Roman" w:eastAsia="宋体"/>
                <w:bCs/>
                <w:color w:val="auto"/>
                <w:sz w:val="26"/>
                <w:szCs w:val="26"/>
              </w:rPr>
              <w:t>符合性分析</w:t>
            </w:r>
          </w:p>
          <w:tbl>
            <w:tblPr>
              <w:tblStyle w:val="17"/>
              <w:tblW w:w="48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478"/>
              <w:gridCol w:w="3250"/>
              <w:gridCol w:w="1826"/>
              <w:gridCol w:w="766"/>
            </w:tblGrid>
            <w:tr w14:paraId="3E622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5" w:type="dxa"/>
                  <w:gridSpan w:val="2"/>
                  <w:noWrap w:val="0"/>
                  <w:vAlign w:val="center"/>
                </w:tcPr>
                <w:p w14:paraId="41B5C4F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分类</w:t>
                  </w:r>
                </w:p>
              </w:tc>
              <w:tc>
                <w:tcPr>
                  <w:tcW w:w="3250" w:type="dxa"/>
                  <w:noWrap w:val="0"/>
                  <w:vAlign w:val="center"/>
                </w:tcPr>
                <w:p w14:paraId="5E26A43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相关要求</w:t>
                  </w:r>
                </w:p>
              </w:tc>
              <w:tc>
                <w:tcPr>
                  <w:tcW w:w="1826" w:type="dxa"/>
                  <w:noWrap w:val="0"/>
                  <w:vAlign w:val="center"/>
                </w:tcPr>
                <w:p w14:paraId="3145DBF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项目情况</w:t>
                  </w:r>
                </w:p>
              </w:tc>
              <w:tc>
                <w:tcPr>
                  <w:tcW w:w="766" w:type="dxa"/>
                  <w:noWrap w:val="0"/>
                  <w:vAlign w:val="center"/>
                </w:tcPr>
                <w:p w14:paraId="04AC0BC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符合性</w:t>
                  </w:r>
                </w:p>
              </w:tc>
            </w:tr>
            <w:tr w14:paraId="26971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5" w:type="dxa"/>
                  <w:gridSpan w:val="2"/>
                  <w:noWrap w:val="0"/>
                  <w:vAlign w:val="center"/>
                </w:tcPr>
                <w:p w14:paraId="5B486A1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空间布局约束</w:t>
                  </w:r>
                </w:p>
              </w:tc>
              <w:tc>
                <w:tcPr>
                  <w:tcW w:w="3250" w:type="dxa"/>
                  <w:noWrap w:val="0"/>
                  <w:vAlign w:val="center"/>
                </w:tcPr>
                <w:p w14:paraId="182712A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规划区内企业入驻时应优化环境防护距离设置，以防范产业园区涉生态环境“邻避”问题为出发点，将环境防护距离优化控制在园区边界或用地红线以内</w:t>
                  </w:r>
                </w:p>
              </w:tc>
              <w:tc>
                <w:tcPr>
                  <w:tcW w:w="1826" w:type="dxa"/>
                  <w:noWrap w:val="0"/>
                  <w:vAlign w:val="center"/>
                </w:tcPr>
                <w:p w14:paraId="628388B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olor w:val="auto"/>
                      <w:sz w:val="22"/>
                      <w:szCs w:val="22"/>
                      <w:lang w:val="en-US" w:eastAsia="zh-CN"/>
                    </w:rPr>
                  </w:pPr>
                  <w:r>
                    <w:rPr>
                      <w:rFonts w:hint="eastAsia" w:ascii="Times New Roman" w:hAnsi="Times New Roman" w:eastAsia="宋体"/>
                      <w:color w:val="auto"/>
                      <w:sz w:val="22"/>
                      <w:szCs w:val="22"/>
                      <w:lang w:val="en-US" w:eastAsia="zh-CN"/>
                    </w:rPr>
                    <w:t>本项目位于南溪组团B区范围内，不涉及环境防护距离设置</w:t>
                  </w:r>
                </w:p>
              </w:tc>
              <w:tc>
                <w:tcPr>
                  <w:tcW w:w="766" w:type="dxa"/>
                  <w:noWrap w:val="0"/>
                  <w:vAlign w:val="center"/>
                </w:tcPr>
                <w:p w14:paraId="16D4759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符合</w:t>
                  </w:r>
                </w:p>
              </w:tc>
            </w:tr>
            <w:tr w14:paraId="01244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 w:type="dxa"/>
                  <w:vMerge w:val="restart"/>
                  <w:noWrap w:val="0"/>
                  <w:vAlign w:val="center"/>
                </w:tcPr>
                <w:p w14:paraId="24FA90B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p>
                <w:p w14:paraId="64DB1F8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污染物排放管控</w:t>
                  </w:r>
                </w:p>
              </w:tc>
              <w:tc>
                <w:tcPr>
                  <w:tcW w:w="478" w:type="dxa"/>
                  <w:vMerge w:val="restart"/>
                  <w:shd w:val="clear" w:color="auto" w:fill="auto"/>
                  <w:noWrap w:val="0"/>
                  <w:vAlign w:val="center"/>
                </w:tcPr>
                <w:p w14:paraId="14A713C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ascii="Times New Roman" w:hAnsi="Times New Roman" w:eastAsia="宋体" w:cs="Times New Roman"/>
                      <w:color w:val="auto"/>
                      <w:kern w:val="2"/>
                      <w:sz w:val="22"/>
                      <w:szCs w:val="22"/>
                      <w:lang w:val="en-US" w:eastAsia="zh-CN" w:bidi="ar-SA"/>
                    </w:rPr>
                  </w:pPr>
                  <w:r>
                    <w:rPr>
                      <w:rFonts w:ascii="Times New Roman" w:cs="Times New Roman"/>
                      <w:color w:val="auto"/>
                      <w:sz w:val="22"/>
                      <w:szCs w:val="22"/>
                    </w:rPr>
                    <w:t>水污染控制措施要求</w:t>
                  </w:r>
                </w:p>
              </w:tc>
              <w:tc>
                <w:tcPr>
                  <w:tcW w:w="3250" w:type="dxa"/>
                  <w:shd w:val="clear" w:color="auto" w:fill="auto"/>
                  <w:noWrap w:val="0"/>
                  <w:vAlign w:val="center"/>
                </w:tcPr>
                <w:p w14:paraId="7EDB2AA4">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ascii="Times New Roman" w:hAnsi="Times New Roman" w:eastAsia="宋体" w:cs="Times New Roman"/>
                      <w:color w:val="auto"/>
                      <w:kern w:val="2"/>
                      <w:sz w:val="22"/>
                      <w:szCs w:val="22"/>
                      <w:lang w:val="en-US" w:eastAsia="zh-CN" w:bidi="ar-SA"/>
                    </w:rPr>
                  </w:pPr>
                  <w:r>
                    <w:rPr>
                      <w:rFonts w:hint="eastAsia" w:ascii="Times New Roman" w:cs="Times New Roman"/>
                      <w:color w:val="auto"/>
                      <w:sz w:val="22"/>
                      <w:szCs w:val="22"/>
                    </w:rPr>
                    <w:t>含重金属（铬、镉、汞、铅、砷）废水禁止外排，其余特征因子应满足《污水综合排放标准》（GB8978-1996）中一级标准</w:t>
                  </w:r>
                  <w:r>
                    <w:rPr>
                      <w:rFonts w:ascii="Times New Roman" w:cs="Times New Roman"/>
                      <w:color w:val="auto"/>
                      <w:sz w:val="22"/>
                      <w:szCs w:val="22"/>
                    </w:rPr>
                    <w:t>后方可排入污水处理厂</w:t>
                  </w:r>
                  <w:r>
                    <w:rPr>
                      <w:rFonts w:hint="eastAsia" w:ascii="Times New Roman" w:cs="Times New Roman"/>
                      <w:color w:val="auto"/>
                      <w:sz w:val="22"/>
                      <w:szCs w:val="22"/>
                    </w:rPr>
                    <w:t>，废水中Cu排放应满足参考的《电镀工业污染物排放标准》（GB21900-2008）中表3特别排放限值要求。污水处理厂适时进行提标改造，增设电子工业特征水污染物处理工艺</w:t>
                  </w:r>
                </w:p>
              </w:tc>
              <w:tc>
                <w:tcPr>
                  <w:tcW w:w="1826" w:type="dxa"/>
                  <w:noWrap w:val="0"/>
                  <w:vAlign w:val="center"/>
                </w:tcPr>
                <w:p w14:paraId="5E0CC6D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olor w:val="auto"/>
                      <w:sz w:val="22"/>
                      <w:szCs w:val="22"/>
                      <w:lang w:val="en-US" w:eastAsia="zh-CN"/>
                    </w:rPr>
                  </w:pPr>
                  <w:r>
                    <w:rPr>
                      <w:rFonts w:hint="eastAsia" w:ascii="Times New Roman" w:hAnsi="Times New Roman" w:eastAsia="宋体"/>
                      <w:color w:val="auto"/>
                      <w:sz w:val="22"/>
                      <w:szCs w:val="22"/>
                      <w:lang w:val="en-US" w:eastAsia="zh-CN"/>
                    </w:rPr>
                    <w:t>本项目属于车用隔热保温材料生产项目，不涉及重金属废水的产生，不涉及生产废水的产生。</w:t>
                  </w:r>
                </w:p>
              </w:tc>
              <w:tc>
                <w:tcPr>
                  <w:tcW w:w="766" w:type="dxa"/>
                  <w:noWrap w:val="0"/>
                  <w:vAlign w:val="center"/>
                </w:tcPr>
                <w:p w14:paraId="22AA0AE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符合</w:t>
                  </w:r>
                </w:p>
              </w:tc>
            </w:tr>
            <w:tr w14:paraId="0A84E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 w:type="dxa"/>
                  <w:vMerge w:val="continue"/>
                  <w:noWrap w:val="0"/>
                  <w:vAlign w:val="center"/>
                </w:tcPr>
                <w:p w14:paraId="63503FB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p>
              </w:tc>
              <w:tc>
                <w:tcPr>
                  <w:tcW w:w="478" w:type="dxa"/>
                  <w:vMerge w:val="continue"/>
                  <w:noWrap w:val="0"/>
                  <w:vAlign w:val="center"/>
                </w:tcPr>
                <w:p w14:paraId="17D22C3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p>
              </w:tc>
              <w:tc>
                <w:tcPr>
                  <w:tcW w:w="3250" w:type="dxa"/>
                  <w:shd w:val="clear" w:color="auto" w:fill="auto"/>
                  <w:noWrap w:val="0"/>
                  <w:vAlign w:val="center"/>
                </w:tcPr>
                <w:p w14:paraId="1FF13DCA">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color w:val="auto"/>
                      <w:kern w:val="2"/>
                      <w:sz w:val="22"/>
                      <w:szCs w:val="22"/>
                      <w:lang w:val="en-US" w:eastAsia="zh-CN" w:bidi="ar-SA"/>
                    </w:rPr>
                  </w:pPr>
                  <w:r>
                    <w:rPr>
                      <w:rFonts w:hint="eastAsia" w:ascii="Times New Roman" w:cs="Times New Roman"/>
                      <w:color w:val="auto"/>
                      <w:sz w:val="22"/>
                      <w:szCs w:val="22"/>
                    </w:rPr>
                    <w:t>南溪组团B所在的信息安全产业城规划区废水排放总量不得突破2万m</w:t>
                  </w:r>
                  <w:r>
                    <w:rPr>
                      <w:rFonts w:hint="eastAsia" w:ascii="Times New Roman" w:cs="Times New Roman"/>
                      <w:color w:val="auto"/>
                      <w:sz w:val="22"/>
                      <w:szCs w:val="22"/>
                      <w:vertAlign w:val="superscript"/>
                    </w:rPr>
                    <w:t>3</w:t>
                  </w:r>
                  <w:r>
                    <w:rPr>
                      <w:rFonts w:hint="eastAsia" w:ascii="Times New Roman" w:cs="Times New Roman"/>
                      <w:color w:val="auto"/>
                      <w:sz w:val="22"/>
                      <w:szCs w:val="22"/>
                    </w:rPr>
                    <w:t>/d</w:t>
                  </w:r>
                </w:p>
              </w:tc>
              <w:tc>
                <w:tcPr>
                  <w:tcW w:w="1826" w:type="dxa"/>
                  <w:noWrap w:val="0"/>
                  <w:vAlign w:val="center"/>
                </w:tcPr>
                <w:p w14:paraId="7713015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olor w:val="auto"/>
                      <w:sz w:val="22"/>
                      <w:szCs w:val="22"/>
                      <w:lang w:val="en-US" w:eastAsia="zh-CN"/>
                    </w:rPr>
                  </w:pPr>
                  <w:r>
                    <w:rPr>
                      <w:rFonts w:hint="eastAsia"/>
                      <w:color w:val="auto"/>
                      <w:sz w:val="22"/>
                      <w:szCs w:val="22"/>
                      <w:lang w:val="en-US" w:eastAsia="zh-CN"/>
                    </w:rPr>
                    <w:t>本项目仅涉及生活污水的产生，排放量为2.16</w:t>
                  </w:r>
                  <w:r>
                    <w:rPr>
                      <w:rFonts w:hint="eastAsia" w:ascii="Times New Roman" w:cs="Times New Roman"/>
                      <w:color w:val="auto"/>
                      <w:sz w:val="22"/>
                      <w:szCs w:val="22"/>
                    </w:rPr>
                    <w:t>m</w:t>
                  </w:r>
                  <w:r>
                    <w:rPr>
                      <w:rFonts w:hint="eastAsia" w:ascii="Times New Roman" w:cs="Times New Roman"/>
                      <w:color w:val="auto"/>
                      <w:sz w:val="22"/>
                      <w:szCs w:val="22"/>
                      <w:vertAlign w:val="superscript"/>
                    </w:rPr>
                    <w:t>3</w:t>
                  </w:r>
                  <w:r>
                    <w:rPr>
                      <w:rFonts w:hint="eastAsia" w:ascii="Times New Roman" w:cs="Times New Roman"/>
                      <w:color w:val="auto"/>
                      <w:sz w:val="22"/>
                      <w:szCs w:val="22"/>
                    </w:rPr>
                    <w:t>/d</w:t>
                  </w:r>
                  <w:r>
                    <w:rPr>
                      <w:rFonts w:hint="eastAsia" w:ascii="Times New Roman" w:cs="Times New Roman"/>
                      <w:color w:val="auto"/>
                      <w:sz w:val="22"/>
                      <w:szCs w:val="22"/>
                      <w:lang w:eastAsia="zh-CN"/>
                    </w:rPr>
                    <w:t>，</w:t>
                  </w:r>
                  <w:r>
                    <w:rPr>
                      <w:rFonts w:hint="eastAsia" w:ascii="Times New Roman" w:cs="Times New Roman"/>
                      <w:color w:val="auto"/>
                      <w:sz w:val="22"/>
                      <w:szCs w:val="22"/>
                      <w:lang w:val="en-US" w:eastAsia="zh-CN"/>
                    </w:rPr>
                    <w:t>目前南溪组团B区排水量为1000</w:t>
                  </w:r>
                  <w:r>
                    <w:rPr>
                      <w:rFonts w:hint="eastAsia" w:ascii="Times New Roman" w:cs="Times New Roman"/>
                      <w:color w:val="auto"/>
                      <w:sz w:val="22"/>
                      <w:szCs w:val="22"/>
                    </w:rPr>
                    <w:t>m</w:t>
                  </w:r>
                  <w:r>
                    <w:rPr>
                      <w:rFonts w:hint="eastAsia" w:ascii="Times New Roman" w:cs="Times New Roman"/>
                      <w:color w:val="auto"/>
                      <w:sz w:val="22"/>
                      <w:szCs w:val="22"/>
                      <w:vertAlign w:val="superscript"/>
                    </w:rPr>
                    <w:t>3</w:t>
                  </w:r>
                  <w:r>
                    <w:rPr>
                      <w:rFonts w:hint="eastAsia" w:ascii="Times New Roman" w:cs="Times New Roman"/>
                      <w:color w:val="auto"/>
                      <w:sz w:val="22"/>
                      <w:szCs w:val="22"/>
                    </w:rPr>
                    <w:t>/d</w:t>
                  </w:r>
                  <w:r>
                    <w:rPr>
                      <w:rFonts w:hint="eastAsia" w:ascii="Times New Roman" w:cs="Times New Roman"/>
                      <w:color w:val="auto"/>
                      <w:sz w:val="22"/>
                      <w:szCs w:val="22"/>
                      <w:lang w:eastAsia="zh-CN"/>
                    </w:rPr>
                    <w:t>，</w:t>
                  </w:r>
                  <w:r>
                    <w:rPr>
                      <w:rFonts w:hint="eastAsia" w:ascii="Times New Roman" w:cs="Times New Roman"/>
                      <w:color w:val="auto"/>
                      <w:sz w:val="22"/>
                      <w:szCs w:val="22"/>
                      <w:lang w:val="en-US" w:eastAsia="zh-CN"/>
                    </w:rPr>
                    <w:t>未超过排放总量要求。</w:t>
                  </w:r>
                </w:p>
              </w:tc>
              <w:tc>
                <w:tcPr>
                  <w:tcW w:w="766" w:type="dxa"/>
                  <w:noWrap w:val="0"/>
                  <w:vAlign w:val="center"/>
                </w:tcPr>
                <w:p w14:paraId="6AF12CB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olor w:val="auto"/>
                      <w:sz w:val="22"/>
                      <w:szCs w:val="22"/>
                      <w:lang w:val="en-US" w:eastAsia="zh-CN"/>
                    </w:rPr>
                  </w:pPr>
                  <w:r>
                    <w:rPr>
                      <w:rFonts w:hint="eastAsia" w:ascii="Times New Roman" w:hAnsi="Times New Roman" w:eastAsia="宋体"/>
                      <w:color w:val="auto"/>
                      <w:sz w:val="22"/>
                      <w:szCs w:val="22"/>
                      <w:lang w:val="en-US" w:eastAsia="zh-CN"/>
                    </w:rPr>
                    <w:t>符合</w:t>
                  </w:r>
                </w:p>
              </w:tc>
            </w:tr>
            <w:tr w14:paraId="28CDE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 w:type="dxa"/>
                  <w:vMerge w:val="continue"/>
                  <w:noWrap w:val="0"/>
                  <w:vAlign w:val="center"/>
                </w:tcPr>
                <w:p w14:paraId="76200A2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p>
              </w:tc>
              <w:tc>
                <w:tcPr>
                  <w:tcW w:w="478" w:type="dxa"/>
                  <w:shd w:val="clear" w:color="auto" w:fill="auto"/>
                  <w:noWrap w:val="0"/>
                  <w:vAlign w:val="center"/>
                </w:tcPr>
                <w:p w14:paraId="4107109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ascii="Times New Roman" w:hAnsi="Times New Roman" w:eastAsia="宋体" w:cs="Times New Roman"/>
                      <w:color w:val="auto"/>
                      <w:kern w:val="2"/>
                      <w:sz w:val="22"/>
                      <w:szCs w:val="22"/>
                      <w:lang w:val="en-US" w:eastAsia="zh-CN" w:bidi="ar-SA"/>
                    </w:rPr>
                  </w:pPr>
                  <w:r>
                    <w:rPr>
                      <w:rFonts w:ascii="Times New Roman" w:cs="Times New Roman"/>
                      <w:color w:val="auto"/>
                      <w:sz w:val="22"/>
                      <w:szCs w:val="22"/>
                    </w:rPr>
                    <w:t>大气污染物控制措施要求</w:t>
                  </w:r>
                </w:p>
              </w:tc>
              <w:tc>
                <w:tcPr>
                  <w:tcW w:w="3250" w:type="dxa"/>
                  <w:shd w:val="clear" w:color="auto" w:fill="auto"/>
                  <w:noWrap w:val="0"/>
                  <w:vAlign w:val="center"/>
                </w:tcPr>
                <w:p w14:paraId="386682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ascii="Times New Roman" w:hAnsi="Times New Roman" w:eastAsia="宋体" w:cs="Times New Roman"/>
                      <w:color w:val="auto"/>
                      <w:kern w:val="2"/>
                      <w:sz w:val="22"/>
                      <w:szCs w:val="22"/>
                      <w:lang w:val="en-US" w:eastAsia="zh-CN" w:bidi="ar-SA"/>
                    </w:rPr>
                  </w:pPr>
                  <w:r>
                    <w:rPr>
                      <w:rFonts w:ascii="Times New Roman" w:cs="Times New Roman"/>
                      <w:color w:val="auto"/>
                      <w:sz w:val="22"/>
                      <w:szCs w:val="22"/>
                    </w:rPr>
                    <w:t>采取严格废气收集</w:t>
                  </w:r>
                  <w:r>
                    <w:rPr>
                      <w:rFonts w:hint="eastAsia" w:ascii="Times New Roman" w:cs="Times New Roman"/>
                      <w:color w:val="auto"/>
                      <w:sz w:val="22"/>
                      <w:szCs w:val="22"/>
                    </w:rPr>
                    <w:t>、</w:t>
                  </w:r>
                  <w:r>
                    <w:rPr>
                      <w:rFonts w:ascii="Times New Roman" w:cs="Times New Roman"/>
                      <w:color w:val="auto"/>
                      <w:sz w:val="22"/>
                      <w:szCs w:val="22"/>
                    </w:rPr>
                    <w:t>控制措施，最大程度减少主导产业涉及的重金属废气排放量</w:t>
                  </w:r>
                  <w:r>
                    <w:rPr>
                      <w:rFonts w:hint="eastAsia" w:ascii="Times New Roman" w:cs="Times New Roman"/>
                      <w:color w:val="auto"/>
                      <w:sz w:val="22"/>
                      <w:szCs w:val="22"/>
                    </w:rPr>
                    <w:t>，规划区含砷废气总量不得超过0.0025t/a，严格控制砷化镓外延片制造规模，砷化镓外延片（以6英寸计）制造规模不得超过10万片；</w:t>
                  </w:r>
                  <w:r>
                    <w:rPr>
                      <w:rFonts w:ascii="Times New Roman" w:hAnsi="Times New Roman" w:cs="Times New Roman"/>
                      <w:color w:val="auto"/>
                      <w:sz w:val="22"/>
                      <w:szCs w:val="22"/>
                    </w:rPr>
                    <w:t xml:space="preserve"> </w:t>
                  </w:r>
                </w:p>
              </w:tc>
              <w:tc>
                <w:tcPr>
                  <w:tcW w:w="1826" w:type="dxa"/>
                  <w:noWrap w:val="0"/>
                  <w:vAlign w:val="center"/>
                </w:tcPr>
                <w:p w14:paraId="435A23C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olor w:val="auto"/>
                      <w:sz w:val="22"/>
                      <w:szCs w:val="22"/>
                      <w:lang w:val="en-US" w:eastAsia="zh-CN"/>
                    </w:rPr>
                  </w:pPr>
                  <w:r>
                    <w:rPr>
                      <w:rFonts w:hint="eastAsia" w:ascii="Times New Roman" w:hAnsi="Times New Roman" w:eastAsia="宋体"/>
                      <w:color w:val="auto"/>
                      <w:sz w:val="22"/>
                      <w:szCs w:val="22"/>
                      <w:lang w:val="en-US" w:eastAsia="zh-CN"/>
                    </w:rPr>
                    <w:t>本项目属于车用隔热保温材料生产项目，生产过程中产生的废气主要为</w:t>
                  </w:r>
                  <w:r>
                    <w:rPr>
                      <w:rFonts w:hint="eastAsia" w:ascii="Times New Roman" w:hAnsi="Times New Roman" w:eastAsia="宋体"/>
                      <w:color w:val="auto"/>
                      <w:sz w:val="22"/>
                      <w:szCs w:val="22"/>
                      <w:highlight w:val="none"/>
                      <w:lang w:val="en-US" w:eastAsia="zh-CN"/>
                    </w:rPr>
                    <w:t>玻纤粉尘，不涉及重金属废气。</w:t>
                  </w:r>
                </w:p>
              </w:tc>
              <w:tc>
                <w:tcPr>
                  <w:tcW w:w="766" w:type="dxa"/>
                  <w:noWrap w:val="0"/>
                  <w:vAlign w:val="center"/>
                </w:tcPr>
                <w:p w14:paraId="4743F73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符合</w:t>
                  </w:r>
                </w:p>
              </w:tc>
            </w:tr>
            <w:tr w14:paraId="2FFD5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 w:type="dxa"/>
                  <w:vMerge w:val="continue"/>
                  <w:noWrap w:val="0"/>
                  <w:vAlign w:val="center"/>
                </w:tcPr>
                <w:p w14:paraId="3C42FBE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p>
              </w:tc>
              <w:tc>
                <w:tcPr>
                  <w:tcW w:w="478" w:type="dxa"/>
                  <w:shd w:val="clear" w:color="auto" w:fill="auto"/>
                  <w:noWrap w:val="0"/>
                  <w:vAlign w:val="center"/>
                </w:tcPr>
                <w:p w14:paraId="2724F68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2"/>
                      <w:szCs w:val="22"/>
                      <w:lang w:val="en-US" w:eastAsia="zh-CN" w:bidi="ar-SA"/>
                    </w:rPr>
                  </w:pPr>
                  <w:r>
                    <w:rPr>
                      <w:rFonts w:ascii="Times New Roman" w:cs="Times New Roman"/>
                      <w:color w:val="auto"/>
                      <w:sz w:val="22"/>
                      <w:szCs w:val="22"/>
                    </w:rPr>
                    <w:t>固体废物处置措施</w:t>
                  </w:r>
                </w:p>
              </w:tc>
              <w:tc>
                <w:tcPr>
                  <w:tcW w:w="3250" w:type="dxa"/>
                  <w:shd w:val="clear" w:color="auto" w:fill="auto"/>
                  <w:noWrap w:val="0"/>
                  <w:vAlign w:val="center"/>
                </w:tcPr>
                <w:p w14:paraId="32495EC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2"/>
                      <w:szCs w:val="22"/>
                      <w:lang w:val="en-US" w:eastAsia="zh-CN" w:bidi="ar-SA"/>
                    </w:rPr>
                  </w:pPr>
                  <w:r>
                    <w:rPr>
                      <w:rFonts w:ascii="Times New Roman" w:cs="Times New Roman"/>
                      <w:color w:val="auto"/>
                      <w:sz w:val="22"/>
                      <w:szCs w:val="22"/>
                    </w:rPr>
                    <w:t>工业固体废物</w:t>
                  </w:r>
                  <w:r>
                    <w:rPr>
                      <w:rFonts w:hint="eastAsia" w:ascii="Times New Roman" w:cs="Times New Roman"/>
                      <w:color w:val="auto"/>
                      <w:sz w:val="22"/>
                      <w:szCs w:val="22"/>
                    </w:rPr>
                    <w:t>综合</w:t>
                  </w:r>
                  <w:r>
                    <w:rPr>
                      <w:rFonts w:ascii="Times New Roman" w:cs="Times New Roman"/>
                      <w:color w:val="auto"/>
                      <w:sz w:val="22"/>
                      <w:szCs w:val="22"/>
                    </w:rPr>
                    <w:t>利用率达到</w:t>
                  </w:r>
                  <w:r>
                    <w:rPr>
                      <w:rFonts w:ascii="Times New Roman" w:hAnsi="Times New Roman" w:cs="Times New Roman"/>
                      <w:color w:val="auto"/>
                      <w:sz w:val="22"/>
                      <w:szCs w:val="22"/>
                    </w:rPr>
                    <w:t>95.5%</w:t>
                  </w:r>
                </w:p>
              </w:tc>
              <w:tc>
                <w:tcPr>
                  <w:tcW w:w="1826" w:type="dxa"/>
                  <w:noWrap w:val="0"/>
                  <w:vAlign w:val="center"/>
                </w:tcPr>
                <w:p w14:paraId="12EF2D6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olor w:val="auto"/>
                      <w:sz w:val="22"/>
                      <w:szCs w:val="22"/>
                      <w:lang w:val="en-US" w:eastAsia="zh-CN"/>
                    </w:rPr>
                  </w:pPr>
                  <w:r>
                    <w:rPr>
                      <w:rFonts w:hint="eastAsia"/>
                      <w:color w:val="auto"/>
                      <w:sz w:val="22"/>
                      <w:szCs w:val="22"/>
                      <w:lang w:val="en-US" w:eastAsia="zh-CN"/>
                    </w:rPr>
                    <w:t>本项目主要产生废边角料、玻纤粉尘等一般固废，外委物料单位回收利用。</w:t>
                  </w:r>
                </w:p>
              </w:tc>
              <w:tc>
                <w:tcPr>
                  <w:tcW w:w="766" w:type="dxa"/>
                  <w:noWrap w:val="0"/>
                  <w:vAlign w:val="center"/>
                </w:tcPr>
                <w:p w14:paraId="7B50906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符合</w:t>
                  </w:r>
                </w:p>
              </w:tc>
            </w:tr>
            <w:tr w14:paraId="7C1D0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5" w:type="dxa"/>
                  <w:gridSpan w:val="2"/>
                  <w:noWrap w:val="0"/>
                  <w:vAlign w:val="center"/>
                </w:tcPr>
                <w:p w14:paraId="28864B2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环境风险防控</w:t>
                  </w:r>
                </w:p>
              </w:tc>
              <w:tc>
                <w:tcPr>
                  <w:tcW w:w="3250" w:type="dxa"/>
                  <w:noWrap w:val="0"/>
                  <w:vAlign w:val="center"/>
                </w:tcPr>
                <w:p w14:paraId="612F189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r>
                    <w:rPr>
                      <w:rFonts w:ascii="Times New Roman" w:cs="Times New Roman"/>
                      <w:color w:val="auto"/>
                      <w:sz w:val="22"/>
                      <w:szCs w:val="22"/>
                    </w:rPr>
                    <w:t>规划区建设三级</w:t>
                  </w:r>
                  <w:r>
                    <w:rPr>
                      <w:rFonts w:hint="eastAsia" w:ascii="Times New Roman" w:cs="Times New Roman"/>
                      <w:color w:val="auto"/>
                      <w:sz w:val="22"/>
                      <w:szCs w:val="22"/>
                    </w:rPr>
                    <w:t>（车间、厂区、规划区）</w:t>
                  </w:r>
                  <w:r>
                    <w:rPr>
                      <w:rFonts w:ascii="Times New Roman" w:cs="Times New Roman"/>
                      <w:color w:val="auto"/>
                      <w:sz w:val="22"/>
                      <w:szCs w:val="22"/>
                    </w:rPr>
                    <w:t>环境风险防控体系；督促规划区内各企业</w:t>
                  </w:r>
                  <w:r>
                    <w:rPr>
                      <w:rFonts w:hint="eastAsia" w:ascii="Times New Roman" w:cs="Times New Roman"/>
                      <w:color w:val="auto"/>
                      <w:sz w:val="22"/>
                      <w:szCs w:val="22"/>
                    </w:rPr>
                    <w:t>加强环境风险防控，</w:t>
                  </w:r>
                  <w:r>
                    <w:rPr>
                      <w:rFonts w:ascii="Times New Roman" w:cs="Times New Roman"/>
                      <w:color w:val="auto"/>
                      <w:sz w:val="22"/>
                      <w:szCs w:val="22"/>
                    </w:rPr>
                    <w:t>建设防止环境风险物质泄漏扩散的封堵、围栏、喷淋、吸收、收集、处理等</w:t>
                  </w:r>
                  <w:r>
                    <w:rPr>
                      <w:rFonts w:hint="eastAsia" w:ascii="Times New Roman" w:cs="Times New Roman"/>
                      <w:color w:val="auto"/>
                      <w:sz w:val="22"/>
                      <w:szCs w:val="22"/>
                    </w:rPr>
                    <w:t>应急</w:t>
                  </w:r>
                  <w:r>
                    <w:rPr>
                      <w:rFonts w:ascii="Times New Roman" w:cs="Times New Roman"/>
                      <w:color w:val="auto"/>
                      <w:sz w:val="22"/>
                      <w:szCs w:val="22"/>
                    </w:rPr>
                    <w:t>设施</w:t>
                  </w:r>
                </w:p>
              </w:tc>
              <w:tc>
                <w:tcPr>
                  <w:tcW w:w="1826" w:type="dxa"/>
                  <w:noWrap w:val="0"/>
                  <w:vAlign w:val="center"/>
                </w:tcPr>
                <w:p w14:paraId="2BCB669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olor w:val="auto"/>
                      <w:sz w:val="22"/>
                      <w:szCs w:val="22"/>
                      <w:lang w:val="en-US" w:eastAsia="zh-CN"/>
                    </w:rPr>
                  </w:pPr>
                  <w:r>
                    <w:rPr>
                      <w:rFonts w:hint="eastAsia"/>
                      <w:color w:val="auto"/>
                      <w:sz w:val="22"/>
                      <w:szCs w:val="22"/>
                      <w:lang w:val="en-US" w:eastAsia="zh-CN"/>
                    </w:rPr>
                    <w:t>本项目风险物质主要为维修废油，暂存在危险废物贮存点内，收集桶下方设置有托盘，且储存量较少。</w:t>
                  </w:r>
                </w:p>
              </w:tc>
              <w:tc>
                <w:tcPr>
                  <w:tcW w:w="766" w:type="dxa"/>
                  <w:noWrap w:val="0"/>
                  <w:vAlign w:val="center"/>
                </w:tcPr>
                <w:p w14:paraId="2795951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符合</w:t>
                  </w:r>
                </w:p>
              </w:tc>
            </w:tr>
            <w:tr w14:paraId="20C00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5" w:type="dxa"/>
                  <w:gridSpan w:val="2"/>
                  <w:vMerge w:val="restart"/>
                  <w:noWrap w:val="0"/>
                  <w:vAlign w:val="center"/>
                </w:tcPr>
                <w:p w14:paraId="2693776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资源利用效率</w:t>
                  </w:r>
                </w:p>
              </w:tc>
              <w:tc>
                <w:tcPr>
                  <w:tcW w:w="3250" w:type="dxa"/>
                  <w:shd w:val="clear" w:color="auto" w:fill="auto"/>
                  <w:noWrap w:val="0"/>
                  <w:vAlign w:val="center"/>
                </w:tcPr>
                <w:p w14:paraId="6677EEA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ascii="Times New Roman" w:hAnsi="Times New Roman" w:eastAsia="宋体" w:cs="Times New Roman"/>
                      <w:color w:val="auto"/>
                      <w:kern w:val="2"/>
                      <w:sz w:val="22"/>
                      <w:szCs w:val="22"/>
                      <w:lang w:val="en-US" w:eastAsia="zh-CN" w:bidi="ar-SA"/>
                    </w:rPr>
                  </w:pPr>
                  <w:r>
                    <w:rPr>
                      <w:rFonts w:ascii="Times New Roman" w:cs="Times New Roman"/>
                      <w:color w:val="auto"/>
                      <w:sz w:val="22"/>
                      <w:szCs w:val="22"/>
                    </w:rPr>
                    <w:t>新建和改造的工业项目清洁生产水平不得低于国家清洁生产标准的国内</w:t>
                  </w:r>
                  <w:r>
                    <w:rPr>
                      <w:rFonts w:hint="eastAsia" w:ascii="Times New Roman" w:cs="Times New Roman"/>
                      <w:color w:val="auto"/>
                      <w:sz w:val="22"/>
                      <w:szCs w:val="22"/>
                    </w:rPr>
                    <w:t>先进</w:t>
                  </w:r>
                  <w:r>
                    <w:rPr>
                      <w:rFonts w:ascii="Times New Roman" w:cs="Times New Roman"/>
                      <w:color w:val="auto"/>
                      <w:sz w:val="22"/>
                      <w:szCs w:val="22"/>
                    </w:rPr>
                    <w:t>水平。新建高耗能项目单位产品（产值）能耗要达到国际先进水平</w:t>
                  </w:r>
                </w:p>
              </w:tc>
              <w:tc>
                <w:tcPr>
                  <w:tcW w:w="1826" w:type="dxa"/>
                  <w:noWrap w:val="0"/>
                  <w:vAlign w:val="center"/>
                </w:tcPr>
                <w:p w14:paraId="06555AD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olor w:val="auto"/>
                      <w:sz w:val="22"/>
                      <w:szCs w:val="22"/>
                      <w:lang w:val="en-US" w:eastAsia="zh-CN"/>
                    </w:rPr>
                  </w:pPr>
                  <w:r>
                    <w:rPr>
                      <w:rFonts w:hint="eastAsia"/>
                      <w:color w:val="auto"/>
                      <w:sz w:val="22"/>
                      <w:szCs w:val="22"/>
                      <w:lang w:val="en-US" w:eastAsia="zh-CN"/>
                    </w:rPr>
                    <w:t>本项目清洁生产水平高于</w:t>
                  </w:r>
                  <w:r>
                    <w:rPr>
                      <w:rFonts w:ascii="Times New Roman" w:cs="Times New Roman"/>
                      <w:color w:val="auto"/>
                      <w:sz w:val="22"/>
                      <w:szCs w:val="22"/>
                    </w:rPr>
                    <w:t>国家清洁生产标准的国内</w:t>
                  </w:r>
                  <w:r>
                    <w:rPr>
                      <w:rFonts w:hint="eastAsia" w:ascii="Times New Roman" w:cs="Times New Roman"/>
                      <w:color w:val="auto"/>
                      <w:sz w:val="22"/>
                      <w:szCs w:val="22"/>
                    </w:rPr>
                    <w:t>先进</w:t>
                  </w:r>
                  <w:r>
                    <w:rPr>
                      <w:rFonts w:ascii="Times New Roman" w:cs="Times New Roman"/>
                      <w:color w:val="auto"/>
                      <w:sz w:val="22"/>
                      <w:szCs w:val="22"/>
                    </w:rPr>
                    <w:t>水平</w:t>
                  </w:r>
                  <w:r>
                    <w:rPr>
                      <w:rFonts w:hint="eastAsia" w:ascii="Times New Roman" w:cs="Times New Roman"/>
                      <w:color w:val="auto"/>
                      <w:sz w:val="22"/>
                      <w:szCs w:val="22"/>
                      <w:lang w:eastAsia="zh-CN"/>
                    </w:rPr>
                    <w:t>。</w:t>
                  </w:r>
                  <w:r>
                    <w:rPr>
                      <w:rFonts w:hint="eastAsia" w:ascii="Times New Roman" w:cs="Times New Roman"/>
                      <w:color w:val="auto"/>
                      <w:sz w:val="22"/>
                      <w:szCs w:val="22"/>
                      <w:lang w:val="en-US" w:eastAsia="zh-CN"/>
                    </w:rPr>
                    <w:t>本项目不属于高能耗项目。</w:t>
                  </w:r>
                </w:p>
              </w:tc>
              <w:tc>
                <w:tcPr>
                  <w:tcW w:w="766" w:type="dxa"/>
                  <w:vMerge w:val="restart"/>
                  <w:noWrap w:val="0"/>
                  <w:vAlign w:val="center"/>
                </w:tcPr>
                <w:p w14:paraId="0AD0847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符合</w:t>
                  </w:r>
                </w:p>
              </w:tc>
            </w:tr>
            <w:tr w14:paraId="5D411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5" w:type="dxa"/>
                  <w:gridSpan w:val="2"/>
                  <w:vMerge w:val="continue"/>
                  <w:noWrap w:val="0"/>
                  <w:vAlign w:val="center"/>
                </w:tcPr>
                <w:p w14:paraId="40313C0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p>
              </w:tc>
              <w:tc>
                <w:tcPr>
                  <w:tcW w:w="3250" w:type="dxa"/>
                  <w:shd w:val="clear" w:color="auto" w:fill="auto"/>
                  <w:noWrap w:val="0"/>
                  <w:vAlign w:val="center"/>
                </w:tcPr>
                <w:p w14:paraId="0941E9C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ascii="Times New Roman" w:hAnsi="Times New Roman" w:eastAsia="宋体" w:cs="Times New Roman"/>
                      <w:color w:val="auto"/>
                      <w:kern w:val="2"/>
                      <w:sz w:val="22"/>
                      <w:szCs w:val="22"/>
                      <w:lang w:val="en-US" w:eastAsia="zh-CN" w:bidi="ar-SA"/>
                    </w:rPr>
                  </w:pPr>
                  <w:r>
                    <w:rPr>
                      <w:rFonts w:ascii="Times New Roman" w:cs="Times New Roman"/>
                      <w:color w:val="auto"/>
                      <w:sz w:val="22"/>
                      <w:szCs w:val="22"/>
                    </w:rPr>
                    <w:t>万元工业增加值用水量（</w:t>
                  </w:r>
                  <w:r>
                    <w:rPr>
                      <w:rFonts w:ascii="Times New Roman" w:hAnsi="Times New Roman" w:cs="Times New Roman"/>
                      <w:color w:val="auto"/>
                      <w:sz w:val="22"/>
                      <w:szCs w:val="22"/>
                    </w:rPr>
                    <w:t>m³/</w:t>
                  </w:r>
                  <w:r>
                    <w:rPr>
                      <w:rFonts w:ascii="Times New Roman" w:cs="Times New Roman"/>
                      <w:color w:val="auto"/>
                      <w:sz w:val="22"/>
                      <w:szCs w:val="22"/>
                    </w:rPr>
                    <w:t>万元）</w:t>
                  </w:r>
                  <w:r>
                    <w:rPr>
                      <w:rFonts w:ascii="Times New Roman" w:hAnsi="Times New Roman" w:cs="Times New Roman"/>
                      <w:color w:val="auto"/>
                      <w:sz w:val="22"/>
                      <w:szCs w:val="22"/>
                    </w:rPr>
                    <w:t>&lt;36.9</w:t>
                  </w:r>
                </w:p>
              </w:tc>
              <w:tc>
                <w:tcPr>
                  <w:tcW w:w="1826" w:type="dxa"/>
                  <w:noWrap w:val="0"/>
                  <w:vAlign w:val="center"/>
                </w:tcPr>
                <w:p w14:paraId="20318B5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olor w:val="auto"/>
                      <w:sz w:val="22"/>
                      <w:szCs w:val="22"/>
                      <w:lang w:val="en-US" w:eastAsia="zh-CN"/>
                    </w:rPr>
                  </w:pPr>
                  <w:r>
                    <w:rPr>
                      <w:rFonts w:hint="eastAsia" w:ascii="Times New Roman" w:cs="Times New Roman"/>
                      <w:color w:val="auto"/>
                      <w:sz w:val="22"/>
                      <w:szCs w:val="22"/>
                      <w:lang w:val="en-US" w:eastAsia="zh-CN"/>
                    </w:rPr>
                    <w:t>本项目</w:t>
                  </w:r>
                  <w:r>
                    <w:rPr>
                      <w:rFonts w:ascii="Times New Roman" w:cs="Times New Roman"/>
                      <w:color w:val="auto"/>
                      <w:sz w:val="22"/>
                      <w:szCs w:val="22"/>
                    </w:rPr>
                    <w:t>万元工业增加值用水量</w:t>
                  </w:r>
                  <w:r>
                    <w:rPr>
                      <w:rFonts w:hint="eastAsia" w:ascii="Times New Roman" w:cs="Times New Roman"/>
                      <w:color w:val="auto"/>
                      <w:sz w:val="22"/>
                      <w:szCs w:val="22"/>
                      <w:lang w:val="en-US" w:eastAsia="zh-CN"/>
                    </w:rPr>
                    <w:t>为1.44</w:t>
                  </w:r>
                </w:p>
              </w:tc>
              <w:tc>
                <w:tcPr>
                  <w:tcW w:w="766" w:type="dxa"/>
                  <w:vMerge w:val="continue"/>
                  <w:noWrap w:val="0"/>
                  <w:vAlign w:val="center"/>
                </w:tcPr>
                <w:p w14:paraId="2C59957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p>
              </w:tc>
            </w:tr>
            <w:tr w14:paraId="597A3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5" w:type="dxa"/>
                  <w:gridSpan w:val="2"/>
                  <w:vMerge w:val="restart"/>
                  <w:noWrap w:val="0"/>
                  <w:vAlign w:val="center"/>
                </w:tcPr>
                <w:p w14:paraId="14635DC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禁止准入产业</w:t>
                  </w:r>
                </w:p>
              </w:tc>
              <w:tc>
                <w:tcPr>
                  <w:tcW w:w="3250" w:type="dxa"/>
                  <w:shd w:val="clear" w:color="auto" w:fill="auto"/>
                  <w:noWrap w:val="0"/>
                  <w:vAlign w:val="center"/>
                </w:tcPr>
                <w:p w14:paraId="7855868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ascii="Times New Roman" w:hAnsi="Times New Roman" w:eastAsia="宋体" w:cs="Times New Roman"/>
                      <w:color w:val="auto"/>
                      <w:kern w:val="2"/>
                      <w:sz w:val="22"/>
                      <w:szCs w:val="22"/>
                      <w:lang w:val="en-US" w:eastAsia="zh-CN" w:bidi="ar-SA"/>
                    </w:rPr>
                  </w:pPr>
                  <w:r>
                    <w:rPr>
                      <w:rFonts w:ascii="Times New Roman" w:cs="Times New Roman"/>
                      <w:color w:val="auto"/>
                      <w:sz w:val="22"/>
                      <w:szCs w:val="22"/>
                    </w:rPr>
                    <w:t>禁止《市场准入负面清单</w:t>
                  </w:r>
                  <w:r>
                    <w:rPr>
                      <w:rFonts w:hint="eastAsia" w:cs="Times New Roman"/>
                      <w:color w:val="auto"/>
                      <w:sz w:val="22"/>
                      <w:szCs w:val="22"/>
                      <w:lang w:eastAsia="zh-CN"/>
                    </w:rPr>
                    <w:t>》《</w:t>
                  </w:r>
                  <w:r>
                    <w:rPr>
                      <w:rFonts w:ascii="Times New Roman" w:cs="Times New Roman"/>
                      <w:color w:val="auto"/>
                      <w:sz w:val="22"/>
                      <w:szCs w:val="22"/>
                    </w:rPr>
                    <w:t>关于发布长江经济带发展负面清单（指南）的通知</w:t>
                  </w:r>
                  <w:r>
                    <w:rPr>
                      <w:rFonts w:hint="eastAsia" w:cs="Times New Roman"/>
                      <w:color w:val="auto"/>
                      <w:sz w:val="22"/>
                      <w:szCs w:val="22"/>
                      <w:lang w:eastAsia="zh-CN"/>
                    </w:rPr>
                    <w:t>》《</w:t>
                  </w:r>
                  <w:r>
                    <w:rPr>
                      <w:rFonts w:ascii="Times New Roman" w:cs="Times New Roman"/>
                      <w:color w:val="auto"/>
                      <w:sz w:val="22"/>
                      <w:szCs w:val="22"/>
                    </w:rPr>
                    <w:t>重庆市长江经济带发展负面清单实施细则（试行）</w:t>
                  </w:r>
                  <w:r>
                    <w:rPr>
                      <w:rFonts w:hint="eastAsia" w:cs="Times New Roman"/>
                      <w:color w:val="auto"/>
                      <w:sz w:val="22"/>
                      <w:szCs w:val="22"/>
                      <w:lang w:eastAsia="zh-CN"/>
                    </w:rPr>
                    <w:t>》《</w:t>
                  </w:r>
                  <w:r>
                    <w:rPr>
                      <w:rFonts w:ascii="Times New Roman" w:cs="Times New Roman"/>
                      <w:color w:val="auto"/>
                      <w:sz w:val="22"/>
                      <w:szCs w:val="22"/>
                    </w:rPr>
                    <w:t>重庆市产业投资准入工作手册》（渝发改投</w:t>
                  </w:r>
                  <w:r>
                    <w:rPr>
                      <w:rFonts w:hint="eastAsia" w:cs="Times New Roman"/>
                      <w:color w:val="auto"/>
                      <w:sz w:val="22"/>
                      <w:szCs w:val="22"/>
                      <w:lang w:eastAsia="zh-CN"/>
                    </w:rPr>
                    <w:t>〔2018〕541号</w:t>
                  </w:r>
                  <w:r>
                    <w:rPr>
                      <w:rFonts w:ascii="Times New Roman" w:cs="Times New Roman"/>
                      <w:color w:val="auto"/>
                      <w:sz w:val="22"/>
                      <w:szCs w:val="22"/>
                    </w:rPr>
                    <w:t>）、《重庆市关于严格工业布局和准入的通知》（渝发改投</w:t>
                  </w:r>
                  <w:r>
                    <w:rPr>
                      <w:rFonts w:hint="eastAsia" w:cs="Times New Roman"/>
                      <w:color w:val="auto"/>
                      <w:sz w:val="22"/>
                      <w:szCs w:val="22"/>
                      <w:lang w:eastAsia="zh-CN"/>
                    </w:rPr>
                    <w:t>〔2018〕781号</w:t>
                  </w:r>
                  <w:r>
                    <w:rPr>
                      <w:rFonts w:ascii="Times New Roman" w:cs="Times New Roman"/>
                      <w:color w:val="auto"/>
                      <w:sz w:val="22"/>
                      <w:szCs w:val="22"/>
                    </w:rPr>
                    <w:t>）中提出的负面清单以及不予准入类项目；禁止引入资源环境绩效水平超过《重庆市工业项目环境准入规定》限值以及不符合生态建设和环境保护规划区域布局规定的工业项目</w:t>
                  </w:r>
                </w:p>
              </w:tc>
              <w:tc>
                <w:tcPr>
                  <w:tcW w:w="1826" w:type="dxa"/>
                  <w:noWrap w:val="0"/>
                  <w:vAlign w:val="center"/>
                </w:tcPr>
                <w:p w14:paraId="15CDAFD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olor w:val="auto"/>
                      <w:sz w:val="22"/>
                      <w:szCs w:val="22"/>
                      <w:lang w:val="en-US" w:eastAsia="zh-CN"/>
                    </w:rPr>
                  </w:pPr>
                  <w:r>
                    <w:rPr>
                      <w:rFonts w:hint="eastAsia"/>
                      <w:color w:val="auto"/>
                      <w:sz w:val="22"/>
                      <w:szCs w:val="22"/>
                      <w:lang w:val="en-US" w:eastAsia="zh-CN"/>
                    </w:rPr>
                    <w:t>本项目为车用保温隔热材料生产项目，不属于前述项目</w:t>
                  </w:r>
                </w:p>
              </w:tc>
              <w:tc>
                <w:tcPr>
                  <w:tcW w:w="766" w:type="dxa"/>
                  <w:noWrap w:val="0"/>
                  <w:vAlign w:val="center"/>
                </w:tcPr>
                <w:p w14:paraId="440D25A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符合</w:t>
                  </w:r>
                </w:p>
              </w:tc>
            </w:tr>
            <w:tr w14:paraId="5F4AA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5" w:type="dxa"/>
                  <w:gridSpan w:val="2"/>
                  <w:vMerge w:val="continue"/>
                  <w:noWrap w:val="0"/>
                  <w:vAlign w:val="center"/>
                </w:tcPr>
                <w:p w14:paraId="4CBBFD0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p>
              </w:tc>
              <w:tc>
                <w:tcPr>
                  <w:tcW w:w="3250" w:type="dxa"/>
                  <w:shd w:val="clear" w:color="auto" w:fill="auto"/>
                  <w:noWrap w:val="0"/>
                  <w:vAlign w:val="center"/>
                </w:tcPr>
                <w:p w14:paraId="4AF4166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ascii="Times New Roman" w:hAnsi="Times New Roman" w:eastAsia="宋体" w:cs="Times New Roman"/>
                      <w:color w:val="auto"/>
                      <w:kern w:val="2"/>
                      <w:sz w:val="22"/>
                      <w:szCs w:val="22"/>
                      <w:lang w:val="en-US" w:eastAsia="zh-CN" w:bidi="ar-SA"/>
                    </w:rPr>
                  </w:pPr>
                  <w:r>
                    <w:rPr>
                      <w:rFonts w:ascii="Times New Roman" w:cs="Times New Roman"/>
                      <w:color w:val="auto"/>
                      <w:sz w:val="22"/>
                      <w:szCs w:val="22"/>
                    </w:rPr>
                    <w:t>禁止引入涉及重金属</w:t>
                  </w:r>
                  <w:r>
                    <w:rPr>
                      <w:rFonts w:hint="eastAsia" w:ascii="Times New Roman" w:cs="Times New Roman"/>
                      <w:color w:val="auto"/>
                      <w:sz w:val="22"/>
                      <w:szCs w:val="22"/>
                    </w:rPr>
                    <w:t>等有毒有害物质</w:t>
                  </w:r>
                  <w:r>
                    <w:rPr>
                      <w:rFonts w:ascii="Times New Roman" w:cs="Times New Roman"/>
                      <w:color w:val="auto"/>
                      <w:sz w:val="22"/>
                      <w:szCs w:val="22"/>
                    </w:rPr>
                    <w:t>排放的电子专用材料制造</w:t>
                  </w:r>
                  <w:r>
                    <w:rPr>
                      <w:rFonts w:hint="eastAsia" w:ascii="Times New Roman" w:cs="Times New Roman"/>
                      <w:color w:val="auto"/>
                      <w:sz w:val="22"/>
                      <w:szCs w:val="22"/>
                    </w:rPr>
                    <w:t>项目（砷化镓外延工序除外）</w:t>
                  </w:r>
                </w:p>
              </w:tc>
              <w:tc>
                <w:tcPr>
                  <w:tcW w:w="1826" w:type="dxa"/>
                  <w:noWrap w:val="0"/>
                  <w:vAlign w:val="center"/>
                </w:tcPr>
                <w:p w14:paraId="74A312E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olor w:val="auto"/>
                      <w:sz w:val="22"/>
                      <w:szCs w:val="22"/>
                      <w:lang w:val="en-US" w:eastAsia="zh-CN"/>
                    </w:rPr>
                  </w:pPr>
                  <w:r>
                    <w:rPr>
                      <w:rFonts w:hint="eastAsia"/>
                      <w:color w:val="auto"/>
                      <w:sz w:val="22"/>
                      <w:szCs w:val="22"/>
                      <w:lang w:val="en-US" w:eastAsia="zh-CN"/>
                    </w:rPr>
                    <w:t>本项目为车用保温隔热材料生产项目，不属于电子专用材料制造项目</w:t>
                  </w:r>
                </w:p>
              </w:tc>
              <w:tc>
                <w:tcPr>
                  <w:tcW w:w="766" w:type="dxa"/>
                  <w:noWrap w:val="0"/>
                  <w:vAlign w:val="center"/>
                </w:tcPr>
                <w:p w14:paraId="7279CD7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符合</w:t>
                  </w:r>
                </w:p>
              </w:tc>
            </w:tr>
            <w:tr w14:paraId="34691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5" w:type="dxa"/>
                  <w:gridSpan w:val="2"/>
                  <w:vMerge w:val="continue"/>
                  <w:noWrap w:val="0"/>
                  <w:vAlign w:val="center"/>
                </w:tcPr>
                <w:p w14:paraId="642390C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p>
              </w:tc>
              <w:tc>
                <w:tcPr>
                  <w:tcW w:w="3250" w:type="dxa"/>
                  <w:shd w:val="clear" w:color="auto" w:fill="auto"/>
                  <w:noWrap w:val="0"/>
                  <w:vAlign w:val="center"/>
                </w:tcPr>
                <w:p w14:paraId="79C92EB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ascii="Times New Roman" w:hAnsi="Times New Roman" w:eastAsia="宋体" w:cs="Times New Roman"/>
                      <w:color w:val="auto"/>
                      <w:kern w:val="2"/>
                      <w:sz w:val="22"/>
                      <w:szCs w:val="22"/>
                      <w:lang w:val="en-US" w:eastAsia="zh-CN" w:bidi="ar-SA"/>
                    </w:rPr>
                  </w:pPr>
                  <w:r>
                    <w:rPr>
                      <w:rFonts w:hint="eastAsia" w:ascii="Times New Roman" w:cs="Times New Roman"/>
                      <w:color w:val="auto"/>
                      <w:sz w:val="22"/>
                      <w:szCs w:val="22"/>
                    </w:rPr>
                    <w:t>嘉陵江及其一级支流沿岸地区（江河50年一遇洪水位向陆域一侧1公里范围内）</w:t>
                  </w:r>
                  <w:r>
                    <w:rPr>
                      <w:rFonts w:ascii="Times New Roman" w:cs="Times New Roman"/>
                      <w:color w:val="auto"/>
                      <w:sz w:val="22"/>
                      <w:szCs w:val="22"/>
                    </w:rPr>
                    <w:t>禁止新建、扩建排放重金属（铬、镉、汞、砷、铅等五类重金属）、剧毒物质和持久性有机污染物的工业项目</w:t>
                  </w:r>
                </w:p>
              </w:tc>
              <w:tc>
                <w:tcPr>
                  <w:tcW w:w="1826" w:type="dxa"/>
                  <w:noWrap w:val="0"/>
                  <w:vAlign w:val="center"/>
                </w:tcPr>
                <w:p w14:paraId="464BB57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olor w:val="auto"/>
                      <w:sz w:val="22"/>
                      <w:szCs w:val="22"/>
                      <w:lang w:val="en-US"/>
                    </w:rPr>
                  </w:pPr>
                  <w:r>
                    <w:rPr>
                      <w:rFonts w:hint="eastAsia"/>
                      <w:color w:val="auto"/>
                      <w:sz w:val="22"/>
                      <w:szCs w:val="22"/>
                      <w:lang w:val="en-US" w:eastAsia="zh-CN"/>
                    </w:rPr>
                    <w:t>本项目为车用保温隔热材料生产项目，不涉及重金属污染物的产生，不属于前述工业项目</w:t>
                  </w:r>
                </w:p>
              </w:tc>
              <w:tc>
                <w:tcPr>
                  <w:tcW w:w="766" w:type="dxa"/>
                  <w:noWrap w:val="0"/>
                  <w:vAlign w:val="center"/>
                </w:tcPr>
                <w:p w14:paraId="64513C4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符合</w:t>
                  </w:r>
                </w:p>
              </w:tc>
            </w:tr>
            <w:tr w14:paraId="3EEFB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5" w:type="dxa"/>
                  <w:gridSpan w:val="2"/>
                  <w:vMerge w:val="continue"/>
                  <w:noWrap w:val="0"/>
                  <w:vAlign w:val="center"/>
                </w:tcPr>
                <w:p w14:paraId="1674CEF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p>
              </w:tc>
              <w:tc>
                <w:tcPr>
                  <w:tcW w:w="3250" w:type="dxa"/>
                  <w:shd w:val="clear" w:color="auto" w:fill="auto"/>
                  <w:noWrap w:val="0"/>
                  <w:vAlign w:val="center"/>
                </w:tcPr>
                <w:p w14:paraId="27C0B72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ascii="Times New Roman" w:hAnsi="Times New Roman" w:eastAsia="宋体" w:cs="Times New Roman"/>
                      <w:color w:val="auto"/>
                      <w:kern w:val="2"/>
                      <w:sz w:val="22"/>
                      <w:szCs w:val="22"/>
                      <w:lang w:val="en-US" w:eastAsia="zh-CN" w:bidi="ar-SA"/>
                    </w:rPr>
                  </w:pPr>
                  <w:r>
                    <w:rPr>
                      <w:rFonts w:hint="eastAsia" w:ascii="Times New Roman" w:cs="Times New Roman"/>
                      <w:color w:val="auto"/>
                      <w:sz w:val="22"/>
                      <w:szCs w:val="22"/>
                    </w:rPr>
                    <w:t>禁止新建、扩建化工项目（为园区</w:t>
                  </w:r>
                  <w:r>
                    <w:rPr>
                      <w:rFonts w:ascii="Times New Roman" w:cs="Times New Roman"/>
                      <w:color w:val="auto"/>
                      <w:sz w:val="22"/>
                      <w:szCs w:val="22"/>
                    </w:rPr>
                    <w:t>主导产业配套必需的、对环境影响小、风险可控的化工项目</w:t>
                  </w:r>
                  <w:r>
                    <w:rPr>
                      <w:rFonts w:hint="eastAsia" w:ascii="Times New Roman" w:cs="Times New Roman"/>
                      <w:color w:val="auto"/>
                      <w:sz w:val="22"/>
                      <w:szCs w:val="22"/>
                    </w:rPr>
                    <w:t>除外）</w:t>
                  </w:r>
                </w:p>
              </w:tc>
              <w:tc>
                <w:tcPr>
                  <w:tcW w:w="1826" w:type="dxa"/>
                  <w:noWrap w:val="0"/>
                  <w:vAlign w:val="center"/>
                </w:tcPr>
                <w:p w14:paraId="4200812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olor w:val="auto"/>
                      <w:sz w:val="22"/>
                      <w:szCs w:val="22"/>
                      <w:lang w:val="en-US"/>
                    </w:rPr>
                  </w:pPr>
                  <w:r>
                    <w:rPr>
                      <w:rFonts w:hint="eastAsia"/>
                      <w:color w:val="auto"/>
                      <w:sz w:val="22"/>
                      <w:szCs w:val="22"/>
                      <w:lang w:val="en-US" w:eastAsia="zh-CN"/>
                    </w:rPr>
                    <w:t>本项目为车用保温隔热材料生产项目，不属于化工项目</w:t>
                  </w:r>
                </w:p>
              </w:tc>
              <w:tc>
                <w:tcPr>
                  <w:tcW w:w="766" w:type="dxa"/>
                  <w:noWrap w:val="0"/>
                  <w:vAlign w:val="center"/>
                </w:tcPr>
                <w:p w14:paraId="62506B9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符合</w:t>
                  </w:r>
                </w:p>
              </w:tc>
            </w:tr>
            <w:tr w14:paraId="3400C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5" w:type="dxa"/>
                  <w:gridSpan w:val="2"/>
                  <w:vMerge w:val="continue"/>
                  <w:noWrap w:val="0"/>
                  <w:vAlign w:val="center"/>
                </w:tcPr>
                <w:p w14:paraId="5659597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p>
              </w:tc>
              <w:tc>
                <w:tcPr>
                  <w:tcW w:w="3250" w:type="dxa"/>
                  <w:shd w:val="clear" w:color="auto" w:fill="auto"/>
                  <w:noWrap w:val="0"/>
                  <w:vAlign w:val="center"/>
                </w:tcPr>
                <w:p w14:paraId="03ADBCC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ascii="Times New Roman" w:hAnsi="Times New Roman" w:eastAsia="宋体" w:cs="Times New Roman"/>
                      <w:color w:val="auto"/>
                      <w:kern w:val="2"/>
                      <w:sz w:val="22"/>
                      <w:szCs w:val="22"/>
                      <w:lang w:val="en-US" w:eastAsia="zh-CN" w:bidi="ar-SA"/>
                    </w:rPr>
                  </w:pPr>
                  <w:r>
                    <w:rPr>
                      <w:rFonts w:ascii="Times New Roman" w:cs="Times New Roman"/>
                      <w:color w:val="auto"/>
                      <w:sz w:val="22"/>
                      <w:szCs w:val="22"/>
                    </w:rPr>
                    <w:t>禁止新建、扩建造纸、印染、化学原料药、铅酸电池、危险废物利用和处置以及存在严重环境安全风险的工业项目</w:t>
                  </w:r>
                </w:p>
              </w:tc>
              <w:tc>
                <w:tcPr>
                  <w:tcW w:w="1826" w:type="dxa"/>
                  <w:noWrap w:val="0"/>
                  <w:vAlign w:val="center"/>
                </w:tcPr>
                <w:p w14:paraId="4D8360D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olor w:val="auto"/>
                      <w:sz w:val="22"/>
                      <w:szCs w:val="22"/>
                      <w:lang w:val="en-US"/>
                    </w:rPr>
                  </w:pPr>
                  <w:r>
                    <w:rPr>
                      <w:rFonts w:hint="eastAsia"/>
                      <w:color w:val="auto"/>
                      <w:sz w:val="22"/>
                      <w:szCs w:val="22"/>
                      <w:lang w:val="en-US" w:eastAsia="zh-CN"/>
                    </w:rPr>
                    <w:t>本项目为车用保温隔热材料生产项目，不属于前述造纸、印染、化学原料药、铅酸电池、危险废物利用和处置以及存在严重环境安全风险的工业项目</w:t>
                  </w:r>
                </w:p>
              </w:tc>
              <w:tc>
                <w:tcPr>
                  <w:tcW w:w="766" w:type="dxa"/>
                  <w:shd w:val="clear" w:color="auto" w:fill="auto"/>
                  <w:noWrap w:val="0"/>
                  <w:vAlign w:val="center"/>
                </w:tcPr>
                <w:p w14:paraId="597FBF4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heme="minorBidi"/>
                      <w:color w:val="auto"/>
                      <w:kern w:val="2"/>
                      <w:sz w:val="22"/>
                      <w:szCs w:val="22"/>
                      <w:lang w:val="en-US" w:eastAsia="zh-CN" w:bidi="ar-SA"/>
                    </w:rPr>
                  </w:pPr>
                  <w:r>
                    <w:rPr>
                      <w:rFonts w:ascii="Times New Roman" w:hAnsi="Times New Roman" w:eastAsia="宋体"/>
                      <w:color w:val="auto"/>
                      <w:sz w:val="22"/>
                      <w:szCs w:val="22"/>
                    </w:rPr>
                    <w:t>符合</w:t>
                  </w:r>
                </w:p>
              </w:tc>
            </w:tr>
            <w:tr w14:paraId="4F080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5" w:type="dxa"/>
                  <w:gridSpan w:val="2"/>
                  <w:vMerge w:val="continue"/>
                  <w:noWrap w:val="0"/>
                  <w:vAlign w:val="center"/>
                </w:tcPr>
                <w:p w14:paraId="01FE260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p>
              </w:tc>
              <w:tc>
                <w:tcPr>
                  <w:tcW w:w="3250" w:type="dxa"/>
                  <w:shd w:val="clear" w:color="auto" w:fill="auto"/>
                  <w:noWrap w:val="0"/>
                  <w:vAlign w:val="center"/>
                </w:tcPr>
                <w:p w14:paraId="460CBCD1">
                  <w:pPr>
                    <w:pStyle w:val="16"/>
                    <w:keepNext w:val="0"/>
                    <w:keepLines w:val="0"/>
                    <w:pageBreakBefore w:val="0"/>
                    <w:kinsoku/>
                    <w:wordWrap/>
                    <w:overflowPunct/>
                    <w:topLinePunct w:val="0"/>
                    <w:autoSpaceDE/>
                    <w:autoSpaceDN/>
                    <w:bidi w:val="0"/>
                    <w:spacing w:before="0" w:beforeAutospacing="0" w:after="0" w:afterAutospacing="0" w:line="240" w:lineRule="auto"/>
                    <w:ind w:left="0" w:leftChars="0" w:firstLine="0" w:firstLineChars="0"/>
                    <w:textAlignment w:val="auto"/>
                    <w:rPr>
                      <w:rFonts w:ascii="Times New Roman" w:hAnsi="Times New Roman" w:eastAsia="宋体" w:cstheme="minorBidi"/>
                      <w:color w:val="auto"/>
                      <w:kern w:val="0"/>
                      <w:sz w:val="22"/>
                      <w:szCs w:val="22"/>
                      <w:lang w:val="en-US" w:eastAsia="zh-CN" w:bidi="ar-SA"/>
                    </w:rPr>
                  </w:pPr>
                  <w:r>
                    <w:rPr>
                      <w:rFonts w:ascii="Times New Roman"/>
                      <w:color w:val="auto"/>
                      <w:sz w:val="22"/>
                      <w:szCs w:val="22"/>
                      <w:lang w:val="en-US" w:eastAsia="zh-CN"/>
                    </w:rPr>
                    <w:t>禁止电镀（经论证确需在集中加工区外布局，投资额大于</w:t>
                  </w:r>
                  <w:r>
                    <w:rPr>
                      <w:rFonts w:ascii="Times New Roman" w:hAnsi="Times New Roman"/>
                      <w:color w:val="auto"/>
                      <w:sz w:val="22"/>
                      <w:szCs w:val="22"/>
                      <w:lang w:val="en-US" w:eastAsia="zh-CN"/>
                    </w:rPr>
                    <w:t>3000</w:t>
                  </w:r>
                  <w:r>
                    <w:rPr>
                      <w:rFonts w:ascii="Times New Roman"/>
                      <w:color w:val="auto"/>
                      <w:sz w:val="22"/>
                      <w:szCs w:val="22"/>
                      <w:lang w:val="en-US" w:eastAsia="zh-CN"/>
                    </w:rPr>
                    <w:t>万，且不排放重金属的除外）</w:t>
                  </w:r>
                </w:p>
              </w:tc>
              <w:tc>
                <w:tcPr>
                  <w:tcW w:w="1826" w:type="dxa"/>
                  <w:noWrap w:val="0"/>
                  <w:vAlign w:val="center"/>
                </w:tcPr>
                <w:p w14:paraId="54746DC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olor w:val="auto"/>
                      <w:sz w:val="22"/>
                      <w:szCs w:val="22"/>
                      <w:lang w:val="en-US"/>
                    </w:rPr>
                  </w:pPr>
                  <w:r>
                    <w:rPr>
                      <w:rFonts w:hint="eastAsia"/>
                      <w:color w:val="auto"/>
                      <w:sz w:val="22"/>
                      <w:szCs w:val="22"/>
                      <w:lang w:val="en-US" w:eastAsia="zh-CN"/>
                    </w:rPr>
                    <w:t>本项目为车用保温隔热材料生产项目，不涉及电镀</w:t>
                  </w:r>
                </w:p>
              </w:tc>
              <w:tc>
                <w:tcPr>
                  <w:tcW w:w="766" w:type="dxa"/>
                  <w:shd w:val="clear" w:color="auto" w:fill="auto"/>
                  <w:noWrap w:val="0"/>
                  <w:vAlign w:val="center"/>
                </w:tcPr>
                <w:p w14:paraId="106B609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heme="minorBidi"/>
                      <w:color w:val="auto"/>
                      <w:kern w:val="2"/>
                      <w:sz w:val="22"/>
                      <w:szCs w:val="22"/>
                      <w:lang w:val="en-US" w:eastAsia="zh-CN" w:bidi="ar-SA"/>
                    </w:rPr>
                  </w:pPr>
                  <w:r>
                    <w:rPr>
                      <w:rFonts w:ascii="Times New Roman" w:hAnsi="Times New Roman" w:eastAsia="宋体"/>
                      <w:color w:val="auto"/>
                      <w:sz w:val="22"/>
                      <w:szCs w:val="22"/>
                    </w:rPr>
                    <w:t>符合</w:t>
                  </w:r>
                </w:p>
              </w:tc>
            </w:tr>
            <w:tr w14:paraId="2A58A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5" w:type="dxa"/>
                  <w:gridSpan w:val="2"/>
                  <w:vMerge w:val="continue"/>
                  <w:noWrap w:val="0"/>
                  <w:vAlign w:val="center"/>
                </w:tcPr>
                <w:p w14:paraId="1AE8EB6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p>
              </w:tc>
              <w:tc>
                <w:tcPr>
                  <w:tcW w:w="3250" w:type="dxa"/>
                  <w:shd w:val="clear" w:color="auto" w:fill="auto"/>
                  <w:noWrap w:val="0"/>
                  <w:vAlign w:val="center"/>
                </w:tcPr>
                <w:p w14:paraId="4B31F64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ascii="Times New Roman" w:hAnsi="Times New Roman" w:eastAsia="宋体" w:cs="Times New Roman"/>
                      <w:color w:val="auto"/>
                      <w:kern w:val="2"/>
                      <w:sz w:val="22"/>
                      <w:szCs w:val="22"/>
                      <w:lang w:val="en-US" w:eastAsia="zh-CN" w:bidi="ar-SA"/>
                    </w:rPr>
                  </w:pPr>
                  <w:r>
                    <w:rPr>
                      <w:rFonts w:hint="eastAsia" w:ascii="Times New Roman" w:cs="Times New Roman"/>
                      <w:color w:val="auto"/>
                      <w:sz w:val="22"/>
                      <w:szCs w:val="22"/>
                    </w:rPr>
                    <w:t>含</w:t>
                  </w:r>
                  <w:r>
                    <w:rPr>
                      <w:rFonts w:ascii="Times New Roman" w:cs="Times New Roman"/>
                      <w:color w:val="auto"/>
                      <w:sz w:val="22"/>
                      <w:szCs w:val="22"/>
                    </w:rPr>
                    <w:t>重金属</w:t>
                  </w:r>
                  <w:r>
                    <w:rPr>
                      <w:rFonts w:hint="eastAsia" w:ascii="Times New Roman" w:cs="Times New Roman"/>
                      <w:color w:val="auto"/>
                      <w:sz w:val="22"/>
                      <w:szCs w:val="22"/>
                    </w:rPr>
                    <w:t>（</w:t>
                  </w:r>
                  <w:r>
                    <w:rPr>
                      <w:rFonts w:hint="eastAsia" w:ascii="Times New Roman" w:hAnsi="Times New Roman" w:cs="Times New Roman"/>
                      <w:color w:val="auto"/>
                      <w:sz w:val="22"/>
                      <w:szCs w:val="22"/>
                    </w:rPr>
                    <w:t>铬、镉、汞、铅、砷</w:t>
                  </w:r>
                  <w:r>
                    <w:rPr>
                      <w:rFonts w:hint="eastAsia" w:ascii="Times New Roman" w:cs="Times New Roman"/>
                      <w:color w:val="auto"/>
                      <w:sz w:val="22"/>
                      <w:szCs w:val="22"/>
                    </w:rPr>
                    <w:t>）</w:t>
                  </w:r>
                  <w:r>
                    <w:rPr>
                      <w:rFonts w:ascii="Times New Roman" w:cs="Times New Roman"/>
                      <w:color w:val="auto"/>
                      <w:sz w:val="22"/>
                      <w:szCs w:val="22"/>
                    </w:rPr>
                    <w:t>废水禁止排放</w:t>
                  </w:r>
                </w:p>
              </w:tc>
              <w:tc>
                <w:tcPr>
                  <w:tcW w:w="1826" w:type="dxa"/>
                  <w:noWrap w:val="0"/>
                  <w:vAlign w:val="center"/>
                </w:tcPr>
                <w:p w14:paraId="3BFF5E5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olor w:val="auto"/>
                      <w:sz w:val="22"/>
                      <w:szCs w:val="22"/>
                      <w:lang w:val="en-US"/>
                    </w:rPr>
                  </w:pPr>
                  <w:r>
                    <w:rPr>
                      <w:rFonts w:hint="eastAsia"/>
                      <w:color w:val="auto"/>
                      <w:sz w:val="22"/>
                      <w:szCs w:val="22"/>
                      <w:lang w:val="en-US" w:eastAsia="zh-CN"/>
                    </w:rPr>
                    <w:t>本项目为车用保温隔热材料生产项目，不涉及重金属废水的产生</w:t>
                  </w:r>
                </w:p>
              </w:tc>
              <w:tc>
                <w:tcPr>
                  <w:tcW w:w="766" w:type="dxa"/>
                  <w:noWrap w:val="0"/>
                  <w:vAlign w:val="center"/>
                </w:tcPr>
                <w:p w14:paraId="68387E1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olor w:val="auto"/>
                      <w:sz w:val="22"/>
                      <w:szCs w:val="22"/>
                      <w:lang w:val="en-US" w:eastAsia="zh-CN"/>
                    </w:rPr>
                  </w:pPr>
                  <w:r>
                    <w:rPr>
                      <w:rFonts w:hint="eastAsia" w:ascii="Times New Roman" w:hAnsi="Times New Roman" w:eastAsia="宋体"/>
                      <w:color w:val="auto"/>
                      <w:sz w:val="22"/>
                      <w:szCs w:val="22"/>
                      <w:lang w:val="en-US" w:eastAsia="zh-CN"/>
                    </w:rPr>
                    <w:t>符合</w:t>
                  </w:r>
                </w:p>
              </w:tc>
            </w:tr>
            <w:tr w14:paraId="70432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 w:type="dxa"/>
                  <w:noWrap w:val="0"/>
                  <w:vAlign w:val="center"/>
                </w:tcPr>
                <w:p w14:paraId="22DA660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限制准入产业</w:t>
                  </w:r>
                </w:p>
              </w:tc>
              <w:tc>
                <w:tcPr>
                  <w:tcW w:w="478" w:type="dxa"/>
                  <w:noWrap w:val="0"/>
                  <w:vAlign w:val="center"/>
                </w:tcPr>
                <w:p w14:paraId="0F4AFEC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总体</w:t>
                  </w:r>
                </w:p>
              </w:tc>
              <w:tc>
                <w:tcPr>
                  <w:tcW w:w="3250" w:type="dxa"/>
                  <w:noWrap w:val="0"/>
                  <w:vAlign w:val="center"/>
                </w:tcPr>
                <w:p w14:paraId="5C21250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r>
                    <w:rPr>
                      <w:rFonts w:ascii="Times New Roman" w:cs="Times New Roman"/>
                      <w:color w:val="auto"/>
                      <w:sz w:val="22"/>
                      <w:szCs w:val="22"/>
                    </w:rPr>
                    <w:t>在合川区、江津区、长寿区、</w:t>
                  </w:r>
                  <w:r>
                    <w:rPr>
                      <w:rFonts w:hint="eastAsia" w:cs="Times New Roman"/>
                      <w:color w:val="auto"/>
                      <w:sz w:val="22"/>
                      <w:szCs w:val="22"/>
                      <w:lang w:eastAsia="zh-CN"/>
                    </w:rPr>
                    <w:t>璧山区</w:t>
                  </w:r>
                  <w:r>
                    <w:rPr>
                      <w:rFonts w:ascii="Times New Roman" w:cs="Times New Roman"/>
                      <w:color w:val="auto"/>
                      <w:sz w:val="22"/>
                      <w:szCs w:val="22"/>
                    </w:rPr>
                    <w:t>等地区严格限制新建、扩建可能对主城区大气产生影响的燃煤、重油等高污染物工业项目</w:t>
                  </w:r>
                </w:p>
              </w:tc>
              <w:tc>
                <w:tcPr>
                  <w:tcW w:w="1826" w:type="dxa"/>
                  <w:noWrap w:val="0"/>
                  <w:vAlign w:val="center"/>
                </w:tcPr>
                <w:p w14:paraId="1EBA991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olor w:val="auto"/>
                      <w:sz w:val="22"/>
                      <w:szCs w:val="22"/>
                      <w:lang w:val="en-US" w:eastAsia="zh-CN"/>
                    </w:rPr>
                  </w:pPr>
                  <w:r>
                    <w:rPr>
                      <w:rFonts w:hint="eastAsia" w:ascii="Times New Roman" w:hAnsi="Times New Roman" w:eastAsia="宋体"/>
                      <w:color w:val="auto"/>
                      <w:sz w:val="22"/>
                      <w:szCs w:val="22"/>
                      <w:lang w:val="en-US" w:eastAsia="zh-CN"/>
                    </w:rPr>
                    <w:t>本项目位于重庆市合川区草街街道农创路205号，属于南溪组团B区，本项目为车用隔热保温材料生产项目，不属于前述高污染项目。</w:t>
                  </w:r>
                </w:p>
              </w:tc>
              <w:tc>
                <w:tcPr>
                  <w:tcW w:w="766" w:type="dxa"/>
                  <w:noWrap w:val="0"/>
                  <w:vAlign w:val="center"/>
                </w:tcPr>
                <w:p w14:paraId="65F3B68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符合</w:t>
                  </w:r>
                </w:p>
              </w:tc>
            </w:tr>
          </w:tbl>
          <w:p w14:paraId="7463A091">
            <w:pPr>
              <w:adjustRightInd w:val="0"/>
              <w:snapToGrid w:val="0"/>
              <w:spacing w:line="460" w:lineRule="exact"/>
              <w:ind w:firstLine="520" w:firstLineChars="200"/>
              <w:outlineLvl w:val="1"/>
              <w:rPr>
                <w:rFonts w:ascii="Times New Roman" w:hAnsi="Times New Roman" w:eastAsia="宋体"/>
                <w:color w:val="auto"/>
                <w:sz w:val="26"/>
                <w:szCs w:val="26"/>
              </w:rPr>
            </w:pPr>
            <w:r>
              <w:rPr>
                <w:rFonts w:ascii="Times New Roman" w:hAnsi="Times New Roman" w:eastAsia="宋体"/>
                <w:color w:val="auto"/>
                <w:sz w:val="26"/>
                <w:szCs w:val="26"/>
              </w:rPr>
              <w:t>由上表可知，拟建项目满足</w:t>
            </w:r>
            <w:r>
              <w:rPr>
                <w:rFonts w:hint="eastAsia" w:ascii="Times New Roman" w:hAnsi="Times New Roman" w:eastAsia="宋体"/>
                <w:color w:val="auto"/>
                <w:sz w:val="26"/>
                <w:szCs w:val="26"/>
              </w:rPr>
              <w:t>《合川工业园区南溪组团、渭沱组团B区规划环境影响报告书》</w:t>
            </w:r>
            <w:r>
              <w:rPr>
                <w:rFonts w:hint="eastAsia" w:ascii="Times New Roman" w:hAnsi="Times New Roman" w:eastAsia="宋体"/>
                <w:color w:val="auto"/>
                <w:sz w:val="26"/>
                <w:szCs w:val="26"/>
                <w:lang w:val="en-US" w:eastAsia="zh-CN"/>
              </w:rPr>
              <w:t>中南溪组团B区的</w:t>
            </w:r>
            <w:r>
              <w:rPr>
                <w:rFonts w:hint="eastAsia" w:ascii="Times New Roman" w:hAnsi="Times New Roman" w:eastAsia="宋体"/>
                <w:color w:val="auto"/>
                <w:sz w:val="26"/>
                <w:szCs w:val="26"/>
              </w:rPr>
              <w:t>生态环境准入要求</w:t>
            </w:r>
            <w:r>
              <w:rPr>
                <w:rFonts w:ascii="Times New Roman" w:hAnsi="Times New Roman" w:eastAsia="宋体"/>
                <w:color w:val="auto"/>
                <w:sz w:val="26"/>
                <w:szCs w:val="26"/>
              </w:rPr>
              <w:t>。</w:t>
            </w:r>
          </w:p>
          <w:p w14:paraId="4BC67727">
            <w:pPr>
              <w:adjustRightInd w:val="0"/>
              <w:snapToGrid w:val="0"/>
              <w:spacing w:line="460" w:lineRule="exact"/>
              <w:ind w:left="0" w:leftChars="0" w:firstLine="0" w:firstLineChars="0"/>
              <w:outlineLvl w:val="1"/>
              <w:rPr>
                <w:rFonts w:hint="eastAsia" w:ascii="Times New Roman" w:hAnsi="Times New Roman" w:eastAsia="宋体"/>
                <w:b/>
                <w:bCs/>
                <w:color w:val="auto"/>
                <w:kern w:val="0"/>
                <w:sz w:val="26"/>
                <w:szCs w:val="26"/>
              </w:rPr>
            </w:pPr>
            <w:r>
              <w:rPr>
                <w:rFonts w:hint="eastAsia" w:ascii="Times New Roman" w:hAnsi="Times New Roman" w:eastAsia="宋体"/>
                <w:b/>
                <w:bCs/>
                <w:color w:val="auto"/>
                <w:sz w:val="26"/>
                <w:szCs w:val="26"/>
              </w:rPr>
              <w:t>1.1.3与</w:t>
            </w:r>
            <w:r>
              <w:rPr>
                <w:rFonts w:hint="eastAsia" w:ascii="Times New Roman" w:hAnsi="Times New Roman" w:eastAsia="宋体"/>
                <w:b/>
                <w:bCs/>
                <w:color w:val="auto"/>
                <w:kern w:val="0"/>
                <w:sz w:val="26"/>
                <w:szCs w:val="26"/>
              </w:rPr>
              <w:t>《重庆市生态环境局关于合川工业园区南溪组团、渭沱组团B区规划环境影响报告书审查意见的函》符合性分析</w:t>
            </w:r>
          </w:p>
          <w:p w14:paraId="2AEE22C0">
            <w:pPr>
              <w:adjustRightInd w:val="0"/>
              <w:snapToGrid w:val="0"/>
              <w:spacing w:line="460" w:lineRule="exact"/>
              <w:ind w:firstLine="520" w:firstLineChars="200"/>
              <w:outlineLvl w:val="1"/>
              <w:rPr>
                <w:rFonts w:hint="eastAsia" w:ascii="Times New Roman" w:hAnsi="Times New Roman" w:eastAsia="宋体"/>
                <w:b w:val="0"/>
                <w:bCs w:val="0"/>
                <w:color w:val="auto"/>
                <w:kern w:val="0"/>
                <w:sz w:val="26"/>
                <w:szCs w:val="26"/>
                <w:lang w:val="en-US" w:eastAsia="zh-CN"/>
              </w:rPr>
            </w:pPr>
            <w:r>
              <w:rPr>
                <w:rFonts w:hint="eastAsia" w:ascii="Times New Roman" w:hAnsi="Times New Roman" w:eastAsia="宋体"/>
                <w:b w:val="0"/>
                <w:bCs w:val="0"/>
                <w:color w:val="auto"/>
                <w:kern w:val="0"/>
                <w:sz w:val="26"/>
                <w:szCs w:val="26"/>
                <w:lang w:val="en-US" w:eastAsia="zh-CN"/>
              </w:rPr>
              <w:t>拟建项目与《</w:t>
            </w:r>
            <w:r>
              <w:rPr>
                <w:rFonts w:hint="eastAsia" w:ascii="Times New Roman" w:hAnsi="Times New Roman" w:eastAsia="宋体"/>
                <w:b w:val="0"/>
                <w:bCs w:val="0"/>
                <w:color w:val="auto"/>
                <w:kern w:val="0"/>
                <w:sz w:val="26"/>
                <w:szCs w:val="26"/>
              </w:rPr>
              <w:t>重庆市生态环境局关于合川工业园区南溪组团、渭沱组团B区规划环境影响报告书审查意见的函</w:t>
            </w:r>
            <w:r>
              <w:rPr>
                <w:rFonts w:hint="eastAsia" w:ascii="Times New Roman" w:hAnsi="Times New Roman" w:eastAsia="宋体"/>
                <w:b w:val="0"/>
                <w:bCs w:val="0"/>
                <w:color w:val="auto"/>
                <w:kern w:val="0"/>
                <w:sz w:val="26"/>
                <w:szCs w:val="26"/>
                <w:lang w:val="en-US" w:eastAsia="zh-CN"/>
              </w:rPr>
              <w:t>》的符合性分析见下表。</w:t>
            </w:r>
          </w:p>
          <w:p w14:paraId="56416419">
            <w:pPr>
              <w:adjustRightInd w:val="0"/>
              <w:snapToGrid w:val="0"/>
              <w:spacing w:line="460" w:lineRule="exact"/>
              <w:ind w:firstLine="520" w:firstLineChars="200"/>
              <w:outlineLvl w:val="1"/>
              <w:rPr>
                <w:rFonts w:ascii="Times New Roman" w:hAnsi="Times New Roman" w:eastAsia="宋体"/>
                <w:color w:val="auto"/>
                <w:kern w:val="0"/>
                <w:sz w:val="26"/>
                <w:szCs w:val="26"/>
              </w:rPr>
            </w:pPr>
            <w:r>
              <w:rPr>
                <w:rFonts w:hint="eastAsia" w:ascii="Times New Roman" w:hAnsi="Times New Roman" w:eastAsia="宋体"/>
                <w:color w:val="auto"/>
                <w:kern w:val="0"/>
                <w:sz w:val="26"/>
                <w:szCs w:val="26"/>
              </w:rPr>
              <w:t>表1.1-2             符合性分析</w:t>
            </w:r>
          </w:p>
          <w:tbl>
            <w:tblPr>
              <w:tblStyle w:val="17"/>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558"/>
              <w:gridCol w:w="1619"/>
              <w:gridCol w:w="884"/>
            </w:tblGrid>
            <w:tr w14:paraId="4C027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708" w:type="dxa"/>
                  <w:noWrap w:val="0"/>
                  <w:vAlign w:val="center"/>
                </w:tcPr>
                <w:p w14:paraId="31B347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序号</w:t>
                  </w:r>
                </w:p>
              </w:tc>
              <w:tc>
                <w:tcPr>
                  <w:tcW w:w="3558" w:type="dxa"/>
                  <w:noWrap w:val="0"/>
                  <w:vAlign w:val="center"/>
                </w:tcPr>
                <w:p w14:paraId="08AE23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相关内容</w:t>
                  </w:r>
                </w:p>
              </w:tc>
              <w:tc>
                <w:tcPr>
                  <w:tcW w:w="1619" w:type="dxa"/>
                  <w:noWrap w:val="0"/>
                  <w:vAlign w:val="center"/>
                </w:tcPr>
                <w:p w14:paraId="1C4CB3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项目情况</w:t>
                  </w:r>
                </w:p>
              </w:tc>
              <w:tc>
                <w:tcPr>
                  <w:tcW w:w="884" w:type="dxa"/>
                  <w:noWrap w:val="0"/>
                  <w:vAlign w:val="center"/>
                </w:tcPr>
                <w:p w14:paraId="512080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符合性</w:t>
                  </w:r>
                </w:p>
              </w:tc>
            </w:tr>
            <w:tr w14:paraId="3D19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8" w:type="dxa"/>
                  <w:shd w:val="clear" w:color="auto" w:fill="auto"/>
                  <w:noWrap w:val="0"/>
                  <w:vAlign w:val="center"/>
                </w:tcPr>
                <w:p w14:paraId="1CC2A1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rPr>
                    <w:t>1</w:t>
                  </w:r>
                </w:p>
              </w:tc>
              <w:tc>
                <w:tcPr>
                  <w:tcW w:w="3558" w:type="dxa"/>
                  <w:noWrap w:val="0"/>
                  <w:vAlign w:val="center"/>
                </w:tcPr>
                <w:p w14:paraId="3B50A2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1"/>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各规划区实施后SO</w:t>
                  </w:r>
                  <w:r>
                    <w:rPr>
                      <w:rFonts w:hint="default" w:ascii="Times New Roman" w:hAnsi="Times New Roman" w:eastAsia="宋体" w:cs="Times New Roman"/>
                      <w:color w:val="auto"/>
                      <w:kern w:val="0"/>
                      <w:sz w:val="22"/>
                      <w:szCs w:val="22"/>
                      <w:vertAlign w:val="subscript"/>
                    </w:rPr>
                    <w:t>2</w:t>
                  </w:r>
                  <w:r>
                    <w:rPr>
                      <w:rFonts w:hint="default" w:ascii="Times New Roman" w:hAnsi="Times New Roman" w:eastAsia="宋体" w:cs="Times New Roman"/>
                      <w:color w:val="auto"/>
                      <w:kern w:val="0"/>
                      <w:sz w:val="22"/>
                      <w:szCs w:val="22"/>
                    </w:rPr>
                    <w:t>、NO</w:t>
                  </w:r>
                  <w:r>
                    <w:rPr>
                      <w:rFonts w:hint="default" w:ascii="Times New Roman" w:hAnsi="Times New Roman" w:eastAsia="宋体" w:cs="Times New Roman"/>
                      <w:color w:val="auto"/>
                      <w:kern w:val="0"/>
                      <w:sz w:val="22"/>
                      <w:szCs w:val="22"/>
                      <w:vertAlign w:val="subscript"/>
                    </w:rPr>
                    <w:t>2</w:t>
                  </w:r>
                  <w:r>
                    <w:rPr>
                      <w:rFonts w:hint="default" w:ascii="Times New Roman" w:hAnsi="Times New Roman" w:eastAsia="宋体" w:cs="Times New Roman"/>
                      <w:color w:val="auto"/>
                      <w:kern w:val="0"/>
                      <w:sz w:val="22"/>
                      <w:szCs w:val="22"/>
                    </w:rPr>
                    <w:t>、VOCs占规划区环境容量比例较低，合川区属于不达标区，已印发实施《合川区污染防治攻坚战实施方案</w:t>
                  </w:r>
                  <w:r>
                    <w:rPr>
                      <w:rFonts w:hint="eastAsia" w:cs="Times New Roman"/>
                      <w:color w:val="auto"/>
                      <w:kern w:val="0"/>
                      <w:sz w:val="22"/>
                      <w:szCs w:val="22"/>
                      <w:lang w:eastAsia="zh-CN"/>
                    </w:rPr>
                    <w:t>（</w:t>
                  </w:r>
                  <w:r>
                    <w:rPr>
                      <w:rFonts w:hint="default" w:ascii="Times New Roman" w:hAnsi="Times New Roman" w:eastAsia="宋体" w:cs="Times New Roman"/>
                      <w:color w:val="auto"/>
                      <w:kern w:val="0"/>
                      <w:sz w:val="22"/>
                      <w:szCs w:val="22"/>
                    </w:rPr>
                    <w:t>2018</w:t>
                  </w:r>
                  <w:r>
                    <w:rPr>
                      <w:rFonts w:hint="eastAsia" w:cs="Times New Roman"/>
                      <w:color w:val="auto"/>
                      <w:kern w:val="0"/>
                      <w:sz w:val="22"/>
                      <w:szCs w:val="22"/>
                      <w:lang w:eastAsia="zh-CN"/>
                    </w:rPr>
                    <w:t>—</w:t>
                  </w:r>
                  <w:r>
                    <w:rPr>
                      <w:rFonts w:hint="default" w:ascii="Times New Roman" w:hAnsi="Times New Roman" w:eastAsia="宋体" w:cs="Times New Roman"/>
                      <w:color w:val="auto"/>
                      <w:kern w:val="0"/>
                      <w:sz w:val="22"/>
                      <w:szCs w:val="22"/>
                    </w:rPr>
                    <w:t>2020年</w:t>
                  </w:r>
                  <w:r>
                    <w:rPr>
                      <w:rFonts w:hint="eastAsia" w:cs="Times New Roman"/>
                      <w:color w:val="auto"/>
                      <w:kern w:val="0"/>
                      <w:sz w:val="22"/>
                      <w:szCs w:val="22"/>
                      <w:lang w:eastAsia="zh-CN"/>
                    </w:rPr>
                    <w:t>）</w:t>
                  </w:r>
                  <w:r>
                    <w:rPr>
                      <w:rFonts w:hint="default" w:ascii="Times New Roman" w:hAnsi="Times New Roman" w:eastAsia="宋体" w:cs="Times New Roman"/>
                      <w:color w:val="auto"/>
                      <w:kern w:val="0"/>
                      <w:sz w:val="22"/>
                      <w:szCs w:val="22"/>
                    </w:rPr>
                    <w:t>》，同时编制了《重庆市合川区大气环境质量达标规划》通过攻坚方案及达标规划的实施，合川区区域整体环境质量可逐步改善达标，大气环境能支撑规划区发展。嘉陵江、涪江的化学需氧量、氨氮现有水环境容量能满足各规划区发展需求。</w:t>
                  </w:r>
                </w:p>
                <w:p w14:paraId="3644E6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1"/>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实施园区污染物排放总量管控限值清单。各规划区排放的一氧化硫、氮氧化物、化学需氧量、氨氮等主要污染物和特征污染物</w:t>
                  </w:r>
                  <w:r>
                    <w:rPr>
                      <w:rFonts w:hint="eastAsia" w:cs="Times New Roman"/>
                      <w:color w:val="auto"/>
                      <w:kern w:val="0"/>
                      <w:sz w:val="22"/>
                      <w:szCs w:val="22"/>
                      <w:lang w:eastAsia="zh-CN"/>
                    </w:rPr>
                    <w:t>（</w:t>
                  </w:r>
                  <w:r>
                    <w:rPr>
                      <w:rFonts w:hint="default" w:ascii="Times New Roman" w:hAnsi="Times New Roman" w:eastAsia="宋体" w:cs="Times New Roman"/>
                      <w:color w:val="auto"/>
                      <w:kern w:val="0"/>
                      <w:sz w:val="22"/>
                      <w:szCs w:val="22"/>
                    </w:rPr>
                    <w:t>VOCs、As等</w:t>
                  </w:r>
                  <w:r>
                    <w:rPr>
                      <w:rFonts w:hint="eastAsia" w:cs="Times New Roman"/>
                      <w:color w:val="auto"/>
                      <w:kern w:val="0"/>
                      <w:sz w:val="22"/>
                      <w:szCs w:val="22"/>
                      <w:lang w:eastAsia="zh-CN"/>
                    </w:rPr>
                    <w:t>）</w:t>
                  </w:r>
                  <w:r>
                    <w:rPr>
                      <w:rFonts w:hint="default" w:ascii="Times New Roman" w:hAnsi="Times New Roman" w:eastAsia="宋体" w:cs="Times New Roman"/>
                      <w:color w:val="auto"/>
                      <w:kern w:val="0"/>
                      <w:sz w:val="22"/>
                      <w:szCs w:val="22"/>
                    </w:rPr>
                    <w:t>排放量不得突破环评核定的总量管控限值。</w:t>
                  </w:r>
                </w:p>
              </w:tc>
              <w:tc>
                <w:tcPr>
                  <w:tcW w:w="1619" w:type="dxa"/>
                  <w:noWrap w:val="0"/>
                  <w:vAlign w:val="center"/>
                </w:tcPr>
                <w:p w14:paraId="2250A5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本项目COD排放量0.039t/a、氨氮排放量为0.0052t/a；管控总量为COD110.88t/a、氨氮14.78t/a。本项目颗粒物排放量为：0.17t/a，管控总量为1.535t/a。</w:t>
                  </w:r>
                </w:p>
              </w:tc>
              <w:tc>
                <w:tcPr>
                  <w:tcW w:w="884" w:type="dxa"/>
                  <w:noWrap w:val="0"/>
                  <w:vAlign w:val="center"/>
                </w:tcPr>
                <w:p w14:paraId="3BC72B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符合</w:t>
                  </w:r>
                </w:p>
              </w:tc>
            </w:tr>
            <w:tr w14:paraId="249B4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8" w:type="dxa"/>
                  <w:shd w:val="clear" w:color="auto" w:fill="auto"/>
                  <w:noWrap w:val="0"/>
                  <w:vAlign w:val="center"/>
                </w:tcPr>
                <w:p w14:paraId="4E9CD9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rPr>
                    <w:t>2</w:t>
                  </w:r>
                </w:p>
              </w:tc>
              <w:tc>
                <w:tcPr>
                  <w:tcW w:w="3558" w:type="dxa"/>
                  <w:noWrap w:val="0"/>
                  <w:vAlign w:val="center"/>
                </w:tcPr>
                <w:p w14:paraId="724397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严格控制天然气等消耗总量和新鲜水消耗总量，大力发展循环经济，提高资源利用效率，规划实施不得突破有关部门制定的能源消耗上限、水资源消耗上限，确保规划实施后，区域大气和水环境质量保持稳中向好转变。</w:t>
                  </w:r>
                </w:p>
              </w:tc>
              <w:tc>
                <w:tcPr>
                  <w:tcW w:w="1619" w:type="dxa"/>
                  <w:noWrap w:val="0"/>
                  <w:vAlign w:val="center"/>
                </w:tcPr>
                <w:p w14:paraId="016AA7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本项目</w:t>
                  </w:r>
                  <w:r>
                    <w:rPr>
                      <w:rFonts w:hint="eastAsia" w:cs="Times New Roman"/>
                      <w:color w:val="auto"/>
                      <w:kern w:val="0"/>
                      <w:sz w:val="22"/>
                      <w:szCs w:val="22"/>
                      <w:lang w:val="en-US" w:eastAsia="zh-CN"/>
                    </w:rPr>
                    <w:t>不涉及天然气的使用，本项目用水主要是生活用水，严格控制</w:t>
                  </w:r>
                  <w:r>
                    <w:rPr>
                      <w:rFonts w:hint="default" w:ascii="Times New Roman" w:hAnsi="Times New Roman" w:eastAsia="宋体" w:cs="Times New Roman"/>
                      <w:color w:val="auto"/>
                      <w:kern w:val="0"/>
                      <w:sz w:val="22"/>
                      <w:szCs w:val="22"/>
                    </w:rPr>
                    <w:t>用水量</w:t>
                  </w:r>
                </w:p>
              </w:tc>
              <w:tc>
                <w:tcPr>
                  <w:tcW w:w="884" w:type="dxa"/>
                  <w:noWrap w:val="0"/>
                  <w:vAlign w:val="center"/>
                </w:tcPr>
                <w:p w14:paraId="6FC30C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符合</w:t>
                  </w:r>
                </w:p>
              </w:tc>
            </w:tr>
            <w:tr w14:paraId="603EA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8" w:type="dxa"/>
                  <w:shd w:val="clear" w:color="auto" w:fill="auto"/>
                  <w:noWrap w:val="0"/>
                  <w:vAlign w:val="center"/>
                </w:tcPr>
                <w:p w14:paraId="1D43C8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rPr>
                    <w:t>3</w:t>
                  </w:r>
                </w:p>
              </w:tc>
              <w:tc>
                <w:tcPr>
                  <w:tcW w:w="3558" w:type="dxa"/>
                  <w:noWrap w:val="0"/>
                  <w:vAlign w:val="center"/>
                </w:tcPr>
                <w:p w14:paraId="4AA782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规划区后续开发建设时应在嘉陵江沿岸布置不少于50米的绿化缓冲带。嘉陵江及其一级支流汇入口上游20公里、集中式饮用水水源取水口上游20公里范围内的沿岸地区</w:t>
                  </w:r>
                  <w:r>
                    <w:rPr>
                      <w:rFonts w:hint="eastAsia" w:cs="Times New Roman"/>
                      <w:color w:val="auto"/>
                      <w:kern w:val="0"/>
                      <w:sz w:val="22"/>
                      <w:szCs w:val="22"/>
                      <w:lang w:eastAsia="zh-CN"/>
                    </w:rPr>
                    <w:t>（</w:t>
                  </w:r>
                  <w:r>
                    <w:rPr>
                      <w:rFonts w:hint="default" w:ascii="Times New Roman" w:hAnsi="Times New Roman" w:eastAsia="宋体" w:cs="Times New Roman"/>
                      <w:color w:val="auto"/>
                      <w:kern w:val="0"/>
                      <w:sz w:val="22"/>
                      <w:szCs w:val="22"/>
                    </w:rPr>
                    <w:t>江河50年一遇洪水位向陆域一侧1公里范围内</w:t>
                  </w:r>
                  <w:r>
                    <w:rPr>
                      <w:rFonts w:hint="eastAsia" w:cs="Times New Roman"/>
                      <w:color w:val="auto"/>
                      <w:kern w:val="0"/>
                      <w:sz w:val="22"/>
                      <w:szCs w:val="22"/>
                      <w:lang w:eastAsia="zh-CN"/>
                    </w:rPr>
                    <w:t>）</w:t>
                  </w:r>
                  <w:r>
                    <w:rPr>
                      <w:rFonts w:hint="default" w:ascii="Times New Roman" w:hAnsi="Times New Roman" w:eastAsia="宋体" w:cs="Times New Roman"/>
                      <w:color w:val="auto"/>
                      <w:kern w:val="0"/>
                      <w:sz w:val="22"/>
                      <w:szCs w:val="22"/>
                    </w:rPr>
                    <w:t>，禁止新建、扩建排放重金属</w:t>
                  </w:r>
                  <w:r>
                    <w:rPr>
                      <w:rFonts w:hint="eastAsia" w:cs="Times New Roman"/>
                      <w:color w:val="auto"/>
                      <w:kern w:val="0"/>
                      <w:sz w:val="22"/>
                      <w:szCs w:val="22"/>
                      <w:lang w:eastAsia="zh-CN"/>
                    </w:rPr>
                    <w:t>（</w:t>
                  </w:r>
                  <w:r>
                    <w:rPr>
                      <w:rFonts w:hint="default" w:ascii="Times New Roman" w:hAnsi="Times New Roman" w:eastAsia="宋体" w:cs="Times New Roman"/>
                      <w:color w:val="auto"/>
                      <w:kern w:val="0"/>
                      <w:sz w:val="22"/>
                      <w:szCs w:val="22"/>
                    </w:rPr>
                    <w:t>铬、镉、汞、砷、铅</w:t>
                  </w:r>
                  <w:r>
                    <w:rPr>
                      <w:rFonts w:hint="eastAsia" w:cs="Times New Roman"/>
                      <w:color w:val="auto"/>
                      <w:kern w:val="0"/>
                      <w:sz w:val="22"/>
                      <w:szCs w:val="22"/>
                      <w:lang w:eastAsia="zh-CN"/>
                    </w:rPr>
                    <w:t>）</w:t>
                  </w:r>
                  <w:r>
                    <w:rPr>
                      <w:rFonts w:hint="default" w:ascii="Times New Roman" w:hAnsi="Times New Roman" w:eastAsia="宋体" w:cs="Times New Roman"/>
                      <w:color w:val="auto"/>
                      <w:kern w:val="0"/>
                      <w:sz w:val="22"/>
                      <w:szCs w:val="22"/>
                    </w:rPr>
                    <w:t>、剧毒物质和持久性有机污染物的工业项目。南溪组团A区、C区环境空气质量一类区</w:t>
                  </w:r>
                  <w:r>
                    <w:rPr>
                      <w:rFonts w:hint="eastAsia" w:cs="Times New Roman"/>
                      <w:color w:val="auto"/>
                      <w:kern w:val="0"/>
                      <w:sz w:val="22"/>
                      <w:szCs w:val="22"/>
                      <w:lang w:eastAsia="zh-CN"/>
                    </w:rPr>
                    <w:t>（</w:t>
                  </w:r>
                  <w:r>
                    <w:rPr>
                      <w:rFonts w:hint="default" w:ascii="Times New Roman" w:hAnsi="Times New Roman" w:eastAsia="宋体" w:cs="Times New Roman"/>
                      <w:color w:val="auto"/>
                      <w:kern w:val="0"/>
                      <w:sz w:val="22"/>
                      <w:szCs w:val="22"/>
                    </w:rPr>
                    <w:t>缙云山风景名胜区、九峰山市级森林公园</w:t>
                  </w:r>
                  <w:r>
                    <w:rPr>
                      <w:rFonts w:hint="eastAsia" w:cs="Times New Roman"/>
                      <w:color w:val="auto"/>
                      <w:kern w:val="0"/>
                      <w:sz w:val="22"/>
                      <w:szCs w:val="22"/>
                      <w:lang w:eastAsia="zh-CN"/>
                    </w:rPr>
                    <w:t>）</w:t>
                  </w:r>
                  <w:r>
                    <w:rPr>
                      <w:rFonts w:hint="default" w:ascii="Times New Roman" w:hAnsi="Times New Roman" w:eastAsia="宋体" w:cs="Times New Roman"/>
                      <w:color w:val="auto"/>
                      <w:kern w:val="0"/>
                      <w:sz w:val="22"/>
                      <w:szCs w:val="22"/>
                    </w:rPr>
                    <w:t>300米缓冲带内现有企业大气污染物排放量不得增加，规划未实施的地块不得引进有</w:t>
                  </w:r>
                  <w:r>
                    <w:rPr>
                      <w:rFonts w:hint="eastAsia" w:cs="Times New Roman"/>
                      <w:color w:val="auto"/>
                      <w:kern w:val="0"/>
                      <w:sz w:val="22"/>
                      <w:szCs w:val="22"/>
                      <w:lang w:eastAsia="zh-CN"/>
                    </w:rPr>
                    <w:t>工业</w:t>
                  </w:r>
                  <w:r>
                    <w:rPr>
                      <w:rFonts w:hint="default" w:ascii="Times New Roman" w:hAnsi="Times New Roman" w:eastAsia="宋体" w:cs="Times New Roman"/>
                      <w:color w:val="auto"/>
                      <w:kern w:val="0"/>
                      <w:sz w:val="22"/>
                      <w:szCs w:val="22"/>
                    </w:rPr>
                    <w:t>废气排放的企业。规划区内企业环境防护距离应优化控制在规划区边界或用地红线以内。南溪组团A区、C区超出城市总体规划建设用地范围的地块暂不开发，未来按照国土空间规划的建设用地范围进行开发管理。</w:t>
                  </w:r>
                </w:p>
              </w:tc>
              <w:tc>
                <w:tcPr>
                  <w:tcW w:w="1619" w:type="dxa"/>
                  <w:noWrap w:val="0"/>
                  <w:vAlign w:val="center"/>
                </w:tcPr>
                <w:p w14:paraId="7DF23C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rPr>
                  </w:pPr>
                  <w:r>
                    <w:rPr>
                      <w:rFonts w:hint="default" w:ascii="Times New Roman" w:hAnsi="Times New Roman" w:eastAsia="宋体"/>
                      <w:color w:val="auto"/>
                      <w:sz w:val="22"/>
                      <w:szCs w:val="22"/>
                      <w:lang w:val="en-US" w:eastAsia="zh-CN"/>
                    </w:rPr>
                    <w:t>本项目距离嘉陵江</w:t>
                  </w:r>
                  <w:r>
                    <w:rPr>
                      <w:rFonts w:hint="eastAsia" w:ascii="Times New Roman" w:hAnsi="Times New Roman" w:eastAsia="宋体"/>
                      <w:color w:val="auto"/>
                      <w:sz w:val="22"/>
                      <w:szCs w:val="22"/>
                      <w:lang w:val="en-US" w:eastAsia="zh-CN"/>
                    </w:rPr>
                    <w:t>4</w:t>
                  </w:r>
                  <w:r>
                    <w:rPr>
                      <w:rFonts w:hint="default" w:ascii="Times New Roman" w:hAnsi="Times New Roman" w:eastAsia="宋体"/>
                      <w:color w:val="auto"/>
                      <w:sz w:val="22"/>
                      <w:szCs w:val="22"/>
                      <w:lang w:val="en-US" w:eastAsia="zh-CN"/>
                    </w:rPr>
                    <w:t>km，</w:t>
                  </w:r>
                  <w:r>
                    <w:rPr>
                      <w:rFonts w:hint="eastAsia" w:ascii="Times New Roman" w:hAnsi="Times New Roman" w:eastAsia="宋体"/>
                      <w:color w:val="auto"/>
                      <w:sz w:val="22"/>
                      <w:szCs w:val="22"/>
                      <w:lang w:val="en-US" w:eastAsia="zh-CN"/>
                    </w:rPr>
                    <w:t>本项目为车用隔热保温材料生产项目，</w:t>
                  </w:r>
                  <w:r>
                    <w:rPr>
                      <w:rFonts w:hint="default" w:ascii="Times New Roman" w:hAnsi="Times New Roman" w:eastAsia="宋体"/>
                      <w:color w:val="auto"/>
                      <w:sz w:val="22"/>
                      <w:szCs w:val="22"/>
                      <w:lang w:val="en-US" w:eastAsia="zh-CN"/>
                    </w:rPr>
                    <w:t>不属于排放重金属、剧毒物质和持久性有机污染物的工业项目。本项目位于南溪组团</w:t>
                  </w:r>
                  <w:r>
                    <w:rPr>
                      <w:rFonts w:hint="eastAsia" w:ascii="Times New Roman" w:hAnsi="Times New Roman" w:eastAsia="宋体"/>
                      <w:color w:val="auto"/>
                      <w:sz w:val="22"/>
                      <w:szCs w:val="22"/>
                      <w:lang w:val="en-US" w:eastAsia="zh-CN"/>
                    </w:rPr>
                    <w:t>B</w:t>
                  </w:r>
                  <w:r>
                    <w:rPr>
                      <w:rFonts w:hint="default" w:ascii="Times New Roman" w:hAnsi="Times New Roman" w:eastAsia="宋体"/>
                      <w:color w:val="auto"/>
                      <w:sz w:val="22"/>
                      <w:szCs w:val="22"/>
                      <w:lang w:val="en-US" w:eastAsia="zh-CN"/>
                    </w:rPr>
                    <w:t>区，</w:t>
                  </w:r>
                  <w:r>
                    <w:rPr>
                      <w:rFonts w:hint="eastAsia" w:ascii="Times New Roman" w:hAnsi="Times New Roman" w:eastAsia="宋体"/>
                      <w:color w:val="auto"/>
                      <w:sz w:val="22"/>
                      <w:szCs w:val="22"/>
                      <w:lang w:val="en-US" w:eastAsia="zh-CN"/>
                    </w:rPr>
                    <w:t>不在</w:t>
                  </w:r>
                  <w:r>
                    <w:rPr>
                      <w:rFonts w:hint="default" w:ascii="Times New Roman" w:hAnsi="Times New Roman" w:eastAsia="宋体" w:cs="Times New Roman"/>
                      <w:color w:val="auto"/>
                      <w:kern w:val="0"/>
                      <w:sz w:val="22"/>
                      <w:szCs w:val="22"/>
                    </w:rPr>
                    <w:t>缙云山风景名胜区</w:t>
                  </w:r>
                  <w:r>
                    <w:rPr>
                      <w:rFonts w:hint="eastAsia" w:cs="Times New Roman"/>
                      <w:color w:val="auto"/>
                      <w:kern w:val="0"/>
                      <w:sz w:val="22"/>
                      <w:szCs w:val="22"/>
                      <w:lang w:eastAsia="zh-CN"/>
                    </w:rPr>
                    <w:t>、</w:t>
                  </w:r>
                  <w:r>
                    <w:rPr>
                      <w:rFonts w:hint="default" w:ascii="Times New Roman" w:hAnsi="Times New Roman" w:eastAsia="宋体"/>
                      <w:color w:val="auto"/>
                      <w:sz w:val="22"/>
                      <w:szCs w:val="22"/>
                      <w:lang w:val="en-US" w:eastAsia="zh-CN"/>
                    </w:rPr>
                    <w:t>九峰山市级森林公园300m缓冲带内。本项目用地范围未超出城市总体规划建设用地范围。</w:t>
                  </w:r>
                </w:p>
              </w:tc>
              <w:tc>
                <w:tcPr>
                  <w:tcW w:w="884" w:type="dxa"/>
                  <w:noWrap w:val="0"/>
                  <w:vAlign w:val="center"/>
                </w:tcPr>
                <w:p w14:paraId="7436AA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符合</w:t>
                  </w:r>
                </w:p>
              </w:tc>
            </w:tr>
            <w:tr w14:paraId="15D73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8" w:type="dxa"/>
                  <w:noWrap w:val="0"/>
                  <w:vAlign w:val="center"/>
                </w:tcPr>
                <w:p w14:paraId="73AE1C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rPr>
                  </w:pPr>
                </w:p>
              </w:tc>
              <w:tc>
                <w:tcPr>
                  <w:tcW w:w="3558" w:type="dxa"/>
                  <w:noWrap w:val="0"/>
                  <w:vAlign w:val="center"/>
                </w:tcPr>
                <w:p w14:paraId="71E6A3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强化规划环评与合川区“三线一单</w:t>
                  </w:r>
                  <w:r>
                    <w:rPr>
                      <w:rFonts w:hint="eastAsia" w:cs="Times New Roman"/>
                      <w:color w:val="auto"/>
                      <w:kern w:val="0"/>
                      <w:sz w:val="22"/>
                      <w:szCs w:val="22"/>
                      <w:lang w:eastAsia="zh-CN"/>
                    </w:rPr>
                    <w:t>（</w:t>
                  </w:r>
                  <w:r>
                    <w:rPr>
                      <w:rFonts w:hint="default" w:ascii="Times New Roman" w:hAnsi="Times New Roman" w:eastAsia="宋体" w:cs="Times New Roman"/>
                      <w:color w:val="auto"/>
                      <w:kern w:val="0"/>
                      <w:sz w:val="22"/>
                      <w:szCs w:val="22"/>
                    </w:rPr>
                    <w:t>生态保护红线、环境质量底线、资源利用上线，生态环境准入清单</w:t>
                  </w:r>
                  <w:r>
                    <w:rPr>
                      <w:rFonts w:hint="eastAsia" w:cs="Times New Roman"/>
                      <w:color w:val="auto"/>
                      <w:kern w:val="0"/>
                      <w:sz w:val="22"/>
                      <w:szCs w:val="22"/>
                      <w:lang w:eastAsia="zh-CN"/>
                    </w:rPr>
                    <w:t>）</w:t>
                  </w:r>
                  <w:r>
                    <w:rPr>
                      <w:rFonts w:hint="default" w:ascii="Times New Roman" w:hAnsi="Times New Roman" w:eastAsia="宋体" w:cs="Times New Roman"/>
                      <w:color w:val="auto"/>
                      <w:kern w:val="0"/>
                      <w:sz w:val="22"/>
                      <w:szCs w:val="22"/>
                    </w:rPr>
                    <w:t>的联动，主要管控措施应符合合川区“三线一单”要求。规划区应优化产业发展方向，落实生态环境准入清单，严格建设项目环境准入。坚持源头防控，倡导循环经济，提高清洁生产水平，从源头控制和减少污染物的产排量，按照清洁生产的要求</w:t>
                  </w:r>
                  <w:r>
                    <w:rPr>
                      <w:rFonts w:hint="eastAsia" w:cs="Times New Roman"/>
                      <w:color w:val="auto"/>
                      <w:kern w:val="0"/>
                      <w:sz w:val="22"/>
                      <w:szCs w:val="22"/>
                      <w:lang w:eastAsia="zh-CN"/>
                    </w:rPr>
                    <w:t>：</w:t>
                  </w:r>
                  <w:r>
                    <w:rPr>
                      <w:rFonts w:hint="default" w:ascii="Times New Roman" w:hAnsi="Times New Roman" w:eastAsia="宋体" w:cs="Times New Roman"/>
                      <w:color w:val="auto"/>
                      <w:kern w:val="0"/>
                      <w:sz w:val="22"/>
                      <w:szCs w:val="22"/>
                    </w:rPr>
                    <w:t>不断提升现有工业企业清洁生产水平，新建、改扩建项目清洁生产水平不得低于国内先进水平。</w:t>
                  </w:r>
                </w:p>
              </w:tc>
              <w:tc>
                <w:tcPr>
                  <w:tcW w:w="1619" w:type="dxa"/>
                  <w:noWrap w:val="0"/>
                  <w:vAlign w:val="center"/>
                </w:tcPr>
                <w:p w14:paraId="359877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rPr>
                    <w:t>本项目管控措施符合合川区“三线一单”要求，</w:t>
                  </w:r>
                  <w:r>
                    <w:rPr>
                      <w:rFonts w:hint="eastAsia" w:ascii="Times New Roman" w:hAnsi="Times New Roman" w:eastAsia="宋体"/>
                      <w:color w:val="auto"/>
                      <w:sz w:val="22"/>
                      <w:szCs w:val="22"/>
                      <w:lang w:val="en-US" w:eastAsia="zh-CN"/>
                    </w:rPr>
                    <w:t>本项目为车用隔热保温材料生产项目</w:t>
                  </w:r>
                  <w:r>
                    <w:rPr>
                      <w:rFonts w:hint="default" w:ascii="Times New Roman" w:hAnsi="Times New Roman" w:eastAsia="宋体" w:cs="Times New Roman"/>
                      <w:color w:val="auto"/>
                      <w:kern w:val="0"/>
                      <w:sz w:val="22"/>
                      <w:szCs w:val="22"/>
                    </w:rPr>
                    <w:t>，属于园区准入项目。</w:t>
                  </w:r>
                  <w:r>
                    <w:rPr>
                      <w:rFonts w:hint="eastAsia" w:cs="Times New Roman"/>
                      <w:color w:val="auto"/>
                      <w:kern w:val="0"/>
                      <w:sz w:val="22"/>
                      <w:szCs w:val="22"/>
                      <w:lang w:val="en-US" w:eastAsia="zh-CN"/>
                    </w:rPr>
                    <w:t>本项目主要污染物为颗粒物，经布袋除尘收集处理后有组织排放，减少了污染物的排放。</w:t>
                  </w:r>
                </w:p>
              </w:tc>
              <w:tc>
                <w:tcPr>
                  <w:tcW w:w="884" w:type="dxa"/>
                  <w:noWrap w:val="0"/>
                  <w:vAlign w:val="center"/>
                </w:tcPr>
                <w:p w14:paraId="29643A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符合</w:t>
                  </w:r>
                </w:p>
              </w:tc>
            </w:tr>
            <w:tr w14:paraId="123B6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8" w:type="dxa"/>
                  <w:noWrap w:val="0"/>
                  <w:vAlign w:val="center"/>
                </w:tcPr>
                <w:p w14:paraId="633CE0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4</w:t>
                  </w:r>
                </w:p>
              </w:tc>
              <w:tc>
                <w:tcPr>
                  <w:tcW w:w="3558" w:type="dxa"/>
                  <w:noWrap w:val="0"/>
                  <w:vAlign w:val="center"/>
                </w:tcPr>
                <w:p w14:paraId="020584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加强现有企业大气污染治理和监管，确保各类大气污染物持续稳定达标排放。通过工艺改进、清洁生产、完善措施等手段减少废气无组织排放。鼓励规划区内企业以天然气、电等为能源，除现有的水泥厂、合川盐化外禁止燃煤</w:t>
                  </w:r>
                  <w:r>
                    <w:rPr>
                      <w:rFonts w:hint="eastAsia" w:cs="Times New Roman"/>
                      <w:color w:val="auto"/>
                      <w:kern w:val="0"/>
                      <w:sz w:val="22"/>
                      <w:szCs w:val="22"/>
                      <w:lang w:eastAsia="zh-CN"/>
                    </w:rPr>
                    <w:t>；</w:t>
                  </w:r>
                  <w:r>
                    <w:rPr>
                      <w:rFonts w:hint="default" w:ascii="Times New Roman" w:hAnsi="Times New Roman" w:eastAsia="宋体" w:cs="Times New Roman"/>
                      <w:color w:val="auto"/>
                      <w:kern w:val="0"/>
                      <w:sz w:val="22"/>
                      <w:szCs w:val="22"/>
                    </w:rPr>
                    <w:t>规划区内水泥生产等企业应当按照市政府及有关部门关于错峰生产的调度要求，限产停产</w:t>
                  </w:r>
                  <w:r>
                    <w:rPr>
                      <w:rFonts w:hint="eastAsia" w:cs="Times New Roman"/>
                      <w:color w:val="auto"/>
                      <w:kern w:val="0"/>
                      <w:sz w:val="22"/>
                      <w:szCs w:val="22"/>
                      <w:lang w:eastAsia="zh-CN"/>
                    </w:rPr>
                    <w:t>；</w:t>
                  </w:r>
                  <w:r>
                    <w:rPr>
                      <w:rFonts w:hint="default" w:ascii="Times New Roman" w:hAnsi="Times New Roman" w:eastAsia="宋体" w:cs="Times New Roman"/>
                      <w:color w:val="auto"/>
                      <w:kern w:val="0"/>
                      <w:sz w:val="22"/>
                      <w:szCs w:val="22"/>
                    </w:rPr>
                    <w:t>排放挥发性有机物的企业其废气收集和处理必须满足国家及重庆市“十三五”挥发性有机物污染防治工作方案的相关要求。南溪组团B区应控制砷化镓芯片外延工序生产规模，采取严格的废气收集及处理措施，最大程度减少重金属废气排放对周边环境的影响。</w:t>
                  </w:r>
                </w:p>
              </w:tc>
              <w:tc>
                <w:tcPr>
                  <w:tcW w:w="1619" w:type="dxa"/>
                  <w:noWrap w:val="0"/>
                  <w:vAlign w:val="center"/>
                </w:tcPr>
                <w:p w14:paraId="56CAF2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本项目以电为能源，</w:t>
                  </w:r>
                  <w:r>
                    <w:rPr>
                      <w:rFonts w:hint="eastAsia" w:ascii="Times New Roman" w:hAnsi="Times New Roman" w:eastAsia="宋体"/>
                      <w:color w:val="auto"/>
                      <w:sz w:val="22"/>
                      <w:szCs w:val="22"/>
                      <w:lang w:val="en-US" w:eastAsia="zh-CN"/>
                    </w:rPr>
                    <w:t>本项目为车用隔热保温材料生产项目</w:t>
                  </w:r>
                  <w:r>
                    <w:rPr>
                      <w:rFonts w:hint="default" w:ascii="Times New Roman" w:hAnsi="Times New Roman" w:eastAsia="宋体" w:cs="Times New Roman"/>
                      <w:color w:val="auto"/>
                      <w:kern w:val="0"/>
                      <w:sz w:val="22"/>
                      <w:szCs w:val="22"/>
                    </w:rPr>
                    <w:t>，生产工艺中涉及的废气均进行收集处理后达标排放，加强对无组织废气的控制措施。</w:t>
                  </w:r>
                </w:p>
              </w:tc>
              <w:tc>
                <w:tcPr>
                  <w:tcW w:w="884" w:type="dxa"/>
                  <w:noWrap w:val="0"/>
                  <w:vAlign w:val="center"/>
                </w:tcPr>
                <w:p w14:paraId="5BBAAE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符合</w:t>
                  </w:r>
                </w:p>
              </w:tc>
            </w:tr>
            <w:tr w14:paraId="4E730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8" w:type="dxa"/>
                  <w:noWrap w:val="0"/>
                  <w:vAlign w:val="center"/>
                </w:tcPr>
                <w:p w14:paraId="290974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5</w:t>
                  </w:r>
                </w:p>
              </w:tc>
              <w:tc>
                <w:tcPr>
                  <w:tcW w:w="3558" w:type="dxa"/>
                  <w:noWrap w:val="0"/>
                  <w:vAlign w:val="center"/>
                </w:tcPr>
                <w:p w14:paraId="744790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提高废水回用率，减少废水污染物排放。加强现有企业废水排放监管，确保规划区废水经污水处理厂处理达标后排放。规划区禁止含重金属</w:t>
                  </w:r>
                  <w:r>
                    <w:rPr>
                      <w:rFonts w:hint="eastAsia" w:cs="Times New Roman"/>
                      <w:color w:val="auto"/>
                      <w:kern w:val="0"/>
                      <w:sz w:val="22"/>
                      <w:szCs w:val="22"/>
                      <w:lang w:eastAsia="zh-CN"/>
                    </w:rPr>
                    <w:t>（</w:t>
                  </w:r>
                  <w:r>
                    <w:rPr>
                      <w:rFonts w:hint="default" w:ascii="Times New Roman" w:hAnsi="Times New Roman" w:eastAsia="宋体" w:cs="Times New Roman"/>
                      <w:color w:val="auto"/>
                      <w:kern w:val="0"/>
                      <w:sz w:val="22"/>
                      <w:szCs w:val="22"/>
                    </w:rPr>
                    <w:t>汞、铬、镉、铅、砷</w:t>
                  </w:r>
                  <w:r>
                    <w:rPr>
                      <w:rFonts w:hint="eastAsia" w:cs="Times New Roman"/>
                      <w:color w:val="auto"/>
                      <w:kern w:val="0"/>
                      <w:sz w:val="22"/>
                      <w:szCs w:val="22"/>
                      <w:lang w:eastAsia="zh-CN"/>
                    </w:rPr>
                    <w:t>）</w:t>
                  </w:r>
                  <w:r>
                    <w:rPr>
                      <w:rFonts w:hint="default" w:ascii="Times New Roman" w:hAnsi="Times New Roman" w:eastAsia="宋体" w:cs="Times New Roman"/>
                      <w:color w:val="auto"/>
                      <w:kern w:val="0"/>
                      <w:sz w:val="22"/>
                      <w:szCs w:val="22"/>
                    </w:rPr>
                    <w:t>废水排放。南溪组团B区污水处理厂应尽快进行提标改造，增设电子工业特征水污染物处理工艺。渭沱组团污水处理厂加快建设进度，确保渭沱组团B区生产废水、生活污水能进入污水处理厂集中处理达标后外排。</w:t>
                  </w:r>
                </w:p>
              </w:tc>
              <w:tc>
                <w:tcPr>
                  <w:tcW w:w="1619" w:type="dxa"/>
                  <w:noWrap w:val="0"/>
                  <w:vAlign w:val="center"/>
                </w:tcPr>
                <w:p w14:paraId="2C353C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本项目位于南溪组团</w:t>
                  </w:r>
                  <w:r>
                    <w:rPr>
                      <w:rFonts w:hint="eastAsia" w:cs="Times New Roman"/>
                      <w:color w:val="auto"/>
                      <w:kern w:val="0"/>
                      <w:sz w:val="22"/>
                      <w:szCs w:val="22"/>
                      <w:lang w:val="en-US" w:eastAsia="zh-CN"/>
                    </w:rPr>
                    <w:t>B</w:t>
                  </w:r>
                  <w:r>
                    <w:rPr>
                      <w:rFonts w:hint="default" w:ascii="Times New Roman" w:hAnsi="Times New Roman" w:eastAsia="宋体" w:cs="Times New Roman"/>
                      <w:color w:val="auto"/>
                      <w:kern w:val="0"/>
                      <w:sz w:val="22"/>
                      <w:szCs w:val="22"/>
                    </w:rPr>
                    <w:t>区，本项目不涉及生产废水的排放，主要为生活污水，排入南溪组团</w:t>
                  </w:r>
                  <w:r>
                    <w:rPr>
                      <w:rFonts w:hint="eastAsia" w:cs="Times New Roman"/>
                      <w:color w:val="auto"/>
                      <w:kern w:val="0"/>
                      <w:sz w:val="22"/>
                      <w:szCs w:val="22"/>
                      <w:lang w:val="en-US" w:eastAsia="zh-CN"/>
                    </w:rPr>
                    <w:t>B</w:t>
                  </w:r>
                  <w:r>
                    <w:rPr>
                      <w:rFonts w:hint="default" w:ascii="Times New Roman" w:hAnsi="Times New Roman" w:eastAsia="宋体" w:cs="Times New Roman"/>
                      <w:color w:val="auto"/>
                      <w:kern w:val="0"/>
                      <w:sz w:val="22"/>
                      <w:szCs w:val="22"/>
                    </w:rPr>
                    <w:t>区污水处理厂</w:t>
                  </w:r>
                  <w:r>
                    <w:rPr>
                      <w:rFonts w:hint="eastAsia" w:cs="Times New Roman"/>
                      <w:color w:val="auto"/>
                      <w:kern w:val="0"/>
                      <w:sz w:val="22"/>
                      <w:szCs w:val="22"/>
                      <w:lang w:eastAsia="zh-CN"/>
                    </w:rPr>
                    <w:t>（农创园污水处理厂）</w:t>
                  </w:r>
                  <w:r>
                    <w:rPr>
                      <w:rFonts w:hint="default" w:ascii="Times New Roman" w:hAnsi="Times New Roman" w:eastAsia="宋体" w:cs="Times New Roman"/>
                      <w:color w:val="auto"/>
                      <w:kern w:val="0"/>
                      <w:sz w:val="22"/>
                      <w:szCs w:val="22"/>
                    </w:rPr>
                    <w:t>处理达标后排放</w:t>
                  </w:r>
                </w:p>
              </w:tc>
              <w:tc>
                <w:tcPr>
                  <w:tcW w:w="884" w:type="dxa"/>
                  <w:noWrap w:val="0"/>
                  <w:vAlign w:val="center"/>
                </w:tcPr>
                <w:p w14:paraId="2492E5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符合</w:t>
                  </w:r>
                </w:p>
              </w:tc>
            </w:tr>
            <w:tr w14:paraId="63B8F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8" w:type="dxa"/>
                  <w:shd w:val="clear" w:color="auto" w:fill="auto"/>
                  <w:noWrap w:val="0"/>
                  <w:vAlign w:val="center"/>
                </w:tcPr>
                <w:p w14:paraId="3EB971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rPr>
                    <w:t>6</w:t>
                  </w:r>
                </w:p>
              </w:tc>
              <w:tc>
                <w:tcPr>
                  <w:tcW w:w="3558" w:type="dxa"/>
                  <w:noWrap w:val="0"/>
                  <w:vAlign w:val="center"/>
                </w:tcPr>
                <w:p w14:paraId="3BA903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采取源头控制为主的原则，落实分区、分级防渗措施，防止规划实施对区域地下水环境的污染。按监测计划，应定期开展地下水跟踪监测工作，根据监测结果，督促相关企业完善相应的地下水污染防控措施。</w:t>
                  </w:r>
                </w:p>
              </w:tc>
              <w:tc>
                <w:tcPr>
                  <w:tcW w:w="1619" w:type="dxa"/>
                  <w:noWrap w:val="0"/>
                  <w:vAlign w:val="center"/>
                </w:tcPr>
                <w:p w14:paraId="5BA8FD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本项目采用分区防渗，其中危险废物贮存点采用重点防渗，其他区域采用一般防渗，危险废物贮存点内主要存放废机油等，收集桶下方设置有托盘。</w:t>
                  </w:r>
                </w:p>
              </w:tc>
              <w:tc>
                <w:tcPr>
                  <w:tcW w:w="884" w:type="dxa"/>
                  <w:noWrap w:val="0"/>
                  <w:vAlign w:val="center"/>
                </w:tcPr>
                <w:p w14:paraId="23308E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符合</w:t>
                  </w:r>
                </w:p>
              </w:tc>
            </w:tr>
            <w:tr w14:paraId="4CA3C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8" w:type="dxa"/>
                  <w:shd w:val="clear" w:color="auto" w:fill="auto"/>
                  <w:noWrap w:val="0"/>
                  <w:vAlign w:val="center"/>
                </w:tcPr>
                <w:p w14:paraId="31CBDB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rPr>
                    <w:t>7</w:t>
                  </w:r>
                </w:p>
              </w:tc>
              <w:tc>
                <w:tcPr>
                  <w:tcW w:w="3558" w:type="dxa"/>
                  <w:noWrap w:val="0"/>
                  <w:vAlign w:val="center"/>
                </w:tcPr>
                <w:p w14:paraId="051B6C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合理布局噪声源，高噪声源应尽量远离居住区布置。加强规划区现有企业噪声治理，采用低噪声设备，采取消声、隔声、减震等措施，确保厂界噪声达标，尽量减少对周边居民的影响。</w:t>
                  </w:r>
                </w:p>
              </w:tc>
              <w:tc>
                <w:tcPr>
                  <w:tcW w:w="1619" w:type="dxa"/>
                  <w:noWrap w:val="0"/>
                  <w:vAlign w:val="center"/>
                </w:tcPr>
                <w:p w14:paraId="7C1DC6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本项目噪声设备主要位于厂房</w:t>
                  </w:r>
                  <w:r>
                    <w:rPr>
                      <w:rFonts w:hint="eastAsia" w:cs="Times New Roman"/>
                      <w:color w:val="auto"/>
                      <w:kern w:val="0"/>
                      <w:sz w:val="22"/>
                      <w:szCs w:val="22"/>
                      <w:lang w:val="en-US" w:eastAsia="zh-CN"/>
                    </w:rPr>
                    <w:t>内</w:t>
                  </w:r>
                  <w:r>
                    <w:rPr>
                      <w:rFonts w:hint="default" w:ascii="Times New Roman" w:hAnsi="Times New Roman" w:eastAsia="宋体" w:cs="Times New Roman"/>
                      <w:color w:val="auto"/>
                      <w:kern w:val="0"/>
                      <w:sz w:val="22"/>
                      <w:szCs w:val="22"/>
                    </w:rPr>
                    <w:t>，同时本项目拟采用低噪声设备，其厂界噪声达标</w:t>
                  </w:r>
                </w:p>
              </w:tc>
              <w:tc>
                <w:tcPr>
                  <w:tcW w:w="884" w:type="dxa"/>
                  <w:noWrap w:val="0"/>
                  <w:vAlign w:val="center"/>
                </w:tcPr>
                <w:p w14:paraId="39EBE2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符合</w:t>
                  </w:r>
                </w:p>
              </w:tc>
            </w:tr>
            <w:tr w14:paraId="60B27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8" w:type="dxa"/>
                  <w:shd w:val="clear" w:color="auto" w:fill="auto"/>
                  <w:noWrap w:val="0"/>
                  <w:vAlign w:val="center"/>
                </w:tcPr>
                <w:p w14:paraId="0334E0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rPr>
                    <w:t>8</w:t>
                  </w:r>
                </w:p>
              </w:tc>
              <w:tc>
                <w:tcPr>
                  <w:tcW w:w="3558" w:type="dxa"/>
                  <w:noWrap w:val="0"/>
                  <w:vAlign w:val="center"/>
                </w:tcPr>
                <w:p w14:paraId="006BE4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按照《重庆市贯彻落实土壤污染防治行动计划工作方案》和土壤污染防治目标责任书相关要求，有效防控土壤环境风险，防范建设用地新增污染。加强工业固体废物综合利用和处置，统筹解决好一般工业固体废物处置配套不足的问题，结合工业园区各组团发展需求，科学论证：加紧规划设置一般工业固体废物处置场或工业固体废物综合利用和处置设施。规划区内土地利用性质调整，应按相关规定要求开展土壤调查和风险评估，经评估确定为污染地块的，应当在土地转让前开展治理修复。</w:t>
                  </w:r>
                </w:p>
              </w:tc>
              <w:tc>
                <w:tcPr>
                  <w:tcW w:w="1619" w:type="dxa"/>
                  <w:noWrap w:val="0"/>
                  <w:vAlign w:val="center"/>
                </w:tcPr>
                <w:p w14:paraId="5F3B2F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lang w:val="en-US" w:eastAsia="zh-CN"/>
                    </w:rPr>
                    <w:t>本项目</w:t>
                  </w:r>
                  <w:r>
                    <w:rPr>
                      <w:rFonts w:hint="eastAsia" w:cs="Times New Roman"/>
                      <w:color w:val="auto"/>
                      <w:kern w:val="0"/>
                      <w:sz w:val="22"/>
                      <w:szCs w:val="22"/>
                      <w:lang w:val="en-US" w:eastAsia="zh-CN"/>
                    </w:rPr>
                    <w:t>产生的危险废物为维修废油，暂存在危险废物贮存点，危险废物贮存点进行重点防渗，废油收集桶下方设置托盘。</w:t>
                  </w:r>
                  <w:r>
                    <w:rPr>
                      <w:rFonts w:hint="default" w:ascii="Times New Roman" w:hAnsi="Times New Roman" w:eastAsia="宋体" w:cs="Times New Roman"/>
                      <w:color w:val="auto"/>
                      <w:kern w:val="0"/>
                      <w:sz w:val="22"/>
                      <w:szCs w:val="22"/>
                    </w:rPr>
                    <w:t>设置一般工业固废暂存</w:t>
                  </w:r>
                  <w:r>
                    <w:rPr>
                      <w:rFonts w:hint="eastAsia" w:cs="Times New Roman"/>
                      <w:color w:val="auto"/>
                      <w:kern w:val="0"/>
                      <w:sz w:val="22"/>
                      <w:szCs w:val="22"/>
                      <w:lang w:val="en-US" w:eastAsia="zh-CN"/>
                    </w:rPr>
                    <w:t>点暂存废边角料和废包装等</w:t>
                  </w:r>
                  <w:r>
                    <w:rPr>
                      <w:rFonts w:hint="default" w:ascii="Times New Roman" w:hAnsi="Times New Roman" w:eastAsia="宋体" w:cs="Times New Roman"/>
                      <w:color w:val="auto"/>
                      <w:kern w:val="0"/>
                      <w:sz w:val="22"/>
                      <w:szCs w:val="22"/>
                    </w:rPr>
                    <w:t>。</w:t>
                  </w:r>
                </w:p>
              </w:tc>
              <w:tc>
                <w:tcPr>
                  <w:tcW w:w="884" w:type="dxa"/>
                  <w:noWrap w:val="0"/>
                  <w:vAlign w:val="center"/>
                </w:tcPr>
                <w:p w14:paraId="0B53D2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符合</w:t>
                  </w:r>
                </w:p>
              </w:tc>
            </w:tr>
            <w:tr w14:paraId="19CE3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8" w:type="dxa"/>
                  <w:noWrap w:val="0"/>
                  <w:vAlign w:val="center"/>
                </w:tcPr>
                <w:p w14:paraId="36642C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9</w:t>
                  </w:r>
                </w:p>
              </w:tc>
              <w:tc>
                <w:tcPr>
                  <w:tcW w:w="3558" w:type="dxa"/>
                  <w:noWrap w:val="0"/>
                  <w:vAlign w:val="center"/>
                </w:tcPr>
                <w:p w14:paraId="6548E6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进一步完善环境风险防范体系建设，相关企业尤其是涉及危化品的企业应严格落实各项环境风险防范措施，防范突发性环境风险事故。建立健全园区级风险防控体系，完善环境风险应急预案，加强对企业环境风险源的监督管理。强化事故废水应急收集及处理措施，完善园区“三级”环境风险防控体系，确保事故废水不对大口鲶县级自然保护区造成影响。应加快实施盐井水厂、方溪水厂搬迁关闭进度，确保居民饮用水安全。</w:t>
                  </w:r>
                </w:p>
              </w:tc>
              <w:tc>
                <w:tcPr>
                  <w:tcW w:w="1619" w:type="dxa"/>
                  <w:noWrap w:val="0"/>
                  <w:vAlign w:val="center"/>
                </w:tcPr>
                <w:p w14:paraId="2245E9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rPr>
                    <w:t>本项目</w:t>
                  </w:r>
                  <w:r>
                    <w:rPr>
                      <w:rFonts w:hint="eastAsia" w:cs="Times New Roman"/>
                      <w:color w:val="auto"/>
                      <w:kern w:val="0"/>
                      <w:sz w:val="22"/>
                      <w:szCs w:val="22"/>
                      <w:lang w:val="en-US" w:eastAsia="zh-CN"/>
                    </w:rPr>
                    <w:t>风险物质为维修废油，暂存在危险废物贮存点，废油收集桶下方设置有托盘</w:t>
                  </w:r>
                  <w:r>
                    <w:rPr>
                      <w:rFonts w:hint="default" w:ascii="Times New Roman" w:hAnsi="Times New Roman" w:eastAsia="宋体" w:cs="Times New Roman"/>
                      <w:color w:val="auto"/>
                      <w:kern w:val="0"/>
                      <w:sz w:val="22"/>
                      <w:szCs w:val="22"/>
                    </w:rPr>
                    <w:t>，</w:t>
                  </w:r>
                  <w:r>
                    <w:rPr>
                      <w:rFonts w:hint="eastAsia" w:cs="Times New Roman"/>
                      <w:color w:val="auto"/>
                      <w:kern w:val="0"/>
                      <w:sz w:val="22"/>
                      <w:szCs w:val="22"/>
                      <w:lang w:val="en-US" w:eastAsia="zh-CN"/>
                    </w:rPr>
                    <w:t>泄漏风险影响较小。</w:t>
                  </w:r>
                </w:p>
              </w:tc>
              <w:tc>
                <w:tcPr>
                  <w:tcW w:w="884" w:type="dxa"/>
                  <w:noWrap w:val="0"/>
                  <w:vAlign w:val="center"/>
                </w:tcPr>
                <w:p w14:paraId="7EB95C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1"/>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符合</w:t>
                  </w:r>
                </w:p>
              </w:tc>
            </w:tr>
          </w:tbl>
          <w:p w14:paraId="3BF50FAB">
            <w:pPr>
              <w:spacing w:line="460" w:lineRule="exact"/>
              <w:ind w:firstLine="520" w:firstLineChars="200"/>
              <w:rPr>
                <w:rFonts w:ascii="Times New Roman" w:hAnsi="Times New Roman" w:eastAsia="宋体"/>
                <w:color w:val="auto"/>
                <w:sz w:val="26"/>
                <w:szCs w:val="26"/>
              </w:rPr>
            </w:pPr>
          </w:p>
          <w:p w14:paraId="60F6F033">
            <w:pPr>
              <w:keepNext w:val="0"/>
              <w:keepLines w:val="0"/>
              <w:pageBreakBefore w:val="0"/>
              <w:widowControl w:val="0"/>
              <w:kinsoku/>
              <w:wordWrap/>
              <w:overflowPunct/>
              <w:topLinePunct w:val="0"/>
              <w:autoSpaceDE/>
              <w:autoSpaceDN/>
              <w:bidi w:val="0"/>
              <w:adjustRightInd w:val="0"/>
              <w:snapToGrid w:val="0"/>
              <w:spacing w:line="460" w:lineRule="exact"/>
              <w:ind w:left="0" w:leftChars="0" w:firstLine="520" w:firstLineChars="200"/>
              <w:textAlignment w:val="auto"/>
              <w:rPr>
                <w:rFonts w:hint="default"/>
                <w:color w:val="auto"/>
                <w:sz w:val="26"/>
                <w:szCs w:val="26"/>
                <w:lang w:val="en-US" w:eastAsia="zh-CN"/>
              </w:rPr>
            </w:pPr>
            <w:r>
              <w:rPr>
                <w:rFonts w:ascii="Times New Roman" w:hAnsi="Times New Roman" w:eastAsia="宋体"/>
                <w:color w:val="auto"/>
                <w:sz w:val="26"/>
                <w:szCs w:val="26"/>
              </w:rPr>
              <w:t>由上表可知，本项目符合</w:t>
            </w:r>
            <w:r>
              <w:rPr>
                <w:rFonts w:ascii="Times New Roman" w:hAnsi="Times New Roman" w:eastAsia="宋体"/>
                <w:color w:val="auto"/>
                <w:kern w:val="0"/>
                <w:sz w:val="26"/>
                <w:szCs w:val="26"/>
              </w:rPr>
              <w:t>《重庆市生态环境局关于合川工业园区南溪组团、渭沱组团B区规划环境影响报告书审查意见的函》</w:t>
            </w:r>
            <w:r>
              <w:rPr>
                <w:rFonts w:hint="eastAsia" w:ascii="Times New Roman" w:hAnsi="Times New Roman" w:eastAsia="宋体"/>
                <w:color w:val="auto"/>
                <w:kern w:val="0"/>
                <w:sz w:val="26"/>
                <w:szCs w:val="26"/>
                <w:highlight w:val="none"/>
              </w:rPr>
              <w:t>（</w:t>
            </w:r>
            <w:r>
              <w:rPr>
                <w:rFonts w:hint="eastAsia" w:ascii="Times New Roman" w:hAnsi="Times New Roman" w:eastAsia="宋体"/>
                <w:color w:val="auto"/>
                <w:kern w:val="0"/>
                <w:sz w:val="26"/>
                <w:szCs w:val="26"/>
                <w:highlight w:val="none"/>
                <w:lang w:val="en-US" w:eastAsia="zh-CN"/>
              </w:rPr>
              <w:t>渝环函</w:t>
            </w:r>
            <w:r>
              <w:rPr>
                <w:rFonts w:hint="eastAsia" w:ascii="宋体" w:hAnsi="宋体" w:eastAsia="宋体" w:cs="宋体"/>
                <w:color w:val="auto"/>
                <w:kern w:val="0"/>
                <w:sz w:val="26"/>
                <w:szCs w:val="26"/>
                <w:highlight w:val="none"/>
                <w:lang w:val="en-US" w:eastAsia="zh-CN"/>
              </w:rPr>
              <w:t>〔</w:t>
            </w:r>
            <w:r>
              <w:rPr>
                <w:rFonts w:hint="eastAsia" w:ascii="Times New Roman" w:hAnsi="Times New Roman" w:eastAsia="宋体"/>
                <w:color w:val="auto"/>
                <w:kern w:val="0"/>
                <w:sz w:val="26"/>
                <w:szCs w:val="26"/>
                <w:highlight w:val="none"/>
                <w:lang w:val="en-US" w:eastAsia="zh-CN"/>
              </w:rPr>
              <w:t>2019</w:t>
            </w:r>
            <w:r>
              <w:rPr>
                <w:rFonts w:hint="eastAsia" w:ascii="宋体" w:hAnsi="宋体" w:eastAsia="宋体" w:cs="宋体"/>
                <w:color w:val="auto"/>
                <w:kern w:val="0"/>
                <w:sz w:val="26"/>
                <w:szCs w:val="26"/>
                <w:highlight w:val="none"/>
                <w:lang w:val="en-US" w:eastAsia="zh-CN"/>
              </w:rPr>
              <w:t>〕</w:t>
            </w:r>
            <w:r>
              <w:rPr>
                <w:rFonts w:hint="default" w:ascii="Times New Roman" w:hAnsi="Times New Roman" w:eastAsia="宋体" w:cs="Times New Roman"/>
                <w:color w:val="auto"/>
                <w:kern w:val="0"/>
                <w:sz w:val="26"/>
                <w:szCs w:val="26"/>
                <w:highlight w:val="none"/>
                <w:lang w:val="en-US" w:eastAsia="zh-CN"/>
              </w:rPr>
              <w:t>1169号</w:t>
            </w:r>
            <w:r>
              <w:rPr>
                <w:rFonts w:hint="eastAsia" w:ascii="Times New Roman" w:hAnsi="Times New Roman" w:eastAsia="宋体"/>
                <w:color w:val="auto"/>
                <w:kern w:val="0"/>
                <w:sz w:val="26"/>
                <w:szCs w:val="26"/>
                <w:highlight w:val="none"/>
              </w:rPr>
              <w:t>）</w:t>
            </w:r>
            <w:r>
              <w:rPr>
                <w:rFonts w:ascii="Times New Roman" w:hAnsi="Times New Roman" w:eastAsia="宋体"/>
                <w:color w:val="auto"/>
                <w:kern w:val="0"/>
                <w:sz w:val="26"/>
                <w:szCs w:val="26"/>
              </w:rPr>
              <w:t>的相关要求</w:t>
            </w:r>
            <w:r>
              <w:rPr>
                <w:rFonts w:hint="eastAsia" w:ascii="Times New Roman" w:hAnsi="Times New Roman" w:eastAsia="宋体"/>
                <w:color w:val="auto"/>
                <w:kern w:val="0"/>
                <w:sz w:val="26"/>
                <w:szCs w:val="26"/>
                <w:lang w:eastAsia="zh-CN"/>
              </w:rPr>
              <w:t>。</w:t>
            </w:r>
          </w:p>
        </w:tc>
      </w:tr>
      <w:tr w14:paraId="4CA7C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0" w:type="pct"/>
            <w:vAlign w:val="center"/>
          </w:tcPr>
          <w:p w14:paraId="0C7CD22C">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cs="Times New Roman"/>
                <w:color w:val="auto"/>
                <w:sz w:val="26"/>
                <w:szCs w:val="26"/>
                <w:lang w:val="en-US" w:eastAsia="zh-CN"/>
              </w:rPr>
            </w:pPr>
            <w:r>
              <w:rPr>
                <w:rFonts w:hint="eastAsia" w:cs="Times New Roman"/>
                <w:color w:val="auto"/>
                <w:sz w:val="26"/>
                <w:szCs w:val="26"/>
                <w:lang w:val="en-US" w:eastAsia="zh-CN"/>
              </w:rPr>
              <w:t>其他符合性分析</w:t>
            </w:r>
          </w:p>
        </w:tc>
        <w:tc>
          <w:tcPr>
            <w:tcW w:w="4229" w:type="pct"/>
            <w:gridSpan w:val="5"/>
            <w:vAlign w:val="top"/>
          </w:tcPr>
          <w:p w14:paraId="4014DDD4">
            <w:pPr>
              <w:pStyle w:val="4"/>
              <w:pageBreakBefore w:val="0"/>
              <w:widowControl w:val="0"/>
              <w:kinsoku/>
              <w:wordWrap/>
              <w:overflowPunct/>
              <w:topLinePunct w:val="0"/>
              <w:autoSpaceDE/>
              <w:autoSpaceDN/>
              <w:bidi w:val="0"/>
              <w:adjustRightInd w:val="0"/>
              <w:snapToGrid w:val="0"/>
              <w:spacing w:beforeLines="0" w:afterLines="0" w:line="460" w:lineRule="exact"/>
              <w:jc w:val="both"/>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1.2.1产业政策符合性分析</w:t>
            </w:r>
          </w:p>
          <w:p w14:paraId="05AE3CAD">
            <w:pPr>
              <w:pageBreakBefore w:val="0"/>
              <w:widowControl w:val="0"/>
              <w:kinsoku/>
              <w:wordWrap/>
              <w:overflowPunct/>
              <w:topLinePunct w:val="0"/>
              <w:autoSpaceDE/>
              <w:autoSpaceDN/>
              <w:bidi w:val="0"/>
              <w:adjustRightInd w:val="0"/>
              <w:snapToGrid w:val="0"/>
              <w:spacing w:line="460" w:lineRule="exact"/>
              <w:ind w:left="0" w:leftChars="0" w:firstLine="520" w:firstLineChars="200"/>
              <w:jc w:val="both"/>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本项目为</w:t>
            </w:r>
            <w:r>
              <w:rPr>
                <w:rFonts w:hint="eastAsia" w:ascii="Times New Roman" w:hAnsi="Times New Roman" w:eastAsia="宋体" w:cs="Times New Roman"/>
                <w:color w:val="auto"/>
                <w:sz w:val="26"/>
                <w:szCs w:val="26"/>
                <w:lang w:val="en-US" w:eastAsia="zh-CN"/>
              </w:rPr>
              <w:t>车用保温隔热材料生产</w:t>
            </w:r>
            <w:r>
              <w:rPr>
                <w:rFonts w:hint="default" w:ascii="Times New Roman" w:hAnsi="Times New Roman" w:eastAsia="宋体" w:cs="Times New Roman"/>
                <w:color w:val="auto"/>
                <w:sz w:val="26"/>
                <w:szCs w:val="26"/>
                <w:lang w:val="en-US" w:eastAsia="zh-CN"/>
              </w:rPr>
              <w:t>项目，位于草街信息安全产业城内，对照《产业结构调整指导目录（2024年本）》</w:t>
            </w:r>
            <w:r>
              <w:rPr>
                <w:rFonts w:hint="eastAsia" w:cs="Times New Roman"/>
                <w:color w:val="auto"/>
                <w:sz w:val="26"/>
                <w:szCs w:val="26"/>
                <w:lang w:val="en-US" w:eastAsia="zh-CN"/>
              </w:rPr>
              <w:t>，</w:t>
            </w:r>
            <w:r>
              <w:rPr>
                <w:rFonts w:hint="default" w:ascii="Times New Roman" w:hAnsi="Times New Roman" w:eastAsia="宋体" w:cs="Times New Roman"/>
                <w:color w:val="auto"/>
                <w:sz w:val="26"/>
                <w:szCs w:val="26"/>
                <w:lang w:val="en-US" w:eastAsia="zh-CN"/>
              </w:rPr>
              <w:t>本项目属于鼓励类。</w:t>
            </w:r>
          </w:p>
          <w:p w14:paraId="19D6A933">
            <w:pPr>
              <w:pageBreakBefore w:val="0"/>
              <w:widowControl w:val="0"/>
              <w:kinsoku/>
              <w:wordWrap/>
              <w:overflowPunct/>
              <w:topLinePunct w:val="0"/>
              <w:autoSpaceDE/>
              <w:autoSpaceDN/>
              <w:bidi w:val="0"/>
              <w:adjustRightInd w:val="0"/>
              <w:snapToGrid w:val="0"/>
              <w:spacing w:line="460" w:lineRule="exact"/>
              <w:ind w:left="0" w:leftChars="0" w:firstLine="520" w:firstLineChars="200"/>
              <w:jc w:val="both"/>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项目已取得重庆市合川区发展和改革委员会出具的</w:t>
            </w:r>
            <w:r>
              <w:rPr>
                <w:rFonts w:hint="default" w:ascii="Times New Roman" w:hAnsi="Times New Roman" w:eastAsia="宋体" w:cs="Times New Roman"/>
                <w:color w:val="auto"/>
                <w:sz w:val="26"/>
                <w:szCs w:val="26"/>
              </w:rPr>
              <w:t>“重庆市企业投资项目备案证”</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lang w:val="en-US" w:eastAsia="zh-CN"/>
              </w:rPr>
              <w:t>备案证见</w:t>
            </w:r>
            <w:r>
              <w:rPr>
                <w:rFonts w:hint="default" w:ascii="Times New Roman" w:hAnsi="Times New Roman" w:eastAsia="宋体" w:cs="Times New Roman"/>
                <w:color w:val="auto"/>
                <w:sz w:val="26"/>
                <w:szCs w:val="26"/>
                <w:highlight w:val="none"/>
                <w:lang w:val="en-US" w:eastAsia="zh-CN"/>
              </w:rPr>
              <w:t>附件1</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，项目代码为</w:t>
            </w:r>
            <w:r>
              <w:rPr>
                <w:rFonts w:hint="default" w:eastAsia="宋体" w:cs="Times New Roman"/>
                <w:color w:val="auto"/>
                <w:sz w:val="26"/>
                <w:szCs w:val="26"/>
                <w:lang w:val="en-US" w:eastAsia="zh-CN"/>
              </w:rPr>
              <w:t>2412-500117-04-05-288930</w:t>
            </w:r>
            <w:r>
              <w:rPr>
                <w:rFonts w:hint="default" w:ascii="Times New Roman" w:hAnsi="Times New Roman" w:eastAsia="宋体" w:cs="Times New Roman"/>
                <w:color w:val="auto"/>
                <w:sz w:val="26"/>
                <w:szCs w:val="26"/>
                <w:lang w:val="en-US" w:eastAsia="zh-CN"/>
              </w:rPr>
              <w:t>。</w:t>
            </w:r>
          </w:p>
          <w:p w14:paraId="1FC29774">
            <w:pPr>
              <w:pStyle w:val="4"/>
              <w:pageBreakBefore w:val="0"/>
              <w:widowControl w:val="0"/>
              <w:kinsoku/>
              <w:wordWrap/>
              <w:overflowPunct/>
              <w:topLinePunct w:val="0"/>
              <w:autoSpaceDE/>
              <w:autoSpaceDN/>
              <w:bidi w:val="0"/>
              <w:adjustRightInd w:val="0"/>
              <w:snapToGrid w:val="0"/>
              <w:spacing w:beforeLines="0" w:afterLines="0" w:line="460" w:lineRule="exact"/>
              <w:ind w:left="0" w:leftChars="0"/>
              <w:jc w:val="both"/>
              <w:rPr>
                <w:rFonts w:hint="eastAsia"/>
                <w:color w:val="auto"/>
                <w:sz w:val="26"/>
                <w:szCs w:val="26"/>
                <w:lang w:val="en-US" w:eastAsia="zh-CN"/>
              </w:rPr>
            </w:pPr>
            <w:r>
              <w:rPr>
                <w:rFonts w:hint="eastAsia"/>
                <w:color w:val="auto"/>
                <w:sz w:val="26"/>
                <w:szCs w:val="26"/>
                <w:lang w:val="en-US" w:eastAsia="zh-CN"/>
              </w:rPr>
              <w:t>1.2.2《重庆市发展和改革委员会关于印发重庆市产业投资准入工作手册的通知》（渝发改投资〔2022〕1436号）符合性分析</w:t>
            </w:r>
          </w:p>
          <w:p w14:paraId="1AB24267">
            <w:pPr>
              <w:pageBreakBefore w:val="0"/>
              <w:widowControl w:val="0"/>
              <w:kinsoku/>
              <w:wordWrap/>
              <w:overflowPunct/>
              <w:topLinePunct w:val="0"/>
              <w:autoSpaceDE/>
              <w:autoSpaceDN/>
              <w:bidi w:val="0"/>
              <w:adjustRightInd w:val="0"/>
              <w:snapToGrid w:val="0"/>
              <w:spacing w:line="460" w:lineRule="exact"/>
              <w:jc w:val="both"/>
              <w:rPr>
                <w:rFonts w:hint="eastAsia"/>
                <w:color w:val="auto"/>
                <w:sz w:val="26"/>
                <w:szCs w:val="26"/>
                <w:lang w:val="en-US" w:eastAsia="zh-CN"/>
              </w:rPr>
            </w:pPr>
            <w:r>
              <w:rPr>
                <w:rFonts w:hint="eastAsia"/>
                <w:color w:val="auto"/>
                <w:sz w:val="26"/>
                <w:szCs w:val="26"/>
                <w:lang w:val="en-US" w:eastAsia="zh-CN"/>
              </w:rPr>
              <w:t>本项目与该文件的符合性分析详见下表。</w:t>
            </w:r>
          </w:p>
          <w:p w14:paraId="131D7609">
            <w:pPr>
              <w:pageBreakBefore w:val="0"/>
              <w:widowControl w:val="0"/>
              <w:kinsoku/>
              <w:wordWrap/>
              <w:overflowPunct/>
              <w:topLinePunct w:val="0"/>
              <w:autoSpaceDE/>
              <w:autoSpaceDN/>
              <w:bidi w:val="0"/>
              <w:adjustRightInd w:val="0"/>
              <w:snapToGrid w:val="0"/>
              <w:spacing w:line="460" w:lineRule="exact"/>
              <w:jc w:val="both"/>
              <w:rPr>
                <w:rFonts w:hint="default"/>
                <w:color w:val="auto"/>
                <w:sz w:val="26"/>
                <w:szCs w:val="26"/>
                <w:lang w:val="en-US" w:eastAsia="zh-CN"/>
              </w:rPr>
            </w:pPr>
          </w:p>
          <w:p w14:paraId="3C0C1285">
            <w:pPr>
              <w:pStyle w:val="27"/>
              <w:pageBreakBefore w:val="0"/>
              <w:widowControl w:val="0"/>
              <w:kinsoku/>
              <w:wordWrap/>
              <w:overflowPunct/>
              <w:topLinePunct w:val="0"/>
              <w:autoSpaceDE/>
              <w:autoSpaceDN/>
              <w:bidi w:val="0"/>
              <w:adjustRightInd w:val="0"/>
              <w:snapToGrid w:val="0"/>
              <w:spacing w:line="460" w:lineRule="exact"/>
              <w:ind w:left="0" w:leftChars="0" w:firstLine="520" w:firstLineChars="200"/>
              <w:jc w:val="both"/>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表1.2-</w:t>
            </w:r>
            <w:r>
              <w:rPr>
                <w:rFonts w:hint="eastAsia" w:ascii="Times New Roman" w:hAnsi="Times New Roman" w:eastAsia="宋体" w:cs="Times New Roman"/>
                <w:color w:val="auto"/>
                <w:sz w:val="26"/>
                <w:szCs w:val="26"/>
                <w:lang w:val="en-US" w:eastAsia="zh-CN"/>
              </w:rPr>
              <w:t>1</w:t>
            </w:r>
            <w:r>
              <w:rPr>
                <w:rFonts w:hint="default" w:ascii="Times New Roman" w:hAnsi="Times New Roman" w:eastAsia="宋体" w:cs="Times New Roman"/>
                <w:color w:val="auto"/>
                <w:sz w:val="26"/>
                <w:szCs w:val="26"/>
                <w:lang w:val="en-US" w:eastAsia="zh-CN"/>
              </w:rPr>
              <w:t xml:space="preserve">  《重庆市产业投资准入工作手册》符合性分析</w:t>
            </w:r>
          </w:p>
          <w:tbl>
            <w:tblPr>
              <w:tblStyle w:val="18"/>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2"/>
              <w:gridCol w:w="2084"/>
              <w:gridCol w:w="943"/>
            </w:tblGrid>
            <w:tr w14:paraId="6B9D3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64" w:type="pct"/>
                  <w:vAlign w:val="center"/>
                </w:tcPr>
                <w:p w14:paraId="72AA56F4">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准入条件内容</w:t>
                  </w:r>
                </w:p>
              </w:tc>
              <w:tc>
                <w:tcPr>
                  <w:tcW w:w="1539" w:type="pct"/>
                  <w:vAlign w:val="center"/>
                </w:tcPr>
                <w:p w14:paraId="2C19FC96">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项目情况</w:t>
                  </w:r>
                </w:p>
              </w:tc>
              <w:tc>
                <w:tcPr>
                  <w:tcW w:w="696" w:type="pct"/>
                  <w:vAlign w:val="center"/>
                </w:tcPr>
                <w:p w14:paraId="777BCFEA">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符合性分析</w:t>
                  </w:r>
                </w:p>
              </w:tc>
            </w:tr>
            <w:tr w14:paraId="12192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64" w:type="pct"/>
                  <w:vAlign w:val="center"/>
                </w:tcPr>
                <w:p w14:paraId="3027579D">
                  <w:pPr>
                    <w:pStyle w:val="26"/>
                    <w:keepNext w:val="0"/>
                    <w:keepLines w:val="0"/>
                    <w:pageBreakBefore w:val="0"/>
                    <w:widowControl w:val="0"/>
                    <w:tabs>
                      <w:tab w:val="left" w:pos="2550"/>
                      <w:tab w:val="left" w:pos="2975"/>
                      <w:tab w:val="center" w:pos="4573"/>
                      <w:tab w:val="left" w:pos="4675"/>
                      <w:tab w:val="left" w:pos="5950"/>
                    </w:tabs>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1．国家产业结构调整指导目录中的淘汰类项目。</w:t>
                  </w:r>
                </w:p>
                <w:p w14:paraId="5B7E58DE">
                  <w:pPr>
                    <w:pStyle w:val="26"/>
                    <w:keepNext w:val="0"/>
                    <w:keepLines w:val="0"/>
                    <w:pageBreakBefore w:val="0"/>
                    <w:widowControl w:val="0"/>
                    <w:tabs>
                      <w:tab w:val="left" w:pos="2550"/>
                      <w:tab w:val="left" w:pos="2975"/>
                      <w:tab w:val="center" w:pos="4573"/>
                      <w:tab w:val="left" w:pos="4675"/>
                      <w:tab w:val="left" w:pos="5950"/>
                    </w:tabs>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2．天然林商业性采伐。</w:t>
                  </w:r>
                </w:p>
                <w:p w14:paraId="154E651A">
                  <w:pPr>
                    <w:pStyle w:val="26"/>
                    <w:keepNext w:val="0"/>
                    <w:keepLines w:val="0"/>
                    <w:pageBreakBefore w:val="0"/>
                    <w:widowControl w:val="0"/>
                    <w:tabs>
                      <w:tab w:val="left" w:pos="2550"/>
                      <w:tab w:val="left" w:pos="2975"/>
                      <w:tab w:val="center" w:pos="4573"/>
                      <w:tab w:val="left" w:pos="4675"/>
                      <w:tab w:val="left" w:pos="5950"/>
                    </w:tabs>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3．法律法规和相关政策明令不予准入的其他项目。</w:t>
                  </w:r>
                </w:p>
              </w:tc>
              <w:tc>
                <w:tcPr>
                  <w:tcW w:w="1539" w:type="pct"/>
                  <w:vAlign w:val="center"/>
                </w:tcPr>
                <w:p w14:paraId="444FAACC">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本项目</w:t>
                  </w:r>
                  <w:r>
                    <w:rPr>
                      <w:rFonts w:hint="eastAsia" w:ascii="Times New Roman" w:hAnsi="Times New Roman" w:cs="Times New Roman"/>
                      <w:color w:val="auto"/>
                      <w:sz w:val="22"/>
                      <w:szCs w:val="22"/>
                      <w:lang w:val="en-US" w:eastAsia="zh-CN"/>
                    </w:rPr>
                    <w:t>为车用隔热保温材料生产，</w:t>
                  </w:r>
                  <w:r>
                    <w:rPr>
                      <w:rFonts w:hint="default" w:ascii="Times New Roman" w:hAnsi="Times New Roman" w:cs="Times New Roman"/>
                      <w:color w:val="auto"/>
                      <w:sz w:val="22"/>
                      <w:szCs w:val="22"/>
                      <w:lang w:val="en-US" w:eastAsia="zh-CN"/>
                    </w:rPr>
                    <w:t>不属于不予准入产业。</w:t>
                  </w:r>
                </w:p>
              </w:tc>
              <w:tc>
                <w:tcPr>
                  <w:tcW w:w="696" w:type="pct"/>
                  <w:vAlign w:val="center"/>
                </w:tcPr>
                <w:p w14:paraId="420DB44F">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符合</w:t>
                  </w:r>
                </w:p>
              </w:tc>
            </w:tr>
            <w:tr w14:paraId="3C4AB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64" w:type="pct"/>
                  <w:vAlign w:val="center"/>
                </w:tcPr>
                <w:p w14:paraId="07B6CA51">
                  <w:pPr>
                    <w:pStyle w:val="26"/>
                    <w:keepNext w:val="0"/>
                    <w:keepLines w:val="0"/>
                    <w:pageBreakBefore w:val="0"/>
                    <w:widowControl w:val="0"/>
                    <w:tabs>
                      <w:tab w:val="left" w:pos="2550"/>
                      <w:tab w:val="left" w:pos="2975"/>
                      <w:tab w:val="center" w:pos="4573"/>
                      <w:tab w:val="left" w:pos="4675"/>
                      <w:tab w:val="left" w:pos="5950"/>
                    </w:tabs>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1．外环绕城高速公路以内长江、嘉陵江水域采砂。</w:t>
                  </w:r>
                </w:p>
                <w:p w14:paraId="5272530A">
                  <w:pPr>
                    <w:pStyle w:val="26"/>
                    <w:keepNext w:val="0"/>
                    <w:keepLines w:val="0"/>
                    <w:pageBreakBefore w:val="0"/>
                    <w:widowControl w:val="0"/>
                    <w:tabs>
                      <w:tab w:val="left" w:pos="2550"/>
                      <w:tab w:val="left" w:pos="2975"/>
                      <w:tab w:val="center" w:pos="4573"/>
                      <w:tab w:val="left" w:pos="4675"/>
                      <w:tab w:val="left" w:pos="5950"/>
                    </w:tabs>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2．二十五度以上陡坡地开垦种植农作物。</w:t>
                  </w:r>
                </w:p>
                <w:p w14:paraId="3F59C4CE">
                  <w:pPr>
                    <w:pStyle w:val="26"/>
                    <w:keepNext w:val="0"/>
                    <w:keepLines w:val="0"/>
                    <w:pageBreakBefore w:val="0"/>
                    <w:widowControl w:val="0"/>
                    <w:tabs>
                      <w:tab w:val="left" w:pos="2550"/>
                      <w:tab w:val="left" w:pos="2975"/>
                      <w:tab w:val="center" w:pos="4573"/>
                      <w:tab w:val="left" w:pos="4675"/>
                      <w:tab w:val="left" w:pos="5950"/>
                    </w:tabs>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3．在自然保护区核心区、缓冲区的岸线和河段范围内投资建设旅游和生产经营项目。</w:t>
                  </w:r>
                </w:p>
                <w:p w14:paraId="16E96A1F">
                  <w:pPr>
                    <w:pStyle w:val="26"/>
                    <w:keepNext w:val="0"/>
                    <w:keepLines w:val="0"/>
                    <w:pageBreakBefore w:val="0"/>
                    <w:widowControl w:val="0"/>
                    <w:tabs>
                      <w:tab w:val="left" w:pos="2550"/>
                      <w:tab w:val="left" w:pos="2975"/>
                      <w:tab w:val="center" w:pos="4573"/>
                      <w:tab w:val="left" w:pos="4675"/>
                      <w:tab w:val="left" w:pos="5950"/>
                    </w:tabs>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4．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p w14:paraId="1D8D6C5E">
                  <w:pPr>
                    <w:pStyle w:val="26"/>
                    <w:keepNext w:val="0"/>
                    <w:keepLines w:val="0"/>
                    <w:pageBreakBefore w:val="0"/>
                    <w:widowControl w:val="0"/>
                    <w:tabs>
                      <w:tab w:val="left" w:pos="2550"/>
                      <w:tab w:val="left" w:pos="2975"/>
                      <w:tab w:val="center" w:pos="4573"/>
                      <w:tab w:val="left" w:pos="4675"/>
                      <w:tab w:val="left" w:pos="5950"/>
                    </w:tabs>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5．长江干流岸线3公里范围内和重要支流岸线1公里范围内新建、改建、扩建尾矿库、冶炼渣库和磷石膏库（以提升安全、生态环境保护水平为目的的改建除外）。</w:t>
                  </w:r>
                </w:p>
                <w:p w14:paraId="09CF131E">
                  <w:pPr>
                    <w:pStyle w:val="26"/>
                    <w:keepNext w:val="0"/>
                    <w:keepLines w:val="0"/>
                    <w:pageBreakBefore w:val="0"/>
                    <w:widowControl w:val="0"/>
                    <w:tabs>
                      <w:tab w:val="left" w:pos="2550"/>
                      <w:tab w:val="left" w:pos="2975"/>
                      <w:tab w:val="center" w:pos="4573"/>
                      <w:tab w:val="left" w:pos="4675"/>
                      <w:tab w:val="left" w:pos="5950"/>
                    </w:tabs>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6．在风景名胜区核心景区的岸线和河段范围内投资建设与风景名胜资源保护无关的项目。</w:t>
                  </w:r>
                </w:p>
                <w:p w14:paraId="53E78E5A">
                  <w:pPr>
                    <w:pStyle w:val="26"/>
                    <w:keepNext w:val="0"/>
                    <w:keepLines w:val="0"/>
                    <w:pageBreakBefore w:val="0"/>
                    <w:widowControl w:val="0"/>
                    <w:tabs>
                      <w:tab w:val="left" w:pos="2550"/>
                      <w:tab w:val="left" w:pos="2975"/>
                      <w:tab w:val="center" w:pos="4573"/>
                      <w:tab w:val="left" w:pos="4675"/>
                      <w:tab w:val="left" w:pos="5950"/>
                    </w:tabs>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7．在国家湿地公园的岸线和河段范围内挖沙、采矿，以及任何不符合主体功能定位的投资建设项目。</w:t>
                  </w:r>
                </w:p>
                <w:p w14:paraId="3F901426">
                  <w:pPr>
                    <w:pStyle w:val="26"/>
                    <w:keepNext w:val="0"/>
                    <w:keepLines w:val="0"/>
                    <w:pageBreakBefore w:val="0"/>
                    <w:widowControl w:val="0"/>
                    <w:tabs>
                      <w:tab w:val="left" w:pos="2550"/>
                      <w:tab w:val="left" w:pos="2975"/>
                      <w:tab w:val="center" w:pos="4573"/>
                      <w:tab w:val="left" w:pos="4675"/>
                      <w:tab w:val="left" w:pos="5950"/>
                    </w:tabs>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8．在《长江岸线保护和开发利用总体规划》划定的岸线保护区和保留区内投资建设除事关公共安全及公众利益的防洪护岸、河道治理、供水、生态环境保护、航道整治、国家重要基础设施以外的项目。</w:t>
                  </w:r>
                </w:p>
                <w:p w14:paraId="61EFF3FD">
                  <w:pPr>
                    <w:pStyle w:val="26"/>
                    <w:keepNext w:val="0"/>
                    <w:keepLines w:val="0"/>
                    <w:pageBreakBefore w:val="0"/>
                    <w:widowControl w:val="0"/>
                    <w:tabs>
                      <w:tab w:val="left" w:pos="2550"/>
                      <w:tab w:val="left" w:pos="2975"/>
                      <w:tab w:val="center" w:pos="4573"/>
                      <w:tab w:val="left" w:pos="4675"/>
                      <w:tab w:val="left" w:pos="5950"/>
                    </w:tabs>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9．在《全国重要江河湖泊水功能区划》划定的河段及湖泊保护区、保留区内投资建设不利于水资源及自然生态保护的项目。</w:t>
                  </w:r>
                </w:p>
              </w:tc>
              <w:tc>
                <w:tcPr>
                  <w:tcW w:w="1539" w:type="pct"/>
                  <w:vAlign w:val="center"/>
                </w:tcPr>
                <w:p w14:paraId="639A58EE">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1.本项目位于南溪组团B区，本项目为车用隔热保温材料生产，不属于采砂。</w:t>
                  </w:r>
                </w:p>
                <w:p w14:paraId="5E862A6A">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2.本项目为车用隔热保温材料生产，不属于开垦种植农作物。</w:t>
                  </w:r>
                </w:p>
                <w:p w14:paraId="582594DA">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3.本项目位于南溪组团B区，不在</w:t>
                  </w:r>
                  <w:r>
                    <w:rPr>
                      <w:rFonts w:hint="default" w:ascii="Times New Roman" w:hAnsi="Times New Roman" w:cs="Times New Roman"/>
                      <w:color w:val="auto"/>
                      <w:sz w:val="22"/>
                      <w:szCs w:val="22"/>
                      <w:lang w:val="en-US" w:eastAsia="zh-CN"/>
                    </w:rPr>
                    <w:t>自然保护区核心区、缓冲区的岸线和河段范围内</w:t>
                  </w:r>
                  <w:r>
                    <w:rPr>
                      <w:rFonts w:hint="eastAsia" w:ascii="Times New Roman" w:hAnsi="Times New Roman" w:cs="Times New Roman"/>
                      <w:color w:val="auto"/>
                      <w:sz w:val="22"/>
                      <w:szCs w:val="22"/>
                      <w:lang w:val="en-US" w:eastAsia="zh-CN"/>
                    </w:rPr>
                    <w:t>；</w:t>
                  </w:r>
                </w:p>
                <w:p w14:paraId="45452105">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4.本项目位于南溪组团B区，不属于前述范围；</w:t>
                  </w:r>
                </w:p>
                <w:p w14:paraId="1FF5D077">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5.本项目位于南溪组团B区，距离嘉陵江4km</w:t>
                  </w:r>
                  <w:r>
                    <w:rPr>
                      <w:rFonts w:hint="eastAsia" w:cs="Times New Roman"/>
                      <w:color w:val="auto"/>
                      <w:sz w:val="22"/>
                      <w:szCs w:val="22"/>
                      <w:lang w:val="en-US" w:eastAsia="zh-CN"/>
                    </w:rPr>
                    <w:t>，且不属于前述项目</w:t>
                  </w:r>
                  <w:r>
                    <w:rPr>
                      <w:rFonts w:hint="eastAsia" w:ascii="Times New Roman" w:hAnsi="Times New Roman" w:cs="Times New Roman"/>
                      <w:color w:val="auto"/>
                      <w:sz w:val="22"/>
                      <w:szCs w:val="22"/>
                      <w:lang w:val="en-US" w:eastAsia="zh-CN"/>
                    </w:rPr>
                    <w:t>；</w:t>
                  </w:r>
                </w:p>
                <w:p w14:paraId="42D93158">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6.本项目位于南溪组团B区，不在前述范围内；</w:t>
                  </w:r>
                </w:p>
                <w:p w14:paraId="0813C68A">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7.本项目为车用隔热保温材料生产，不属于前述项目；</w:t>
                  </w:r>
                </w:p>
                <w:p w14:paraId="0DCCF0CD">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8.本项目位于南溪组团B区，不在前述范围内</w:t>
                  </w:r>
                  <w:r>
                    <w:rPr>
                      <w:rFonts w:hint="default" w:ascii="Times New Roman" w:hAnsi="Times New Roman" w:cs="Times New Roman"/>
                      <w:color w:val="auto"/>
                      <w:sz w:val="22"/>
                      <w:szCs w:val="22"/>
                      <w:lang w:val="en-US" w:eastAsia="zh-CN"/>
                    </w:rPr>
                    <w:t>岸线保护区和保留区内</w:t>
                  </w:r>
                  <w:r>
                    <w:rPr>
                      <w:rFonts w:hint="eastAsia" w:ascii="Times New Roman" w:hAnsi="Times New Roman" w:cs="Times New Roman"/>
                      <w:color w:val="auto"/>
                      <w:sz w:val="22"/>
                      <w:szCs w:val="22"/>
                      <w:lang w:val="en-US" w:eastAsia="zh-CN"/>
                    </w:rPr>
                    <w:t>；</w:t>
                  </w:r>
                </w:p>
                <w:p w14:paraId="32E43614">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9.本项目位于南溪组团B区，不在前述范围内</w:t>
                  </w:r>
                  <w:r>
                    <w:rPr>
                      <w:rFonts w:hint="default" w:ascii="Times New Roman" w:hAnsi="Times New Roman" w:cs="Times New Roman"/>
                      <w:color w:val="auto"/>
                      <w:sz w:val="22"/>
                      <w:szCs w:val="22"/>
                      <w:lang w:val="en-US" w:eastAsia="zh-CN"/>
                    </w:rPr>
                    <w:t>岸线保护区和保留区内</w:t>
                  </w:r>
                  <w:r>
                    <w:rPr>
                      <w:rFonts w:hint="eastAsia" w:ascii="Times New Roman" w:hAnsi="Times New Roman" w:cs="Times New Roman"/>
                      <w:color w:val="auto"/>
                      <w:sz w:val="22"/>
                      <w:szCs w:val="22"/>
                      <w:lang w:val="en-US" w:eastAsia="zh-CN"/>
                    </w:rPr>
                    <w:t>。</w:t>
                  </w:r>
                </w:p>
              </w:tc>
              <w:tc>
                <w:tcPr>
                  <w:tcW w:w="696" w:type="pct"/>
                  <w:vAlign w:val="center"/>
                </w:tcPr>
                <w:p w14:paraId="5072C2E5">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符合</w:t>
                  </w:r>
                </w:p>
              </w:tc>
            </w:tr>
            <w:tr w14:paraId="3CFDF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64" w:type="pct"/>
                  <w:vAlign w:val="center"/>
                </w:tcPr>
                <w:p w14:paraId="2CDFBFD8">
                  <w:pPr>
                    <w:pStyle w:val="26"/>
                    <w:keepNext w:val="0"/>
                    <w:keepLines w:val="0"/>
                    <w:pageBreakBefore w:val="0"/>
                    <w:widowControl w:val="0"/>
                    <w:tabs>
                      <w:tab w:val="left" w:pos="2550"/>
                      <w:tab w:val="left" w:pos="2975"/>
                      <w:tab w:val="center" w:pos="4573"/>
                      <w:tab w:val="left" w:pos="4675"/>
                      <w:tab w:val="left" w:pos="5950"/>
                    </w:tabs>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1．新建、扩建不符合国家产能置换要求的严重过剩产能行业的项目。新建、扩建不符合要求的高耗能高排放项目。</w:t>
                  </w:r>
                </w:p>
                <w:p w14:paraId="0EBA8D20">
                  <w:pPr>
                    <w:pStyle w:val="26"/>
                    <w:keepNext w:val="0"/>
                    <w:keepLines w:val="0"/>
                    <w:pageBreakBefore w:val="0"/>
                    <w:widowControl w:val="0"/>
                    <w:tabs>
                      <w:tab w:val="left" w:pos="2550"/>
                      <w:tab w:val="left" w:pos="2975"/>
                      <w:tab w:val="center" w:pos="4573"/>
                      <w:tab w:val="left" w:pos="4675"/>
                      <w:tab w:val="left" w:pos="5950"/>
                    </w:tabs>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2．新建、扩建不符合国家石化、现代煤化工等产业布局规划的项目。</w:t>
                  </w:r>
                </w:p>
                <w:p w14:paraId="6425C627">
                  <w:pPr>
                    <w:pStyle w:val="26"/>
                    <w:keepNext w:val="0"/>
                    <w:keepLines w:val="0"/>
                    <w:pageBreakBefore w:val="0"/>
                    <w:widowControl w:val="0"/>
                    <w:tabs>
                      <w:tab w:val="left" w:pos="2550"/>
                      <w:tab w:val="left" w:pos="2975"/>
                      <w:tab w:val="center" w:pos="4573"/>
                      <w:tab w:val="left" w:pos="4675"/>
                      <w:tab w:val="left" w:pos="5950"/>
                    </w:tabs>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3．在合规园区外新建、扩建钢铁、石化、化工、焦化、建材、有色、制浆造纸等高污染项目。</w:t>
                  </w:r>
                </w:p>
                <w:p w14:paraId="307D3EC0">
                  <w:pPr>
                    <w:pStyle w:val="26"/>
                    <w:keepNext w:val="0"/>
                    <w:keepLines w:val="0"/>
                    <w:pageBreakBefore w:val="0"/>
                    <w:widowControl w:val="0"/>
                    <w:tabs>
                      <w:tab w:val="left" w:pos="2550"/>
                      <w:tab w:val="left" w:pos="2975"/>
                      <w:tab w:val="center" w:pos="4573"/>
                      <w:tab w:val="left" w:pos="4675"/>
                      <w:tab w:val="left" w:pos="5950"/>
                    </w:tabs>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4．《汽车产业投资管理规定》（国家发展和改革委员会令第22号）明确禁止建设的汽车投资项目。</w:t>
                  </w:r>
                </w:p>
              </w:tc>
              <w:tc>
                <w:tcPr>
                  <w:tcW w:w="1539" w:type="pct"/>
                  <w:vAlign w:val="center"/>
                </w:tcPr>
                <w:p w14:paraId="7B256400">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本项目为车用隔热保温材料生产，不属于前述</w:t>
                  </w:r>
                  <w:r>
                    <w:rPr>
                      <w:rFonts w:hint="default" w:ascii="Times New Roman" w:hAnsi="Times New Roman" w:cs="Times New Roman"/>
                      <w:color w:val="auto"/>
                      <w:sz w:val="22"/>
                      <w:szCs w:val="22"/>
                      <w:lang w:val="en-US" w:eastAsia="zh-CN"/>
                    </w:rPr>
                    <w:t>过剩产能行业的项目</w:t>
                  </w:r>
                  <w:r>
                    <w:rPr>
                      <w:rFonts w:hint="eastAsia" w:ascii="Times New Roman" w:hAnsi="Times New Roman" w:cs="Times New Roman"/>
                      <w:color w:val="auto"/>
                      <w:sz w:val="22"/>
                      <w:szCs w:val="22"/>
                      <w:lang w:val="en-US" w:eastAsia="zh-CN"/>
                    </w:rPr>
                    <w:t>，不属于</w:t>
                  </w:r>
                  <w:r>
                    <w:rPr>
                      <w:rFonts w:hint="default" w:ascii="Times New Roman" w:hAnsi="Times New Roman" w:cs="Times New Roman"/>
                      <w:color w:val="auto"/>
                      <w:sz w:val="22"/>
                      <w:szCs w:val="22"/>
                      <w:lang w:val="en-US" w:eastAsia="zh-CN"/>
                    </w:rPr>
                    <w:t>高耗能高排放项目</w:t>
                  </w:r>
                  <w:r>
                    <w:rPr>
                      <w:rFonts w:hint="eastAsia" w:ascii="Times New Roman" w:hAnsi="Times New Roman" w:cs="Times New Roman"/>
                      <w:color w:val="auto"/>
                      <w:sz w:val="22"/>
                      <w:szCs w:val="22"/>
                      <w:lang w:val="en-US" w:eastAsia="zh-CN"/>
                    </w:rPr>
                    <w:t>，不属于</w:t>
                  </w:r>
                  <w:r>
                    <w:rPr>
                      <w:rFonts w:hint="default" w:ascii="Times New Roman" w:hAnsi="Times New Roman" w:cs="Times New Roman"/>
                      <w:color w:val="auto"/>
                      <w:sz w:val="22"/>
                      <w:szCs w:val="22"/>
                      <w:lang w:val="en-US" w:eastAsia="zh-CN"/>
                    </w:rPr>
                    <w:t>不符合国家石化、现代煤化工等产业布局规划的项目</w:t>
                  </w:r>
                  <w:r>
                    <w:rPr>
                      <w:rFonts w:hint="eastAsia" w:ascii="Times New Roman" w:hAnsi="Times New Roman" w:cs="Times New Roman"/>
                      <w:color w:val="auto"/>
                      <w:sz w:val="22"/>
                      <w:szCs w:val="22"/>
                      <w:lang w:val="en-US" w:eastAsia="zh-CN"/>
                    </w:rPr>
                    <w:t>，不属于</w:t>
                  </w:r>
                  <w:r>
                    <w:rPr>
                      <w:rFonts w:hint="default" w:ascii="Times New Roman" w:hAnsi="Times New Roman" w:cs="Times New Roman"/>
                      <w:color w:val="auto"/>
                      <w:sz w:val="22"/>
                      <w:szCs w:val="22"/>
                      <w:lang w:val="en-US" w:eastAsia="zh-CN"/>
                    </w:rPr>
                    <w:t>钢铁、石化、化工、焦化、建材、有色、制浆造纸等高污染项目</w:t>
                  </w:r>
                  <w:r>
                    <w:rPr>
                      <w:rFonts w:hint="eastAsia" w:ascii="Times New Roman" w:hAnsi="Times New Roman" w:cs="Times New Roman"/>
                      <w:color w:val="auto"/>
                      <w:sz w:val="22"/>
                      <w:szCs w:val="22"/>
                      <w:lang w:val="en-US" w:eastAsia="zh-CN"/>
                    </w:rPr>
                    <w:t>，不属于</w:t>
                  </w:r>
                  <w:r>
                    <w:rPr>
                      <w:rFonts w:hint="default" w:ascii="Times New Roman" w:hAnsi="Times New Roman" w:cs="Times New Roman"/>
                      <w:color w:val="auto"/>
                      <w:sz w:val="22"/>
                      <w:szCs w:val="22"/>
                      <w:lang w:val="en-US" w:eastAsia="zh-CN"/>
                    </w:rPr>
                    <w:t>汽车投资项目</w:t>
                  </w:r>
                  <w:r>
                    <w:rPr>
                      <w:rFonts w:hint="eastAsia" w:ascii="Times New Roman" w:hAnsi="Times New Roman" w:cs="Times New Roman"/>
                      <w:color w:val="auto"/>
                      <w:sz w:val="22"/>
                      <w:szCs w:val="22"/>
                      <w:lang w:val="en-US" w:eastAsia="zh-CN"/>
                    </w:rPr>
                    <w:t>。</w:t>
                  </w:r>
                </w:p>
              </w:tc>
              <w:tc>
                <w:tcPr>
                  <w:tcW w:w="696" w:type="pct"/>
                  <w:vAlign w:val="center"/>
                </w:tcPr>
                <w:p w14:paraId="08BD5CB5">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符合</w:t>
                  </w:r>
                </w:p>
              </w:tc>
            </w:tr>
            <w:tr w14:paraId="4C5BC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64" w:type="pct"/>
                  <w:vAlign w:val="center"/>
                </w:tcPr>
                <w:p w14:paraId="2333B31A">
                  <w:pPr>
                    <w:pStyle w:val="26"/>
                    <w:keepNext w:val="0"/>
                    <w:keepLines w:val="0"/>
                    <w:pageBreakBefore w:val="0"/>
                    <w:widowControl w:val="0"/>
                    <w:tabs>
                      <w:tab w:val="left" w:pos="2550"/>
                      <w:tab w:val="left" w:pos="2975"/>
                      <w:tab w:val="center" w:pos="4573"/>
                      <w:tab w:val="left" w:pos="4675"/>
                      <w:tab w:val="left" w:pos="5950"/>
                    </w:tabs>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1．长江干支流、重要湖泊岸线1公里范围内新建、扩建化工园区和化工项目，长江、嘉陵江、乌江岸线1公里范围内布局新建纸浆制造、印染等存在环境风险的项目。</w:t>
                  </w:r>
                </w:p>
                <w:p w14:paraId="306C4B0D">
                  <w:pPr>
                    <w:pStyle w:val="26"/>
                    <w:keepNext w:val="0"/>
                    <w:keepLines w:val="0"/>
                    <w:pageBreakBefore w:val="0"/>
                    <w:widowControl w:val="0"/>
                    <w:tabs>
                      <w:tab w:val="left" w:pos="2550"/>
                      <w:tab w:val="left" w:pos="2975"/>
                      <w:tab w:val="center" w:pos="4573"/>
                      <w:tab w:val="left" w:pos="4675"/>
                      <w:tab w:val="left" w:pos="5950"/>
                    </w:tabs>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2．在水产种质资源保护区的岸线和河段范围内新建围湖造田等投资建设项目。</w:t>
                  </w:r>
                </w:p>
              </w:tc>
              <w:tc>
                <w:tcPr>
                  <w:tcW w:w="1539" w:type="pct"/>
                  <w:vAlign w:val="center"/>
                </w:tcPr>
                <w:p w14:paraId="40850AE0">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本项目位于信息安全产业城内，距嘉陵江</w:t>
                  </w:r>
                  <w:r>
                    <w:rPr>
                      <w:rFonts w:hint="eastAsia" w:ascii="Times New Roman" w:hAnsi="Times New Roman" w:cs="Times New Roman"/>
                      <w:color w:val="auto"/>
                      <w:sz w:val="22"/>
                      <w:szCs w:val="22"/>
                      <w:lang w:val="en-US" w:eastAsia="zh-CN"/>
                    </w:rPr>
                    <w:t>4.0</w:t>
                  </w:r>
                  <w:r>
                    <w:rPr>
                      <w:rFonts w:hint="default" w:ascii="Times New Roman" w:hAnsi="Times New Roman" w:cs="Times New Roman"/>
                      <w:color w:val="auto"/>
                      <w:sz w:val="22"/>
                      <w:szCs w:val="22"/>
                      <w:lang w:val="en-US" w:eastAsia="zh-CN"/>
                    </w:rPr>
                    <w:t>km</w:t>
                  </w:r>
                  <w:r>
                    <w:rPr>
                      <w:rFonts w:hint="eastAsia" w:cs="Times New Roman"/>
                      <w:color w:val="auto"/>
                      <w:sz w:val="22"/>
                      <w:szCs w:val="22"/>
                      <w:lang w:val="en-US" w:eastAsia="zh-CN"/>
                    </w:rPr>
                    <w:t>，且不属于前述项目</w:t>
                  </w:r>
                  <w:r>
                    <w:rPr>
                      <w:rFonts w:hint="default" w:ascii="Times New Roman" w:hAnsi="Times New Roman" w:cs="Times New Roman"/>
                      <w:color w:val="auto"/>
                      <w:sz w:val="22"/>
                      <w:szCs w:val="22"/>
                      <w:lang w:val="en-US" w:eastAsia="zh-CN"/>
                    </w:rPr>
                    <w:t>。</w:t>
                  </w:r>
                  <w:r>
                    <w:rPr>
                      <w:rFonts w:hint="eastAsia" w:ascii="Times New Roman" w:hAnsi="Times New Roman" w:cs="Times New Roman"/>
                      <w:color w:val="auto"/>
                      <w:sz w:val="22"/>
                      <w:szCs w:val="22"/>
                      <w:lang w:val="en-US" w:eastAsia="zh-CN"/>
                    </w:rPr>
                    <w:t>本项目不属于</w:t>
                  </w:r>
                  <w:r>
                    <w:rPr>
                      <w:rFonts w:hint="default" w:ascii="Times New Roman" w:hAnsi="Times New Roman" w:cs="Times New Roman"/>
                      <w:color w:val="auto"/>
                      <w:sz w:val="22"/>
                      <w:szCs w:val="22"/>
                      <w:lang w:val="en-US" w:eastAsia="zh-CN"/>
                    </w:rPr>
                    <w:t>围湖造田等投资建设项目</w:t>
                  </w:r>
                  <w:r>
                    <w:rPr>
                      <w:rFonts w:hint="eastAsia" w:ascii="Times New Roman" w:hAnsi="Times New Roman" w:cs="Times New Roman"/>
                      <w:color w:val="auto"/>
                      <w:sz w:val="22"/>
                      <w:szCs w:val="22"/>
                      <w:lang w:val="en-US" w:eastAsia="zh-CN"/>
                    </w:rPr>
                    <w:t>。</w:t>
                  </w:r>
                </w:p>
              </w:tc>
              <w:tc>
                <w:tcPr>
                  <w:tcW w:w="696" w:type="pct"/>
                  <w:vAlign w:val="center"/>
                </w:tcPr>
                <w:p w14:paraId="5744F47C">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符合</w:t>
                  </w:r>
                </w:p>
              </w:tc>
            </w:tr>
          </w:tbl>
          <w:p w14:paraId="72BA83FE">
            <w:pPr>
              <w:pStyle w:val="4"/>
              <w:pageBreakBefore w:val="0"/>
              <w:widowControl w:val="0"/>
              <w:kinsoku/>
              <w:wordWrap/>
              <w:overflowPunct/>
              <w:topLinePunct w:val="0"/>
              <w:autoSpaceDE/>
              <w:autoSpaceDN/>
              <w:bidi w:val="0"/>
              <w:adjustRightInd w:val="0"/>
              <w:snapToGrid w:val="0"/>
              <w:spacing w:beforeLines="0" w:afterLines="0" w:line="240" w:lineRule="auto"/>
              <w:ind w:left="0" w:leftChars="0"/>
              <w:rPr>
                <w:rFonts w:hint="eastAsia"/>
                <w:color w:val="auto"/>
                <w:sz w:val="26"/>
                <w:szCs w:val="26"/>
                <w:lang w:val="en-US" w:eastAsia="zh-CN"/>
              </w:rPr>
            </w:pPr>
          </w:p>
          <w:p w14:paraId="48F004D3">
            <w:pPr>
              <w:pStyle w:val="4"/>
              <w:pageBreakBefore w:val="0"/>
              <w:widowControl w:val="0"/>
              <w:kinsoku/>
              <w:wordWrap/>
              <w:overflowPunct/>
              <w:topLinePunct w:val="0"/>
              <w:autoSpaceDE/>
              <w:autoSpaceDN/>
              <w:bidi w:val="0"/>
              <w:adjustRightInd w:val="0"/>
              <w:snapToGrid w:val="0"/>
              <w:spacing w:beforeLines="0" w:afterLines="0" w:line="460" w:lineRule="exact"/>
              <w:ind w:left="0" w:leftChars="0"/>
              <w:textAlignment w:val="auto"/>
              <w:rPr>
                <w:rFonts w:hint="eastAsia"/>
                <w:color w:val="auto"/>
                <w:sz w:val="26"/>
                <w:szCs w:val="26"/>
                <w:lang w:val="en-US" w:eastAsia="zh-CN"/>
              </w:rPr>
            </w:pPr>
            <w:r>
              <w:rPr>
                <w:rFonts w:hint="eastAsia"/>
                <w:color w:val="auto"/>
                <w:sz w:val="26"/>
                <w:szCs w:val="26"/>
                <w:lang w:val="en-US" w:eastAsia="zh-CN"/>
              </w:rPr>
              <w:t>1.2.3《</w:t>
            </w:r>
            <w:r>
              <w:rPr>
                <w:rFonts w:hint="eastAsia"/>
                <w:color w:val="auto"/>
                <w:sz w:val="26"/>
                <w:szCs w:val="26"/>
              </w:rPr>
              <w:t>四川省、重庆市长江经济带发展负面清单实施细则（试行，2022年版）</w:t>
            </w:r>
            <w:r>
              <w:rPr>
                <w:rFonts w:hint="eastAsia"/>
                <w:color w:val="auto"/>
                <w:sz w:val="26"/>
                <w:szCs w:val="26"/>
                <w:lang w:val="en-US" w:eastAsia="zh-CN"/>
              </w:rPr>
              <w:t>》的符合性分析</w:t>
            </w:r>
          </w:p>
          <w:p w14:paraId="71373396">
            <w:pPr>
              <w:pageBreakBefore w:val="0"/>
              <w:widowControl w:val="0"/>
              <w:kinsoku/>
              <w:wordWrap/>
              <w:overflowPunct/>
              <w:topLinePunct w:val="0"/>
              <w:autoSpaceDE/>
              <w:autoSpaceDN/>
              <w:bidi w:val="0"/>
              <w:adjustRightInd w:val="0"/>
              <w:snapToGrid w:val="0"/>
              <w:spacing w:line="460" w:lineRule="exact"/>
              <w:ind w:left="0" w:leftChars="0" w:firstLine="480"/>
              <w:textAlignment w:val="auto"/>
              <w:rPr>
                <w:rFonts w:hint="eastAsia"/>
                <w:color w:val="auto"/>
                <w:sz w:val="26"/>
                <w:szCs w:val="26"/>
              </w:rPr>
            </w:pPr>
            <w:r>
              <w:rPr>
                <w:rFonts w:hint="eastAsia"/>
                <w:color w:val="auto"/>
                <w:sz w:val="26"/>
                <w:szCs w:val="26"/>
              </w:rPr>
              <w:t>根据《</w:t>
            </w:r>
            <w:r>
              <w:rPr>
                <w:rFonts w:hint="eastAsia"/>
                <w:color w:val="auto"/>
                <w:sz w:val="26"/>
                <w:szCs w:val="26"/>
                <w:lang w:val="en-US" w:eastAsia="zh-CN"/>
              </w:rPr>
              <w:t>四川省、重庆市</w:t>
            </w:r>
            <w:r>
              <w:rPr>
                <w:rFonts w:hint="eastAsia"/>
                <w:color w:val="auto"/>
                <w:sz w:val="26"/>
                <w:szCs w:val="26"/>
              </w:rPr>
              <w:t>长江经济带发展负面清单指南（试行，2022年版）》要求，本项目与其符合性分析见下表。</w:t>
            </w:r>
          </w:p>
          <w:p w14:paraId="11D0BD81">
            <w:pPr>
              <w:pageBreakBefore w:val="0"/>
              <w:widowControl w:val="0"/>
              <w:kinsoku/>
              <w:wordWrap/>
              <w:overflowPunct/>
              <w:topLinePunct w:val="0"/>
              <w:autoSpaceDE/>
              <w:autoSpaceDN/>
              <w:bidi w:val="0"/>
              <w:adjustRightInd w:val="0"/>
              <w:snapToGrid w:val="0"/>
              <w:spacing w:line="240" w:lineRule="auto"/>
              <w:ind w:left="0" w:leftChars="0" w:firstLine="480"/>
              <w:rPr>
                <w:rFonts w:hint="eastAsia"/>
                <w:color w:val="auto"/>
                <w:sz w:val="26"/>
                <w:szCs w:val="26"/>
              </w:rPr>
            </w:pPr>
          </w:p>
          <w:p w14:paraId="39DC5F51">
            <w:pPr>
              <w:pStyle w:val="27"/>
              <w:pageBreakBefore w:val="0"/>
              <w:widowControl w:val="0"/>
              <w:kinsoku/>
              <w:wordWrap/>
              <w:overflowPunct/>
              <w:topLinePunct w:val="0"/>
              <w:autoSpaceDE/>
              <w:autoSpaceDN/>
              <w:bidi w:val="0"/>
              <w:adjustRightInd w:val="0"/>
              <w:snapToGrid w:val="0"/>
              <w:spacing w:line="240" w:lineRule="auto"/>
              <w:ind w:left="0" w:leftChars="0"/>
              <w:rPr>
                <w:rFonts w:hint="default" w:ascii="Times New Roman" w:hAnsi="Times New Roman" w:eastAsia="宋体" w:cstheme="minorBidi"/>
                <w:color w:val="auto"/>
                <w:kern w:val="2"/>
                <w:sz w:val="26"/>
                <w:szCs w:val="26"/>
                <w:lang w:val="en-US" w:eastAsia="zh-CN" w:bidi="ar-SA"/>
              </w:rPr>
            </w:pPr>
            <w:r>
              <w:rPr>
                <w:rFonts w:hint="default" w:ascii="Times New Roman" w:hAnsi="Times New Roman" w:eastAsia="宋体" w:cstheme="minorBidi"/>
                <w:color w:val="auto"/>
                <w:kern w:val="2"/>
                <w:sz w:val="26"/>
                <w:szCs w:val="26"/>
                <w:lang w:val="en-US" w:eastAsia="zh-CN" w:bidi="ar-SA"/>
              </w:rPr>
              <w:t>表1.2-</w:t>
            </w:r>
            <w:r>
              <w:rPr>
                <w:rFonts w:hint="eastAsia" w:ascii="Times New Roman" w:hAnsi="Times New Roman" w:eastAsia="宋体" w:cstheme="minorBidi"/>
                <w:color w:val="auto"/>
                <w:kern w:val="2"/>
                <w:sz w:val="26"/>
                <w:szCs w:val="26"/>
                <w:lang w:val="en-US" w:eastAsia="zh-CN" w:bidi="ar-SA"/>
              </w:rPr>
              <w:t>2</w:t>
            </w:r>
            <w:r>
              <w:rPr>
                <w:rFonts w:hint="default" w:ascii="Times New Roman" w:hAnsi="Times New Roman" w:eastAsia="宋体" w:cstheme="minorBidi"/>
                <w:color w:val="auto"/>
                <w:kern w:val="2"/>
                <w:sz w:val="26"/>
                <w:szCs w:val="26"/>
                <w:lang w:val="en-US" w:eastAsia="zh-CN" w:bidi="ar-SA"/>
              </w:rPr>
              <w:t xml:space="preserve">  与长江经济带发展负面清单实施细则的符合性分析</w:t>
            </w:r>
          </w:p>
          <w:tbl>
            <w:tblPr>
              <w:tblStyle w:val="17"/>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3412"/>
              <w:gridCol w:w="2065"/>
              <w:gridCol w:w="763"/>
            </w:tblGrid>
            <w:tr w14:paraId="24FDA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14:paraId="36F360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宋体" w:cs="Times New Roman"/>
                      <w:color w:val="auto"/>
                      <w:sz w:val="22"/>
                      <w:szCs w:val="22"/>
                    </w:rPr>
                    <w:t>序号</w:t>
                  </w:r>
                </w:p>
              </w:tc>
              <w:tc>
                <w:tcPr>
                  <w:tcW w:w="2494" w:type="pct"/>
                  <w:tcBorders>
                    <w:top w:val="single" w:color="auto" w:sz="4" w:space="0"/>
                    <w:left w:val="single" w:color="auto" w:sz="4" w:space="0"/>
                    <w:bottom w:val="single" w:color="auto" w:sz="4" w:space="0"/>
                    <w:right w:val="single" w:color="auto" w:sz="4" w:space="0"/>
                  </w:tcBorders>
                  <w:noWrap w:val="0"/>
                  <w:vAlign w:val="center"/>
                </w:tcPr>
                <w:p w14:paraId="7DB885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宋体" w:cs="Times New Roman"/>
                      <w:color w:val="auto"/>
                      <w:sz w:val="22"/>
                      <w:szCs w:val="22"/>
                    </w:rPr>
                    <w:t>文件要求</w:t>
                  </w:r>
                </w:p>
              </w:tc>
              <w:tc>
                <w:tcPr>
                  <w:tcW w:w="1509" w:type="pct"/>
                  <w:tcBorders>
                    <w:top w:val="single" w:color="auto" w:sz="4" w:space="0"/>
                    <w:left w:val="single" w:color="auto" w:sz="4" w:space="0"/>
                    <w:bottom w:val="single" w:color="auto" w:sz="4" w:space="0"/>
                    <w:right w:val="single" w:color="auto" w:sz="4" w:space="0"/>
                  </w:tcBorders>
                  <w:noWrap w:val="0"/>
                  <w:vAlign w:val="center"/>
                </w:tcPr>
                <w:p w14:paraId="316FD0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宋体" w:cs="Times New Roman"/>
                      <w:color w:val="auto"/>
                      <w:sz w:val="22"/>
                      <w:szCs w:val="22"/>
                    </w:rPr>
                    <w:t>项目情况</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68E2AD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宋体" w:cs="Times New Roman"/>
                      <w:color w:val="auto"/>
                      <w:sz w:val="22"/>
                      <w:szCs w:val="22"/>
                    </w:rPr>
                    <w:t>符合性</w:t>
                  </w:r>
                </w:p>
              </w:tc>
            </w:tr>
            <w:tr w14:paraId="52149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14:paraId="3F519A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ascii="Times New Roman" w:hAnsi="Times New Roman" w:cs="Times New Roman"/>
                      <w:color w:val="auto"/>
                      <w:sz w:val="22"/>
                      <w:szCs w:val="22"/>
                    </w:rPr>
                    <w:t>1</w:t>
                  </w:r>
                </w:p>
              </w:tc>
              <w:tc>
                <w:tcPr>
                  <w:tcW w:w="2494" w:type="pct"/>
                  <w:tcBorders>
                    <w:top w:val="single" w:color="auto" w:sz="4" w:space="0"/>
                    <w:left w:val="single" w:color="auto" w:sz="4" w:space="0"/>
                    <w:bottom w:val="single" w:color="auto" w:sz="4" w:space="0"/>
                    <w:right w:val="single" w:color="auto" w:sz="4" w:space="0"/>
                  </w:tcBorders>
                  <w:noWrap w:val="0"/>
                  <w:vAlign w:val="center"/>
                </w:tcPr>
                <w:p w14:paraId="3A91C2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宋体" w:cs="Times New Roman"/>
                      <w:color w:val="auto"/>
                      <w:sz w:val="22"/>
                      <w:szCs w:val="22"/>
                    </w:rPr>
                    <w:t>禁止新建、改建和扩建不符合全国港口布局规划，以及《四川省内河水运发展规划》《泸州</w:t>
                  </w:r>
                  <w:r>
                    <w:rPr>
                      <w:rFonts w:ascii="Times New Roman" w:hAnsi="Times New Roman" w:cs="Times New Roman"/>
                      <w:color w:val="auto"/>
                      <w:sz w:val="22"/>
                      <w:szCs w:val="22"/>
                    </w:rPr>
                    <w:t>—</w:t>
                  </w:r>
                  <w:r>
                    <w:rPr>
                      <w:rFonts w:hint="eastAsia" w:ascii="Times New Roman" w:hAnsi="宋体" w:cs="Times New Roman"/>
                      <w:color w:val="auto"/>
                      <w:sz w:val="22"/>
                      <w:szCs w:val="22"/>
                    </w:rPr>
                    <w:t>宜宾</w:t>
                  </w:r>
                  <w:r>
                    <w:rPr>
                      <w:rFonts w:ascii="Times New Roman" w:hAnsi="Times New Roman" w:cs="Times New Roman"/>
                      <w:color w:val="auto"/>
                      <w:sz w:val="22"/>
                      <w:szCs w:val="22"/>
                    </w:rPr>
                    <w:t>—</w:t>
                  </w:r>
                  <w:r>
                    <w:rPr>
                      <w:rFonts w:hint="eastAsia" w:ascii="Times New Roman" w:hAnsi="宋体" w:cs="Times New Roman"/>
                      <w:color w:val="auto"/>
                      <w:sz w:val="22"/>
                      <w:szCs w:val="22"/>
                    </w:rPr>
                    <w:t>乐山港口群布局规划》《重庆港总体规划</w:t>
                  </w:r>
                  <w:r>
                    <w:rPr>
                      <w:rFonts w:hint="eastAsia" w:hAnsi="宋体" w:cs="Times New Roman"/>
                      <w:color w:val="auto"/>
                      <w:sz w:val="22"/>
                      <w:szCs w:val="22"/>
                      <w:lang w:eastAsia="zh-CN"/>
                    </w:rPr>
                    <w:t>（</w:t>
                  </w:r>
                  <w:r>
                    <w:rPr>
                      <w:rFonts w:ascii="Times New Roman" w:hAnsi="Times New Roman" w:cs="Times New Roman"/>
                      <w:color w:val="auto"/>
                      <w:sz w:val="22"/>
                      <w:szCs w:val="22"/>
                    </w:rPr>
                    <w:t>2035</w:t>
                  </w:r>
                  <w:r>
                    <w:rPr>
                      <w:rFonts w:hint="eastAsia" w:ascii="Times New Roman" w:hAnsi="宋体" w:cs="Times New Roman"/>
                      <w:color w:val="auto"/>
                      <w:sz w:val="22"/>
                      <w:szCs w:val="22"/>
                    </w:rPr>
                    <w:t>年）》等省级港口布局规划及市级</w:t>
                  </w:r>
                  <w:r>
                    <w:rPr>
                      <w:rFonts w:hint="eastAsia" w:ascii="Times New Roman" w:hAnsi="宋体" w:cs="Times New Roman"/>
                      <w:bCs/>
                      <w:color w:val="auto"/>
                      <w:sz w:val="22"/>
                      <w:szCs w:val="22"/>
                    </w:rPr>
                    <w:t>港口总体规划的码头项目</w:t>
                  </w:r>
                </w:p>
              </w:tc>
              <w:tc>
                <w:tcPr>
                  <w:tcW w:w="1509" w:type="pct"/>
                  <w:tcBorders>
                    <w:top w:val="single" w:color="auto" w:sz="4" w:space="0"/>
                    <w:left w:val="single" w:color="auto" w:sz="4" w:space="0"/>
                    <w:bottom w:val="single" w:color="auto" w:sz="4" w:space="0"/>
                    <w:right w:val="single" w:color="auto" w:sz="4" w:space="0"/>
                  </w:tcBorders>
                  <w:noWrap w:val="0"/>
                  <w:vAlign w:val="center"/>
                </w:tcPr>
                <w:p w14:paraId="3D3495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项目不涉及港口码头</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130AFB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符合</w:t>
                  </w:r>
                </w:p>
              </w:tc>
            </w:tr>
            <w:tr w14:paraId="3EE2F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14:paraId="45652B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ascii="Times New Roman" w:hAnsi="Times New Roman" w:cs="Times New Roman"/>
                      <w:color w:val="auto"/>
                      <w:sz w:val="22"/>
                      <w:szCs w:val="22"/>
                    </w:rPr>
                    <w:t>2</w:t>
                  </w:r>
                </w:p>
              </w:tc>
              <w:tc>
                <w:tcPr>
                  <w:tcW w:w="2494" w:type="pct"/>
                  <w:tcBorders>
                    <w:top w:val="single" w:color="auto" w:sz="4" w:space="0"/>
                    <w:left w:val="single" w:color="auto" w:sz="4" w:space="0"/>
                    <w:bottom w:val="single" w:color="auto" w:sz="4" w:space="0"/>
                    <w:right w:val="single" w:color="auto" w:sz="4" w:space="0"/>
                  </w:tcBorders>
                  <w:noWrap w:val="0"/>
                  <w:vAlign w:val="center"/>
                </w:tcPr>
                <w:p w14:paraId="5BB978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宋体" w:cs="Times New Roman"/>
                      <w:color w:val="auto"/>
                      <w:sz w:val="22"/>
                      <w:szCs w:val="22"/>
                    </w:rPr>
                    <w:t>禁止新建、改建和扩建不符合《长江</w:t>
                  </w:r>
                  <w:r>
                    <w:rPr>
                      <w:rFonts w:hint="eastAsia" w:hAnsi="宋体" w:cs="Times New Roman"/>
                      <w:color w:val="auto"/>
                      <w:sz w:val="22"/>
                      <w:szCs w:val="22"/>
                      <w:lang w:eastAsia="zh-CN"/>
                    </w:rPr>
                    <w:t>干线</w:t>
                  </w:r>
                  <w:r>
                    <w:rPr>
                      <w:rFonts w:hint="eastAsia" w:ascii="Times New Roman" w:hAnsi="宋体" w:cs="Times New Roman"/>
                      <w:color w:val="auto"/>
                      <w:sz w:val="22"/>
                      <w:szCs w:val="22"/>
                    </w:rPr>
                    <w:t>过江通道布局规划</w:t>
                  </w:r>
                  <w:r>
                    <w:rPr>
                      <w:rFonts w:hint="eastAsia" w:hAnsi="宋体" w:cs="Times New Roman"/>
                      <w:color w:val="auto"/>
                      <w:sz w:val="22"/>
                      <w:szCs w:val="22"/>
                      <w:lang w:eastAsia="zh-CN"/>
                    </w:rPr>
                    <w:t>（</w:t>
                  </w:r>
                  <w:r>
                    <w:rPr>
                      <w:rFonts w:ascii="Times New Roman" w:hAnsi="Times New Roman" w:cs="Times New Roman"/>
                      <w:color w:val="auto"/>
                      <w:sz w:val="22"/>
                      <w:szCs w:val="22"/>
                    </w:rPr>
                    <w:t>2020—2035</w:t>
                  </w:r>
                  <w:r>
                    <w:rPr>
                      <w:rFonts w:hint="eastAsia" w:ascii="Times New Roman" w:hAnsi="宋体" w:cs="Times New Roman"/>
                      <w:color w:val="auto"/>
                      <w:sz w:val="22"/>
                      <w:szCs w:val="22"/>
                    </w:rPr>
                    <w:t>年）》的过长江通道项目（含桥梁、隧道），</w:t>
                  </w:r>
                  <w:r>
                    <w:rPr>
                      <w:rFonts w:hint="eastAsia" w:ascii="Times New Roman" w:hAnsi="宋体" w:cs="Times New Roman"/>
                      <w:bCs/>
                      <w:color w:val="auto"/>
                      <w:sz w:val="22"/>
                      <w:szCs w:val="22"/>
                    </w:rPr>
                    <w:t>国家发展改革委同意过长江通道线位调整的除外</w:t>
                  </w:r>
                </w:p>
              </w:tc>
              <w:tc>
                <w:tcPr>
                  <w:tcW w:w="1509" w:type="pct"/>
                  <w:tcBorders>
                    <w:top w:val="single" w:color="auto" w:sz="4" w:space="0"/>
                    <w:left w:val="single" w:color="auto" w:sz="4" w:space="0"/>
                    <w:bottom w:val="single" w:color="auto" w:sz="4" w:space="0"/>
                    <w:right w:val="single" w:color="auto" w:sz="4" w:space="0"/>
                  </w:tcBorders>
                  <w:noWrap w:val="0"/>
                  <w:vAlign w:val="center"/>
                </w:tcPr>
                <w:p w14:paraId="435D7A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项目不涉及长江过江通道</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287B00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符合</w:t>
                  </w:r>
                </w:p>
              </w:tc>
            </w:tr>
            <w:tr w14:paraId="53935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14:paraId="787757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ascii="Times New Roman" w:hAnsi="Times New Roman" w:cs="Times New Roman"/>
                      <w:color w:val="auto"/>
                      <w:sz w:val="22"/>
                      <w:szCs w:val="22"/>
                    </w:rPr>
                    <w:t>3</w:t>
                  </w:r>
                </w:p>
              </w:tc>
              <w:tc>
                <w:tcPr>
                  <w:tcW w:w="2494" w:type="pct"/>
                  <w:tcBorders>
                    <w:top w:val="single" w:color="auto" w:sz="4" w:space="0"/>
                    <w:left w:val="single" w:color="auto" w:sz="4" w:space="0"/>
                    <w:bottom w:val="single" w:color="auto" w:sz="4" w:space="0"/>
                    <w:right w:val="single" w:color="auto" w:sz="4" w:space="0"/>
                  </w:tcBorders>
                  <w:noWrap w:val="0"/>
                  <w:vAlign w:val="center"/>
                </w:tcPr>
                <w:p w14:paraId="75B911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禁止在自然保护区核心区、缓冲区的岸线和河段范围内投资建设旅游和生产经营项目。自然保护区的内部未分区的，</w:t>
                  </w:r>
                  <w:r>
                    <w:rPr>
                      <w:rFonts w:hint="eastAsia" w:ascii="Times New Roman" w:hAnsi="Times New Roman" w:cs="Times New Roman"/>
                      <w:bCs/>
                      <w:color w:val="auto"/>
                      <w:sz w:val="22"/>
                      <w:szCs w:val="22"/>
                    </w:rPr>
                    <w:t>依照核心区和缓冲区的规定管控</w:t>
                  </w:r>
                </w:p>
              </w:tc>
              <w:tc>
                <w:tcPr>
                  <w:tcW w:w="1509" w:type="pct"/>
                  <w:tcBorders>
                    <w:top w:val="single" w:color="auto" w:sz="4" w:space="0"/>
                    <w:left w:val="single" w:color="auto" w:sz="4" w:space="0"/>
                    <w:bottom w:val="single" w:color="auto" w:sz="4" w:space="0"/>
                    <w:right w:val="single" w:color="auto" w:sz="4" w:space="0"/>
                  </w:tcBorders>
                  <w:noWrap w:val="0"/>
                  <w:vAlign w:val="center"/>
                </w:tcPr>
                <w:p w14:paraId="170C0C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项目不涉及自然保护区</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114D9D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符合</w:t>
                  </w:r>
                </w:p>
              </w:tc>
            </w:tr>
            <w:tr w14:paraId="1AAD5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14:paraId="77861A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ascii="Times New Roman" w:hAnsi="Times New Roman" w:cs="Times New Roman"/>
                      <w:color w:val="auto"/>
                      <w:sz w:val="22"/>
                      <w:szCs w:val="22"/>
                    </w:rPr>
                    <w:t>4</w:t>
                  </w:r>
                </w:p>
              </w:tc>
              <w:tc>
                <w:tcPr>
                  <w:tcW w:w="2494" w:type="pct"/>
                  <w:tcBorders>
                    <w:top w:val="single" w:color="auto" w:sz="4" w:space="0"/>
                    <w:left w:val="single" w:color="auto" w:sz="4" w:space="0"/>
                    <w:bottom w:val="single" w:color="auto" w:sz="4" w:space="0"/>
                    <w:right w:val="single" w:color="auto" w:sz="4" w:space="0"/>
                  </w:tcBorders>
                  <w:noWrap w:val="0"/>
                  <w:vAlign w:val="center"/>
                </w:tcPr>
                <w:p w14:paraId="0A193C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禁止违反风景名胜区规划，在风景名胜区内设立各类开发区。禁止在风景名胜区核心景区的岸线和河段范围内建设宾馆、招待所、培训中心、疗养院以及与风景名胜资源保护无关</w:t>
                  </w:r>
                  <w:r>
                    <w:rPr>
                      <w:rFonts w:hint="eastAsia" w:ascii="Times New Roman" w:hAnsi="Times New Roman" w:cs="Times New Roman"/>
                      <w:bCs/>
                      <w:color w:val="auto"/>
                      <w:sz w:val="22"/>
                      <w:szCs w:val="22"/>
                    </w:rPr>
                    <w:t>的项目</w:t>
                  </w:r>
                </w:p>
              </w:tc>
              <w:tc>
                <w:tcPr>
                  <w:tcW w:w="1509" w:type="pct"/>
                  <w:tcBorders>
                    <w:top w:val="single" w:color="auto" w:sz="4" w:space="0"/>
                    <w:left w:val="single" w:color="auto" w:sz="4" w:space="0"/>
                    <w:bottom w:val="single" w:color="auto" w:sz="4" w:space="0"/>
                    <w:right w:val="single" w:color="auto" w:sz="4" w:space="0"/>
                  </w:tcBorders>
                  <w:noWrap w:val="0"/>
                  <w:vAlign w:val="center"/>
                </w:tcPr>
                <w:p w14:paraId="7A4C2F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项目不涉及风景名胜区</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691E1F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符合</w:t>
                  </w:r>
                </w:p>
              </w:tc>
            </w:tr>
            <w:tr w14:paraId="01F51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14:paraId="03E3B2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ascii="Times New Roman" w:hAnsi="Times New Roman" w:cs="Times New Roman"/>
                      <w:color w:val="auto"/>
                      <w:sz w:val="22"/>
                      <w:szCs w:val="22"/>
                    </w:rPr>
                    <w:t>5</w:t>
                  </w:r>
                </w:p>
              </w:tc>
              <w:tc>
                <w:tcPr>
                  <w:tcW w:w="2494" w:type="pct"/>
                  <w:tcBorders>
                    <w:top w:val="single" w:color="auto" w:sz="4" w:space="0"/>
                    <w:left w:val="single" w:color="auto" w:sz="4" w:space="0"/>
                    <w:bottom w:val="single" w:color="auto" w:sz="4" w:space="0"/>
                    <w:right w:val="single" w:color="auto" w:sz="4" w:space="0"/>
                  </w:tcBorders>
                  <w:noWrap w:val="0"/>
                  <w:vAlign w:val="center"/>
                </w:tcPr>
                <w:p w14:paraId="6AF8A2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禁止在饮用水水源准保护区的岸线和河段范围内新建、扩建对水体污染严重的建设项目，禁止改建增加排污量的</w:t>
                  </w:r>
                  <w:r>
                    <w:rPr>
                      <w:rFonts w:hint="eastAsia" w:ascii="Times New Roman" w:hAnsi="Times New Roman" w:cs="Times New Roman"/>
                      <w:bCs/>
                      <w:color w:val="auto"/>
                      <w:sz w:val="22"/>
                      <w:szCs w:val="22"/>
                    </w:rPr>
                    <w:t>建设项目</w:t>
                  </w:r>
                </w:p>
              </w:tc>
              <w:tc>
                <w:tcPr>
                  <w:tcW w:w="1509" w:type="pct"/>
                  <w:vMerge w:val="restart"/>
                  <w:tcBorders>
                    <w:top w:val="single" w:color="auto" w:sz="4" w:space="0"/>
                    <w:left w:val="single" w:color="auto" w:sz="4" w:space="0"/>
                    <w:bottom w:val="single" w:color="auto" w:sz="4" w:space="0"/>
                    <w:right w:val="single" w:color="auto" w:sz="4" w:space="0"/>
                  </w:tcBorders>
                  <w:noWrap w:val="0"/>
                  <w:vAlign w:val="center"/>
                </w:tcPr>
                <w:p w14:paraId="38091C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项目不涉及饮用水源保护区岸线河段</w:t>
                  </w:r>
                </w:p>
              </w:tc>
              <w:tc>
                <w:tcPr>
                  <w:tcW w:w="557" w:type="pct"/>
                  <w:vMerge w:val="restart"/>
                  <w:tcBorders>
                    <w:top w:val="single" w:color="auto" w:sz="4" w:space="0"/>
                    <w:left w:val="single" w:color="auto" w:sz="4" w:space="0"/>
                    <w:bottom w:val="single" w:color="auto" w:sz="4" w:space="0"/>
                    <w:right w:val="single" w:color="auto" w:sz="4" w:space="0"/>
                  </w:tcBorders>
                  <w:noWrap w:val="0"/>
                  <w:vAlign w:val="center"/>
                </w:tcPr>
                <w:p w14:paraId="4F8D6C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符合</w:t>
                  </w:r>
                </w:p>
              </w:tc>
            </w:tr>
            <w:tr w14:paraId="40A06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14:paraId="157D3E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ascii="Times New Roman" w:hAnsi="Times New Roman" w:cs="Times New Roman"/>
                      <w:color w:val="auto"/>
                      <w:sz w:val="22"/>
                      <w:szCs w:val="22"/>
                    </w:rPr>
                    <w:t>6</w:t>
                  </w:r>
                </w:p>
              </w:tc>
              <w:tc>
                <w:tcPr>
                  <w:tcW w:w="2494" w:type="pct"/>
                  <w:tcBorders>
                    <w:top w:val="single" w:color="auto" w:sz="4" w:space="0"/>
                    <w:left w:val="single" w:color="auto" w:sz="4" w:space="0"/>
                    <w:bottom w:val="single" w:color="auto" w:sz="4" w:space="0"/>
                    <w:right w:val="single" w:color="auto" w:sz="4" w:space="0"/>
                  </w:tcBorders>
                  <w:noWrap w:val="0"/>
                  <w:vAlign w:val="center"/>
                </w:tcPr>
                <w:p w14:paraId="10575D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饮用水水源二级保护区的岸线和河段范围内，除遵守准保护区规定外，禁止新建、改建、扩建排放污染物的投资建</w:t>
                  </w:r>
                  <w:r>
                    <w:rPr>
                      <w:rFonts w:hint="eastAsia" w:ascii="Times New Roman" w:hAnsi="Times New Roman" w:cs="Times New Roman"/>
                      <w:bCs/>
                      <w:color w:val="auto"/>
                      <w:sz w:val="22"/>
                      <w:szCs w:val="22"/>
                    </w:rPr>
                    <w:t>设项目；禁止从事对水体有污染的水产养殖等活动</w:t>
                  </w:r>
                </w:p>
              </w:tc>
              <w:tc>
                <w:tcPr>
                  <w:tcW w:w="1509" w:type="pct"/>
                  <w:vMerge w:val="continue"/>
                  <w:tcBorders>
                    <w:top w:val="single" w:color="auto" w:sz="4" w:space="0"/>
                    <w:left w:val="single" w:color="auto" w:sz="4" w:space="0"/>
                    <w:bottom w:val="single" w:color="auto" w:sz="4" w:space="0"/>
                    <w:right w:val="single" w:color="auto" w:sz="4" w:space="0"/>
                  </w:tcBorders>
                  <w:noWrap w:val="0"/>
                  <w:vAlign w:val="center"/>
                </w:tcPr>
                <w:p w14:paraId="6549C8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p>
              </w:tc>
              <w:tc>
                <w:tcPr>
                  <w:tcW w:w="557" w:type="pct"/>
                  <w:vMerge w:val="continue"/>
                  <w:tcBorders>
                    <w:top w:val="single" w:color="auto" w:sz="4" w:space="0"/>
                    <w:left w:val="single" w:color="auto" w:sz="4" w:space="0"/>
                    <w:bottom w:val="single" w:color="auto" w:sz="4" w:space="0"/>
                    <w:right w:val="single" w:color="auto" w:sz="4" w:space="0"/>
                  </w:tcBorders>
                  <w:noWrap w:val="0"/>
                  <w:vAlign w:val="center"/>
                </w:tcPr>
                <w:p w14:paraId="2D2BC9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p>
              </w:tc>
            </w:tr>
            <w:tr w14:paraId="6E10B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14:paraId="29447B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ascii="Times New Roman" w:hAnsi="Times New Roman" w:cs="Times New Roman"/>
                      <w:color w:val="auto"/>
                      <w:sz w:val="22"/>
                      <w:szCs w:val="22"/>
                    </w:rPr>
                    <w:t>7</w:t>
                  </w:r>
                </w:p>
              </w:tc>
              <w:tc>
                <w:tcPr>
                  <w:tcW w:w="2494" w:type="pct"/>
                  <w:tcBorders>
                    <w:top w:val="single" w:color="auto" w:sz="4" w:space="0"/>
                    <w:left w:val="single" w:color="auto" w:sz="4" w:space="0"/>
                    <w:bottom w:val="single" w:color="auto" w:sz="4" w:space="0"/>
                    <w:right w:val="single" w:color="auto" w:sz="4" w:space="0"/>
                  </w:tcBorders>
                  <w:noWrap w:val="0"/>
                  <w:vAlign w:val="center"/>
                </w:tcPr>
                <w:p w14:paraId="6C5D59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饮用水水源一级保护区的岸线和河段范围内，除遵守二级保护区规定外，禁止新建、改建、扩建与供水设施和保护水源无关的项目，以及网箱养殖、畜禽养殖、旅游等可能污染</w:t>
                  </w:r>
                  <w:r>
                    <w:rPr>
                      <w:rFonts w:hint="eastAsia" w:ascii="Times New Roman" w:hAnsi="Times New Roman" w:cs="Times New Roman"/>
                      <w:bCs/>
                      <w:color w:val="auto"/>
                      <w:sz w:val="22"/>
                      <w:szCs w:val="22"/>
                    </w:rPr>
                    <w:t>饮用水水体的投资建设项目</w:t>
                  </w:r>
                </w:p>
              </w:tc>
              <w:tc>
                <w:tcPr>
                  <w:tcW w:w="1509" w:type="pct"/>
                  <w:vMerge w:val="continue"/>
                  <w:tcBorders>
                    <w:top w:val="single" w:color="auto" w:sz="4" w:space="0"/>
                    <w:left w:val="single" w:color="auto" w:sz="4" w:space="0"/>
                    <w:bottom w:val="single" w:color="auto" w:sz="4" w:space="0"/>
                    <w:right w:val="single" w:color="auto" w:sz="4" w:space="0"/>
                  </w:tcBorders>
                  <w:noWrap w:val="0"/>
                  <w:vAlign w:val="center"/>
                </w:tcPr>
                <w:p w14:paraId="39FA49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p>
              </w:tc>
              <w:tc>
                <w:tcPr>
                  <w:tcW w:w="557" w:type="pct"/>
                  <w:vMerge w:val="continue"/>
                  <w:tcBorders>
                    <w:top w:val="single" w:color="auto" w:sz="4" w:space="0"/>
                    <w:left w:val="single" w:color="auto" w:sz="4" w:space="0"/>
                    <w:bottom w:val="single" w:color="auto" w:sz="4" w:space="0"/>
                    <w:right w:val="single" w:color="auto" w:sz="4" w:space="0"/>
                  </w:tcBorders>
                  <w:noWrap w:val="0"/>
                  <w:vAlign w:val="center"/>
                </w:tcPr>
                <w:p w14:paraId="1DCF81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p>
              </w:tc>
            </w:tr>
            <w:tr w14:paraId="13744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14:paraId="0F8AD4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ascii="Times New Roman" w:hAnsi="Times New Roman" w:cs="Times New Roman"/>
                      <w:color w:val="auto"/>
                      <w:sz w:val="22"/>
                      <w:szCs w:val="22"/>
                    </w:rPr>
                    <w:t>8</w:t>
                  </w:r>
                </w:p>
              </w:tc>
              <w:tc>
                <w:tcPr>
                  <w:tcW w:w="2494" w:type="pct"/>
                  <w:tcBorders>
                    <w:top w:val="single" w:color="auto" w:sz="4" w:space="0"/>
                    <w:left w:val="single" w:color="auto" w:sz="4" w:space="0"/>
                    <w:bottom w:val="single" w:color="auto" w:sz="4" w:space="0"/>
                    <w:right w:val="single" w:color="auto" w:sz="4" w:space="0"/>
                  </w:tcBorders>
                  <w:noWrap w:val="0"/>
                  <w:vAlign w:val="center"/>
                </w:tcPr>
                <w:p w14:paraId="4324C4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禁止在水产种质资源保护区岸线和河段范围内</w:t>
                  </w:r>
                  <w:r>
                    <w:rPr>
                      <w:rFonts w:hint="eastAsia" w:ascii="Times New Roman" w:hAnsi="Times New Roman" w:cs="Times New Roman"/>
                      <w:bCs/>
                      <w:color w:val="auto"/>
                      <w:sz w:val="22"/>
                      <w:szCs w:val="22"/>
                    </w:rPr>
                    <w:t>新建围湖造田、围湖造地或挖沙采石等投资建设项目</w:t>
                  </w:r>
                </w:p>
              </w:tc>
              <w:tc>
                <w:tcPr>
                  <w:tcW w:w="1509" w:type="pct"/>
                  <w:tcBorders>
                    <w:top w:val="single" w:color="auto" w:sz="4" w:space="0"/>
                    <w:left w:val="single" w:color="auto" w:sz="4" w:space="0"/>
                    <w:bottom w:val="single" w:color="auto" w:sz="4" w:space="0"/>
                    <w:right w:val="single" w:color="auto" w:sz="4" w:space="0"/>
                  </w:tcBorders>
                  <w:noWrap w:val="0"/>
                  <w:vAlign w:val="center"/>
                </w:tcPr>
                <w:p w14:paraId="655C27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项目不涉及水产种质资源保护区岸线和河段</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4D583A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符合</w:t>
                  </w:r>
                </w:p>
              </w:tc>
            </w:tr>
            <w:tr w14:paraId="67B04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14:paraId="106D41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ascii="Times New Roman" w:hAnsi="Times New Roman" w:cs="Times New Roman"/>
                      <w:color w:val="auto"/>
                      <w:sz w:val="22"/>
                      <w:szCs w:val="22"/>
                    </w:rPr>
                    <w:t>9</w:t>
                  </w:r>
                </w:p>
              </w:tc>
              <w:tc>
                <w:tcPr>
                  <w:tcW w:w="2494" w:type="pct"/>
                  <w:tcBorders>
                    <w:top w:val="single" w:color="auto" w:sz="4" w:space="0"/>
                    <w:left w:val="single" w:color="auto" w:sz="4" w:space="0"/>
                    <w:bottom w:val="single" w:color="auto" w:sz="4" w:space="0"/>
                    <w:right w:val="single" w:color="auto" w:sz="4" w:space="0"/>
                  </w:tcBorders>
                  <w:noWrap w:val="0"/>
                  <w:vAlign w:val="center"/>
                </w:tcPr>
                <w:p w14:paraId="3DC914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禁止在国家湿地公园的岸线和河段范围内开（围）垦、填埋或者排干湿地，截断湿地水源，挖沙、采矿，倾倒有毒有害物质、废弃物、垃圾，从事房地产、度假村、高尔夫球场、风力发电、光伏发电等任何不符合主体功能定位的建设项</w:t>
                  </w:r>
                  <w:r>
                    <w:rPr>
                      <w:rFonts w:hint="eastAsia" w:ascii="Times New Roman" w:hAnsi="Times New Roman" w:cs="Times New Roman"/>
                      <w:bCs/>
                      <w:color w:val="auto"/>
                      <w:sz w:val="22"/>
                      <w:szCs w:val="22"/>
                    </w:rPr>
                    <w:t>目和开发活动，破坏野生动物栖息地和迁徙通道、</w:t>
                  </w:r>
                  <w:r>
                    <w:rPr>
                      <w:rFonts w:hint="eastAsia" w:cs="Times New Roman"/>
                      <w:bCs/>
                      <w:color w:val="auto"/>
                      <w:sz w:val="22"/>
                      <w:szCs w:val="22"/>
                      <w:lang w:eastAsia="zh-CN"/>
                    </w:rPr>
                    <w:t>鱼类洄游</w:t>
                  </w:r>
                  <w:r>
                    <w:rPr>
                      <w:rFonts w:hint="eastAsia" w:ascii="Times New Roman" w:hAnsi="Times New Roman" w:cs="Times New Roman"/>
                      <w:bCs/>
                      <w:color w:val="auto"/>
                      <w:sz w:val="22"/>
                      <w:szCs w:val="22"/>
                    </w:rPr>
                    <w:t>通道</w:t>
                  </w:r>
                </w:p>
              </w:tc>
              <w:tc>
                <w:tcPr>
                  <w:tcW w:w="1509" w:type="pct"/>
                  <w:tcBorders>
                    <w:top w:val="single" w:color="auto" w:sz="4" w:space="0"/>
                    <w:left w:val="single" w:color="auto" w:sz="4" w:space="0"/>
                    <w:bottom w:val="single" w:color="auto" w:sz="4" w:space="0"/>
                    <w:right w:val="single" w:color="auto" w:sz="4" w:space="0"/>
                  </w:tcBorders>
                  <w:noWrap w:val="0"/>
                  <w:vAlign w:val="center"/>
                </w:tcPr>
                <w:p w14:paraId="516008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项目不涉及国家湿地公园的岸线和河段</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35D008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符合</w:t>
                  </w:r>
                </w:p>
              </w:tc>
            </w:tr>
            <w:tr w14:paraId="4E83B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14:paraId="59111F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ascii="Times New Roman" w:hAnsi="Times New Roman" w:cs="Times New Roman"/>
                      <w:color w:val="auto"/>
                      <w:sz w:val="22"/>
                      <w:szCs w:val="22"/>
                    </w:rPr>
                    <w:t>10</w:t>
                  </w:r>
                </w:p>
              </w:tc>
              <w:tc>
                <w:tcPr>
                  <w:tcW w:w="2494" w:type="pct"/>
                  <w:tcBorders>
                    <w:top w:val="single" w:color="auto" w:sz="4" w:space="0"/>
                    <w:left w:val="single" w:color="auto" w:sz="4" w:space="0"/>
                    <w:bottom w:val="single" w:color="auto" w:sz="4" w:space="0"/>
                    <w:right w:val="single" w:color="auto" w:sz="4" w:space="0"/>
                  </w:tcBorders>
                  <w:noWrap w:val="0"/>
                  <w:vAlign w:val="center"/>
                </w:tcPr>
                <w:p w14:paraId="189E1A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w:t>
                  </w:r>
                  <w:r>
                    <w:rPr>
                      <w:rFonts w:hint="eastAsia" w:ascii="Times New Roman" w:hAnsi="Times New Roman" w:cs="Times New Roman"/>
                      <w:bCs/>
                      <w:color w:val="auto"/>
                      <w:sz w:val="22"/>
                      <w:szCs w:val="22"/>
                    </w:rPr>
                    <w:t>的项目</w:t>
                  </w:r>
                </w:p>
              </w:tc>
              <w:tc>
                <w:tcPr>
                  <w:tcW w:w="1509" w:type="pct"/>
                  <w:tcBorders>
                    <w:top w:val="single" w:color="auto" w:sz="4" w:space="0"/>
                    <w:left w:val="single" w:color="auto" w:sz="4" w:space="0"/>
                    <w:bottom w:val="single" w:color="auto" w:sz="4" w:space="0"/>
                    <w:right w:val="single" w:color="auto" w:sz="4" w:space="0"/>
                  </w:tcBorders>
                  <w:noWrap w:val="0"/>
                  <w:vAlign w:val="center"/>
                </w:tcPr>
                <w:p w14:paraId="138994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项目不涉及长江流域河湖岸线</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20C141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符合</w:t>
                  </w:r>
                </w:p>
              </w:tc>
            </w:tr>
            <w:tr w14:paraId="6F507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14:paraId="472D08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ascii="Times New Roman" w:hAnsi="Times New Roman" w:cs="Times New Roman"/>
                      <w:color w:val="auto"/>
                      <w:sz w:val="22"/>
                      <w:szCs w:val="22"/>
                    </w:rPr>
                    <w:t>11</w:t>
                  </w:r>
                </w:p>
              </w:tc>
              <w:tc>
                <w:tcPr>
                  <w:tcW w:w="2494" w:type="pct"/>
                  <w:tcBorders>
                    <w:top w:val="single" w:color="auto" w:sz="4" w:space="0"/>
                    <w:left w:val="single" w:color="auto" w:sz="4" w:space="0"/>
                    <w:bottom w:val="single" w:color="auto" w:sz="4" w:space="0"/>
                    <w:right w:val="single" w:color="auto" w:sz="4" w:space="0"/>
                  </w:tcBorders>
                  <w:noWrap w:val="0"/>
                  <w:vAlign w:val="center"/>
                </w:tcPr>
                <w:p w14:paraId="33255F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Cs/>
                      <w:color w:val="auto"/>
                      <w:sz w:val="22"/>
                      <w:szCs w:val="22"/>
                    </w:rPr>
                  </w:pPr>
                  <w:r>
                    <w:rPr>
                      <w:rFonts w:hint="eastAsia" w:ascii="Times New Roman" w:hAnsi="Times New Roman" w:cs="Times New Roman"/>
                      <w:bCs/>
                      <w:color w:val="auto"/>
                      <w:sz w:val="22"/>
                      <w:szCs w:val="22"/>
                    </w:rPr>
                    <w:t>禁止在《全国重要江河湖泊水功能区划》划定的河段及湖泊保护区、保留区内投资建设不利于水资源及自然生态保护的项目</w:t>
                  </w:r>
                </w:p>
              </w:tc>
              <w:tc>
                <w:tcPr>
                  <w:tcW w:w="1509" w:type="pct"/>
                  <w:tcBorders>
                    <w:top w:val="single" w:color="auto" w:sz="4" w:space="0"/>
                    <w:left w:val="single" w:color="auto" w:sz="4" w:space="0"/>
                    <w:bottom w:val="single" w:color="auto" w:sz="4" w:space="0"/>
                    <w:right w:val="single" w:color="auto" w:sz="4" w:space="0"/>
                  </w:tcBorders>
                  <w:noWrap w:val="0"/>
                  <w:vAlign w:val="center"/>
                </w:tcPr>
                <w:p w14:paraId="0C16C8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项目不涉及</w:t>
                  </w:r>
                  <w:r>
                    <w:rPr>
                      <w:rFonts w:hint="eastAsia" w:ascii="Times New Roman" w:hAnsi="Times New Roman" w:cs="Times New Roman"/>
                      <w:bCs/>
                      <w:color w:val="auto"/>
                      <w:sz w:val="22"/>
                      <w:szCs w:val="22"/>
                    </w:rPr>
                    <w:t>《全国重要江河湖泊水功能区划》划定的河段及湖泊保护区、保留区</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00A88E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符合</w:t>
                  </w:r>
                </w:p>
              </w:tc>
            </w:tr>
            <w:tr w14:paraId="72186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14:paraId="0B5D1C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ascii="Times New Roman" w:hAnsi="Times New Roman" w:cs="Times New Roman"/>
                      <w:color w:val="auto"/>
                      <w:sz w:val="22"/>
                      <w:szCs w:val="22"/>
                    </w:rPr>
                    <w:t>12</w:t>
                  </w:r>
                </w:p>
              </w:tc>
              <w:tc>
                <w:tcPr>
                  <w:tcW w:w="2494" w:type="pct"/>
                  <w:tcBorders>
                    <w:top w:val="single" w:color="auto" w:sz="4" w:space="0"/>
                    <w:left w:val="single" w:color="auto" w:sz="4" w:space="0"/>
                    <w:bottom w:val="single" w:color="auto" w:sz="4" w:space="0"/>
                    <w:right w:val="single" w:color="auto" w:sz="4" w:space="0"/>
                  </w:tcBorders>
                  <w:noWrap w:val="0"/>
                  <w:vAlign w:val="center"/>
                </w:tcPr>
                <w:p w14:paraId="2D2556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禁止在长江流域江河、湖泊新设、改设或者扩大排污口，经有管辖权的生态环境主管部门或者长江流域生态环境</w:t>
                  </w:r>
                  <w:r>
                    <w:rPr>
                      <w:rFonts w:hint="eastAsia" w:ascii="Times New Roman" w:hAnsi="Times New Roman" w:cs="Times New Roman"/>
                      <w:bCs/>
                      <w:color w:val="auto"/>
                      <w:sz w:val="22"/>
                      <w:szCs w:val="22"/>
                    </w:rPr>
                    <w:t>监督管理机构同意的除外</w:t>
                  </w:r>
                </w:p>
              </w:tc>
              <w:tc>
                <w:tcPr>
                  <w:tcW w:w="1509" w:type="pct"/>
                  <w:tcBorders>
                    <w:top w:val="single" w:color="auto" w:sz="4" w:space="0"/>
                    <w:left w:val="single" w:color="auto" w:sz="4" w:space="0"/>
                    <w:bottom w:val="single" w:color="auto" w:sz="4" w:space="0"/>
                    <w:right w:val="single" w:color="auto" w:sz="4" w:space="0"/>
                  </w:tcBorders>
                  <w:noWrap w:val="0"/>
                  <w:vAlign w:val="center"/>
                </w:tcPr>
                <w:p w14:paraId="6A3B58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项目不设置入河排放口</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140D4F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符合</w:t>
                  </w:r>
                </w:p>
              </w:tc>
            </w:tr>
            <w:tr w14:paraId="1554F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14:paraId="74353A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ascii="Times New Roman" w:hAnsi="Times New Roman" w:cs="Times New Roman"/>
                      <w:color w:val="auto"/>
                      <w:sz w:val="22"/>
                      <w:szCs w:val="22"/>
                    </w:rPr>
                    <w:t>13</w:t>
                  </w:r>
                </w:p>
              </w:tc>
              <w:tc>
                <w:tcPr>
                  <w:tcW w:w="2494" w:type="pct"/>
                  <w:tcBorders>
                    <w:top w:val="single" w:color="auto" w:sz="4" w:space="0"/>
                    <w:left w:val="single" w:color="auto" w:sz="4" w:space="0"/>
                    <w:bottom w:val="single" w:color="auto" w:sz="4" w:space="0"/>
                    <w:right w:val="single" w:color="auto" w:sz="4" w:space="0"/>
                  </w:tcBorders>
                  <w:noWrap w:val="0"/>
                  <w:vAlign w:val="center"/>
                </w:tcPr>
                <w:p w14:paraId="438E6E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禁止在长江</w:t>
                  </w:r>
                  <w:r>
                    <w:rPr>
                      <w:rFonts w:hint="eastAsia" w:cs="Times New Roman"/>
                      <w:color w:val="auto"/>
                      <w:sz w:val="22"/>
                      <w:szCs w:val="22"/>
                      <w:lang w:eastAsia="zh-CN"/>
                    </w:rPr>
                    <w:t>干流</w:t>
                  </w:r>
                  <w:r>
                    <w:rPr>
                      <w:rFonts w:hint="eastAsia" w:ascii="Times New Roman" w:hAnsi="Times New Roman" w:cs="Times New Roman"/>
                      <w:color w:val="auto"/>
                      <w:sz w:val="22"/>
                      <w:szCs w:val="22"/>
                    </w:rPr>
                    <w:t>、大渡河、峨江、赤水河、汜江、嘉陵江、乌江、汉江和</w:t>
                  </w:r>
                  <w:r>
                    <w:rPr>
                      <w:rFonts w:ascii="Times New Roman" w:hAnsi="Times New Roman" w:cs="Times New Roman"/>
                      <w:color w:val="auto"/>
                      <w:sz w:val="22"/>
                      <w:szCs w:val="22"/>
                    </w:rPr>
                    <w:t xml:space="preserve">51 </w:t>
                  </w:r>
                  <w:r>
                    <w:rPr>
                      <w:rFonts w:hint="eastAsia" w:ascii="Times New Roman" w:hAnsi="Times New Roman" w:cs="Times New Roman"/>
                      <w:color w:val="auto"/>
                      <w:sz w:val="22"/>
                      <w:szCs w:val="22"/>
                    </w:rPr>
                    <w:t>个（四川省</w:t>
                  </w:r>
                  <w:r>
                    <w:rPr>
                      <w:rFonts w:ascii="Times New Roman" w:hAnsi="Times New Roman" w:cs="Times New Roman"/>
                      <w:color w:val="auto"/>
                      <w:sz w:val="22"/>
                      <w:szCs w:val="22"/>
                    </w:rPr>
                    <w:t>45</w:t>
                  </w:r>
                  <w:r>
                    <w:rPr>
                      <w:rFonts w:hint="eastAsia" w:ascii="Times New Roman" w:hAnsi="Times New Roman" w:cs="Times New Roman"/>
                      <w:color w:val="auto"/>
                      <w:sz w:val="22"/>
                      <w:szCs w:val="22"/>
                    </w:rPr>
                    <w:t>个、重庆市</w:t>
                  </w:r>
                  <w:r>
                    <w:rPr>
                      <w:rFonts w:ascii="Times New Roman" w:hAnsi="Times New Roman" w:cs="Times New Roman"/>
                      <w:color w:val="auto"/>
                      <w:sz w:val="22"/>
                      <w:szCs w:val="22"/>
                    </w:rPr>
                    <w:t>6</w:t>
                  </w:r>
                  <w:r>
                    <w:rPr>
                      <w:rFonts w:hint="eastAsia" w:ascii="Times New Roman" w:hAnsi="Times New Roman" w:cs="Times New Roman"/>
                      <w:color w:val="auto"/>
                      <w:sz w:val="22"/>
                      <w:szCs w:val="22"/>
                    </w:rPr>
                    <w:t>个）水生生物</w:t>
                  </w:r>
                  <w:r>
                    <w:rPr>
                      <w:rFonts w:hint="eastAsia" w:ascii="Times New Roman" w:hAnsi="Times New Roman" w:cs="Times New Roman"/>
                      <w:bCs/>
                      <w:color w:val="auto"/>
                      <w:sz w:val="22"/>
                      <w:szCs w:val="22"/>
                    </w:rPr>
                    <w:t>保护区开展生产性捕捞</w:t>
                  </w:r>
                </w:p>
              </w:tc>
              <w:tc>
                <w:tcPr>
                  <w:tcW w:w="1509" w:type="pct"/>
                  <w:tcBorders>
                    <w:top w:val="single" w:color="auto" w:sz="4" w:space="0"/>
                    <w:left w:val="single" w:color="auto" w:sz="4" w:space="0"/>
                    <w:bottom w:val="single" w:color="auto" w:sz="4" w:space="0"/>
                    <w:right w:val="single" w:color="auto" w:sz="4" w:space="0"/>
                  </w:tcBorders>
                  <w:noWrap w:val="0"/>
                  <w:vAlign w:val="center"/>
                </w:tcPr>
                <w:p w14:paraId="4811B5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项目不开展</w:t>
                  </w:r>
                  <w:r>
                    <w:rPr>
                      <w:rFonts w:hint="eastAsia" w:ascii="Times New Roman" w:hAnsi="Times New Roman" w:cs="Times New Roman"/>
                      <w:bCs/>
                      <w:color w:val="auto"/>
                      <w:sz w:val="22"/>
                      <w:szCs w:val="22"/>
                    </w:rPr>
                    <w:t>生产性捕捞</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59B0CA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符合</w:t>
                  </w:r>
                </w:p>
              </w:tc>
            </w:tr>
            <w:tr w14:paraId="030EF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14:paraId="2D70E1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ascii="Times New Roman" w:hAnsi="Times New Roman" w:cs="Times New Roman"/>
                      <w:color w:val="auto"/>
                      <w:sz w:val="22"/>
                      <w:szCs w:val="22"/>
                    </w:rPr>
                    <w:t>14</w:t>
                  </w:r>
                </w:p>
              </w:tc>
              <w:tc>
                <w:tcPr>
                  <w:tcW w:w="2494" w:type="pct"/>
                  <w:tcBorders>
                    <w:top w:val="single" w:color="auto" w:sz="4" w:space="0"/>
                    <w:left w:val="single" w:color="auto" w:sz="4" w:space="0"/>
                    <w:bottom w:val="single" w:color="auto" w:sz="4" w:space="0"/>
                    <w:right w:val="single" w:color="auto" w:sz="4" w:space="0"/>
                  </w:tcBorders>
                  <w:noWrap w:val="0"/>
                  <w:vAlign w:val="center"/>
                </w:tcPr>
                <w:p w14:paraId="103F47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禁止在长江干支流、重要湖泊岸线一公里范围内</w:t>
                  </w:r>
                  <w:r>
                    <w:rPr>
                      <w:rFonts w:hint="eastAsia" w:ascii="Times New Roman" w:hAnsi="Times New Roman" w:cs="Times New Roman"/>
                      <w:bCs/>
                      <w:color w:val="auto"/>
                      <w:sz w:val="22"/>
                      <w:szCs w:val="22"/>
                    </w:rPr>
                    <w:t>新建、扩建化工园区和化工项目</w:t>
                  </w:r>
                </w:p>
              </w:tc>
              <w:tc>
                <w:tcPr>
                  <w:tcW w:w="1509" w:type="pct"/>
                  <w:tcBorders>
                    <w:top w:val="single" w:color="auto" w:sz="4" w:space="0"/>
                    <w:left w:val="single" w:color="auto" w:sz="4" w:space="0"/>
                    <w:bottom w:val="single" w:color="auto" w:sz="4" w:space="0"/>
                    <w:right w:val="single" w:color="auto" w:sz="4" w:space="0"/>
                  </w:tcBorders>
                  <w:noWrap w:val="0"/>
                  <w:vAlign w:val="center"/>
                </w:tcPr>
                <w:p w14:paraId="0CC1AD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cs="Times New Roman"/>
                      <w:bCs/>
                      <w:color w:val="auto"/>
                      <w:sz w:val="22"/>
                      <w:szCs w:val="22"/>
                    </w:rPr>
                    <w:t>项目</w:t>
                  </w:r>
                  <w:r>
                    <w:rPr>
                      <w:rFonts w:hint="eastAsia" w:ascii="Times New Roman" w:cs="Times New Roman"/>
                      <w:bCs/>
                      <w:color w:val="auto"/>
                      <w:sz w:val="22"/>
                      <w:szCs w:val="22"/>
                      <w:lang w:val="en-US" w:eastAsia="zh-CN"/>
                    </w:rPr>
                    <w:t>为车用隔热保温材料生产，不属于新建、扩建化工园区和化工项目</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6CE0B2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符合</w:t>
                  </w:r>
                </w:p>
              </w:tc>
            </w:tr>
            <w:tr w14:paraId="7741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14:paraId="6F4CC2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ascii="Times New Roman" w:hAnsi="Times New Roman" w:cs="Times New Roman"/>
                      <w:color w:val="auto"/>
                      <w:sz w:val="22"/>
                      <w:szCs w:val="22"/>
                    </w:rPr>
                    <w:t>15</w:t>
                  </w:r>
                </w:p>
              </w:tc>
              <w:tc>
                <w:tcPr>
                  <w:tcW w:w="2494" w:type="pct"/>
                  <w:tcBorders>
                    <w:top w:val="single" w:color="auto" w:sz="4" w:space="0"/>
                    <w:left w:val="single" w:color="auto" w:sz="4" w:space="0"/>
                    <w:bottom w:val="single" w:color="auto" w:sz="4" w:space="0"/>
                    <w:right w:val="single" w:color="auto" w:sz="4" w:space="0"/>
                  </w:tcBorders>
                  <w:noWrap w:val="0"/>
                  <w:vAlign w:val="center"/>
                </w:tcPr>
                <w:p w14:paraId="668AFD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禁止在长江</w:t>
                  </w:r>
                  <w:r>
                    <w:rPr>
                      <w:rFonts w:hint="eastAsia" w:cs="Times New Roman"/>
                      <w:color w:val="auto"/>
                      <w:sz w:val="22"/>
                      <w:szCs w:val="22"/>
                      <w:lang w:eastAsia="zh-CN"/>
                    </w:rPr>
                    <w:t>干流</w:t>
                  </w:r>
                  <w:r>
                    <w:rPr>
                      <w:rFonts w:hint="eastAsia" w:ascii="Times New Roman" w:hAnsi="Times New Roman" w:cs="Times New Roman"/>
                      <w:color w:val="auto"/>
                      <w:sz w:val="22"/>
                      <w:szCs w:val="22"/>
                    </w:rPr>
                    <w:t>岸线三公里范围内和重要支流岸线一公里范围内新建、改建、扩建尾矿库、冶炼渣库、磷石膏</w:t>
                  </w:r>
                  <w:r>
                    <w:rPr>
                      <w:rFonts w:hint="eastAsia" w:ascii="Times New Roman" w:hAnsi="Times New Roman" w:cs="Times New Roman"/>
                      <w:bCs/>
                      <w:color w:val="auto"/>
                      <w:sz w:val="22"/>
                      <w:szCs w:val="22"/>
                    </w:rPr>
                    <w:t>库，以提升安全、生态环境保护水平为目的的改建除外</w:t>
                  </w:r>
                </w:p>
              </w:tc>
              <w:tc>
                <w:tcPr>
                  <w:tcW w:w="1509" w:type="pct"/>
                  <w:tcBorders>
                    <w:top w:val="single" w:color="auto" w:sz="4" w:space="0"/>
                    <w:left w:val="single" w:color="auto" w:sz="4" w:space="0"/>
                    <w:bottom w:val="single" w:color="auto" w:sz="4" w:space="0"/>
                    <w:right w:val="single" w:color="auto" w:sz="4" w:space="0"/>
                  </w:tcBorders>
                  <w:noWrap w:val="0"/>
                  <w:vAlign w:val="center"/>
                </w:tcPr>
                <w:p w14:paraId="5F1EEE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ascii="Times New Roman"/>
                      <w:color w:val="auto"/>
                      <w:spacing w:val="-2"/>
                      <w:sz w:val="22"/>
                      <w:szCs w:val="22"/>
                    </w:rPr>
                    <w:t>项目属于</w:t>
                  </w:r>
                  <w:r>
                    <w:rPr>
                      <w:rFonts w:hint="eastAsia" w:ascii="Times New Roman" w:cs="Times New Roman"/>
                      <w:bCs/>
                      <w:color w:val="auto"/>
                      <w:sz w:val="22"/>
                      <w:szCs w:val="22"/>
                      <w:lang w:val="en-US" w:eastAsia="zh-CN"/>
                    </w:rPr>
                    <w:t>车用隔热保温材料生产</w:t>
                  </w:r>
                  <w:r>
                    <w:rPr>
                      <w:rFonts w:hint="eastAsia" w:ascii="Times New Roman" w:cs="Times New Roman"/>
                      <w:bCs/>
                      <w:color w:val="auto"/>
                      <w:sz w:val="22"/>
                      <w:szCs w:val="22"/>
                    </w:rPr>
                    <w:t>，</w:t>
                  </w:r>
                  <w:r>
                    <w:rPr>
                      <w:rFonts w:hint="eastAsia" w:ascii="Times New Roman" w:hAnsi="Times New Roman" w:cs="Times New Roman"/>
                      <w:color w:val="auto"/>
                      <w:sz w:val="22"/>
                      <w:szCs w:val="22"/>
                    </w:rPr>
                    <w:t>项目不涉及尾矿库、冶炼渣库、磷石膏</w:t>
                  </w:r>
                  <w:r>
                    <w:rPr>
                      <w:rFonts w:hint="eastAsia" w:ascii="Times New Roman" w:hAnsi="Times New Roman" w:cs="Times New Roman"/>
                      <w:bCs/>
                      <w:color w:val="auto"/>
                      <w:sz w:val="22"/>
                      <w:szCs w:val="22"/>
                    </w:rPr>
                    <w:t>库</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0E645C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符合</w:t>
                  </w:r>
                </w:p>
              </w:tc>
            </w:tr>
            <w:tr w14:paraId="25029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14:paraId="115A35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ascii="Times New Roman" w:hAnsi="Times New Roman" w:cs="Times New Roman"/>
                      <w:color w:val="auto"/>
                      <w:sz w:val="22"/>
                      <w:szCs w:val="22"/>
                    </w:rPr>
                    <w:t>16</w:t>
                  </w:r>
                </w:p>
              </w:tc>
              <w:tc>
                <w:tcPr>
                  <w:tcW w:w="2494" w:type="pct"/>
                  <w:tcBorders>
                    <w:top w:val="single" w:color="auto" w:sz="4" w:space="0"/>
                    <w:left w:val="single" w:color="auto" w:sz="4" w:space="0"/>
                    <w:bottom w:val="single" w:color="auto" w:sz="4" w:space="0"/>
                    <w:right w:val="single" w:color="auto" w:sz="4" w:space="0"/>
                  </w:tcBorders>
                  <w:noWrap w:val="0"/>
                  <w:vAlign w:val="center"/>
                </w:tcPr>
                <w:p w14:paraId="3BC040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bCs/>
                      <w:color w:val="auto"/>
                      <w:sz w:val="22"/>
                      <w:szCs w:val="22"/>
                    </w:rPr>
                    <w:t>禁止在生态保护红线区域、永久基本农田集中区域和其他需要特别保护的区域内选址建设尾矿库、冶炼渣库、磷石膏库</w:t>
                  </w:r>
                </w:p>
              </w:tc>
              <w:tc>
                <w:tcPr>
                  <w:tcW w:w="1509" w:type="pct"/>
                  <w:tcBorders>
                    <w:top w:val="single" w:color="auto" w:sz="4" w:space="0"/>
                    <w:left w:val="single" w:color="auto" w:sz="4" w:space="0"/>
                    <w:bottom w:val="single" w:color="auto" w:sz="4" w:space="0"/>
                    <w:right w:val="single" w:color="auto" w:sz="4" w:space="0"/>
                  </w:tcBorders>
                  <w:noWrap w:val="0"/>
                  <w:vAlign w:val="center"/>
                </w:tcPr>
                <w:p w14:paraId="089EF5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项目不涉及</w:t>
                  </w:r>
                  <w:r>
                    <w:rPr>
                      <w:rFonts w:hint="eastAsia" w:ascii="Times New Roman" w:hAnsi="Times New Roman" w:cs="Times New Roman"/>
                      <w:bCs/>
                      <w:color w:val="auto"/>
                      <w:sz w:val="22"/>
                      <w:szCs w:val="22"/>
                    </w:rPr>
                    <w:t>生态保护红线区域、永久基本农田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671EC6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符合</w:t>
                  </w:r>
                </w:p>
              </w:tc>
            </w:tr>
            <w:tr w14:paraId="5AE4C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14:paraId="59BC09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ascii="Times New Roman" w:hAnsi="Times New Roman" w:cs="Times New Roman"/>
                      <w:color w:val="auto"/>
                      <w:sz w:val="22"/>
                      <w:szCs w:val="22"/>
                    </w:rPr>
                    <w:t>17</w:t>
                  </w:r>
                </w:p>
              </w:tc>
              <w:tc>
                <w:tcPr>
                  <w:tcW w:w="2494" w:type="pct"/>
                  <w:tcBorders>
                    <w:top w:val="single" w:color="auto" w:sz="4" w:space="0"/>
                    <w:left w:val="single" w:color="auto" w:sz="4" w:space="0"/>
                    <w:bottom w:val="single" w:color="auto" w:sz="4" w:space="0"/>
                    <w:right w:val="single" w:color="auto" w:sz="4" w:space="0"/>
                  </w:tcBorders>
                  <w:noWrap w:val="0"/>
                  <w:vAlign w:val="center"/>
                </w:tcPr>
                <w:p w14:paraId="48D273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禁止在合规园区外新建、扩建钢铁、石化、化</w:t>
                  </w:r>
                  <w:r>
                    <w:rPr>
                      <w:rFonts w:hint="eastAsia" w:ascii="Times New Roman" w:hAnsi="Times New Roman" w:cs="Times New Roman"/>
                      <w:bCs/>
                      <w:color w:val="auto"/>
                      <w:sz w:val="22"/>
                      <w:szCs w:val="22"/>
                    </w:rPr>
                    <w:t>工、焦化、建材、有色、制浆造纸等高污染项目</w:t>
                  </w:r>
                </w:p>
              </w:tc>
              <w:tc>
                <w:tcPr>
                  <w:tcW w:w="1509" w:type="pct"/>
                  <w:tcBorders>
                    <w:top w:val="single" w:color="auto" w:sz="4" w:space="0"/>
                    <w:left w:val="single" w:color="auto" w:sz="4" w:space="0"/>
                    <w:bottom w:val="single" w:color="auto" w:sz="4" w:space="0"/>
                    <w:right w:val="single" w:color="auto" w:sz="4" w:space="0"/>
                  </w:tcBorders>
                  <w:noWrap w:val="0"/>
                  <w:vAlign w:val="center"/>
                </w:tcPr>
                <w:p w14:paraId="1F1A63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项目位于</w:t>
                  </w:r>
                  <w:r>
                    <w:rPr>
                      <w:rFonts w:hint="eastAsia" w:ascii="Times New Roman" w:hAnsi="Times New Roman" w:cs="Times New Roman"/>
                      <w:color w:val="auto"/>
                      <w:sz w:val="22"/>
                      <w:szCs w:val="22"/>
                      <w:lang w:val="en-US" w:eastAsia="zh-CN"/>
                    </w:rPr>
                    <w:t>南溪组团B区</w:t>
                  </w:r>
                  <w:r>
                    <w:rPr>
                      <w:rFonts w:hint="eastAsia" w:ascii="Times New Roman" w:hAnsi="Times New Roman" w:cs="Times New Roman"/>
                      <w:color w:val="auto"/>
                      <w:sz w:val="22"/>
                      <w:szCs w:val="22"/>
                    </w:rPr>
                    <w:t>，属为合规园区。不属于前述高污染项目</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76B251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符合</w:t>
                  </w:r>
                </w:p>
              </w:tc>
            </w:tr>
            <w:tr w14:paraId="570D9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14:paraId="01351F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ascii="Times New Roman" w:hAnsi="Times New Roman" w:cs="Times New Roman"/>
                      <w:color w:val="auto"/>
                      <w:sz w:val="22"/>
                      <w:szCs w:val="22"/>
                    </w:rPr>
                    <w:t>18</w:t>
                  </w:r>
                </w:p>
              </w:tc>
              <w:tc>
                <w:tcPr>
                  <w:tcW w:w="2494" w:type="pct"/>
                  <w:tcBorders>
                    <w:top w:val="single" w:color="auto" w:sz="4" w:space="0"/>
                    <w:left w:val="single" w:color="auto" w:sz="4" w:space="0"/>
                    <w:bottom w:val="single" w:color="auto" w:sz="4" w:space="0"/>
                    <w:right w:val="single" w:color="auto" w:sz="4" w:space="0"/>
                  </w:tcBorders>
                  <w:noWrap w:val="0"/>
                  <w:vAlign w:val="center"/>
                </w:tcPr>
                <w:p w14:paraId="5220BE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禁止新建、扩建不符合国家石化、现代煤化工</w:t>
                  </w:r>
                </w:p>
                <w:p w14:paraId="526F80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bCs/>
                      <w:color w:val="auto"/>
                      <w:sz w:val="22"/>
                      <w:szCs w:val="22"/>
                    </w:rPr>
                    <w:t>等产业布局规划的项目</w:t>
                  </w:r>
                </w:p>
              </w:tc>
              <w:tc>
                <w:tcPr>
                  <w:tcW w:w="1509" w:type="pct"/>
                  <w:tcBorders>
                    <w:top w:val="single" w:color="auto" w:sz="4" w:space="0"/>
                    <w:left w:val="single" w:color="auto" w:sz="4" w:space="0"/>
                    <w:bottom w:val="single" w:color="auto" w:sz="4" w:space="0"/>
                    <w:right w:val="single" w:color="auto" w:sz="4" w:space="0"/>
                  </w:tcBorders>
                  <w:noWrap w:val="0"/>
                  <w:vAlign w:val="center"/>
                </w:tcPr>
                <w:p w14:paraId="2176B5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项目不涉及石化、现代煤化工</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546A42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符合</w:t>
                  </w:r>
                </w:p>
              </w:tc>
            </w:tr>
            <w:tr w14:paraId="30E1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14:paraId="50DAA0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ascii="Times New Roman" w:hAnsi="Times New Roman" w:cs="Times New Roman"/>
                      <w:color w:val="auto"/>
                      <w:sz w:val="22"/>
                      <w:szCs w:val="22"/>
                    </w:rPr>
                    <w:t>19</w:t>
                  </w:r>
                </w:p>
              </w:tc>
              <w:tc>
                <w:tcPr>
                  <w:tcW w:w="2494" w:type="pct"/>
                  <w:tcBorders>
                    <w:top w:val="single" w:color="auto" w:sz="4" w:space="0"/>
                    <w:left w:val="single" w:color="auto" w:sz="4" w:space="0"/>
                    <w:bottom w:val="single" w:color="auto" w:sz="4" w:space="0"/>
                    <w:right w:val="single" w:color="auto" w:sz="4" w:space="0"/>
                  </w:tcBorders>
                  <w:noWrap w:val="0"/>
                  <w:vAlign w:val="center"/>
                </w:tcPr>
                <w:p w14:paraId="34AAAA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禁止新建、扩建法律法规和相关政策明令禁止</w:t>
                  </w:r>
                </w:p>
                <w:p w14:paraId="02A939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的落后产能项目。对《产业结构调整指导目录》中淘汰类项目，禁止投资；</w:t>
                  </w:r>
                  <w:r>
                    <w:rPr>
                      <w:rFonts w:ascii="Times New Roman" w:hAnsi="Times New Roman" w:cs="Times New Roman"/>
                      <w:color w:val="auto"/>
                      <w:sz w:val="22"/>
                      <w:szCs w:val="22"/>
                    </w:rPr>
                    <w:t xml:space="preserve"> </w:t>
                  </w:r>
                  <w:r>
                    <w:rPr>
                      <w:rFonts w:hint="eastAsia" w:ascii="Times New Roman" w:hAnsi="Times New Roman" w:cs="Times New Roman"/>
                      <w:color w:val="auto"/>
                      <w:sz w:val="22"/>
                      <w:szCs w:val="22"/>
                    </w:rPr>
                    <w:t>限制类的新建项目，禁止投资，对属于限制类的现有</w:t>
                  </w:r>
                  <w:r>
                    <w:rPr>
                      <w:rFonts w:hint="eastAsia" w:ascii="Times New Roman" w:hAnsi="Times New Roman" w:cs="Times New Roman"/>
                      <w:bCs/>
                      <w:color w:val="auto"/>
                      <w:sz w:val="22"/>
                      <w:szCs w:val="22"/>
                    </w:rPr>
                    <w:t>生产能力，允许企业在一定期限内采取措施改造升级</w:t>
                  </w:r>
                </w:p>
              </w:tc>
              <w:tc>
                <w:tcPr>
                  <w:tcW w:w="1509" w:type="pct"/>
                  <w:tcBorders>
                    <w:top w:val="single" w:color="auto" w:sz="4" w:space="0"/>
                    <w:left w:val="single" w:color="auto" w:sz="4" w:space="0"/>
                    <w:bottom w:val="single" w:color="auto" w:sz="4" w:space="0"/>
                    <w:right w:val="single" w:color="auto" w:sz="4" w:space="0"/>
                  </w:tcBorders>
                  <w:noWrap w:val="0"/>
                  <w:vAlign w:val="center"/>
                </w:tcPr>
                <w:p w14:paraId="5DBC9C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项目不属于法律法规和相关政策明令禁止的落后产能项目</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441840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符合</w:t>
                  </w:r>
                </w:p>
              </w:tc>
            </w:tr>
            <w:tr w14:paraId="3A8F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14:paraId="4B94BA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ascii="Times New Roman" w:hAnsi="Times New Roman" w:cs="Times New Roman"/>
                      <w:color w:val="auto"/>
                      <w:sz w:val="22"/>
                      <w:szCs w:val="22"/>
                    </w:rPr>
                    <w:t>20</w:t>
                  </w:r>
                </w:p>
              </w:tc>
              <w:tc>
                <w:tcPr>
                  <w:tcW w:w="2494" w:type="pct"/>
                  <w:tcBorders>
                    <w:top w:val="single" w:color="auto" w:sz="4" w:space="0"/>
                    <w:left w:val="single" w:color="auto" w:sz="4" w:space="0"/>
                    <w:bottom w:val="single" w:color="auto" w:sz="4" w:space="0"/>
                    <w:right w:val="single" w:color="auto" w:sz="4" w:space="0"/>
                  </w:tcBorders>
                  <w:noWrap w:val="0"/>
                  <w:vAlign w:val="center"/>
                </w:tcPr>
                <w:p w14:paraId="55ACFD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禁止新建、扩建不符合国家产能置换要求的严重过剩产能行业的项目。对于不符合国家产能置换要求的严重过</w:t>
                  </w:r>
                  <w:r>
                    <w:rPr>
                      <w:rFonts w:hint="eastAsia" w:ascii="Times New Roman" w:hAnsi="Times New Roman" w:cs="Times New Roman"/>
                      <w:bCs/>
                      <w:color w:val="auto"/>
                      <w:sz w:val="22"/>
                      <w:szCs w:val="22"/>
                    </w:rPr>
                    <w:t>剩产能行业，不得以其他任何名义、任何方式备案新增产能项目</w:t>
                  </w:r>
                </w:p>
              </w:tc>
              <w:tc>
                <w:tcPr>
                  <w:tcW w:w="1509" w:type="pct"/>
                  <w:tcBorders>
                    <w:top w:val="single" w:color="auto" w:sz="4" w:space="0"/>
                    <w:left w:val="single" w:color="auto" w:sz="4" w:space="0"/>
                    <w:bottom w:val="single" w:color="auto" w:sz="4" w:space="0"/>
                    <w:right w:val="single" w:color="auto" w:sz="4" w:space="0"/>
                  </w:tcBorders>
                  <w:noWrap w:val="0"/>
                  <w:vAlign w:val="center"/>
                </w:tcPr>
                <w:p w14:paraId="1AC1EA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ascii="Times New Roman"/>
                      <w:color w:val="auto"/>
                      <w:spacing w:val="-2"/>
                      <w:sz w:val="22"/>
                      <w:szCs w:val="22"/>
                    </w:rPr>
                    <w:t>项目</w:t>
                  </w:r>
                  <w:r>
                    <w:rPr>
                      <w:rFonts w:hint="eastAsia" w:ascii="Times New Roman"/>
                      <w:color w:val="auto"/>
                      <w:spacing w:val="-2"/>
                      <w:sz w:val="22"/>
                      <w:szCs w:val="22"/>
                      <w:lang w:val="en-US" w:eastAsia="zh-CN"/>
                    </w:rPr>
                    <w:t>为</w:t>
                  </w:r>
                  <w:r>
                    <w:rPr>
                      <w:rFonts w:hint="eastAsia" w:ascii="Times New Roman" w:cs="Times New Roman"/>
                      <w:bCs/>
                      <w:color w:val="auto"/>
                      <w:sz w:val="22"/>
                      <w:szCs w:val="22"/>
                      <w:lang w:val="en-US" w:eastAsia="zh-CN"/>
                    </w:rPr>
                    <w:t>车用隔热保温材料生产</w:t>
                  </w:r>
                  <w:r>
                    <w:rPr>
                      <w:rFonts w:hint="eastAsia" w:ascii="Times New Roman"/>
                      <w:color w:val="auto"/>
                      <w:spacing w:val="-2"/>
                      <w:sz w:val="22"/>
                      <w:szCs w:val="22"/>
                    </w:rPr>
                    <w:t>，</w:t>
                  </w:r>
                  <w:r>
                    <w:rPr>
                      <w:rFonts w:hint="eastAsia" w:ascii="Times New Roman" w:hAnsi="Times New Roman" w:cs="Times New Roman"/>
                      <w:color w:val="auto"/>
                      <w:sz w:val="22"/>
                      <w:szCs w:val="22"/>
                    </w:rPr>
                    <w:t>不属于产能过剩项目</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3D0F57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符合</w:t>
                  </w:r>
                </w:p>
              </w:tc>
            </w:tr>
            <w:tr w14:paraId="667EA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14:paraId="4268E1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ascii="Times New Roman" w:hAnsi="Times New Roman" w:cs="Times New Roman"/>
                      <w:color w:val="auto"/>
                      <w:sz w:val="22"/>
                      <w:szCs w:val="22"/>
                    </w:rPr>
                    <w:t>21</w:t>
                  </w:r>
                </w:p>
              </w:tc>
              <w:tc>
                <w:tcPr>
                  <w:tcW w:w="2494" w:type="pct"/>
                  <w:tcBorders>
                    <w:top w:val="single" w:color="auto" w:sz="4" w:space="0"/>
                    <w:left w:val="single" w:color="auto" w:sz="4" w:space="0"/>
                    <w:bottom w:val="single" w:color="auto" w:sz="4" w:space="0"/>
                    <w:right w:val="single" w:color="auto" w:sz="4" w:space="0"/>
                  </w:tcBorders>
                  <w:noWrap w:val="0"/>
                  <w:vAlign w:val="center"/>
                </w:tcPr>
                <w:p w14:paraId="234BA9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Cs/>
                      <w:color w:val="auto"/>
                      <w:sz w:val="22"/>
                      <w:szCs w:val="22"/>
                    </w:rPr>
                  </w:pPr>
                  <w:r>
                    <w:rPr>
                      <w:rFonts w:hint="eastAsia" w:ascii="Times New Roman" w:hAnsi="Times New Roman" w:cs="Times New Roman"/>
                      <w:color w:val="auto"/>
                      <w:sz w:val="22"/>
                      <w:szCs w:val="22"/>
                    </w:rPr>
                    <w:t>禁止建设以下燃油汽车投资项目（不在</w:t>
                  </w:r>
                  <w:r>
                    <w:rPr>
                      <w:rFonts w:hint="eastAsia" w:cs="Times New Roman"/>
                      <w:color w:val="auto"/>
                      <w:sz w:val="22"/>
                      <w:szCs w:val="22"/>
                      <w:lang w:eastAsia="zh-CN"/>
                    </w:rPr>
                    <w:t>中国</w:t>
                  </w:r>
                  <w:r>
                    <w:rPr>
                      <w:rFonts w:hint="eastAsia" w:ascii="Times New Roman" w:hAnsi="Times New Roman" w:cs="Times New Roman"/>
                      <w:color w:val="auto"/>
                      <w:sz w:val="22"/>
                      <w:szCs w:val="22"/>
                    </w:rPr>
                    <w:t>境</w:t>
                  </w:r>
                  <w:r>
                    <w:rPr>
                      <w:rFonts w:hint="eastAsia" w:ascii="Times New Roman" w:hAnsi="Times New Roman" w:cs="Times New Roman"/>
                      <w:bCs/>
                      <w:color w:val="auto"/>
                      <w:sz w:val="22"/>
                      <w:szCs w:val="22"/>
                    </w:rPr>
                    <w:t>内销售产品的投资项目除外）：</w:t>
                  </w:r>
                </w:p>
                <w:p w14:paraId="6629EB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（一）新建独立燃油汽车企业；</w:t>
                  </w:r>
                </w:p>
                <w:p w14:paraId="227B4E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（二）现有汽车企业跨乘用车、商用车类别建设燃油汽车生产能力；</w:t>
                  </w:r>
                </w:p>
                <w:p w14:paraId="623F24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（三）外省现有燃油汽车企业整体搬迁至本省（列入国家级区域发展规划或不改变企业股权结构的项目除外）；</w:t>
                  </w:r>
                </w:p>
                <w:p w14:paraId="781DE4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（四）对行业管理部门特别公示的燃油汽车企业进行投资（企</w:t>
                  </w:r>
                  <w:r>
                    <w:rPr>
                      <w:rFonts w:hint="eastAsia" w:ascii="Times New Roman" w:hAnsi="Times New Roman" w:cs="Times New Roman"/>
                      <w:bCs/>
                      <w:color w:val="auto"/>
                      <w:sz w:val="22"/>
                      <w:szCs w:val="22"/>
                    </w:rPr>
                    <w:t>业原有股东投资或将该企业转为非独立法人的投资项目除外）</w:t>
                  </w:r>
                </w:p>
              </w:tc>
              <w:tc>
                <w:tcPr>
                  <w:tcW w:w="1509" w:type="pct"/>
                  <w:tcBorders>
                    <w:top w:val="single" w:color="auto" w:sz="4" w:space="0"/>
                    <w:left w:val="single" w:color="auto" w:sz="4" w:space="0"/>
                    <w:bottom w:val="single" w:color="auto" w:sz="4" w:space="0"/>
                    <w:right w:val="single" w:color="auto" w:sz="4" w:space="0"/>
                  </w:tcBorders>
                  <w:noWrap w:val="0"/>
                  <w:vAlign w:val="center"/>
                </w:tcPr>
                <w:p w14:paraId="5EE66E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ascii="Times New Roman"/>
                      <w:color w:val="auto"/>
                      <w:spacing w:val="-2"/>
                      <w:sz w:val="22"/>
                      <w:szCs w:val="22"/>
                    </w:rPr>
                    <w:t>项目</w:t>
                  </w:r>
                  <w:r>
                    <w:rPr>
                      <w:rFonts w:hint="eastAsia" w:ascii="Times New Roman"/>
                      <w:color w:val="auto"/>
                      <w:spacing w:val="-2"/>
                      <w:sz w:val="22"/>
                      <w:szCs w:val="22"/>
                      <w:lang w:val="en-US" w:eastAsia="zh-CN"/>
                    </w:rPr>
                    <w:t>为</w:t>
                  </w:r>
                  <w:r>
                    <w:rPr>
                      <w:rFonts w:hint="eastAsia" w:ascii="Times New Roman" w:cs="Times New Roman"/>
                      <w:bCs/>
                      <w:color w:val="auto"/>
                      <w:sz w:val="22"/>
                      <w:szCs w:val="22"/>
                      <w:lang w:val="en-US" w:eastAsia="zh-CN"/>
                    </w:rPr>
                    <w:t>车用隔热保温材料生产</w:t>
                  </w:r>
                  <w:r>
                    <w:rPr>
                      <w:rFonts w:hint="eastAsia" w:ascii="Times New Roman" w:cs="Times New Roman"/>
                      <w:bCs/>
                      <w:color w:val="auto"/>
                      <w:sz w:val="22"/>
                      <w:szCs w:val="22"/>
                    </w:rPr>
                    <w:t>，</w:t>
                  </w:r>
                  <w:r>
                    <w:rPr>
                      <w:rFonts w:hint="eastAsia" w:ascii="Times New Roman" w:hAnsi="Times New Roman" w:cs="Times New Roman"/>
                      <w:color w:val="auto"/>
                      <w:sz w:val="22"/>
                      <w:szCs w:val="22"/>
                    </w:rPr>
                    <w:t>项目不属于燃油汽车行业</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031E9C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符合</w:t>
                  </w:r>
                </w:p>
              </w:tc>
            </w:tr>
            <w:tr w14:paraId="690B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14:paraId="130E77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ascii="Times New Roman" w:hAnsi="Times New Roman" w:cs="Times New Roman"/>
                      <w:color w:val="auto"/>
                      <w:sz w:val="22"/>
                      <w:szCs w:val="22"/>
                    </w:rPr>
                    <w:t>22</w:t>
                  </w:r>
                </w:p>
              </w:tc>
              <w:tc>
                <w:tcPr>
                  <w:tcW w:w="2494" w:type="pct"/>
                  <w:tcBorders>
                    <w:top w:val="single" w:color="auto" w:sz="4" w:space="0"/>
                    <w:left w:val="single" w:color="auto" w:sz="4" w:space="0"/>
                    <w:bottom w:val="single" w:color="auto" w:sz="4" w:space="0"/>
                    <w:right w:val="single" w:color="auto" w:sz="4" w:space="0"/>
                  </w:tcBorders>
                  <w:noWrap w:val="0"/>
                  <w:vAlign w:val="center"/>
                </w:tcPr>
                <w:p w14:paraId="04DB92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禁止新建、扩建不符合要求的高耗能、高排放、</w:t>
                  </w:r>
                  <w:r>
                    <w:rPr>
                      <w:rFonts w:hint="eastAsia" w:ascii="Times New Roman" w:hAnsi="Times New Roman" w:cs="Times New Roman"/>
                      <w:bCs/>
                      <w:color w:val="auto"/>
                      <w:sz w:val="22"/>
                      <w:szCs w:val="22"/>
                    </w:rPr>
                    <w:t>低水平项目</w:t>
                  </w:r>
                </w:p>
              </w:tc>
              <w:tc>
                <w:tcPr>
                  <w:tcW w:w="1509" w:type="pct"/>
                  <w:tcBorders>
                    <w:top w:val="single" w:color="auto" w:sz="4" w:space="0"/>
                    <w:left w:val="single" w:color="auto" w:sz="4" w:space="0"/>
                    <w:bottom w:val="single" w:color="auto" w:sz="4" w:space="0"/>
                    <w:right w:val="single" w:color="auto" w:sz="4" w:space="0"/>
                  </w:tcBorders>
                  <w:noWrap w:val="0"/>
                  <w:vAlign w:val="center"/>
                </w:tcPr>
                <w:p w14:paraId="5FCE6A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ascii="Times New Roman"/>
                      <w:color w:val="auto"/>
                      <w:spacing w:val="-2"/>
                      <w:sz w:val="22"/>
                      <w:szCs w:val="22"/>
                    </w:rPr>
                    <w:t>项目</w:t>
                  </w:r>
                  <w:r>
                    <w:rPr>
                      <w:rFonts w:hint="eastAsia" w:ascii="Times New Roman"/>
                      <w:color w:val="auto"/>
                      <w:spacing w:val="-2"/>
                      <w:sz w:val="22"/>
                      <w:szCs w:val="22"/>
                      <w:lang w:val="en-US" w:eastAsia="zh-CN"/>
                    </w:rPr>
                    <w:t>为</w:t>
                  </w:r>
                  <w:r>
                    <w:rPr>
                      <w:rFonts w:hint="eastAsia" w:ascii="Times New Roman" w:cs="Times New Roman"/>
                      <w:bCs/>
                      <w:color w:val="auto"/>
                      <w:sz w:val="22"/>
                      <w:szCs w:val="22"/>
                      <w:lang w:val="en-US" w:eastAsia="zh-CN"/>
                    </w:rPr>
                    <w:t>车用隔热保温材料生产</w:t>
                  </w:r>
                  <w:r>
                    <w:rPr>
                      <w:rFonts w:hint="eastAsia" w:ascii="Times New Roman"/>
                      <w:color w:val="auto"/>
                      <w:spacing w:val="-2"/>
                      <w:sz w:val="22"/>
                      <w:szCs w:val="22"/>
                    </w:rPr>
                    <w:t>，</w:t>
                  </w:r>
                  <w:r>
                    <w:rPr>
                      <w:rFonts w:hint="eastAsia" w:ascii="Times New Roman" w:cs="Times New Roman"/>
                      <w:bCs/>
                      <w:color w:val="auto"/>
                      <w:sz w:val="22"/>
                      <w:szCs w:val="22"/>
                    </w:rPr>
                    <w:t>不属于</w:t>
                  </w:r>
                  <w:r>
                    <w:rPr>
                      <w:rFonts w:ascii="Times New Roman" w:hAnsi="Times New Roman" w:cs="Times New Roman"/>
                      <w:color w:val="auto"/>
                      <w:sz w:val="22"/>
                      <w:szCs w:val="22"/>
                    </w:rPr>
                    <w:t>法律法规和相关政策明令禁止的落后产能项目</w:t>
                  </w:r>
                  <w:r>
                    <w:rPr>
                      <w:rFonts w:hint="eastAsia" w:ascii="Times New Roman" w:cs="Times New Roman"/>
                      <w:color w:val="auto"/>
                      <w:sz w:val="22"/>
                      <w:szCs w:val="22"/>
                    </w:rPr>
                    <w:t>，</w:t>
                  </w:r>
                  <w:r>
                    <w:rPr>
                      <w:rFonts w:hint="eastAsia" w:cs="Times New Roman"/>
                      <w:color w:val="auto"/>
                      <w:sz w:val="22"/>
                      <w:szCs w:val="22"/>
                      <w:lang w:val="en-US" w:eastAsia="zh-CN"/>
                    </w:rPr>
                    <w:t>不属于高耗能、高排放、低水平项目</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569A07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符合</w:t>
                  </w:r>
                </w:p>
              </w:tc>
            </w:tr>
          </w:tbl>
          <w:p w14:paraId="2EE14439">
            <w:pPr>
              <w:pageBreakBefore w:val="0"/>
              <w:widowControl w:val="0"/>
              <w:kinsoku/>
              <w:wordWrap/>
              <w:overflowPunct/>
              <w:topLinePunct w:val="0"/>
              <w:autoSpaceDE/>
              <w:autoSpaceDN/>
              <w:bidi w:val="0"/>
              <w:adjustRightInd w:val="0"/>
              <w:snapToGrid w:val="0"/>
              <w:spacing w:line="460" w:lineRule="exact"/>
              <w:ind w:left="0" w:leftChars="0"/>
              <w:textAlignment w:val="auto"/>
              <w:rPr>
                <w:rFonts w:hint="eastAsia"/>
                <w:color w:val="auto"/>
                <w:sz w:val="26"/>
                <w:szCs w:val="26"/>
              </w:rPr>
            </w:pPr>
          </w:p>
          <w:p w14:paraId="4B14FBDD">
            <w:pPr>
              <w:pageBreakBefore w:val="0"/>
              <w:widowControl w:val="0"/>
              <w:kinsoku/>
              <w:wordWrap/>
              <w:overflowPunct/>
              <w:topLinePunct w:val="0"/>
              <w:autoSpaceDE/>
              <w:autoSpaceDN/>
              <w:bidi w:val="0"/>
              <w:adjustRightInd w:val="0"/>
              <w:snapToGrid w:val="0"/>
              <w:spacing w:line="460" w:lineRule="exact"/>
              <w:ind w:left="0" w:leftChars="0"/>
              <w:textAlignment w:val="auto"/>
              <w:rPr>
                <w:color w:val="auto"/>
                <w:sz w:val="26"/>
                <w:szCs w:val="26"/>
              </w:rPr>
            </w:pPr>
            <w:r>
              <w:rPr>
                <w:rFonts w:hint="eastAsia"/>
                <w:color w:val="auto"/>
                <w:sz w:val="26"/>
                <w:szCs w:val="26"/>
              </w:rPr>
              <w:t>由表1.</w:t>
            </w:r>
            <w:r>
              <w:rPr>
                <w:rFonts w:hint="eastAsia"/>
                <w:color w:val="auto"/>
                <w:sz w:val="26"/>
                <w:szCs w:val="26"/>
                <w:lang w:val="en-US" w:eastAsia="zh-CN"/>
              </w:rPr>
              <w:t>2-2</w:t>
            </w:r>
            <w:r>
              <w:rPr>
                <w:rFonts w:hint="eastAsia"/>
                <w:color w:val="auto"/>
                <w:sz w:val="26"/>
                <w:szCs w:val="26"/>
              </w:rPr>
              <w:t>可知，本项目符合《四川省、重庆市长江经济带发展负面清单实施细则（试行，2022年版）》相关要求。</w:t>
            </w:r>
          </w:p>
          <w:p w14:paraId="090EC9D6">
            <w:pPr>
              <w:pStyle w:val="4"/>
              <w:pageBreakBefore w:val="0"/>
              <w:widowControl w:val="0"/>
              <w:kinsoku/>
              <w:wordWrap/>
              <w:overflowPunct/>
              <w:topLinePunct w:val="0"/>
              <w:autoSpaceDE/>
              <w:autoSpaceDN/>
              <w:bidi w:val="0"/>
              <w:adjustRightInd w:val="0"/>
              <w:snapToGrid w:val="0"/>
              <w:spacing w:beforeLines="0" w:afterLines="0" w:line="460" w:lineRule="exact"/>
              <w:ind w:left="0" w:leftChars="0"/>
              <w:textAlignment w:val="auto"/>
              <w:rPr>
                <w:rFonts w:hint="eastAsia"/>
                <w:color w:val="auto"/>
                <w:sz w:val="26"/>
                <w:szCs w:val="26"/>
                <w:lang w:val="en-US" w:eastAsia="zh-CN"/>
              </w:rPr>
            </w:pPr>
            <w:r>
              <w:rPr>
                <w:rFonts w:hint="eastAsia"/>
                <w:color w:val="auto"/>
                <w:sz w:val="26"/>
                <w:szCs w:val="26"/>
                <w:lang w:val="en-US" w:eastAsia="zh-CN"/>
              </w:rPr>
              <w:t>1.2.4</w:t>
            </w:r>
            <w:r>
              <w:rPr>
                <w:rFonts w:hint="eastAsia"/>
                <w:color w:val="auto"/>
                <w:sz w:val="26"/>
                <w:szCs w:val="26"/>
                <w:lang w:val="en-US" w:eastAsia="zh-CN"/>
              </w:rPr>
              <w:fldChar w:fldCharType="begin"/>
            </w:r>
            <w:r>
              <w:rPr>
                <w:rFonts w:hint="eastAsia"/>
                <w:color w:val="auto"/>
                <w:sz w:val="26"/>
                <w:szCs w:val="26"/>
                <w:lang w:val="en-US" w:eastAsia="zh-CN"/>
              </w:rPr>
              <w:instrText xml:space="preserve"> HYPERLINK "http://www.hc.gov.cn/xxgk/qzfwj/ghxx/zxgh/202203/t20220311_10493850.html" \o "重庆市合川区人民政府关于印发合川区生态环境保护 \“十四五\”规划的通知" \t "http://www.hc.gov.cn/cqs/_blank" </w:instrText>
            </w:r>
            <w:r>
              <w:rPr>
                <w:rFonts w:hint="eastAsia"/>
                <w:color w:val="auto"/>
                <w:sz w:val="26"/>
                <w:szCs w:val="26"/>
                <w:lang w:val="en-US" w:eastAsia="zh-CN"/>
              </w:rPr>
              <w:fldChar w:fldCharType="separate"/>
            </w:r>
            <w:r>
              <w:rPr>
                <w:rFonts w:hint="eastAsia"/>
                <w:color w:val="auto"/>
                <w:sz w:val="26"/>
                <w:szCs w:val="26"/>
                <w:lang w:val="en-US" w:eastAsia="zh-CN"/>
              </w:rPr>
              <w:t>合川区生态环境保护“十四五”规划</w:t>
            </w:r>
            <w:r>
              <w:rPr>
                <w:rFonts w:hint="eastAsia"/>
                <w:color w:val="auto"/>
                <w:sz w:val="26"/>
                <w:szCs w:val="26"/>
                <w:lang w:val="en-US" w:eastAsia="zh-CN"/>
              </w:rPr>
              <w:fldChar w:fldCharType="end"/>
            </w:r>
            <w:r>
              <w:rPr>
                <w:rFonts w:hint="eastAsia"/>
                <w:color w:val="auto"/>
                <w:sz w:val="26"/>
                <w:szCs w:val="26"/>
                <w:lang w:val="en-US" w:eastAsia="zh-CN"/>
              </w:rPr>
              <w:t>符合性分析</w:t>
            </w:r>
          </w:p>
          <w:p w14:paraId="18A302C4">
            <w:pPr>
              <w:pageBreakBefore w:val="0"/>
              <w:widowControl w:val="0"/>
              <w:kinsoku/>
              <w:wordWrap/>
              <w:overflowPunct/>
              <w:topLinePunct w:val="0"/>
              <w:autoSpaceDE/>
              <w:autoSpaceDN/>
              <w:bidi w:val="0"/>
              <w:adjustRightInd w:val="0"/>
              <w:snapToGrid w:val="0"/>
              <w:spacing w:line="460" w:lineRule="exact"/>
              <w:ind w:left="0" w:leftChars="0"/>
              <w:textAlignment w:val="auto"/>
              <w:rPr>
                <w:rFonts w:hint="eastAsia"/>
                <w:color w:val="auto"/>
                <w:sz w:val="26"/>
                <w:szCs w:val="26"/>
                <w:lang w:val="en-US" w:eastAsia="zh-CN"/>
              </w:rPr>
            </w:pPr>
            <w:r>
              <w:rPr>
                <w:rFonts w:hint="eastAsia"/>
                <w:color w:val="auto"/>
                <w:sz w:val="26"/>
                <w:szCs w:val="26"/>
                <w:lang w:val="en-US" w:eastAsia="zh-CN"/>
              </w:rPr>
              <w:t>本项目与《</w:t>
            </w:r>
            <w:r>
              <w:rPr>
                <w:rFonts w:hint="eastAsia"/>
                <w:color w:val="auto"/>
                <w:sz w:val="26"/>
                <w:szCs w:val="26"/>
                <w:lang w:val="en-US" w:eastAsia="zh-CN"/>
              </w:rPr>
              <w:fldChar w:fldCharType="begin"/>
            </w:r>
            <w:r>
              <w:rPr>
                <w:rFonts w:hint="eastAsia"/>
                <w:color w:val="auto"/>
                <w:sz w:val="26"/>
                <w:szCs w:val="26"/>
                <w:lang w:val="en-US" w:eastAsia="zh-CN"/>
              </w:rPr>
              <w:instrText xml:space="preserve"> HYPERLINK "http://www.hc.gov.cn/xxgk/qzfwj/ghxx/zxgh/202203/t20220311_10493850.html" \o "重庆市合川区人民政府关于印发合川区生态环境保护 \“十四五\”规划的通知" \t "http://www.hc.gov.cn/cqs/_blank" </w:instrText>
            </w:r>
            <w:r>
              <w:rPr>
                <w:rFonts w:hint="eastAsia"/>
                <w:color w:val="auto"/>
                <w:sz w:val="26"/>
                <w:szCs w:val="26"/>
                <w:lang w:val="en-US" w:eastAsia="zh-CN"/>
              </w:rPr>
              <w:fldChar w:fldCharType="separate"/>
            </w:r>
            <w:r>
              <w:rPr>
                <w:rFonts w:hint="eastAsia"/>
                <w:color w:val="auto"/>
                <w:sz w:val="26"/>
                <w:szCs w:val="26"/>
                <w:lang w:val="en-US" w:eastAsia="zh-CN"/>
              </w:rPr>
              <w:t>重庆市合川区人民政府关于印发合川区生态环境保护 “十四五”规划的通知</w:t>
            </w:r>
            <w:r>
              <w:rPr>
                <w:rFonts w:hint="eastAsia"/>
                <w:color w:val="auto"/>
                <w:sz w:val="26"/>
                <w:szCs w:val="26"/>
                <w:lang w:val="en-US" w:eastAsia="zh-CN"/>
              </w:rPr>
              <w:fldChar w:fldCharType="end"/>
            </w:r>
            <w:r>
              <w:rPr>
                <w:rFonts w:hint="eastAsia"/>
                <w:color w:val="auto"/>
                <w:sz w:val="26"/>
                <w:szCs w:val="26"/>
                <w:lang w:val="en-US" w:eastAsia="zh-CN"/>
              </w:rPr>
              <w:t>》（合川府发〔2022〕3号）符合性分析详见下表。</w:t>
            </w:r>
          </w:p>
          <w:p w14:paraId="2603B6AD">
            <w:pPr>
              <w:pageBreakBefore w:val="0"/>
              <w:widowControl w:val="0"/>
              <w:kinsoku/>
              <w:wordWrap/>
              <w:overflowPunct/>
              <w:topLinePunct w:val="0"/>
              <w:autoSpaceDE/>
              <w:autoSpaceDN/>
              <w:bidi w:val="0"/>
              <w:adjustRightInd w:val="0"/>
              <w:snapToGrid w:val="0"/>
              <w:spacing w:line="240" w:lineRule="auto"/>
              <w:ind w:left="0" w:leftChars="0"/>
              <w:rPr>
                <w:rFonts w:hint="eastAsia"/>
                <w:color w:val="auto"/>
                <w:sz w:val="26"/>
                <w:szCs w:val="26"/>
                <w:lang w:val="en-US" w:eastAsia="zh-CN"/>
              </w:rPr>
            </w:pPr>
          </w:p>
          <w:p w14:paraId="42C30859">
            <w:pPr>
              <w:pageBreakBefore w:val="0"/>
              <w:widowControl w:val="0"/>
              <w:kinsoku/>
              <w:wordWrap/>
              <w:overflowPunct/>
              <w:topLinePunct w:val="0"/>
              <w:autoSpaceDE/>
              <w:autoSpaceDN/>
              <w:bidi w:val="0"/>
              <w:adjustRightInd w:val="0"/>
              <w:snapToGrid w:val="0"/>
              <w:spacing w:line="240" w:lineRule="auto"/>
              <w:ind w:left="0" w:leftChars="0"/>
              <w:rPr>
                <w:rFonts w:hint="eastAsia"/>
                <w:color w:val="auto"/>
                <w:sz w:val="26"/>
                <w:szCs w:val="26"/>
                <w:lang w:val="en-US" w:eastAsia="zh-CN"/>
              </w:rPr>
            </w:pPr>
            <w:r>
              <w:rPr>
                <w:rFonts w:hint="eastAsia"/>
                <w:color w:val="auto"/>
                <w:sz w:val="26"/>
                <w:szCs w:val="26"/>
                <w:lang w:val="en-US" w:eastAsia="zh-CN"/>
              </w:rPr>
              <w:t>表1.2-3               符合性分析</w:t>
            </w:r>
          </w:p>
          <w:tbl>
            <w:tblPr>
              <w:tblStyle w:val="18"/>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649"/>
              <w:gridCol w:w="2366"/>
              <w:gridCol w:w="1019"/>
            </w:tblGrid>
            <w:tr w14:paraId="704BE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5" w:type="dxa"/>
                  <w:vAlign w:val="center"/>
                </w:tcPr>
                <w:p w14:paraId="1BE8FD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序号</w:t>
                  </w:r>
                </w:p>
              </w:tc>
              <w:tc>
                <w:tcPr>
                  <w:tcW w:w="2649" w:type="dxa"/>
                  <w:vAlign w:val="center"/>
                </w:tcPr>
                <w:p w14:paraId="169FF4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文件要求</w:t>
                  </w:r>
                </w:p>
              </w:tc>
              <w:tc>
                <w:tcPr>
                  <w:tcW w:w="2366" w:type="dxa"/>
                  <w:vAlign w:val="center"/>
                </w:tcPr>
                <w:p w14:paraId="431809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本项目情况</w:t>
                  </w:r>
                </w:p>
              </w:tc>
              <w:tc>
                <w:tcPr>
                  <w:tcW w:w="1019" w:type="dxa"/>
                  <w:vAlign w:val="center"/>
                </w:tcPr>
                <w:p w14:paraId="775191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符合性</w:t>
                  </w:r>
                </w:p>
              </w:tc>
            </w:tr>
            <w:tr w14:paraId="0F22B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5" w:type="dxa"/>
                  <w:vAlign w:val="center"/>
                </w:tcPr>
                <w:p w14:paraId="0B650C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1</w:t>
                  </w:r>
                </w:p>
              </w:tc>
              <w:tc>
                <w:tcPr>
                  <w:tcW w:w="2649" w:type="dxa"/>
                  <w:vAlign w:val="center"/>
                </w:tcPr>
                <w:p w14:paraId="0985BA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2"/>
                      <w:szCs w:val="22"/>
                      <w:vertAlign w:val="baseline"/>
                      <w:lang w:val="en-US" w:eastAsia="zh-CN"/>
                    </w:rPr>
                  </w:pPr>
                  <w:r>
                    <w:rPr>
                      <w:rFonts w:hint="eastAsia"/>
                      <w:color w:val="auto"/>
                      <w:sz w:val="22"/>
                      <w:szCs w:val="22"/>
                      <w:vertAlign w:val="baseline"/>
                      <w:lang w:val="en-US" w:eastAsia="zh-CN"/>
                    </w:rPr>
                    <w:t>严格执行大气污染物特别排放限值，督促合川电厂、台泥、冀东等重点企业脱硫和脱硝设施稳定运行，完成区内水泥企业超低排放改造</w:t>
                  </w:r>
                </w:p>
              </w:tc>
              <w:tc>
                <w:tcPr>
                  <w:tcW w:w="2366" w:type="dxa"/>
                  <w:vAlign w:val="center"/>
                </w:tcPr>
                <w:p w14:paraId="0A4776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2"/>
                      <w:szCs w:val="22"/>
                      <w:vertAlign w:val="baseline"/>
                      <w:lang w:val="en-US" w:eastAsia="zh-CN"/>
                    </w:rPr>
                  </w:pPr>
                  <w:r>
                    <w:rPr>
                      <w:rFonts w:ascii="Times New Roman"/>
                      <w:color w:val="auto"/>
                      <w:spacing w:val="-2"/>
                      <w:sz w:val="22"/>
                      <w:szCs w:val="22"/>
                    </w:rPr>
                    <w:t>项目</w:t>
                  </w:r>
                  <w:r>
                    <w:rPr>
                      <w:rFonts w:hint="eastAsia" w:ascii="Times New Roman"/>
                      <w:color w:val="auto"/>
                      <w:spacing w:val="-2"/>
                      <w:sz w:val="22"/>
                      <w:szCs w:val="22"/>
                      <w:lang w:val="en-US" w:eastAsia="zh-CN"/>
                    </w:rPr>
                    <w:t>为</w:t>
                  </w:r>
                  <w:r>
                    <w:rPr>
                      <w:rFonts w:hint="eastAsia" w:ascii="Times New Roman" w:cs="Times New Roman"/>
                      <w:bCs/>
                      <w:color w:val="auto"/>
                      <w:sz w:val="22"/>
                      <w:szCs w:val="22"/>
                      <w:lang w:val="en-US" w:eastAsia="zh-CN"/>
                    </w:rPr>
                    <w:t>车用隔热保温材料生产，不属于前述</w:t>
                  </w:r>
                  <w:r>
                    <w:rPr>
                      <w:rFonts w:hint="eastAsia"/>
                      <w:color w:val="auto"/>
                      <w:sz w:val="22"/>
                      <w:szCs w:val="22"/>
                      <w:vertAlign w:val="baseline"/>
                      <w:lang w:val="en-US" w:eastAsia="zh-CN"/>
                    </w:rPr>
                    <w:t>电厂、台泥、冀东等重点企业</w:t>
                  </w:r>
                </w:p>
              </w:tc>
              <w:tc>
                <w:tcPr>
                  <w:tcW w:w="1019" w:type="dxa"/>
                  <w:vAlign w:val="center"/>
                </w:tcPr>
                <w:p w14:paraId="3686E3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符合</w:t>
                  </w:r>
                </w:p>
              </w:tc>
            </w:tr>
            <w:tr w14:paraId="00F1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5" w:type="dxa"/>
                  <w:vAlign w:val="center"/>
                </w:tcPr>
                <w:p w14:paraId="4EA12E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2</w:t>
                  </w:r>
                </w:p>
              </w:tc>
              <w:tc>
                <w:tcPr>
                  <w:tcW w:w="2649" w:type="dxa"/>
                  <w:vAlign w:val="center"/>
                </w:tcPr>
                <w:p w14:paraId="6844D8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2"/>
                      <w:szCs w:val="22"/>
                      <w:vertAlign w:val="baseline"/>
                      <w:lang w:val="en-US" w:eastAsia="zh-CN"/>
                    </w:rPr>
                  </w:pPr>
                  <w:r>
                    <w:rPr>
                      <w:rFonts w:hint="eastAsia"/>
                      <w:color w:val="auto"/>
                      <w:sz w:val="22"/>
                      <w:szCs w:val="22"/>
                      <w:vertAlign w:val="baseline"/>
                      <w:lang w:val="en-US" w:eastAsia="zh-CN"/>
                    </w:rPr>
                    <w:t>加大新型干法水泥窑、玻璃行业废气深度治理力度，深化烧结砖瓦窑生产企业深度治理，推进烧结砖瓦窑脱硫脱硝除尘改造</w:t>
                  </w:r>
                </w:p>
              </w:tc>
              <w:tc>
                <w:tcPr>
                  <w:tcW w:w="2366" w:type="dxa"/>
                  <w:vAlign w:val="center"/>
                </w:tcPr>
                <w:p w14:paraId="3EA231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2"/>
                      <w:szCs w:val="22"/>
                      <w:vertAlign w:val="baseline"/>
                      <w:lang w:val="en-US" w:eastAsia="zh-CN"/>
                    </w:rPr>
                  </w:pPr>
                  <w:r>
                    <w:rPr>
                      <w:rFonts w:ascii="Times New Roman"/>
                      <w:color w:val="auto"/>
                      <w:spacing w:val="-2"/>
                      <w:sz w:val="22"/>
                      <w:szCs w:val="22"/>
                    </w:rPr>
                    <w:t>项目</w:t>
                  </w:r>
                  <w:r>
                    <w:rPr>
                      <w:rFonts w:hint="eastAsia" w:ascii="Times New Roman"/>
                      <w:color w:val="auto"/>
                      <w:spacing w:val="-2"/>
                      <w:sz w:val="22"/>
                      <w:szCs w:val="22"/>
                      <w:lang w:val="en-US" w:eastAsia="zh-CN"/>
                    </w:rPr>
                    <w:t>为</w:t>
                  </w:r>
                  <w:r>
                    <w:rPr>
                      <w:rFonts w:hint="eastAsia" w:ascii="Times New Roman" w:cs="Times New Roman"/>
                      <w:bCs/>
                      <w:color w:val="auto"/>
                      <w:sz w:val="22"/>
                      <w:szCs w:val="22"/>
                      <w:lang w:val="en-US" w:eastAsia="zh-CN"/>
                    </w:rPr>
                    <w:t>车用隔热保温材料生产，不属于</w:t>
                  </w:r>
                  <w:r>
                    <w:rPr>
                      <w:rFonts w:hint="eastAsia"/>
                      <w:color w:val="auto"/>
                      <w:sz w:val="22"/>
                      <w:szCs w:val="22"/>
                      <w:vertAlign w:val="baseline"/>
                      <w:lang w:val="en-US" w:eastAsia="zh-CN"/>
                    </w:rPr>
                    <w:t>新型干法水泥窑、玻璃行业</w:t>
                  </w:r>
                </w:p>
              </w:tc>
              <w:tc>
                <w:tcPr>
                  <w:tcW w:w="1019" w:type="dxa"/>
                  <w:vAlign w:val="center"/>
                </w:tcPr>
                <w:p w14:paraId="470DEB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符合</w:t>
                  </w:r>
                </w:p>
              </w:tc>
            </w:tr>
            <w:tr w14:paraId="4442B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5" w:type="dxa"/>
                  <w:vAlign w:val="center"/>
                </w:tcPr>
                <w:p w14:paraId="4CD813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3</w:t>
                  </w:r>
                </w:p>
              </w:tc>
              <w:tc>
                <w:tcPr>
                  <w:tcW w:w="2649" w:type="dxa"/>
                  <w:vAlign w:val="center"/>
                </w:tcPr>
                <w:p w14:paraId="44789A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2"/>
                      <w:szCs w:val="22"/>
                      <w:vertAlign w:val="baseline"/>
                      <w:lang w:val="en-US" w:eastAsia="zh-CN"/>
                    </w:rPr>
                  </w:pPr>
                  <w:r>
                    <w:rPr>
                      <w:rFonts w:hint="eastAsia"/>
                      <w:color w:val="auto"/>
                      <w:sz w:val="22"/>
                      <w:szCs w:val="22"/>
                      <w:vertAlign w:val="baseline"/>
                      <w:lang w:val="en-US" w:eastAsia="zh-CN"/>
                    </w:rPr>
                    <w:t>强化混凝土搅拌站和非煤矿山粉尘排放企业环境监管，推进物料储运系统密闭化改造</w:t>
                  </w:r>
                </w:p>
              </w:tc>
              <w:tc>
                <w:tcPr>
                  <w:tcW w:w="2366" w:type="dxa"/>
                  <w:vAlign w:val="center"/>
                </w:tcPr>
                <w:p w14:paraId="3B2F56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2"/>
                      <w:szCs w:val="22"/>
                      <w:vertAlign w:val="baseline"/>
                      <w:lang w:val="en-US" w:eastAsia="zh-CN"/>
                    </w:rPr>
                  </w:pPr>
                  <w:r>
                    <w:rPr>
                      <w:rFonts w:ascii="Times New Roman"/>
                      <w:color w:val="auto"/>
                      <w:spacing w:val="-2"/>
                      <w:sz w:val="22"/>
                      <w:szCs w:val="22"/>
                    </w:rPr>
                    <w:t>项目</w:t>
                  </w:r>
                  <w:r>
                    <w:rPr>
                      <w:rFonts w:hint="eastAsia" w:ascii="Times New Roman"/>
                      <w:color w:val="auto"/>
                      <w:spacing w:val="-2"/>
                      <w:sz w:val="22"/>
                      <w:szCs w:val="22"/>
                      <w:lang w:val="en-US" w:eastAsia="zh-CN"/>
                    </w:rPr>
                    <w:t>为</w:t>
                  </w:r>
                  <w:r>
                    <w:rPr>
                      <w:rFonts w:hint="eastAsia" w:ascii="Times New Roman" w:cs="Times New Roman"/>
                      <w:bCs/>
                      <w:color w:val="auto"/>
                      <w:sz w:val="22"/>
                      <w:szCs w:val="22"/>
                      <w:lang w:val="en-US" w:eastAsia="zh-CN"/>
                    </w:rPr>
                    <w:t>车用隔热保温材料生产，不属于前述</w:t>
                  </w:r>
                  <w:r>
                    <w:rPr>
                      <w:rFonts w:hint="eastAsia"/>
                      <w:color w:val="auto"/>
                      <w:sz w:val="22"/>
                      <w:szCs w:val="22"/>
                      <w:vertAlign w:val="baseline"/>
                      <w:lang w:val="en-US" w:eastAsia="zh-CN"/>
                    </w:rPr>
                    <w:t>混凝土搅拌站和非煤矿山粉尘排放企业</w:t>
                  </w:r>
                </w:p>
              </w:tc>
              <w:tc>
                <w:tcPr>
                  <w:tcW w:w="1019" w:type="dxa"/>
                  <w:vAlign w:val="center"/>
                </w:tcPr>
                <w:p w14:paraId="5FD71C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符合</w:t>
                  </w:r>
                </w:p>
              </w:tc>
            </w:tr>
            <w:tr w14:paraId="26AEA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5" w:type="dxa"/>
                  <w:vAlign w:val="center"/>
                </w:tcPr>
                <w:p w14:paraId="7D7519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4</w:t>
                  </w:r>
                </w:p>
              </w:tc>
              <w:tc>
                <w:tcPr>
                  <w:tcW w:w="2649" w:type="dxa"/>
                  <w:vAlign w:val="center"/>
                </w:tcPr>
                <w:p w14:paraId="164E03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2"/>
                      <w:szCs w:val="22"/>
                      <w:vertAlign w:val="baseline"/>
                      <w:lang w:val="en-US" w:eastAsia="zh-CN"/>
                    </w:rPr>
                  </w:pPr>
                  <w:r>
                    <w:rPr>
                      <w:rFonts w:hint="eastAsia"/>
                      <w:color w:val="auto"/>
                      <w:sz w:val="22"/>
                      <w:szCs w:val="22"/>
                      <w:vertAlign w:val="baseline"/>
                      <w:lang w:val="en-US" w:eastAsia="zh-CN"/>
                    </w:rPr>
                    <w:t>全面开展挥发性有机物治理，深化重点行业挥发性有机物摸查，持续开展挥发性有机物排放企业专项整治，加大重点行业、重点企业VOCs全过程污染治理整治，鼓励区内挥发性有机物企业安装在线监测监控和工况监测设施，并接入环保物联网系统</w:t>
                  </w:r>
                </w:p>
              </w:tc>
              <w:tc>
                <w:tcPr>
                  <w:tcW w:w="2366" w:type="dxa"/>
                  <w:vAlign w:val="center"/>
                </w:tcPr>
                <w:p w14:paraId="43BDA2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2"/>
                      <w:szCs w:val="22"/>
                      <w:vertAlign w:val="baseline"/>
                      <w:lang w:val="en-US" w:eastAsia="zh-CN"/>
                    </w:rPr>
                  </w:pPr>
                  <w:r>
                    <w:rPr>
                      <w:rFonts w:ascii="Times New Roman"/>
                      <w:color w:val="auto"/>
                      <w:spacing w:val="-2"/>
                      <w:sz w:val="22"/>
                      <w:szCs w:val="22"/>
                    </w:rPr>
                    <w:t>项目</w:t>
                  </w:r>
                  <w:r>
                    <w:rPr>
                      <w:rFonts w:hint="eastAsia" w:ascii="Times New Roman"/>
                      <w:color w:val="auto"/>
                      <w:spacing w:val="-2"/>
                      <w:sz w:val="22"/>
                      <w:szCs w:val="22"/>
                      <w:lang w:val="en-US" w:eastAsia="zh-CN"/>
                    </w:rPr>
                    <w:t>为</w:t>
                  </w:r>
                  <w:r>
                    <w:rPr>
                      <w:rFonts w:hint="eastAsia" w:ascii="Times New Roman" w:cs="Times New Roman"/>
                      <w:bCs/>
                      <w:color w:val="auto"/>
                      <w:sz w:val="22"/>
                      <w:szCs w:val="22"/>
                      <w:lang w:val="en-US" w:eastAsia="zh-CN"/>
                    </w:rPr>
                    <w:t>车用隔热保温材料生产，不涉及</w:t>
                  </w:r>
                  <w:r>
                    <w:rPr>
                      <w:rFonts w:hint="eastAsia"/>
                      <w:color w:val="auto"/>
                      <w:sz w:val="22"/>
                      <w:szCs w:val="22"/>
                      <w:vertAlign w:val="baseline"/>
                      <w:lang w:val="en-US" w:eastAsia="zh-CN"/>
                    </w:rPr>
                    <w:t>VOCs的产生。</w:t>
                  </w:r>
                </w:p>
              </w:tc>
              <w:tc>
                <w:tcPr>
                  <w:tcW w:w="1019" w:type="dxa"/>
                  <w:vAlign w:val="center"/>
                </w:tcPr>
                <w:p w14:paraId="292848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符合</w:t>
                  </w:r>
                </w:p>
              </w:tc>
            </w:tr>
            <w:tr w14:paraId="18AD3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5" w:type="dxa"/>
                  <w:vAlign w:val="center"/>
                </w:tcPr>
                <w:p w14:paraId="17F651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5</w:t>
                  </w:r>
                </w:p>
              </w:tc>
              <w:tc>
                <w:tcPr>
                  <w:tcW w:w="2649" w:type="dxa"/>
                  <w:vAlign w:val="center"/>
                </w:tcPr>
                <w:p w14:paraId="60053E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2"/>
                      <w:szCs w:val="22"/>
                      <w:vertAlign w:val="baseline"/>
                      <w:lang w:val="en-US" w:eastAsia="zh-CN"/>
                    </w:rPr>
                  </w:pPr>
                  <w:r>
                    <w:rPr>
                      <w:rFonts w:hint="eastAsia"/>
                      <w:color w:val="auto"/>
                      <w:sz w:val="22"/>
                      <w:szCs w:val="22"/>
                      <w:vertAlign w:val="baseline"/>
                      <w:lang w:val="en-US" w:eastAsia="zh-CN"/>
                    </w:rPr>
                    <w:t>严格落实VOCs含量限制标准，大力推进低（无）VOCs原辅材料替代，将生产和使用高VOCs含量产品的企业列入强制性清洁生产审核名单</w:t>
                  </w:r>
                </w:p>
              </w:tc>
              <w:tc>
                <w:tcPr>
                  <w:tcW w:w="2366" w:type="dxa"/>
                  <w:vAlign w:val="center"/>
                </w:tcPr>
                <w:p w14:paraId="48BB8B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2"/>
                      <w:szCs w:val="22"/>
                      <w:vertAlign w:val="baseline"/>
                      <w:lang w:val="en-US" w:eastAsia="zh-CN"/>
                    </w:rPr>
                  </w:pPr>
                  <w:r>
                    <w:rPr>
                      <w:rFonts w:ascii="Times New Roman"/>
                      <w:color w:val="auto"/>
                      <w:spacing w:val="-2"/>
                      <w:sz w:val="22"/>
                      <w:szCs w:val="22"/>
                    </w:rPr>
                    <w:t>项目</w:t>
                  </w:r>
                  <w:r>
                    <w:rPr>
                      <w:rFonts w:hint="eastAsia" w:ascii="Times New Roman"/>
                      <w:color w:val="auto"/>
                      <w:spacing w:val="-2"/>
                      <w:sz w:val="22"/>
                      <w:szCs w:val="22"/>
                      <w:lang w:val="en-US" w:eastAsia="zh-CN"/>
                    </w:rPr>
                    <w:t>为</w:t>
                  </w:r>
                  <w:r>
                    <w:rPr>
                      <w:rFonts w:hint="eastAsia" w:ascii="Times New Roman" w:cs="Times New Roman"/>
                      <w:bCs/>
                      <w:color w:val="auto"/>
                      <w:sz w:val="22"/>
                      <w:szCs w:val="22"/>
                      <w:lang w:val="en-US" w:eastAsia="zh-CN"/>
                    </w:rPr>
                    <w:t>车用隔热保温材料生产，不涉及含</w:t>
                  </w:r>
                  <w:r>
                    <w:rPr>
                      <w:rFonts w:hint="eastAsia"/>
                      <w:color w:val="auto"/>
                      <w:sz w:val="22"/>
                      <w:szCs w:val="22"/>
                      <w:vertAlign w:val="baseline"/>
                      <w:lang w:val="en-US" w:eastAsia="zh-CN"/>
                    </w:rPr>
                    <w:t>VOCs原辅材料的使用。</w:t>
                  </w:r>
                </w:p>
              </w:tc>
              <w:tc>
                <w:tcPr>
                  <w:tcW w:w="1019" w:type="dxa"/>
                  <w:vAlign w:val="center"/>
                </w:tcPr>
                <w:p w14:paraId="68D4E4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符合</w:t>
                  </w:r>
                </w:p>
              </w:tc>
            </w:tr>
            <w:tr w14:paraId="5DAFF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5" w:type="dxa"/>
                  <w:vAlign w:val="center"/>
                </w:tcPr>
                <w:p w14:paraId="648BA2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6</w:t>
                  </w:r>
                </w:p>
              </w:tc>
              <w:tc>
                <w:tcPr>
                  <w:tcW w:w="2649" w:type="dxa"/>
                  <w:vAlign w:val="center"/>
                </w:tcPr>
                <w:p w14:paraId="3B7199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2"/>
                      <w:szCs w:val="22"/>
                      <w:vertAlign w:val="baseline"/>
                      <w:lang w:val="en-US" w:eastAsia="zh-CN"/>
                    </w:rPr>
                  </w:pPr>
                  <w:r>
                    <w:rPr>
                      <w:rFonts w:hint="eastAsia"/>
                      <w:color w:val="auto"/>
                      <w:sz w:val="22"/>
                      <w:szCs w:val="22"/>
                      <w:vertAlign w:val="baseline"/>
                      <w:lang w:val="en-US" w:eastAsia="zh-CN"/>
                    </w:rPr>
                    <w:t>谋划建设汽修行业喷漆中心，配备高效治污设施，替代企业独立喷塑工序，实现废气集中处理。组织火电、水泥、烧结砖瓦等企业落实错峰生产计划，研究制定合川臭氧污染防控工作方案，在臭氧高发时期（6-9月）、高发时段（10:00-20:00）停止喷漆、喷塑及后期套印工序作业，或者实施生产工艺升级和治理设施改造，鼓励机动车错峰加油</w:t>
                  </w:r>
                </w:p>
              </w:tc>
              <w:tc>
                <w:tcPr>
                  <w:tcW w:w="2366" w:type="dxa"/>
                  <w:vAlign w:val="center"/>
                </w:tcPr>
                <w:p w14:paraId="02CE23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2"/>
                      <w:szCs w:val="22"/>
                      <w:vertAlign w:val="baseline"/>
                      <w:lang w:val="en-US" w:eastAsia="zh-CN"/>
                    </w:rPr>
                  </w:pPr>
                  <w:r>
                    <w:rPr>
                      <w:rFonts w:ascii="Times New Roman"/>
                      <w:color w:val="auto"/>
                      <w:spacing w:val="-2"/>
                      <w:sz w:val="22"/>
                      <w:szCs w:val="22"/>
                    </w:rPr>
                    <w:t>项目</w:t>
                  </w:r>
                  <w:r>
                    <w:rPr>
                      <w:rFonts w:hint="eastAsia" w:ascii="Times New Roman"/>
                      <w:color w:val="auto"/>
                      <w:spacing w:val="-2"/>
                      <w:sz w:val="22"/>
                      <w:szCs w:val="22"/>
                      <w:lang w:val="en-US" w:eastAsia="zh-CN"/>
                    </w:rPr>
                    <w:t>为</w:t>
                  </w:r>
                  <w:r>
                    <w:rPr>
                      <w:rFonts w:hint="eastAsia" w:ascii="Times New Roman" w:cs="Times New Roman"/>
                      <w:bCs/>
                      <w:color w:val="auto"/>
                      <w:sz w:val="22"/>
                      <w:szCs w:val="22"/>
                      <w:lang w:val="en-US" w:eastAsia="zh-CN"/>
                    </w:rPr>
                    <w:t>车用隔热保温材料生产，不涉及</w:t>
                  </w:r>
                  <w:r>
                    <w:rPr>
                      <w:rFonts w:hint="eastAsia"/>
                      <w:color w:val="auto"/>
                      <w:sz w:val="22"/>
                      <w:szCs w:val="22"/>
                      <w:vertAlign w:val="baseline"/>
                      <w:lang w:val="en-US" w:eastAsia="zh-CN"/>
                    </w:rPr>
                    <w:t>汽修行业，不涉及喷漆、喷塑等工艺</w:t>
                  </w:r>
                </w:p>
              </w:tc>
              <w:tc>
                <w:tcPr>
                  <w:tcW w:w="1019" w:type="dxa"/>
                  <w:vAlign w:val="center"/>
                </w:tcPr>
                <w:p w14:paraId="1428C8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符合</w:t>
                  </w:r>
                </w:p>
              </w:tc>
            </w:tr>
            <w:tr w14:paraId="2B2EF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5" w:type="dxa"/>
                  <w:vAlign w:val="center"/>
                </w:tcPr>
                <w:p w14:paraId="1824A2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7</w:t>
                  </w:r>
                </w:p>
              </w:tc>
              <w:tc>
                <w:tcPr>
                  <w:tcW w:w="2649" w:type="dxa"/>
                  <w:vAlign w:val="center"/>
                </w:tcPr>
                <w:p w14:paraId="2848E8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2"/>
                      <w:szCs w:val="22"/>
                      <w:vertAlign w:val="baseline"/>
                      <w:lang w:val="en-US" w:eastAsia="zh-CN"/>
                    </w:rPr>
                  </w:pPr>
                  <w:r>
                    <w:rPr>
                      <w:rFonts w:hint="eastAsia"/>
                      <w:color w:val="auto"/>
                      <w:sz w:val="22"/>
                      <w:szCs w:val="22"/>
                      <w:vertAlign w:val="baseline"/>
                      <w:lang w:val="en-US" w:eastAsia="zh-CN"/>
                    </w:rPr>
                    <w:t>强化污染企业台账管理，台账保存期限不少于三年。加强污染源监督监测，加大水泥、玻璃、大型燃煤锅炉以及包装印刷、家具制造等行业大气污染企业达标排放监督，确保工业企业污染治理设施和在线监控监测系统正常运行</w:t>
                  </w:r>
                </w:p>
              </w:tc>
              <w:tc>
                <w:tcPr>
                  <w:tcW w:w="2366" w:type="dxa"/>
                  <w:vAlign w:val="center"/>
                </w:tcPr>
                <w:p w14:paraId="7E36D5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本项目为</w:t>
                  </w:r>
                  <w:r>
                    <w:rPr>
                      <w:rFonts w:hint="eastAsia" w:ascii="Times New Roman" w:cs="Times New Roman"/>
                      <w:bCs/>
                      <w:color w:val="auto"/>
                      <w:sz w:val="22"/>
                      <w:szCs w:val="22"/>
                      <w:lang w:val="en-US" w:eastAsia="zh-CN"/>
                    </w:rPr>
                    <w:t>车用隔热保温材料生产，</w:t>
                  </w:r>
                  <w:r>
                    <w:rPr>
                      <w:rFonts w:hint="eastAsia"/>
                      <w:color w:val="auto"/>
                      <w:sz w:val="22"/>
                      <w:szCs w:val="22"/>
                      <w:vertAlign w:val="baseline"/>
                      <w:lang w:val="en-US" w:eastAsia="zh-CN"/>
                    </w:rPr>
                    <w:t>主要污染物为颗粒物，废气收集后经布袋除尘处理后有组织排放，企业将加强污染防治管理，强化污染企业台账管理，台账保存期限不少于五年。</w:t>
                  </w:r>
                </w:p>
              </w:tc>
              <w:tc>
                <w:tcPr>
                  <w:tcW w:w="1019" w:type="dxa"/>
                  <w:vAlign w:val="center"/>
                </w:tcPr>
                <w:p w14:paraId="51C6B4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符合</w:t>
                  </w:r>
                </w:p>
              </w:tc>
            </w:tr>
          </w:tbl>
          <w:p w14:paraId="1E981D18">
            <w:pPr>
              <w:pageBreakBefore w:val="0"/>
              <w:widowControl w:val="0"/>
              <w:kinsoku/>
              <w:wordWrap/>
              <w:overflowPunct/>
              <w:topLinePunct w:val="0"/>
              <w:autoSpaceDE/>
              <w:autoSpaceDN/>
              <w:bidi w:val="0"/>
              <w:adjustRightInd w:val="0"/>
              <w:snapToGrid w:val="0"/>
              <w:spacing w:line="240" w:lineRule="auto"/>
              <w:ind w:left="0" w:leftChars="0"/>
              <w:rPr>
                <w:rFonts w:hint="eastAsia"/>
                <w:color w:val="auto"/>
                <w:sz w:val="26"/>
                <w:szCs w:val="26"/>
                <w:lang w:val="en-US" w:eastAsia="zh-CN"/>
              </w:rPr>
            </w:pPr>
          </w:p>
          <w:p w14:paraId="49F3C013">
            <w:pPr>
              <w:keepNext w:val="0"/>
              <w:keepLines w:val="0"/>
              <w:pageBreakBefore w:val="0"/>
              <w:widowControl w:val="0"/>
              <w:kinsoku/>
              <w:wordWrap/>
              <w:overflowPunct/>
              <w:topLinePunct w:val="0"/>
              <w:autoSpaceDE/>
              <w:autoSpaceDN/>
              <w:bidi w:val="0"/>
              <w:adjustRightInd w:val="0"/>
              <w:snapToGrid w:val="0"/>
              <w:spacing w:line="460" w:lineRule="exact"/>
              <w:ind w:left="0" w:leftChars="0"/>
              <w:textAlignment w:val="auto"/>
              <w:rPr>
                <w:rFonts w:hint="default"/>
                <w:color w:val="auto"/>
                <w:sz w:val="26"/>
                <w:szCs w:val="26"/>
                <w:lang w:val="en-US" w:eastAsia="zh-CN"/>
              </w:rPr>
            </w:pPr>
            <w:r>
              <w:rPr>
                <w:rFonts w:hint="eastAsia"/>
                <w:color w:val="auto"/>
                <w:sz w:val="26"/>
                <w:szCs w:val="26"/>
                <w:lang w:val="en-US" w:eastAsia="zh-CN"/>
              </w:rPr>
              <w:t>综上所述，本项目符合《</w:t>
            </w:r>
            <w:r>
              <w:rPr>
                <w:rFonts w:hint="eastAsia"/>
                <w:color w:val="auto"/>
                <w:sz w:val="26"/>
                <w:szCs w:val="26"/>
                <w:lang w:val="en-US" w:eastAsia="zh-CN"/>
              </w:rPr>
              <w:fldChar w:fldCharType="begin"/>
            </w:r>
            <w:r>
              <w:rPr>
                <w:rFonts w:hint="eastAsia"/>
                <w:color w:val="auto"/>
                <w:sz w:val="26"/>
                <w:szCs w:val="26"/>
                <w:lang w:val="en-US" w:eastAsia="zh-CN"/>
              </w:rPr>
              <w:instrText xml:space="preserve"> HYPERLINK "http://www.hc.gov.cn/xxgk/qzfwj/ghxx/zxgh/202203/t20220311_10493850.html" \o "重庆市合川区人民政府关于印发合川区生态环境保护 \“十四五\”规划的通知" \t "http://www.hc.gov.cn/cqs/_blank" </w:instrText>
            </w:r>
            <w:r>
              <w:rPr>
                <w:rFonts w:hint="eastAsia"/>
                <w:color w:val="auto"/>
                <w:sz w:val="26"/>
                <w:szCs w:val="26"/>
                <w:lang w:val="en-US" w:eastAsia="zh-CN"/>
              </w:rPr>
              <w:fldChar w:fldCharType="separate"/>
            </w:r>
            <w:r>
              <w:rPr>
                <w:rFonts w:hint="eastAsia"/>
                <w:color w:val="auto"/>
                <w:sz w:val="26"/>
                <w:szCs w:val="26"/>
                <w:lang w:val="en-US" w:eastAsia="zh-CN"/>
              </w:rPr>
              <w:t>重庆市合川区人民政府关于印发合川区生态环境保护“十四五”规划的通知</w:t>
            </w:r>
            <w:r>
              <w:rPr>
                <w:rFonts w:hint="eastAsia"/>
                <w:color w:val="auto"/>
                <w:sz w:val="26"/>
                <w:szCs w:val="26"/>
                <w:lang w:val="en-US" w:eastAsia="zh-CN"/>
              </w:rPr>
              <w:fldChar w:fldCharType="end"/>
            </w:r>
            <w:r>
              <w:rPr>
                <w:rFonts w:hint="eastAsia"/>
                <w:color w:val="auto"/>
                <w:sz w:val="26"/>
                <w:szCs w:val="26"/>
                <w:lang w:val="en-US" w:eastAsia="zh-CN"/>
              </w:rPr>
              <w:t>》（合川府发〔2022〕3号）要求。</w:t>
            </w:r>
          </w:p>
          <w:p w14:paraId="084E39A9">
            <w:pPr>
              <w:pStyle w:val="4"/>
              <w:pageBreakBefore w:val="0"/>
              <w:widowControl w:val="0"/>
              <w:kinsoku/>
              <w:wordWrap/>
              <w:overflowPunct/>
              <w:topLinePunct w:val="0"/>
              <w:autoSpaceDE/>
              <w:autoSpaceDN/>
              <w:bidi w:val="0"/>
              <w:adjustRightInd w:val="0"/>
              <w:snapToGrid w:val="0"/>
              <w:spacing w:beforeLines="0" w:afterLines="0" w:line="460" w:lineRule="exact"/>
              <w:jc w:val="both"/>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1.2.</w:t>
            </w:r>
            <w:r>
              <w:rPr>
                <w:rFonts w:hint="eastAsia" w:cs="Times New Roman"/>
                <w:color w:val="auto"/>
                <w:sz w:val="26"/>
                <w:szCs w:val="26"/>
                <w:lang w:val="en-US" w:eastAsia="zh-CN"/>
              </w:rPr>
              <w:t>5</w:t>
            </w:r>
            <w:r>
              <w:rPr>
                <w:rFonts w:hint="default" w:ascii="Times New Roman" w:hAnsi="Times New Roman" w:eastAsia="宋体" w:cs="Times New Roman"/>
                <w:color w:val="auto"/>
                <w:sz w:val="26"/>
                <w:szCs w:val="26"/>
                <w:lang w:val="en-US" w:eastAsia="zh-CN"/>
              </w:rPr>
              <w:t>“三线一单”管控要求的符合性分析</w:t>
            </w:r>
          </w:p>
          <w:p w14:paraId="62892CC4">
            <w:pPr>
              <w:pageBreakBefore w:val="0"/>
              <w:widowControl w:val="0"/>
              <w:kinsoku/>
              <w:wordWrap/>
              <w:overflowPunct/>
              <w:topLinePunct w:val="0"/>
              <w:autoSpaceDE/>
              <w:autoSpaceDN/>
              <w:bidi w:val="0"/>
              <w:adjustRightInd w:val="0"/>
              <w:snapToGrid w:val="0"/>
              <w:spacing w:line="460" w:lineRule="exact"/>
              <w:ind w:left="0" w:leftChars="0" w:firstLine="520" w:firstLineChars="200"/>
              <w:jc w:val="both"/>
              <w:textAlignment w:val="auto"/>
              <w:rPr>
                <w:rFonts w:hint="default"/>
                <w:color w:val="auto"/>
                <w:sz w:val="26"/>
                <w:szCs w:val="26"/>
                <w:lang w:val="en-US" w:eastAsia="zh-CN"/>
              </w:rPr>
            </w:pPr>
            <w:r>
              <w:rPr>
                <w:rFonts w:hint="default" w:ascii="Times New Roman" w:hAnsi="Times New Roman" w:eastAsia="宋体" w:cs="Times New Roman"/>
                <w:color w:val="auto"/>
                <w:sz w:val="26"/>
                <w:szCs w:val="26"/>
                <w:lang w:val="en-US" w:eastAsia="zh-CN"/>
              </w:rPr>
              <w:t>本项目位于合川区草街街道（见附图1），根据</w:t>
            </w:r>
            <w:r>
              <w:rPr>
                <w:rFonts w:hint="eastAsia" w:cs="Times New Roman"/>
                <w:color w:val="auto"/>
                <w:sz w:val="26"/>
                <w:szCs w:val="26"/>
                <w:lang w:val="en-US" w:eastAsia="zh-CN"/>
              </w:rPr>
              <w:t>“</w:t>
            </w:r>
            <w:r>
              <w:rPr>
                <w:rFonts w:hint="default" w:ascii="Times New Roman" w:hAnsi="Times New Roman" w:eastAsia="宋体" w:cs="Times New Roman"/>
                <w:color w:val="auto"/>
                <w:sz w:val="26"/>
                <w:szCs w:val="26"/>
                <w:lang w:val="en-US" w:eastAsia="zh-CN"/>
              </w:rPr>
              <w:t>重庆市合川区人民政府关于印发《重庆市合川区“三线一单”生态环境分区管控调整方案</w:t>
            </w:r>
            <w:r>
              <w:rPr>
                <w:rFonts w:hint="eastAsia" w:cs="Times New Roman"/>
                <w:color w:val="auto"/>
                <w:sz w:val="26"/>
                <w:szCs w:val="26"/>
                <w:lang w:val="en-US" w:eastAsia="zh-CN"/>
              </w:rPr>
              <w:t>（</w:t>
            </w:r>
            <w:r>
              <w:rPr>
                <w:rFonts w:hint="default" w:ascii="Times New Roman" w:hAnsi="Times New Roman" w:eastAsia="宋体" w:cs="Times New Roman"/>
                <w:color w:val="auto"/>
                <w:sz w:val="26"/>
                <w:szCs w:val="26"/>
                <w:lang w:val="en-US" w:eastAsia="zh-CN"/>
              </w:rPr>
              <w:t>2023年</w:t>
            </w:r>
            <w:r>
              <w:rPr>
                <w:rFonts w:hint="eastAsia" w:cs="Times New Roman"/>
                <w:color w:val="auto"/>
                <w:sz w:val="26"/>
                <w:szCs w:val="26"/>
                <w:lang w:val="en-US" w:eastAsia="zh-CN"/>
              </w:rPr>
              <w:t>）</w:t>
            </w:r>
            <w:r>
              <w:rPr>
                <w:rFonts w:hint="default" w:ascii="Times New Roman" w:hAnsi="Times New Roman" w:eastAsia="宋体" w:cs="Times New Roman"/>
                <w:color w:val="auto"/>
                <w:sz w:val="26"/>
                <w:szCs w:val="26"/>
                <w:lang w:val="en-US" w:eastAsia="zh-CN"/>
              </w:rPr>
              <w:t>》的通知</w:t>
            </w:r>
            <w:r>
              <w:rPr>
                <w:rFonts w:hint="eastAsia" w:cs="Times New Roman"/>
                <w:color w:val="auto"/>
                <w:sz w:val="26"/>
                <w:szCs w:val="26"/>
                <w:lang w:val="en-US" w:eastAsia="zh-CN"/>
              </w:rPr>
              <w:t>”</w:t>
            </w:r>
            <w:r>
              <w:rPr>
                <w:rFonts w:hint="default" w:ascii="Times New Roman" w:hAnsi="Times New Roman" w:eastAsia="宋体" w:cs="Times New Roman"/>
                <w:color w:val="auto"/>
                <w:sz w:val="26"/>
                <w:szCs w:val="26"/>
                <w:lang w:val="en-US" w:eastAsia="zh-CN"/>
              </w:rPr>
              <w:t>（合川府发〔202</w:t>
            </w:r>
            <w:r>
              <w:rPr>
                <w:rFonts w:hint="eastAsia" w:cs="Times New Roman"/>
                <w:color w:val="auto"/>
                <w:sz w:val="26"/>
                <w:szCs w:val="26"/>
                <w:lang w:val="en-US" w:eastAsia="zh-CN"/>
              </w:rPr>
              <w:t>4</w:t>
            </w:r>
            <w:r>
              <w:rPr>
                <w:rFonts w:hint="default" w:ascii="Times New Roman" w:hAnsi="Times New Roman" w:eastAsia="宋体" w:cs="Times New Roman"/>
                <w:color w:val="auto"/>
                <w:sz w:val="26"/>
                <w:szCs w:val="26"/>
                <w:lang w:val="en-US" w:eastAsia="zh-CN"/>
              </w:rPr>
              <w:t>〕</w:t>
            </w:r>
            <w:r>
              <w:rPr>
                <w:rFonts w:hint="eastAsia" w:cs="Times New Roman"/>
                <w:color w:val="auto"/>
                <w:sz w:val="26"/>
                <w:szCs w:val="26"/>
                <w:lang w:val="en-US" w:eastAsia="zh-CN"/>
              </w:rPr>
              <w:t>8</w:t>
            </w:r>
            <w:r>
              <w:rPr>
                <w:rFonts w:hint="default" w:ascii="Times New Roman" w:hAnsi="Times New Roman" w:eastAsia="宋体" w:cs="Times New Roman"/>
                <w:color w:val="auto"/>
                <w:sz w:val="26"/>
                <w:szCs w:val="26"/>
                <w:lang w:val="en-US" w:eastAsia="zh-CN"/>
              </w:rPr>
              <w:t>号）</w:t>
            </w:r>
            <w:r>
              <w:rPr>
                <w:rFonts w:hint="default" w:ascii="Times New Roman" w:hAnsi="Times New Roman" w:eastAsia="宋体" w:cs="Times New Roman"/>
                <w:color w:val="auto"/>
                <w:sz w:val="26"/>
                <w:szCs w:val="26"/>
              </w:rPr>
              <w:t>及重庆市“三线一单”智检服务系统检测分析报告可知（详</w:t>
            </w:r>
            <w:r>
              <w:rPr>
                <w:rFonts w:hint="default" w:ascii="Times New Roman" w:hAnsi="Times New Roman" w:eastAsia="宋体" w:cs="Times New Roman"/>
                <w:color w:val="auto"/>
                <w:sz w:val="26"/>
                <w:szCs w:val="26"/>
                <w:highlight w:val="none"/>
              </w:rPr>
              <w:t>见附件</w:t>
            </w:r>
            <w:r>
              <w:rPr>
                <w:rFonts w:hint="default" w:ascii="Times New Roman" w:hAnsi="Times New Roman" w:eastAsia="宋体" w:cs="Times New Roman"/>
                <w:color w:val="auto"/>
                <w:sz w:val="26"/>
                <w:szCs w:val="26"/>
                <w:highlight w:val="none"/>
                <w:lang w:val="en-US" w:eastAsia="zh-CN"/>
              </w:rPr>
              <w:t>3</w:t>
            </w:r>
            <w:r>
              <w:rPr>
                <w:rFonts w:hint="default" w:ascii="Times New Roman" w:hAnsi="Times New Roman" w:eastAsia="宋体" w:cs="Times New Roman"/>
                <w:color w:val="auto"/>
                <w:sz w:val="26"/>
                <w:szCs w:val="26"/>
              </w:rPr>
              <w:t>），</w:t>
            </w:r>
            <w:r>
              <w:rPr>
                <w:rFonts w:hint="default" w:ascii="Times New Roman" w:hAnsi="Times New Roman" w:eastAsia="宋体" w:cs="Times New Roman"/>
                <w:color w:val="auto"/>
                <w:sz w:val="26"/>
                <w:szCs w:val="26"/>
                <w:lang w:val="en-US" w:eastAsia="zh-CN"/>
              </w:rPr>
              <w:t>本工程所在区域属于合川区的“</w:t>
            </w:r>
            <w:r>
              <w:rPr>
                <w:rFonts w:hint="eastAsia" w:ascii="Times New Roman" w:hAnsi="Times New Roman" w:eastAsia="宋体" w:cs="Times New Roman"/>
                <w:color w:val="auto"/>
                <w:sz w:val="26"/>
                <w:szCs w:val="26"/>
                <w:lang w:val="en-US" w:eastAsia="zh-CN"/>
              </w:rPr>
              <w:t>合川区工业城镇重点管控单元—网络安全产业城片区</w:t>
            </w:r>
            <w:r>
              <w:rPr>
                <w:rFonts w:hint="default" w:ascii="Times New Roman" w:hAnsi="Times New Roman" w:eastAsia="宋体" w:cs="Times New Roman"/>
                <w:color w:val="auto"/>
                <w:sz w:val="26"/>
                <w:szCs w:val="26"/>
                <w:lang w:val="en-US" w:eastAsia="zh-CN"/>
              </w:rPr>
              <w:t>”</w:t>
            </w:r>
            <w:r>
              <w:rPr>
                <w:rFonts w:hint="default" w:ascii="Times New Roman" w:hAnsi="Times New Roman" w:eastAsia="宋体" w:cs="Times New Roman"/>
                <w:color w:val="auto"/>
                <w:sz w:val="26"/>
                <w:szCs w:val="26"/>
              </w:rPr>
              <w:t>不涉及生态保护红线，</w:t>
            </w:r>
            <w:r>
              <w:rPr>
                <w:rFonts w:hint="default" w:ascii="Times New Roman" w:hAnsi="Times New Roman" w:eastAsia="宋体" w:cs="Times New Roman"/>
                <w:color w:val="auto"/>
                <w:sz w:val="26"/>
                <w:szCs w:val="26"/>
                <w:lang w:val="en-US" w:eastAsia="zh-CN"/>
              </w:rPr>
              <w:t>项目与</w:t>
            </w:r>
            <w:r>
              <w:rPr>
                <w:rFonts w:hint="default" w:ascii="Times New Roman" w:hAnsi="Times New Roman" w:eastAsia="宋体" w:cs="Times New Roman"/>
                <w:color w:val="auto"/>
                <w:sz w:val="26"/>
                <w:szCs w:val="26"/>
                <w:highlight w:val="none"/>
                <w:lang w:val="en-US" w:eastAsia="zh-CN"/>
              </w:rPr>
              <w:t>生态红线位置关系见附图</w:t>
            </w:r>
            <w:r>
              <w:rPr>
                <w:rFonts w:hint="eastAsia" w:cs="Times New Roman"/>
                <w:color w:val="auto"/>
                <w:sz w:val="26"/>
                <w:szCs w:val="26"/>
                <w:highlight w:val="none"/>
                <w:lang w:val="en-US" w:eastAsia="zh-CN"/>
              </w:rPr>
              <w:t>4</w:t>
            </w:r>
            <w:r>
              <w:rPr>
                <w:rFonts w:hint="default" w:ascii="Times New Roman" w:hAnsi="Times New Roman" w:eastAsia="宋体" w:cs="Times New Roman"/>
                <w:color w:val="auto"/>
                <w:sz w:val="26"/>
                <w:szCs w:val="26"/>
                <w:lang w:val="en-US" w:eastAsia="zh-CN"/>
              </w:rPr>
              <w:t>，</w:t>
            </w:r>
            <w:r>
              <w:rPr>
                <w:rFonts w:hint="default" w:ascii="Times New Roman" w:hAnsi="Times New Roman" w:eastAsia="宋体" w:cs="Times New Roman"/>
                <w:color w:val="auto"/>
                <w:sz w:val="26"/>
                <w:szCs w:val="26"/>
              </w:rPr>
              <w:t>具体管控要求符合性分析见表1.2-</w:t>
            </w:r>
            <w:r>
              <w:rPr>
                <w:rFonts w:hint="eastAsia" w:cs="Times New Roman"/>
                <w:color w:val="auto"/>
                <w:sz w:val="26"/>
                <w:szCs w:val="26"/>
                <w:lang w:val="en-US" w:eastAsia="zh-CN"/>
              </w:rPr>
              <w:t>4</w:t>
            </w:r>
            <w:r>
              <w:rPr>
                <w:rFonts w:hint="default" w:ascii="Times New Roman" w:hAnsi="Times New Roman" w:eastAsia="宋体" w:cs="Times New Roman"/>
                <w:color w:val="auto"/>
                <w:sz w:val="26"/>
                <w:szCs w:val="26"/>
              </w:rPr>
              <w:t>。</w:t>
            </w:r>
          </w:p>
        </w:tc>
      </w:tr>
    </w:tbl>
    <w:p w14:paraId="6726A5B0">
      <w:pPr>
        <w:rPr>
          <w:color w:val="auto"/>
        </w:rPr>
      </w:pPr>
      <w:r>
        <w:rPr>
          <w:color w:val="auto"/>
        </w:rPr>
        <w:br w:type="page"/>
      </w:r>
    </w:p>
    <w:p w14:paraId="2F919667">
      <w:pPr>
        <w:rPr>
          <w:color w:val="auto"/>
        </w:rPr>
        <w:sectPr>
          <w:pgSz w:w="11906" w:h="16838"/>
          <w:pgMar w:top="1440" w:right="1803" w:bottom="1440" w:left="1803"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0C7F4C0C">
      <w:pPr>
        <w:rPr>
          <w:color w:val="auto"/>
        </w:rPr>
      </w:pPr>
    </w:p>
    <w:p w14:paraId="3AE05905">
      <w:pPr>
        <w:pStyle w:val="27"/>
        <w:pageBreakBefore w:val="0"/>
        <w:widowControl w:val="0"/>
        <w:kinsoku/>
        <w:wordWrap/>
        <w:overflowPunct/>
        <w:topLinePunct w:val="0"/>
        <w:autoSpaceDE/>
        <w:autoSpaceDN/>
        <w:bidi w:val="0"/>
        <w:adjustRightInd w:val="0"/>
        <w:snapToGrid w:val="0"/>
        <w:spacing w:line="460" w:lineRule="exact"/>
        <w:ind w:left="0" w:leftChars="0" w:firstLine="520" w:firstLineChars="200"/>
        <w:jc w:val="both"/>
        <w:rPr>
          <w:rFonts w:hint="default"/>
          <w:color w:val="auto"/>
          <w:sz w:val="26"/>
          <w:szCs w:val="26"/>
          <w:lang w:val="en-US" w:eastAsia="zh-CN"/>
        </w:rPr>
      </w:pPr>
      <w:r>
        <w:rPr>
          <w:rFonts w:hint="default" w:ascii="Times New Roman" w:hAnsi="Times New Roman" w:eastAsia="宋体" w:cs="Times New Roman"/>
          <w:color w:val="auto"/>
          <w:sz w:val="26"/>
          <w:szCs w:val="26"/>
          <w:lang w:val="en-US" w:eastAsia="zh-CN"/>
        </w:rPr>
        <w:t>表1.2-</w:t>
      </w:r>
      <w:r>
        <w:rPr>
          <w:rFonts w:hint="eastAsia" w:eastAsia="宋体" w:cs="Times New Roman"/>
          <w:color w:val="auto"/>
          <w:sz w:val="26"/>
          <w:szCs w:val="26"/>
          <w:lang w:val="en-US" w:eastAsia="zh-CN"/>
        </w:rPr>
        <w:t>4</w:t>
      </w:r>
      <w:r>
        <w:rPr>
          <w:rFonts w:hint="default" w:ascii="Times New Roman" w:hAnsi="Times New Roman" w:eastAsia="宋体" w:cs="Times New Roman"/>
          <w:color w:val="auto"/>
          <w:sz w:val="26"/>
          <w:szCs w:val="26"/>
          <w:lang w:val="en-US" w:eastAsia="zh-CN"/>
        </w:rPr>
        <w:t xml:space="preserve">  </w:t>
      </w:r>
      <w:r>
        <w:rPr>
          <w:rFonts w:hint="eastAsia" w:ascii="Times New Roman" w:hAnsi="Times New Roman" w:eastAsia="宋体" w:cs="Times New Roman"/>
          <w:color w:val="auto"/>
          <w:sz w:val="26"/>
          <w:szCs w:val="26"/>
          <w:lang w:val="en-US" w:eastAsia="zh-CN"/>
        </w:rPr>
        <w:t xml:space="preserve">                              </w:t>
      </w:r>
      <w:r>
        <w:rPr>
          <w:rFonts w:hint="default" w:ascii="Times New Roman" w:hAnsi="Times New Roman" w:eastAsia="宋体" w:cs="Times New Roman"/>
          <w:color w:val="auto"/>
          <w:sz w:val="26"/>
          <w:szCs w:val="26"/>
          <w:lang w:val="en-US" w:eastAsia="zh-CN"/>
        </w:rPr>
        <w:t>“三线一单”符合性分析</w:t>
      </w:r>
    </w:p>
    <w:tbl>
      <w:tblPr>
        <w:tblStyle w:val="17"/>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199"/>
        <w:gridCol w:w="6608"/>
        <w:gridCol w:w="4069"/>
        <w:gridCol w:w="952"/>
      </w:tblGrid>
      <w:tr w14:paraId="57186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21" w:type="dxa"/>
            <w:gridSpan w:val="2"/>
            <w:noWrap w:val="0"/>
            <w:vAlign w:val="center"/>
          </w:tcPr>
          <w:p w14:paraId="26E6D74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环境管控单元编码</w:t>
            </w:r>
          </w:p>
        </w:tc>
        <w:tc>
          <w:tcPr>
            <w:tcW w:w="6608" w:type="dxa"/>
            <w:noWrap w:val="0"/>
            <w:vAlign w:val="center"/>
          </w:tcPr>
          <w:p w14:paraId="5508295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环境管控单位名称</w:t>
            </w:r>
          </w:p>
        </w:tc>
        <w:tc>
          <w:tcPr>
            <w:tcW w:w="5021" w:type="dxa"/>
            <w:gridSpan w:val="2"/>
            <w:noWrap w:val="0"/>
            <w:vAlign w:val="center"/>
          </w:tcPr>
          <w:p w14:paraId="4081B7E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环境管控单元类型</w:t>
            </w:r>
          </w:p>
        </w:tc>
      </w:tr>
      <w:tr w14:paraId="4BCFD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21" w:type="dxa"/>
            <w:gridSpan w:val="2"/>
            <w:noWrap w:val="0"/>
            <w:vAlign w:val="center"/>
          </w:tcPr>
          <w:p w14:paraId="1B625FF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lang w:eastAsia="zh-CN"/>
              </w:rPr>
            </w:pPr>
            <w:r>
              <w:rPr>
                <w:rFonts w:ascii="Times New Roman" w:hAnsi="Times New Roman" w:eastAsia="宋体"/>
                <w:color w:val="auto"/>
                <w:sz w:val="22"/>
                <w:szCs w:val="22"/>
              </w:rPr>
              <w:t>ZH5001172000</w:t>
            </w:r>
            <w:r>
              <w:rPr>
                <w:rFonts w:hint="eastAsia" w:ascii="Times New Roman" w:hAnsi="Times New Roman" w:eastAsia="宋体"/>
                <w:color w:val="auto"/>
                <w:sz w:val="22"/>
                <w:szCs w:val="22"/>
                <w:lang w:val="en-US" w:eastAsia="zh-CN"/>
              </w:rPr>
              <w:t>4</w:t>
            </w:r>
          </w:p>
        </w:tc>
        <w:tc>
          <w:tcPr>
            <w:tcW w:w="6608" w:type="dxa"/>
            <w:noWrap w:val="0"/>
            <w:vAlign w:val="center"/>
          </w:tcPr>
          <w:p w14:paraId="4988D9B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hint="eastAsia" w:ascii="Times New Roman" w:hAnsi="Times New Roman" w:eastAsia="宋体"/>
                <w:color w:val="auto"/>
                <w:kern w:val="0"/>
                <w:sz w:val="22"/>
                <w:szCs w:val="22"/>
              </w:rPr>
              <w:t>合川区工业城镇重点管控单元—网络安全产业城片区</w:t>
            </w:r>
          </w:p>
        </w:tc>
        <w:tc>
          <w:tcPr>
            <w:tcW w:w="5021" w:type="dxa"/>
            <w:gridSpan w:val="2"/>
            <w:noWrap w:val="0"/>
            <w:vAlign w:val="center"/>
          </w:tcPr>
          <w:p w14:paraId="6327080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重点管控单元</w:t>
            </w:r>
          </w:p>
        </w:tc>
      </w:tr>
      <w:tr w14:paraId="0B696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noWrap w:val="0"/>
            <w:vAlign w:val="center"/>
          </w:tcPr>
          <w:p w14:paraId="4DD202D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管控要求层级</w:t>
            </w:r>
          </w:p>
        </w:tc>
        <w:tc>
          <w:tcPr>
            <w:tcW w:w="1199" w:type="dxa"/>
            <w:noWrap w:val="0"/>
            <w:vAlign w:val="center"/>
          </w:tcPr>
          <w:p w14:paraId="5A6C137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管控类型</w:t>
            </w:r>
          </w:p>
        </w:tc>
        <w:tc>
          <w:tcPr>
            <w:tcW w:w="6608" w:type="dxa"/>
            <w:noWrap w:val="0"/>
            <w:vAlign w:val="center"/>
          </w:tcPr>
          <w:p w14:paraId="7110AE0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管控要求</w:t>
            </w:r>
          </w:p>
        </w:tc>
        <w:tc>
          <w:tcPr>
            <w:tcW w:w="4069" w:type="dxa"/>
            <w:noWrap w:val="0"/>
            <w:vAlign w:val="center"/>
          </w:tcPr>
          <w:p w14:paraId="3721799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拟建项目相关情况</w:t>
            </w:r>
          </w:p>
        </w:tc>
        <w:tc>
          <w:tcPr>
            <w:tcW w:w="952" w:type="dxa"/>
            <w:noWrap w:val="0"/>
            <w:vAlign w:val="center"/>
          </w:tcPr>
          <w:p w14:paraId="644C169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符合性</w:t>
            </w:r>
          </w:p>
        </w:tc>
      </w:tr>
      <w:tr w14:paraId="24FDB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restart"/>
            <w:noWrap w:val="0"/>
            <w:vAlign w:val="center"/>
          </w:tcPr>
          <w:p w14:paraId="1F3C16C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全市总体管控要求</w:t>
            </w:r>
          </w:p>
        </w:tc>
        <w:tc>
          <w:tcPr>
            <w:tcW w:w="1199" w:type="dxa"/>
            <w:vMerge w:val="restart"/>
            <w:noWrap w:val="0"/>
            <w:vAlign w:val="center"/>
          </w:tcPr>
          <w:p w14:paraId="3061E66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空间布局约束</w:t>
            </w:r>
          </w:p>
        </w:tc>
        <w:tc>
          <w:tcPr>
            <w:tcW w:w="6608" w:type="dxa"/>
            <w:noWrap w:val="0"/>
            <w:vAlign w:val="center"/>
          </w:tcPr>
          <w:p w14:paraId="22B59D0A">
            <w:pPr>
              <w:pStyle w:val="34"/>
              <w:keepNext w:val="0"/>
              <w:keepLines w:val="0"/>
              <w:pageBreakBefore w:val="0"/>
              <w:kinsoku/>
              <w:wordWrap/>
              <w:overflowPunct/>
              <w:topLinePunct w:val="0"/>
              <w:autoSpaceDE/>
              <w:autoSpaceDN/>
              <w:bidi w:val="0"/>
              <w:spacing w:line="240" w:lineRule="auto"/>
              <w:ind w:firstLine="0" w:firstLineChars="0"/>
              <w:textAlignment w:val="auto"/>
              <w:rPr>
                <w:rFonts w:hint="eastAsia"/>
                <w:color w:val="auto"/>
                <w:sz w:val="22"/>
                <w:szCs w:val="22"/>
              </w:rPr>
            </w:pPr>
            <w:r>
              <w:rPr>
                <w:rFonts w:hint="eastAsia"/>
                <w:color w:val="auto"/>
                <w:sz w:val="22"/>
                <w:szCs w:val="22"/>
              </w:rPr>
              <w:t>第一条 深入贯彻习近平生态文明思想，筑牢长江上游重要生态屏障，推动优势区域重点</w:t>
            </w:r>
            <w:r>
              <w:rPr>
                <w:rFonts w:hint="eastAsia"/>
                <w:color w:val="auto"/>
                <w:sz w:val="22"/>
                <w:szCs w:val="22"/>
                <w:lang w:eastAsia="zh-CN"/>
              </w:rPr>
              <w:t>发展</w:t>
            </w:r>
            <w:r>
              <w:rPr>
                <w:rFonts w:hint="eastAsia"/>
                <w:color w:val="auto"/>
                <w:sz w:val="22"/>
                <w:szCs w:val="22"/>
              </w:rPr>
              <w:t>第一、生态功能区重点保护、城乡融合发展，优化重点区域、流域、产业的空间布局。</w:t>
            </w:r>
          </w:p>
        </w:tc>
        <w:tc>
          <w:tcPr>
            <w:tcW w:w="4069" w:type="dxa"/>
            <w:noWrap w:val="0"/>
            <w:vAlign w:val="center"/>
          </w:tcPr>
          <w:p w14:paraId="5693D47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本项目位于合川工业园区南溪</w:t>
            </w:r>
            <w:r>
              <w:rPr>
                <w:rFonts w:hint="eastAsia" w:ascii="Times New Roman" w:hAnsi="Times New Roman" w:eastAsia="宋体"/>
                <w:color w:val="auto"/>
                <w:sz w:val="22"/>
                <w:szCs w:val="22"/>
                <w:lang w:val="en-US" w:eastAsia="zh-CN"/>
              </w:rPr>
              <w:t>组团B区</w:t>
            </w:r>
            <w:r>
              <w:rPr>
                <w:rFonts w:hint="eastAsia" w:ascii="Times New Roman" w:hAnsi="Times New Roman" w:eastAsia="宋体"/>
                <w:color w:val="auto"/>
                <w:sz w:val="22"/>
                <w:szCs w:val="22"/>
              </w:rPr>
              <w:t>，符合园区空间布局。</w:t>
            </w:r>
          </w:p>
        </w:tc>
        <w:tc>
          <w:tcPr>
            <w:tcW w:w="952" w:type="dxa"/>
            <w:noWrap w:val="0"/>
            <w:vAlign w:val="center"/>
          </w:tcPr>
          <w:p w14:paraId="32C82A3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符合</w:t>
            </w:r>
          </w:p>
        </w:tc>
      </w:tr>
      <w:tr w14:paraId="6B181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5FAE7F0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6E20BFD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6608" w:type="dxa"/>
            <w:noWrap w:val="0"/>
            <w:vAlign w:val="center"/>
          </w:tcPr>
          <w:p w14:paraId="1462D64B">
            <w:pPr>
              <w:pStyle w:val="34"/>
              <w:keepNext w:val="0"/>
              <w:keepLines w:val="0"/>
              <w:pageBreakBefore w:val="0"/>
              <w:kinsoku/>
              <w:wordWrap/>
              <w:overflowPunct/>
              <w:topLinePunct w:val="0"/>
              <w:autoSpaceDE/>
              <w:autoSpaceDN/>
              <w:bidi w:val="0"/>
              <w:spacing w:line="240" w:lineRule="auto"/>
              <w:ind w:firstLine="0" w:firstLineChars="0"/>
              <w:textAlignment w:val="auto"/>
              <w:rPr>
                <w:color w:val="auto"/>
                <w:sz w:val="22"/>
                <w:szCs w:val="22"/>
              </w:rPr>
            </w:pPr>
            <w:r>
              <w:rPr>
                <w:rFonts w:hint="eastAsia"/>
                <w:color w:val="auto"/>
                <w:sz w:val="22"/>
                <w:szCs w:val="22"/>
              </w:rPr>
              <w:t>第二条 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tc>
        <w:tc>
          <w:tcPr>
            <w:tcW w:w="4069" w:type="dxa"/>
            <w:noWrap w:val="0"/>
            <w:vAlign w:val="center"/>
          </w:tcPr>
          <w:p w14:paraId="29FAF42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本项目为</w:t>
            </w:r>
            <w:r>
              <w:rPr>
                <w:rFonts w:hint="eastAsia" w:ascii="Times New Roman" w:cs="Times New Roman"/>
                <w:bCs/>
                <w:color w:val="auto"/>
                <w:sz w:val="22"/>
                <w:szCs w:val="22"/>
                <w:lang w:val="en-US" w:eastAsia="zh-CN"/>
              </w:rPr>
              <w:t>车用隔热保温材料生产</w:t>
            </w:r>
            <w:r>
              <w:rPr>
                <w:rFonts w:hint="eastAsia" w:ascii="Times New Roman" w:hAnsi="Times New Roman" w:eastAsia="宋体"/>
                <w:color w:val="auto"/>
                <w:kern w:val="0"/>
                <w:sz w:val="22"/>
                <w:szCs w:val="22"/>
              </w:rPr>
              <w:t>，</w:t>
            </w:r>
            <w:r>
              <w:rPr>
                <w:rFonts w:hint="eastAsia" w:ascii="Times New Roman" w:hAnsi="Times New Roman" w:eastAsia="宋体"/>
                <w:color w:val="auto"/>
                <w:sz w:val="22"/>
                <w:szCs w:val="22"/>
              </w:rPr>
              <w:t>位于工业园区南溪</w:t>
            </w:r>
            <w:r>
              <w:rPr>
                <w:rFonts w:hint="eastAsia"/>
                <w:color w:val="auto"/>
                <w:sz w:val="22"/>
                <w:szCs w:val="22"/>
                <w:lang w:val="en-US" w:eastAsia="zh-CN"/>
              </w:rPr>
              <w:t>组团B区</w:t>
            </w:r>
            <w:r>
              <w:rPr>
                <w:rFonts w:hint="eastAsia" w:ascii="Times New Roman" w:hAnsi="Times New Roman" w:eastAsia="宋体"/>
                <w:color w:val="auto"/>
                <w:sz w:val="22"/>
                <w:szCs w:val="22"/>
              </w:rPr>
              <w:t>，不</w:t>
            </w:r>
            <w:r>
              <w:rPr>
                <w:rFonts w:hint="eastAsia" w:ascii="Times New Roman" w:hAnsi="Times New Roman" w:eastAsia="宋体"/>
                <w:color w:val="auto"/>
                <w:kern w:val="0"/>
                <w:sz w:val="22"/>
                <w:szCs w:val="22"/>
              </w:rPr>
              <w:t>属于前述尾矿库、冶炼渣库、磷石膏库项目，也不属于新建重化工、纸浆制造、印染等存在环境风险的项目。</w:t>
            </w:r>
          </w:p>
        </w:tc>
        <w:tc>
          <w:tcPr>
            <w:tcW w:w="952" w:type="dxa"/>
            <w:noWrap w:val="0"/>
            <w:vAlign w:val="center"/>
          </w:tcPr>
          <w:p w14:paraId="2F8FC81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符合</w:t>
            </w:r>
          </w:p>
        </w:tc>
      </w:tr>
      <w:tr w14:paraId="3C258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35D5B56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5F5FC07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6608" w:type="dxa"/>
            <w:noWrap w:val="0"/>
            <w:vAlign w:val="center"/>
          </w:tcPr>
          <w:p w14:paraId="30528CA8">
            <w:pPr>
              <w:pStyle w:val="34"/>
              <w:keepNext w:val="0"/>
              <w:keepLines w:val="0"/>
              <w:pageBreakBefore w:val="0"/>
              <w:kinsoku/>
              <w:wordWrap/>
              <w:overflowPunct/>
              <w:topLinePunct w:val="0"/>
              <w:autoSpaceDE/>
              <w:autoSpaceDN/>
              <w:bidi w:val="0"/>
              <w:spacing w:line="240" w:lineRule="auto"/>
              <w:ind w:firstLine="0" w:firstLineChars="0"/>
              <w:textAlignment w:val="auto"/>
              <w:rPr>
                <w:color w:val="auto"/>
                <w:sz w:val="22"/>
                <w:szCs w:val="22"/>
              </w:rPr>
            </w:pPr>
            <w:r>
              <w:rPr>
                <w:rFonts w:hint="eastAsia"/>
                <w:color w:val="auto"/>
                <w:sz w:val="22"/>
                <w:szCs w:val="22"/>
              </w:rPr>
              <w:t>第三条 禁止在合规园区外新建、扩建钢铁、石化、化工、焦化、建材、有色、制浆造纸等高污染项目</w:t>
            </w:r>
            <w:r>
              <w:rPr>
                <w:rFonts w:hint="eastAsia"/>
                <w:color w:val="auto"/>
                <w:sz w:val="22"/>
                <w:szCs w:val="22"/>
                <w:lang w:eastAsia="zh-CN"/>
              </w:rPr>
              <w:t>（</w:t>
            </w:r>
            <w:r>
              <w:rPr>
                <w:rFonts w:hint="eastAsia"/>
                <w:color w:val="auto"/>
                <w:sz w:val="22"/>
                <w:szCs w:val="22"/>
              </w:rPr>
              <w:t>高污染项目严格按照《环境保护综合名录》“高污染”产品名录执行</w:t>
            </w:r>
            <w:r>
              <w:rPr>
                <w:rFonts w:hint="eastAsia"/>
                <w:color w:val="auto"/>
                <w:sz w:val="22"/>
                <w:szCs w:val="22"/>
                <w:lang w:eastAsia="zh-CN"/>
              </w:rPr>
              <w:t>）</w:t>
            </w:r>
            <w:r>
              <w:rPr>
                <w:rFonts w:hint="eastAsia"/>
                <w:color w:val="auto"/>
                <w:sz w:val="22"/>
                <w:szCs w:val="22"/>
              </w:rPr>
              <w:t>。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4069" w:type="dxa"/>
            <w:noWrap w:val="0"/>
            <w:vAlign w:val="center"/>
          </w:tcPr>
          <w:p w14:paraId="6316740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本项目位于合川工业园区南溪组团</w:t>
            </w:r>
            <w:r>
              <w:rPr>
                <w:rFonts w:hint="eastAsia"/>
                <w:color w:val="auto"/>
                <w:sz w:val="22"/>
                <w:szCs w:val="22"/>
                <w:lang w:val="en-US" w:eastAsia="zh-CN"/>
              </w:rPr>
              <w:t>B</w:t>
            </w:r>
            <w:r>
              <w:rPr>
                <w:rFonts w:hint="eastAsia" w:ascii="Times New Roman" w:hAnsi="Times New Roman" w:eastAsia="宋体"/>
                <w:color w:val="auto"/>
                <w:sz w:val="22"/>
                <w:szCs w:val="22"/>
              </w:rPr>
              <w:t>区，属于合规园区，本项目为</w:t>
            </w:r>
            <w:r>
              <w:rPr>
                <w:rFonts w:hint="eastAsia" w:ascii="Times New Roman" w:cs="Times New Roman"/>
                <w:bCs/>
                <w:color w:val="auto"/>
                <w:sz w:val="22"/>
                <w:szCs w:val="22"/>
                <w:lang w:val="en-US" w:eastAsia="zh-CN"/>
              </w:rPr>
              <w:t>车用隔热保温材料生</w:t>
            </w:r>
            <w:r>
              <w:rPr>
                <w:rFonts w:hint="eastAsia" w:ascii="Times New Roman" w:hAnsi="Times New Roman" w:eastAsia="宋体"/>
                <w:color w:val="auto"/>
                <w:kern w:val="0"/>
                <w:sz w:val="22"/>
                <w:szCs w:val="22"/>
              </w:rPr>
              <w:t>产，</w:t>
            </w:r>
            <w:r>
              <w:rPr>
                <w:rFonts w:hint="eastAsia" w:ascii="Times New Roman" w:hAnsi="Times New Roman" w:eastAsia="宋体"/>
                <w:color w:val="auto"/>
                <w:sz w:val="22"/>
                <w:szCs w:val="22"/>
              </w:rPr>
              <w:t>不属于前述两高污染项目，不属于石化、现代煤化工项目。</w:t>
            </w:r>
          </w:p>
        </w:tc>
        <w:tc>
          <w:tcPr>
            <w:tcW w:w="952" w:type="dxa"/>
            <w:noWrap w:val="0"/>
            <w:vAlign w:val="center"/>
          </w:tcPr>
          <w:p w14:paraId="31EABF5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符合</w:t>
            </w:r>
          </w:p>
        </w:tc>
      </w:tr>
      <w:tr w14:paraId="0ECFD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40DA1A7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28489BB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6608" w:type="dxa"/>
            <w:noWrap w:val="0"/>
            <w:vAlign w:val="center"/>
          </w:tcPr>
          <w:p w14:paraId="3E9B368A">
            <w:pPr>
              <w:pStyle w:val="34"/>
              <w:keepNext w:val="0"/>
              <w:keepLines w:val="0"/>
              <w:pageBreakBefore w:val="0"/>
              <w:kinsoku/>
              <w:wordWrap/>
              <w:overflowPunct/>
              <w:topLinePunct w:val="0"/>
              <w:autoSpaceDE/>
              <w:autoSpaceDN/>
              <w:bidi w:val="0"/>
              <w:spacing w:line="240" w:lineRule="auto"/>
              <w:ind w:firstLine="0" w:firstLineChars="0"/>
              <w:textAlignment w:val="auto"/>
              <w:rPr>
                <w:color w:val="auto"/>
                <w:sz w:val="22"/>
                <w:szCs w:val="22"/>
              </w:rPr>
            </w:pPr>
            <w:r>
              <w:rPr>
                <w:rFonts w:hint="eastAsia"/>
                <w:color w:val="auto"/>
                <w:sz w:val="22"/>
                <w:szCs w:val="22"/>
              </w:rPr>
              <w:t>第四条 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tc>
        <w:tc>
          <w:tcPr>
            <w:tcW w:w="4069" w:type="dxa"/>
            <w:noWrap w:val="0"/>
            <w:vAlign w:val="center"/>
          </w:tcPr>
          <w:p w14:paraId="60FFA9C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本项目为</w:t>
            </w:r>
            <w:r>
              <w:rPr>
                <w:rFonts w:hint="eastAsia"/>
                <w:color w:val="auto"/>
                <w:sz w:val="22"/>
                <w:szCs w:val="22"/>
                <w:lang w:val="en-US" w:eastAsia="zh-CN"/>
              </w:rPr>
              <w:t>车用隔热保温材料</w:t>
            </w:r>
            <w:r>
              <w:rPr>
                <w:rFonts w:hint="eastAsia" w:ascii="Times New Roman" w:hAnsi="Times New Roman" w:eastAsia="宋体"/>
                <w:color w:val="auto"/>
                <w:kern w:val="0"/>
                <w:sz w:val="22"/>
                <w:szCs w:val="22"/>
              </w:rPr>
              <w:t>生产，</w:t>
            </w:r>
            <w:r>
              <w:rPr>
                <w:rFonts w:hint="eastAsia" w:ascii="Times New Roman" w:hAnsi="Times New Roman" w:eastAsia="宋体"/>
                <w:color w:val="auto"/>
                <w:sz w:val="22"/>
                <w:szCs w:val="22"/>
              </w:rPr>
              <w:t>位于工业园区南溪</w:t>
            </w:r>
            <w:r>
              <w:rPr>
                <w:rFonts w:hint="eastAsia"/>
                <w:color w:val="auto"/>
                <w:sz w:val="22"/>
                <w:szCs w:val="22"/>
                <w:lang w:val="en-US" w:eastAsia="zh-CN"/>
              </w:rPr>
              <w:t>组团B区</w:t>
            </w:r>
            <w:r>
              <w:rPr>
                <w:rFonts w:hint="eastAsia" w:ascii="Times New Roman" w:hAnsi="Times New Roman" w:eastAsia="宋体"/>
                <w:color w:val="auto"/>
                <w:sz w:val="22"/>
                <w:szCs w:val="22"/>
              </w:rPr>
              <w:t>。</w:t>
            </w:r>
          </w:p>
        </w:tc>
        <w:tc>
          <w:tcPr>
            <w:tcW w:w="952" w:type="dxa"/>
            <w:noWrap w:val="0"/>
            <w:vAlign w:val="center"/>
          </w:tcPr>
          <w:p w14:paraId="1199425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符合</w:t>
            </w:r>
          </w:p>
        </w:tc>
      </w:tr>
      <w:tr w14:paraId="6B416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07C6FDD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36BA8D2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6608" w:type="dxa"/>
            <w:noWrap w:val="0"/>
            <w:vAlign w:val="center"/>
          </w:tcPr>
          <w:p w14:paraId="7A5C64F5">
            <w:pPr>
              <w:pStyle w:val="34"/>
              <w:keepNext w:val="0"/>
              <w:keepLines w:val="0"/>
              <w:pageBreakBefore w:val="0"/>
              <w:kinsoku/>
              <w:wordWrap/>
              <w:overflowPunct/>
              <w:topLinePunct w:val="0"/>
              <w:autoSpaceDE/>
              <w:autoSpaceDN/>
              <w:bidi w:val="0"/>
              <w:spacing w:line="240" w:lineRule="auto"/>
              <w:ind w:firstLine="0" w:firstLineChars="0"/>
              <w:jc w:val="both"/>
              <w:textAlignment w:val="auto"/>
              <w:rPr>
                <w:color w:val="auto"/>
                <w:sz w:val="22"/>
                <w:szCs w:val="22"/>
              </w:rPr>
            </w:pPr>
            <w:r>
              <w:rPr>
                <w:rFonts w:hint="eastAsia"/>
                <w:color w:val="auto"/>
                <w:sz w:val="22"/>
                <w:szCs w:val="22"/>
              </w:rPr>
              <w:t>第五条 新建、扩建有色金属冶炼、电镀、铅蓄电池等企业应布设在依法合规设立并经过规划环评的产业园区。</w:t>
            </w:r>
          </w:p>
        </w:tc>
        <w:tc>
          <w:tcPr>
            <w:tcW w:w="4069" w:type="dxa"/>
            <w:noWrap w:val="0"/>
            <w:vAlign w:val="center"/>
          </w:tcPr>
          <w:p w14:paraId="4D7BCB9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olor w:val="auto"/>
                <w:sz w:val="22"/>
                <w:szCs w:val="22"/>
              </w:rPr>
            </w:pPr>
            <w:r>
              <w:rPr>
                <w:rFonts w:hint="eastAsia" w:ascii="Times New Roman" w:hAnsi="Times New Roman" w:eastAsia="宋体"/>
                <w:color w:val="auto"/>
                <w:sz w:val="22"/>
                <w:szCs w:val="22"/>
              </w:rPr>
              <w:t>拟建项目为</w:t>
            </w:r>
            <w:r>
              <w:rPr>
                <w:rFonts w:hint="eastAsia" w:ascii="Times New Roman" w:cs="Times New Roman"/>
                <w:bCs/>
                <w:color w:val="auto"/>
                <w:sz w:val="22"/>
                <w:szCs w:val="22"/>
                <w:lang w:val="en-US" w:eastAsia="zh-CN"/>
              </w:rPr>
              <w:t>车用隔热保温材料生</w:t>
            </w:r>
            <w:r>
              <w:rPr>
                <w:rFonts w:hint="eastAsia" w:ascii="Times New Roman" w:hAnsi="Times New Roman" w:eastAsia="宋体"/>
                <w:color w:val="auto"/>
                <w:kern w:val="0"/>
                <w:sz w:val="22"/>
                <w:szCs w:val="22"/>
              </w:rPr>
              <w:t>产</w:t>
            </w:r>
            <w:r>
              <w:rPr>
                <w:rFonts w:hint="eastAsia" w:ascii="Times New Roman" w:hAnsi="Times New Roman" w:eastAsia="宋体"/>
                <w:color w:val="auto"/>
                <w:kern w:val="0"/>
                <w:sz w:val="22"/>
                <w:szCs w:val="22"/>
                <w:lang w:eastAsia="zh-CN"/>
              </w:rPr>
              <w:t>，</w:t>
            </w:r>
            <w:r>
              <w:rPr>
                <w:rFonts w:hint="eastAsia" w:ascii="Times New Roman" w:hAnsi="Times New Roman" w:eastAsia="宋体"/>
                <w:color w:val="auto"/>
                <w:kern w:val="0"/>
                <w:sz w:val="22"/>
                <w:szCs w:val="22"/>
              </w:rPr>
              <w:t>不属于前</w:t>
            </w:r>
            <w:r>
              <w:rPr>
                <w:rFonts w:hint="eastAsia" w:ascii="Times New Roman" w:hAnsi="Times New Roman" w:eastAsia="宋体"/>
                <w:color w:val="auto"/>
                <w:sz w:val="22"/>
                <w:szCs w:val="22"/>
              </w:rPr>
              <w:t>述有色金属冶炼、电镀、铅蓄电池项目</w:t>
            </w:r>
          </w:p>
        </w:tc>
        <w:tc>
          <w:tcPr>
            <w:tcW w:w="952" w:type="dxa"/>
            <w:noWrap w:val="0"/>
            <w:vAlign w:val="center"/>
          </w:tcPr>
          <w:p w14:paraId="37903D1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符合</w:t>
            </w:r>
          </w:p>
        </w:tc>
      </w:tr>
      <w:tr w14:paraId="26D2F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115515E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357DA9C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6608" w:type="dxa"/>
            <w:noWrap w:val="0"/>
            <w:vAlign w:val="center"/>
          </w:tcPr>
          <w:p w14:paraId="30C215CD">
            <w:pPr>
              <w:pStyle w:val="34"/>
              <w:keepNext w:val="0"/>
              <w:keepLines w:val="0"/>
              <w:pageBreakBefore w:val="0"/>
              <w:kinsoku/>
              <w:wordWrap/>
              <w:overflowPunct/>
              <w:topLinePunct w:val="0"/>
              <w:autoSpaceDE/>
              <w:autoSpaceDN/>
              <w:bidi w:val="0"/>
              <w:spacing w:line="240" w:lineRule="auto"/>
              <w:ind w:firstLine="0" w:firstLineChars="0"/>
              <w:jc w:val="both"/>
              <w:textAlignment w:val="auto"/>
              <w:rPr>
                <w:color w:val="auto"/>
                <w:sz w:val="22"/>
                <w:szCs w:val="22"/>
              </w:rPr>
            </w:pPr>
            <w:r>
              <w:rPr>
                <w:rFonts w:hint="eastAsia"/>
                <w:color w:val="auto"/>
                <w:sz w:val="22"/>
                <w:szCs w:val="22"/>
              </w:rPr>
              <w:t>第六条 涉及环境防护距离的工业企业或项目应通过选址或调整布局原则上将环境防护距离控制在园区边界或用地红线内，提前合理规划项目地块布置、预防环境风险。</w:t>
            </w:r>
          </w:p>
        </w:tc>
        <w:tc>
          <w:tcPr>
            <w:tcW w:w="4069" w:type="dxa"/>
            <w:noWrap w:val="0"/>
            <w:vAlign w:val="center"/>
          </w:tcPr>
          <w:p w14:paraId="31CB803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拟建项目不涉及环境防护距离</w:t>
            </w:r>
          </w:p>
        </w:tc>
        <w:tc>
          <w:tcPr>
            <w:tcW w:w="952" w:type="dxa"/>
            <w:noWrap w:val="0"/>
            <w:vAlign w:val="center"/>
          </w:tcPr>
          <w:p w14:paraId="19B6001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符合</w:t>
            </w:r>
          </w:p>
        </w:tc>
      </w:tr>
      <w:tr w14:paraId="7AABF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11A914E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1BEBA96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6608" w:type="dxa"/>
            <w:noWrap w:val="0"/>
            <w:vAlign w:val="center"/>
          </w:tcPr>
          <w:p w14:paraId="62A30099">
            <w:pPr>
              <w:pStyle w:val="34"/>
              <w:keepNext w:val="0"/>
              <w:keepLines w:val="0"/>
              <w:pageBreakBefore w:val="0"/>
              <w:kinsoku/>
              <w:wordWrap/>
              <w:overflowPunct/>
              <w:topLinePunct w:val="0"/>
              <w:autoSpaceDE/>
              <w:autoSpaceDN/>
              <w:bidi w:val="0"/>
              <w:spacing w:line="240" w:lineRule="auto"/>
              <w:ind w:firstLine="0" w:firstLineChars="0"/>
              <w:jc w:val="both"/>
              <w:textAlignment w:val="auto"/>
              <w:rPr>
                <w:color w:val="auto"/>
                <w:sz w:val="22"/>
                <w:szCs w:val="22"/>
              </w:rPr>
            </w:pPr>
            <w:r>
              <w:rPr>
                <w:rFonts w:hint="eastAsia"/>
                <w:color w:val="auto"/>
                <w:sz w:val="22"/>
                <w:szCs w:val="22"/>
              </w:rPr>
              <w:t>第七条 有效规范空间开发秩序，合理控制空间开发强度，切实将各类开发活动限制在资源环境承载能力之内，为构建高效协调可持续的国土空间开发格局奠定坚实基础。</w:t>
            </w:r>
          </w:p>
        </w:tc>
        <w:tc>
          <w:tcPr>
            <w:tcW w:w="4069" w:type="dxa"/>
            <w:noWrap w:val="0"/>
            <w:vAlign w:val="center"/>
          </w:tcPr>
          <w:p w14:paraId="58C7EAC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lang w:eastAsia="zh-CN"/>
              </w:rPr>
            </w:pPr>
            <w:r>
              <w:rPr>
                <w:rFonts w:hint="eastAsia" w:ascii="Times New Roman" w:hAnsi="Times New Roman" w:eastAsia="宋体"/>
                <w:color w:val="auto"/>
                <w:sz w:val="22"/>
                <w:szCs w:val="22"/>
              </w:rPr>
              <w:t>本项目位于合川工业园区南溪</w:t>
            </w:r>
            <w:r>
              <w:rPr>
                <w:rFonts w:hint="eastAsia"/>
                <w:color w:val="auto"/>
                <w:sz w:val="22"/>
                <w:szCs w:val="22"/>
                <w:lang w:val="en-US" w:eastAsia="zh-CN"/>
              </w:rPr>
              <w:t>组团B区</w:t>
            </w:r>
            <w:r>
              <w:rPr>
                <w:rFonts w:hint="eastAsia" w:ascii="Times New Roman" w:hAnsi="Times New Roman" w:eastAsia="宋体"/>
                <w:color w:val="auto"/>
                <w:sz w:val="22"/>
                <w:szCs w:val="22"/>
              </w:rPr>
              <w:t>，属于工业用地，</w:t>
            </w:r>
            <w:r>
              <w:rPr>
                <w:rFonts w:hint="eastAsia"/>
                <w:color w:val="auto"/>
                <w:sz w:val="22"/>
                <w:szCs w:val="22"/>
                <w:lang w:val="en-US" w:eastAsia="zh-CN"/>
              </w:rPr>
              <w:t>南溪组团B区PM</w:t>
            </w:r>
            <w:r>
              <w:rPr>
                <w:rFonts w:hint="eastAsia"/>
                <w:color w:val="auto"/>
                <w:sz w:val="22"/>
                <w:szCs w:val="22"/>
                <w:vertAlign w:val="subscript"/>
                <w:lang w:val="en-US" w:eastAsia="zh-CN"/>
              </w:rPr>
              <w:t>10</w:t>
            </w:r>
            <w:r>
              <w:rPr>
                <w:rFonts w:hint="eastAsia"/>
                <w:color w:val="auto"/>
                <w:sz w:val="22"/>
                <w:szCs w:val="22"/>
                <w:lang w:val="en-US" w:eastAsia="zh-CN"/>
              </w:rPr>
              <w:t>总量管控限值为1.535t/a，现状排放量为0.435t/a，本项目颗粒物排放量为0.17t/a；COD和氨氮总量管控限值为110.88t/a，和14.78t/a，本项目生活污水COD和氨氮排放量为0.039t/a和0.0052t/a。</w:t>
            </w:r>
            <w:r>
              <w:rPr>
                <w:rFonts w:hint="eastAsia" w:ascii="Times New Roman" w:hAnsi="Times New Roman" w:eastAsia="宋体"/>
                <w:color w:val="auto"/>
                <w:sz w:val="22"/>
                <w:szCs w:val="22"/>
              </w:rPr>
              <w:t>本项目建成后排放的废水和废气均在园区环境资源承载能力内</w:t>
            </w:r>
            <w:r>
              <w:rPr>
                <w:rFonts w:hint="eastAsia"/>
                <w:color w:val="auto"/>
                <w:sz w:val="22"/>
                <w:szCs w:val="22"/>
                <w:lang w:eastAsia="zh-CN"/>
              </w:rPr>
              <w:t>。</w:t>
            </w:r>
          </w:p>
        </w:tc>
        <w:tc>
          <w:tcPr>
            <w:tcW w:w="952" w:type="dxa"/>
            <w:noWrap w:val="0"/>
            <w:vAlign w:val="center"/>
          </w:tcPr>
          <w:p w14:paraId="2008447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符合</w:t>
            </w:r>
          </w:p>
        </w:tc>
      </w:tr>
      <w:tr w14:paraId="2D942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1EC167C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restart"/>
            <w:noWrap w:val="0"/>
            <w:vAlign w:val="center"/>
          </w:tcPr>
          <w:p w14:paraId="7BF2C17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污染物排放管控</w:t>
            </w:r>
          </w:p>
        </w:tc>
        <w:tc>
          <w:tcPr>
            <w:tcW w:w="6608" w:type="dxa"/>
            <w:noWrap w:val="0"/>
            <w:vAlign w:val="center"/>
          </w:tcPr>
          <w:p w14:paraId="61D5800E">
            <w:pPr>
              <w:pStyle w:val="34"/>
              <w:keepNext w:val="0"/>
              <w:keepLines w:val="0"/>
              <w:pageBreakBefore w:val="0"/>
              <w:kinsoku/>
              <w:wordWrap/>
              <w:overflowPunct/>
              <w:topLinePunct w:val="0"/>
              <w:autoSpaceDE/>
              <w:autoSpaceDN/>
              <w:bidi w:val="0"/>
              <w:spacing w:line="240" w:lineRule="auto"/>
              <w:ind w:firstLine="0" w:firstLineChars="0"/>
              <w:jc w:val="both"/>
              <w:textAlignment w:val="auto"/>
              <w:rPr>
                <w:color w:val="auto"/>
                <w:sz w:val="22"/>
                <w:szCs w:val="22"/>
              </w:rPr>
            </w:pPr>
            <w:r>
              <w:rPr>
                <w:rFonts w:hint="eastAsia"/>
                <w:color w:val="auto"/>
                <w:sz w:val="22"/>
                <w:szCs w:val="22"/>
              </w:rPr>
              <w:t>第八条 新建石化、煤化工、燃煤发电</w:t>
            </w:r>
            <w:r>
              <w:rPr>
                <w:rFonts w:hint="eastAsia"/>
                <w:color w:val="auto"/>
                <w:sz w:val="22"/>
                <w:szCs w:val="22"/>
                <w:lang w:eastAsia="zh-CN"/>
              </w:rPr>
              <w:t>（</w:t>
            </w:r>
            <w:r>
              <w:rPr>
                <w:rFonts w:hint="eastAsia"/>
                <w:color w:val="auto"/>
                <w:sz w:val="22"/>
                <w:szCs w:val="22"/>
              </w:rPr>
              <w:t>含热电</w:t>
            </w:r>
            <w:r>
              <w:rPr>
                <w:rFonts w:hint="eastAsia"/>
                <w:color w:val="auto"/>
                <w:sz w:val="22"/>
                <w:szCs w:val="22"/>
                <w:lang w:eastAsia="zh-CN"/>
              </w:rPr>
              <w:t>）</w:t>
            </w:r>
            <w:r>
              <w:rPr>
                <w:rFonts w:hint="eastAsia"/>
                <w:color w:val="auto"/>
                <w:sz w:val="22"/>
                <w:szCs w:val="22"/>
              </w:rPr>
              <w:t>、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A级指标要求。</w:t>
            </w:r>
          </w:p>
        </w:tc>
        <w:tc>
          <w:tcPr>
            <w:tcW w:w="4069" w:type="dxa"/>
            <w:noWrap w:val="0"/>
            <w:vAlign w:val="center"/>
          </w:tcPr>
          <w:p w14:paraId="7DE56CB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拟建项目为</w:t>
            </w:r>
            <w:r>
              <w:rPr>
                <w:rFonts w:hint="eastAsia" w:ascii="Times New Roman" w:cs="Times New Roman"/>
                <w:bCs/>
                <w:color w:val="auto"/>
                <w:sz w:val="22"/>
                <w:szCs w:val="22"/>
                <w:lang w:val="en-US" w:eastAsia="zh-CN"/>
              </w:rPr>
              <w:t>车用隔热保温材料生</w:t>
            </w:r>
            <w:r>
              <w:rPr>
                <w:rFonts w:hint="eastAsia" w:ascii="Times New Roman" w:hAnsi="Times New Roman" w:eastAsia="宋体"/>
                <w:color w:val="auto"/>
                <w:kern w:val="0"/>
                <w:sz w:val="22"/>
                <w:szCs w:val="22"/>
              </w:rPr>
              <w:t>产</w:t>
            </w:r>
            <w:r>
              <w:rPr>
                <w:rFonts w:hint="eastAsia" w:ascii="Times New Roman" w:hAnsi="Times New Roman" w:eastAsia="宋体"/>
                <w:color w:val="auto"/>
                <w:kern w:val="0"/>
                <w:sz w:val="22"/>
                <w:szCs w:val="22"/>
                <w:lang w:eastAsia="zh-CN"/>
              </w:rPr>
              <w:t>，</w:t>
            </w:r>
            <w:r>
              <w:rPr>
                <w:rFonts w:hint="eastAsia" w:ascii="Times New Roman" w:hAnsi="Times New Roman" w:eastAsia="宋体"/>
                <w:color w:val="auto"/>
                <w:kern w:val="0"/>
                <w:sz w:val="22"/>
                <w:szCs w:val="22"/>
              </w:rPr>
              <w:t>不属于前</w:t>
            </w:r>
            <w:r>
              <w:rPr>
                <w:rFonts w:hint="eastAsia" w:ascii="Times New Roman" w:hAnsi="Times New Roman" w:eastAsia="宋体"/>
                <w:color w:val="auto"/>
                <w:sz w:val="22"/>
                <w:szCs w:val="22"/>
              </w:rPr>
              <w:t>述石化、煤化工、燃煤发电</w:t>
            </w:r>
            <w:r>
              <w:rPr>
                <w:rFonts w:hint="eastAsia"/>
                <w:color w:val="auto"/>
                <w:sz w:val="22"/>
                <w:szCs w:val="22"/>
                <w:lang w:eastAsia="zh-CN"/>
              </w:rPr>
              <w:t>（</w:t>
            </w:r>
            <w:r>
              <w:rPr>
                <w:rFonts w:hint="eastAsia" w:ascii="Times New Roman" w:hAnsi="Times New Roman" w:eastAsia="宋体"/>
                <w:color w:val="auto"/>
                <w:sz w:val="22"/>
                <w:szCs w:val="22"/>
              </w:rPr>
              <w:t>含热电</w:t>
            </w:r>
            <w:r>
              <w:rPr>
                <w:rFonts w:hint="eastAsia"/>
                <w:color w:val="auto"/>
                <w:sz w:val="22"/>
                <w:szCs w:val="22"/>
                <w:lang w:eastAsia="zh-CN"/>
              </w:rPr>
              <w:t>）</w:t>
            </w:r>
            <w:r>
              <w:rPr>
                <w:rFonts w:hint="eastAsia" w:ascii="Times New Roman" w:hAnsi="Times New Roman" w:eastAsia="宋体"/>
                <w:color w:val="auto"/>
                <w:sz w:val="22"/>
                <w:szCs w:val="22"/>
              </w:rPr>
              <w:t>、钢铁、有色金属冶炼、制浆造纸、钢铁、水泥熟料、平板玻璃电解铝项目</w:t>
            </w:r>
          </w:p>
        </w:tc>
        <w:tc>
          <w:tcPr>
            <w:tcW w:w="952" w:type="dxa"/>
            <w:noWrap w:val="0"/>
            <w:vAlign w:val="center"/>
          </w:tcPr>
          <w:p w14:paraId="3624043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符合</w:t>
            </w:r>
          </w:p>
        </w:tc>
      </w:tr>
      <w:tr w14:paraId="63AEB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5BF6560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7AE234C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6608" w:type="dxa"/>
            <w:noWrap w:val="0"/>
            <w:vAlign w:val="center"/>
          </w:tcPr>
          <w:p w14:paraId="2230A855">
            <w:pPr>
              <w:pStyle w:val="34"/>
              <w:keepNext w:val="0"/>
              <w:keepLines w:val="0"/>
              <w:pageBreakBefore w:val="0"/>
              <w:kinsoku/>
              <w:wordWrap/>
              <w:overflowPunct/>
              <w:topLinePunct w:val="0"/>
              <w:autoSpaceDE/>
              <w:autoSpaceDN/>
              <w:bidi w:val="0"/>
              <w:spacing w:line="240" w:lineRule="auto"/>
              <w:ind w:firstLine="0" w:firstLineChars="0"/>
              <w:jc w:val="both"/>
              <w:textAlignment w:val="auto"/>
              <w:rPr>
                <w:color w:val="auto"/>
                <w:sz w:val="22"/>
                <w:szCs w:val="22"/>
              </w:rPr>
            </w:pPr>
            <w:r>
              <w:rPr>
                <w:rFonts w:hint="eastAsia"/>
                <w:color w:val="auto"/>
                <w:sz w:val="22"/>
                <w:szCs w:val="22"/>
              </w:rPr>
              <w:t>第九条 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4069" w:type="dxa"/>
            <w:noWrap w:val="0"/>
            <w:vAlign w:val="center"/>
          </w:tcPr>
          <w:p w14:paraId="675DFF6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拟建项目位于合川工业园区南溪组团</w:t>
            </w:r>
            <w:r>
              <w:rPr>
                <w:rFonts w:hint="eastAsia"/>
                <w:color w:val="auto"/>
                <w:sz w:val="22"/>
                <w:szCs w:val="22"/>
                <w:lang w:val="en-US" w:eastAsia="zh-CN"/>
              </w:rPr>
              <w:t>B</w:t>
            </w:r>
            <w:r>
              <w:rPr>
                <w:rFonts w:hint="eastAsia" w:ascii="Times New Roman" w:hAnsi="Times New Roman" w:eastAsia="宋体"/>
                <w:color w:val="auto"/>
                <w:sz w:val="22"/>
                <w:szCs w:val="22"/>
              </w:rPr>
              <w:t>区，合川为大气环境质量不达标区，</w:t>
            </w:r>
            <w:r>
              <w:rPr>
                <w:rFonts w:hint="eastAsia"/>
                <w:color w:val="auto"/>
                <w:sz w:val="22"/>
                <w:szCs w:val="22"/>
                <w:lang w:val="en-US" w:eastAsia="zh-CN"/>
              </w:rPr>
              <w:t>南溪组团B区PM</w:t>
            </w:r>
            <w:r>
              <w:rPr>
                <w:rFonts w:hint="eastAsia"/>
                <w:color w:val="auto"/>
                <w:sz w:val="22"/>
                <w:szCs w:val="22"/>
                <w:vertAlign w:val="subscript"/>
                <w:lang w:val="en-US" w:eastAsia="zh-CN"/>
              </w:rPr>
              <w:t>10</w:t>
            </w:r>
            <w:r>
              <w:rPr>
                <w:rFonts w:hint="eastAsia"/>
                <w:color w:val="auto"/>
                <w:sz w:val="22"/>
                <w:szCs w:val="22"/>
                <w:lang w:val="en-US" w:eastAsia="zh-CN"/>
              </w:rPr>
              <w:t>总量管控限值为1.535t/a，现状排放量为0.435t/a，本项目颗粒物排放量为0.17t/a</w:t>
            </w:r>
            <w:r>
              <w:rPr>
                <w:rFonts w:hint="eastAsia" w:ascii="Times New Roman" w:hAnsi="Times New Roman" w:eastAsia="宋体"/>
                <w:color w:val="auto"/>
                <w:sz w:val="22"/>
                <w:szCs w:val="22"/>
              </w:rPr>
              <w:t>，未超园区限值。</w:t>
            </w:r>
          </w:p>
        </w:tc>
        <w:tc>
          <w:tcPr>
            <w:tcW w:w="952" w:type="dxa"/>
            <w:noWrap w:val="0"/>
            <w:vAlign w:val="center"/>
          </w:tcPr>
          <w:p w14:paraId="006E515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符合</w:t>
            </w:r>
          </w:p>
        </w:tc>
      </w:tr>
      <w:tr w14:paraId="1D068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2C8A8B8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03E1353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6608" w:type="dxa"/>
            <w:noWrap w:val="0"/>
            <w:vAlign w:val="center"/>
          </w:tcPr>
          <w:p w14:paraId="639E6323">
            <w:pPr>
              <w:pStyle w:val="34"/>
              <w:keepNext w:val="0"/>
              <w:keepLines w:val="0"/>
              <w:pageBreakBefore w:val="0"/>
              <w:kinsoku/>
              <w:wordWrap/>
              <w:overflowPunct/>
              <w:topLinePunct w:val="0"/>
              <w:autoSpaceDE/>
              <w:autoSpaceDN/>
              <w:bidi w:val="0"/>
              <w:spacing w:line="240" w:lineRule="auto"/>
              <w:ind w:firstLine="0" w:firstLineChars="0"/>
              <w:jc w:val="both"/>
              <w:textAlignment w:val="auto"/>
              <w:rPr>
                <w:color w:val="auto"/>
                <w:sz w:val="22"/>
                <w:szCs w:val="22"/>
              </w:rPr>
            </w:pPr>
            <w:r>
              <w:rPr>
                <w:rFonts w:hint="eastAsia"/>
                <w:color w:val="auto"/>
                <w:sz w:val="22"/>
                <w:szCs w:val="22"/>
              </w:rPr>
              <w:t>第十条 在重点行业</w:t>
            </w:r>
            <w:r>
              <w:rPr>
                <w:rFonts w:hint="eastAsia"/>
                <w:color w:val="auto"/>
                <w:sz w:val="22"/>
                <w:szCs w:val="22"/>
                <w:lang w:eastAsia="zh-CN"/>
              </w:rPr>
              <w:t>（</w:t>
            </w:r>
            <w:r>
              <w:rPr>
                <w:rFonts w:hint="eastAsia"/>
                <w:color w:val="auto"/>
                <w:sz w:val="22"/>
                <w:szCs w:val="22"/>
              </w:rPr>
              <w:t>石化、化工、工业涂装、包装印刷、油品储运销等</w:t>
            </w:r>
            <w:r>
              <w:rPr>
                <w:rFonts w:hint="eastAsia"/>
                <w:color w:val="auto"/>
                <w:sz w:val="22"/>
                <w:szCs w:val="22"/>
                <w:lang w:eastAsia="zh-CN"/>
              </w:rPr>
              <w:t>）</w:t>
            </w:r>
            <w:r>
              <w:rPr>
                <w:rFonts w:hint="eastAsia"/>
                <w:color w:val="auto"/>
                <w:sz w:val="22"/>
                <w:szCs w:val="22"/>
              </w:rPr>
              <w:t>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4069" w:type="dxa"/>
            <w:noWrap w:val="0"/>
            <w:vAlign w:val="center"/>
          </w:tcPr>
          <w:p w14:paraId="29B6382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拟建项目为</w:t>
            </w:r>
            <w:r>
              <w:rPr>
                <w:rFonts w:hint="eastAsia" w:ascii="Times New Roman" w:cs="Times New Roman"/>
                <w:bCs/>
                <w:color w:val="auto"/>
                <w:sz w:val="22"/>
                <w:szCs w:val="22"/>
                <w:lang w:val="en-US" w:eastAsia="zh-CN"/>
              </w:rPr>
              <w:t>车用隔热保温材料生</w:t>
            </w:r>
            <w:r>
              <w:rPr>
                <w:rFonts w:hint="eastAsia" w:ascii="Times New Roman" w:hAnsi="Times New Roman" w:eastAsia="宋体"/>
                <w:color w:val="auto"/>
                <w:kern w:val="0"/>
                <w:sz w:val="22"/>
                <w:szCs w:val="22"/>
              </w:rPr>
              <w:t>产</w:t>
            </w:r>
            <w:r>
              <w:rPr>
                <w:rFonts w:hint="eastAsia" w:ascii="Times New Roman" w:hAnsi="Times New Roman" w:eastAsia="宋体"/>
                <w:color w:val="auto"/>
                <w:kern w:val="0"/>
                <w:sz w:val="22"/>
                <w:szCs w:val="22"/>
                <w:lang w:eastAsia="zh-CN"/>
              </w:rPr>
              <w:t>，</w:t>
            </w:r>
            <w:r>
              <w:rPr>
                <w:rFonts w:hint="eastAsia" w:ascii="Times New Roman" w:hAnsi="Times New Roman" w:eastAsia="宋体"/>
                <w:color w:val="auto"/>
                <w:kern w:val="0"/>
                <w:sz w:val="22"/>
                <w:szCs w:val="22"/>
              </w:rPr>
              <w:t>不属于前述重点行业。</w:t>
            </w:r>
          </w:p>
        </w:tc>
        <w:tc>
          <w:tcPr>
            <w:tcW w:w="952" w:type="dxa"/>
            <w:noWrap w:val="0"/>
            <w:vAlign w:val="center"/>
          </w:tcPr>
          <w:p w14:paraId="2D554FA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符合</w:t>
            </w:r>
          </w:p>
        </w:tc>
      </w:tr>
      <w:tr w14:paraId="7209D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5CD73F7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25F98BE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6608" w:type="dxa"/>
            <w:noWrap w:val="0"/>
            <w:vAlign w:val="center"/>
          </w:tcPr>
          <w:p w14:paraId="78E51A35">
            <w:pPr>
              <w:pStyle w:val="34"/>
              <w:keepNext w:val="0"/>
              <w:keepLines w:val="0"/>
              <w:pageBreakBefore w:val="0"/>
              <w:kinsoku/>
              <w:wordWrap/>
              <w:overflowPunct/>
              <w:topLinePunct w:val="0"/>
              <w:autoSpaceDE/>
              <w:autoSpaceDN/>
              <w:bidi w:val="0"/>
              <w:spacing w:line="240" w:lineRule="auto"/>
              <w:ind w:firstLine="0" w:firstLineChars="0"/>
              <w:jc w:val="both"/>
              <w:textAlignment w:val="auto"/>
              <w:rPr>
                <w:color w:val="auto"/>
                <w:sz w:val="22"/>
                <w:szCs w:val="22"/>
              </w:rPr>
            </w:pPr>
            <w:r>
              <w:rPr>
                <w:rFonts w:hint="eastAsia"/>
                <w:color w:val="auto"/>
                <w:sz w:val="22"/>
                <w:szCs w:val="22"/>
              </w:rP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4069" w:type="dxa"/>
            <w:noWrap w:val="0"/>
            <w:vAlign w:val="center"/>
          </w:tcPr>
          <w:p w14:paraId="3A5BBF6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拟建项目不涉及生产废水，生活污水</w:t>
            </w:r>
            <w:r>
              <w:rPr>
                <w:rFonts w:hint="eastAsia"/>
                <w:color w:val="auto"/>
                <w:sz w:val="22"/>
                <w:szCs w:val="22"/>
                <w:lang w:val="en-US" w:eastAsia="zh-CN"/>
              </w:rPr>
              <w:t>依托现有</w:t>
            </w:r>
            <w:r>
              <w:rPr>
                <w:rFonts w:hint="eastAsia" w:ascii="Times New Roman" w:hAnsi="Times New Roman" w:eastAsia="宋体"/>
                <w:color w:val="auto"/>
                <w:sz w:val="22"/>
                <w:szCs w:val="22"/>
              </w:rPr>
              <w:t>生化池处理后排入</w:t>
            </w:r>
            <w:r>
              <w:rPr>
                <w:rFonts w:hint="eastAsia"/>
                <w:color w:val="auto"/>
                <w:sz w:val="22"/>
                <w:szCs w:val="22"/>
                <w:lang w:eastAsia="zh-CN"/>
              </w:rPr>
              <w:t>农创园污水处理厂</w:t>
            </w:r>
            <w:r>
              <w:rPr>
                <w:rFonts w:hint="eastAsia" w:ascii="Times New Roman" w:hAnsi="Times New Roman" w:eastAsia="宋体"/>
                <w:color w:val="auto"/>
                <w:sz w:val="22"/>
                <w:szCs w:val="22"/>
              </w:rPr>
              <w:t>统一处理，处理达标后</w:t>
            </w:r>
            <w:r>
              <w:rPr>
                <w:rFonts w:hint="eastAsia"/>
                <w:color w:val="auto"/>
                <w:sz w:val="22"/>
                <w:szCs w:val="22"/>
                <w:lang w:val="en-US" w:eastAsia="zh-CN"/>
              </w:rPr>
              <w:t>排入嘉陵江</w:t>
            </w:r>
            <w:r>
              <w:rPr>
                <w:rFonts w:hint="eastAsia" w:ascii="Times New Roman" w:hAnsi="Times New Roman" w:eastAsia="宋体"/>
                <w:color w:val="auto"/>
                <w:sz w:val="22"/>
                <w:szCs w:val="22"/>
              </w:rPr>
              <w:t>。</w:t>
            </w:r>
          </w:p>
        </w:tc>
        <w:tc>
          <w:tcPr>
            <w:tcW w:w="952" w:type="dxa"/>
            <w:noWrap w:val="0"/>
            <w:vAlign w:val="center"/>
          </w:tcPr>
          <w:p w14:paraId="72873FE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符合</w:t>
            </w:r>
          </w:p>
        </w:tc>
      </w:tr>
      <w:tr w14:paraId="70042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78CA00D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6D366C9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6608" w:type="dxa"/>
            <w:noWrap w:val="0"/>
            <w:vAlign w:val="center"/>
          </w:tcPr>
          <w:p w14:paraId="234175D7">
            <w:pPr>
              <w:pStyle w:val="34"/>
              <w:keepNext w:val="0"/>
              <w:keepLines w:val="0"/>
              <w:pageBreakBefore w:val="0"/>
              <w:kinsoku/>
              <w:wordWrap/>
              <w:overflowPunct/>
              <w:topLinePunct w:val="0"/>
              <w:autoSpaceDE/>
              <w:autoSpaceDN/>
              <w:bidi w:val="0"/>
              <w:spacing w:line="240" w:lineRule="auto"/>
              <w:ind w:firstLine="0" w:firstLineChars="0"/>
              <w:jc w:val="both"/>
              <w:textAlignment w:val="auto"/>
              <w:rPr>
                <w:color w:val="auto"/>
                <w:sz w:val="22"/>
                <w:szCs w:val="22"/>
              </w:rPr>
            </w:pPr>
            <w:r>
              <w:rPr>
                <w:rFonts w:hint="eastAsia"/>
                <w:color w:val="auto"/>
                <w:sz w:val="22"/>
                <w:szCs w:val="22"/>
              </w:rPr>
              <w:t>第十二条 推进乡镇生活污水处理设施达标改造。新建城市生活污水处理厂全部按照一级A标及以上排放标准设计、施工、验收，建制乡镇生活污水处理设施出水水质不得低于一级B标排放标准；对现有截留制排水管网实施雨污分流改造，针对无法彻底雨污分流的老城区，尊重现实合理保留截留制区域，提高截留倍数；对新建的排水管网，全部按照雨污分流模式实施建设。</w:t>
            </w:r>
          </w:p>
        </w:tc>
        <w:tc>
          <w:tcPr>
            <w:tcW w:w="4069" w:type="dxa"/>
            <w:noWrap w:val="0"/>
            <w:vAlign w:val="center"/>
          </w:tcPr>
          <w:p w14:paraId="49B63D8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拟建项目采取雨污分流，雨水进入市政雨水管网，生活污水经</w:t>
            </w:r>
            <w:r>
              <w:rPr>
                <w:rFonts w:hint="eastAsia"/>
                <w:color w:val="auto"/>
                <w:sz w:val="22"/>
                <w:szCs w:val="22"/>
                <w:lang w:val="en-US" w:eastAsia="zh-CN"/>
              </w:rPr>
              <w:t>现有</w:t>
            </w:r>
            <w:r>
              <w:rPr>
                <w:rFonts w:hint="eastAsia" w:ascii="Times New Roman" w:hAnsi="Times New Roman" w:eastAsia="宋体"/>
                <w:color w:val="auto"/>
                <w:sz w:val="22"/>
                <w:szCs w:val="22"/>
              </w:rPr>
              <w:t>生化池处理达标后排入市政污水管网，进入</w:t>
            </w:r>
            <w:r>
              <w:rPr>
                <w:rFonts w:hint="eastAsia"/>
                <w:color w:val="auto"/>
                <w:sz w:val="22"/>
                <w:szCs w:val="22"/>
                <w:lang w:eastAsia="zh-CN"/>
              </w:rPr>
              <w:t>农创园污水处理厂</w:t>
            </w:r>
            <w:r>
              <w:rPr>
                <w:rFonts w:hint="eastAsia" w:ascii="Times New Roman" w:hAnsi="Times New Roman" w:eastAsia="宋体"/>
                <w:color w:val="auto"/>
                <w:sz w:val="22"/>
                <w:szCs w:val="22"/>
              </w:rPr>
              <w:t>处理达标后排放。</w:t>
            </w:r>
          </w:p>
        </w:tc>
        <w:tc>
          <w:tcPr>
            <w:tcW w:w="952" w:type="dxa"/>
            <w:noWrap w:val="0"/>
            <w:vAlign w:val="center"/>
          </w:tcPr>
          <w:p w14:paraId="1F8E021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符合</w:t>
            </w:r>
          </w:p>
        </w:tc>
      </w:tr>
      <w:tr w14:paraId="5076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39842C5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76F781A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6608" w:type="dxa"/>
            <w:noWrap w:val="0"/>
            <w:vAlign w:val="center"/>
          </w:tcPr>
          <w:p w14:paraId="3AF8233A">
            <w:pPr>
              <w:pStyle w:val="34"/>
              <w:keepNext w:val="0"/>
              <w:keepLines w:val="0"/>
              <w:pageBreakBefore w:val="0"/>
              <w:kinsoku/>
              <w:wordWrap/>
              <w:overflowPunct/>
              <w:topLinePunct w:val="0"/>
              <w:autoSpaceDE/>
              <w:autoSpaceDN/>
              <w:bidi w:val="0"/>
              <w:spacing w:line="240" w:lineRule="auto"/>
              <w:ind w:firstLine="0" w:firstLineChars="0"/>
              <w:jc w:val="both"/>
              <w:textAlignment w:val="auto"/>
              <w:rPr>
                <w:rFonts w:hint="eastAsia"/>
                <w:color w:val="auto"/>
                <w:sz w:val="22"/>
                <w:szCs w:val="22"/>
              </w:rPr>
            </w:pPr>
            <w:r>
              <w:rPr>
                <w:rFonts w:hint="eastAsia"/>
                <w:color w:val="auto"/>
                <w:sz w:val="22"/>
                <w:szCs w:val="22"/>
              </w:rPr>
              <w:t>第十三条 新、改、扩建重点行业</w:t>
            </w:r>
            <w:r>
              <w:rPr>
                <w:rFonts w:hint="eastAsia"/>
                <w:color w:val="auto"/>
                <w:sz w:val="22"/>
                <w:szCs w:val="22"/>
                <w:lang w:eastAsia="zh-CN"/>
              </w:rPr>
              <w:t>（</w:t>
            </w:r>
            <w:r>
              <w:rPr>
                <w:rFonts w:hint="eastAsia"/>
                <w:color w:val="auto"/>
                <w:sz w:val="22"/>
                <w:szCs w:val="22"/>
              </w:rPr>
              <w:t>重有色金属矿采选业</w:t>
            </w:r>
            <w:r>
              <w:rPr>
                <w:rFonts w:hint="eastAsia"/>
                <w:color w:val="auto"/>
                <w:sz w:val="22"/>
                <w:szCs w:val="22"/>
                <w:lang w:eastAsia="zh-CN"/>
              </w:rPr>
              <w:t>（</w:t>
            </w:r>
            <w:r>
              <w:rPr>
                <w:rFonts w:hint="eastAsia"/>
                <w:color w:val="auto"/>
                <w:sz w:val="22"/>
                <w:szCs w:val="22"/>
              </w:rPr>
              <w:t>铜、铅锌、镍钴、锡、锑和汞矿采选</w:t>
            </w:r>
            <w:r>
              <w:rPr>
                <w:rFonts w:hint="eastAsia"/>
                <w:color w:val="auto"/>
                <w:sz w:val="22"/>
                <w:szCs w:val="22"/>
                <w:lang w:eastAsia="zh-CN"/>
              </w:rPr>
              <w:t>）</w:t>
            </w:r>
            <w:r>
              <w:rPr>
                <w:rFonts w:hint="eastAsia"/>
                <w:color w:val="auto"/>
                <w:sz w:val="22"/>
                <w:szCs w:val="22"/>
              </w:rPr>
              <w:t>、重有色金属冶炼业</w:t>
            </w:r>
            <w:r>
              <w:rPr>
                <w:rFonts w:hint="eastAsia"/>
                <w:color w:val="auto"/>
                <w:sz w:val="22"/>
                <w:szCs w:val="22"/>
                <w:lang w:eastAsia="zh-CN"/>
              </w:rPr>
              <w:t>（</w:t>
            </w:r>
            <w:r>
              <w:rPr>
                <w:rFonts w:hint="eastAsia"/>
                <w:color w:val="auto"/>
                <w:sz w:val="22"/>
                <w:szCs w:val="22"/>
              </w:rPr>
              <w:t>铜、铅锌、镍钴、锡、锑和汞冶炼</w:t>
            </w:r>
            <w:r>
              <w:rPr>
                <w:rFonts w:hint="eastAsia"/>
                <w:color w:val="auto"/>
                <w:sz w:val="22"/>
                <w:szCs w:val="22"/>
                <w:lang w:eastAsia="zh-CN"/>
              </w:rPr>
              <w:t>）</w:t>
            </w:r>
            <w:r>
              <w:rPr>
                <w:rFonts w:hint="eastAsia"/>
                <w:color w:val="auto"/>
                <w:sz w:val="22"/>
                <w:szCs w:val="22"/>
              </w:rPr>
              <w:t>、铅蓄电池制造业、皮革鞣制加工业、化学原料及化学制品制造业</w:t>
            </w:r>
            <w:r>
              <w:rPr>
                <w:rFonts w:hint="eastAsia"/>
                <w:color w:val="auto"/>
                <w:sz w:val="22"/>
                <w:szCs w:val="22"/>
                <w:lang w:eastAsia="zh-CN"/>
              </w:rPr>
              <w:t>（</w:t>
            </w:r>
            <w:r>
              <w:rPr>
                <w:rFonts w:hint="eastAsia"/>
                <w:color w:val="auto"/>
                <w:sz w:val="22"/>
                <w:szCs w:val="22"/>
              </w:rPr>
              <w:t>电石法聚</w:t>
            </w:r>
            <w:r>
              <w:rPr>
                <w:rFonts w:hint="eastAsia"/>
                <w:color w:val="auto"/>
                <w:sz w:val="22"/>
                <w:szCs w:val="22"/>
                <w:lang w:val="en-US" w:eastAsia="zh-CN"/>
              </w:rPr>
              <w:t>氯</w:t>
            </w:r>
            <w:r>
              <w:rPr>
                <w:rFonts w:hint="eastAsia"/>
                <w:color w:val="auto"/>
                <w:sz w:val="22"/>
                <w:szCs w:val="22"/>
              </w:rPr>
              <w:t>乙烯制造、铬盐制造、以工业固废为原料的锌无机化合物工业等</w:t>
            </w:r>
            <w:r>
              <w:rPr>
                <w:rFonts w:hint="eastAsia"/>
                <w:color w:val="auto"/>
                <w:sz w:val="22"/>
                <w:szCs w:val="22"/>
                <w:lang w:eastAsia="zh-CN"/>
              </w:rPr>
              <w:t>）</w:t>
            </w:r>
            <w:r>
              <w:rPr>
                <w:rFonts w:hint="eastAsia"/>
                <w:color w:val="auto"/>
                <w:sz w:val="22"/>
                <w:szCs w:val="22"/>
              </w:rPr>
              <w:t>、电镀行业</w:t>
            </w:r>
            <w:r>
              <w:rPr>
                <w:rFonts w:hint="eastAsia"/>
                <w:color w:val="auto"/>
                <w:sz w:val="22"/>
                <w:szCs w:val="22"/>
                <w:lang w:eastAsia="zh-CN"/>
              </w:rPr>
              <w:t>）</w:t>
            </w:r>
            <w:r>
              <w:rPr>
                <w:rFonts w:hint="eastAsia"/>
                <w:color w:val="auto"/>
                <w:sz w:val="22"/>
                <w:szCs w:val="22"/>
              </w:rPr>
              <w:t>重点重金属污染物排放执行“等量替代”原则。</w:t>
            </w:r>
          </w:p>
        </w:tc>
        <w:tc>
          <w:tcPr>
            <w:tcW w:w="4069" w:type="dxa"/>
            <w:noWrap w:val="0"/>
            <w:vAlign w:val="center"/>
          </w:tcPr>
          <w:p w14:paraId="2C0C434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本项目不属于前述重点行业。</w:t>
            </w:r>
          </w:p>
        </w:tc>
        <w:tc>
          <w:tcPr>
            <w:tcW w:w="952" w:type="dxa"/>
            <w:noWrap w:val="0"/>
            <w:vAlign w:val="center"/>
          </w:tcPr>
          <w:p w14:paraId="56D87D4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符合</w:t>
            </w:r>
          </w:p>
        </w:tc>
      </w:tr>
      <w:tr w14:paraId="4B37C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0F038E7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0B2F497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6608" w:type="dxa"/>
            <w:noWrap w:val="0"/>
            <w:vAlign w:val="center"/>
          </w:tcPr>
          <w:p w14:paraId="63CAB71A">
            <w:pPr>
              <w:pStyle w:val="34"/>
              <w:keepNext w:val="0"/>
              <w:keepLines w:val="0"/>
              <w:pageBreakBefore w:val="0"/>
              <w:kinsoku/>
              <w:wordWrap/>
              <w:overflowPunct/>
              <w:topLinePunct w:val="0"/>
              <w:autoSpaceDE/>
              <w:autoSpaceDN/>
              <w:bidi w:val="0"/>
              <w:spacing w:line="240" w:lineRule="auto"/>
              <w:ind w:firstLine="0" w:firstLineChars="0"/>
              <w:jc w:val="both"/>
              <w:textAlignment w:val="auto"/>
              <w:rPr>
                <w:rFonts w:hint="eastAsia"/>
                <w:color w:val="auto"/>
                <w:sz w:val="22"/>
                <w:szCs w:val="22"/>
              </w:rPr>
            </w:pPr>
            <w:r>
              <w:rPr>
                <w:rFonts w:hint="eastAsia"/>
                <w:color w:val="auto"/>
                <w:sz w:val="22"/>
                <w:szCs w:val="22"/>
              </w:rP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4069" w:type="dxa"/>
            <w:noWrap w:val="0"/>
            <w:vAlign w:val="center"/>
          </w:tcPr>
          <w:p w14:paraId="665F66E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22"/>
                <w:szCs w:val="22"/>
                <w:lang w:val="en-US" w:eastAsia="zh-CN"/>
              </w:rPr>
            </w:pPr>
            <w:r>
              <w:rPr>
                <w:rFonts w:hint="eastAsia" w:ascii="Times New Roman" w:hAnsi="Times New Roman" w:eastAsia="宋体"/>
                <w:color w:val="auto"/>
                <w:sz w:val="22"/>
                <w:szCs w:val="22"/>
              </w:rPr>
              <w:t>本项目主要涉及一般工业固废，均设置固定的</w:t>
            </w:r>
            <w:r>
              <w:rPr>
                <w:rFonts w:hint="eastAsia"/>
                <w:color w:val="auto"/>
                <w:sz w:val="22"/>
                <w:szCs w:val="22"/>
                <w:lang w:val="en-US" w:eastAsia="zh-CN"/>
              </w:rPr>
              <w:t>一般固废</w:t>
            </w:r>
            <w:r>
              <w:rPr>
                <w:rFonts w:hint="eastAsia" w:ascii="Times New Roman" w:hAnsi="Times New Roman" w:eastAsia="宋体"/>
                <w:color w:val="auto"/>
                <w:sz w:val="22"/>
                <w:szCs w:val="22"/>
              </w:rPr>
              <w:t>暂存点。</w:t>
            </w:r>
            <w:r>
              <w:rPr>
                <w:rFonts w:hint="eastAsia"/>
                <w:color w:val="auto"/>
                <w:sz w:val="22"/>
                <w:szCs w:val="22"/>
                <w:lang w:val="en-US" w:eastAsia="zh-CN"/>
              </w:rPr>
              <w:t>危险废物暂存在危险废物贮存点内，收集桶下方设置托盘，危险废物委托资质单位处置，并设置管理台账。</w:t>
            </w:r>
          </w:p>
        </w:tc>
        <w:tc>
          <w:tcPr>
            <w:tcW w:w="952" w:type="dxa"/>
            <w:noWrap w:val="0"/>
            <w:vAlign w:val="center"/>
          </w:tcPr>
          <w:p w14:paraId="3B06C0F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符合</w:t>
            </w:r>
          </w:p>
        </w:tc>
      </w:tr>
      <w:tr w14:paraId="1B9D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222CD39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3C43BD8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6608" w:type="dxa"/>
            <w:noWrap w:val="0"/>
            <w:vAlign w:val="center"/>
          </w:tcPr>
          <w:p w14:paraId="0CE0AED5">
            <w:pPr>
              <w:pStyle w:val="34"/>
              <w:keepNext w:val="0"/>
              <w:keepLines w:val="0"/>
              <w:pageBreakBefore w:val="0"/>
              <w:kinsoku/>
              <w:wordWrap/>
              <w:overflowPunct/>
              <w:topLinePunct w:val="0"/>
              <w:autoSpaceDE/>
              <w:autoSpaceDN/>
              <w:bidi w:val="0"/>
              <w:spacing w:line="240" w:lineRule="auto"/>
              <w:ind w:firstLine="0" w:firstLineChars="0"/>
              <w:jc w:val="both"/>
              <w:textAlignment w:val="auto"/>
              <w:rPr>
                <w:rFonts w:hint="eastAsia"/>
                <w:color w:val="auto"/>
                <w:sz w:val="22"/>
                <w:szCs w:val="22"/>
              </w:rPr>
            </w:pPr>
            <w:r>
              <w:rPr>
                <w:rFonts w:hint="eastAsia"/>
                <w:color w:val="auto"/>
                <w:sz w:val="22"/>
                <w:szCs w:val="22"/>
              </w:rPr>
              <w:t>第十五条 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4069" w:type="dxa"/>
            <w:noWrap w:val="0"/>
            <w:vAlign w:val="center"/>
          </w:tcPr>
          <w:p w14:paraId="10E2F98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本项目产生的生活垃圾使用垃圾桶分类进行收集，分区设置垃圾桶，收集的生活垃圾定期交由环卫部门处置</w:t>
            </w:r>
          </w:p>
        </w:tc>
        <w:tc>
          <w:tcPr>
            <w:tcW w:w="952" w:type="dxa"/>
            <w:noWrap w:val="0"/>
            <w:vAlign w:val="center"/>
          </w:tcPr>
          <w:p w14:paraId="0E7CB58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符合</w:t>
            </w:r>
          </w:p>
        </w:tc>
      </w:tr>
      <w:tr w14:paraId="3833A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0E81B60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restart"/>
            <w:noWrap w:val="0"/>
            <w:vAlign w:val="center"/>
          </w:tcPr>
          <w:p w14:paraId="0D1E5AD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环境风险防控</w:t>
            </w:r>
          </w:p>
        </w:tc>
        <w:tc>
          <w:tcPr>
            <w:tcW w:w="6608" w:type="dxa"/>
            <w:noWrap w:val="0"/>
            <w:vAlign w:val="center"/>
          </w:tcPr>
          <w:p w14:paraId="24781057">
            <w:pPr>
              <w:pStyle w:val="34"/>
              <w:keepNext w:val="0"/>
              <w:keepLines w:val="0"/>
              <w:pageBreakBefore w:val="0"/>
              <w:kinsoku/>
              <w:wordWrap/>
              <w:overflowPunct/>
              <w:topLinePunct w:val="0"/>
              <w:autoSpaceDE/>
              <w:autoSpaceDN/>
              <w:bidi w:val="0"/>
              <w:spacing w:line="240" w:lineRule="auto"/>
              <w:ind w:firstLine="0" w:firstLineChars="0"/>
              <w:jc w:val="both"/>
              <w:textAlignment w:val="auto"/>
              <w:rPr>
                <w:color w:val="auto"/>
                <w:sz w:val="22"/>
                <w:szCs w:val="22"/>
              </w:rPr>
            </w:pPr>
            <w:r>
              <w:rPr>
                <w:rFonts w:hint="eastAsia"/>
                <w:color w:val="auto"/>
                <w:sz w:val="22"/>
                <w:szCs w:val="22"/>
              </w:rPr>
              <w:t>第十六条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4069" w:type="dxa"/>
            <w:noWrap w:val="0"/>
            <w:vAlign w:val="center"/>
          </w:tcPr>
          <w:p w14:paraId="1F80067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拟建项目</w:t>
            </w:r>
            <w:r>
              <w:rPr>
                <w:rFonts w:hint="eastAsia"/>
                <w:color w:val="auto"/>
                <w:sz w:val="22"/>
                <w:szCs w:val="22"/>
                <w:lang w:val="en-US" w:eastAsia="zh-CN"/>
              </w:rPr>
              <w:t>风险物质为维修废油，储存量为0.05t，Q值为0.00002，风险等级较低</w:t>
            </w:r>
            <w:r>
              <w:rPr>
                <w:rFonts w:hint="eastAsia" w:ascii="Times New Roman" w:hAnsi="Times New Roman" w:eastAsia="宋体"/>
                <w:color w:val="auto"/>
                <w:sz w:val="22"/>
                <w:szCs w:val="22"/>
              </w:rPr>
              <w:t>。</w:t>
            </w:r>
          </w:p>
        </w:tc>
        <w:tc>
          <w:tcPr>
            <w:tcW w:w="952" w:type="dxa"/>
            <w:noWrap w:val="0"/>
            <w:vAlign w:val="center"/>
          </w:tcPr>
          <w:p w14:paraId="71CF492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符合</w:t>
            </w:r>
          </w:p>
        </w:tc>
      </w:tr>
      <w:tr w14:paraId="10896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23F0892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37FF0EB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6608" w:type="dxa"/>
            <w:noWrap w:val="0"/>
            <w:vAlign w:val="center"/>
          </w:tcPr>
          <w:p w14:paraId="1FDF1162">
            <w:pPr>
              <w:pStyle w:val="34"/>
              <w:keepNext w:val="0"/>
              <w:keepLines w:val="0"/>
              <w:pageBreakBefore w:val="0"/>
              <w:kinsoku/>
              <w:wordWrap/>
              <w:overflowPunct/>
              <w:topLinePunct w:val="0"/>
              <w:autoSpaceDE/>
              <w:autoSpaceDN/>
              <w:bidi w:val="0"/>
              <w:spacing w:line="240" w:lineRule="auto"/>
              <w:ind w:firstLine="0" w:firstLineChars="0"/>
              <w:jc w:val="both"/>
              <w:textAlignment w:val="auto"/>
              <w:rPr>
                <w:color w:val="auto"/>
                <w:sz w:val="22"/>
                <w:szCs w:val="22"/>
              </w:rPr>
            </w:pPr>
            <w:r>
              <w:rPr>
                <w:rFonts w:hint="eastAsia"/>
                <w:color w:val="auto"/>
                <w:sz w:val="22"/>
                <w:szCs w:val="22"/>
              </w:rPr>
              <w:t>第十七条 强化化工园区涉水突发环境事件四级环境风险防范体系建设。持续推进重点化工园区</w:t>
            </w:r>
            <w:r>
              <w:rPr>
                <w:rFonts w:hint="eastAsia"/>
                <w:color w:val="auto"/>
                <w:sz w:val="22"/>
                <w:szCs w:val="22"/>
                <w:lang w:eastAsia="zh-CN"/>
              </w:rPr>
              <w:t>（</w:t>
            </w:r>
            <w:r>
              <w:rPr>
                <w:rFonts w:hint="eastAsia"/>
                <w:color w:val="auto"/>
                <w:sz w:val="22"/>
                <w:szCs w:val="22"/>
              </w:rPr>
              <w:t>化工集中区</w:t>
            </w:r>
            <w:r>
              <w:rPr>
                <w:rFonts w:hint="eastAsia"/>
                <w:color w:val="auto"/>
                <w:sz w:val="22"/>
                <w:szCs w:val="22"/>
                <w:lang w:eastAsia="zh-CN"/>
              </w:rPr>
              <w:t>）</w:t>
            </w:r>
            <w:r>
              <w:rPr>
                <w:rFonts w:hint="eastAsia"/>
                <w:color w:val="auto"/>
                <w:sz w:val="22"/>
                <w:szCs w:val="22"/>
              </w:rPr>
              <w:t>建设有毒有害气体监测预警体系和水质生物毒性预警体系。</w:t>
            </w:r>
          </w:p>
        </w:tc>
        <w:tc>
          <w:tcPr>
            <w:tcW w:w="4069" w:type="dxa"/>
            <w:noWrap w:val="0"/>
            <w:vAlign w:val="center"/>
          </w:tcPr>
          <w:p w14:paraId="4FD3F37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本项目位于合川工业园区南溪组团</w:t>
            </w:r>
            <w:r>
              <w:rPr>
                <w:rFonts w:hint="eastAsia"/>
                <w:color w:val="auto"/>
                <w:sz w:val="22"/>
                <w:szCs w:val="22"/>
                <w:lang w:val="en-US" w:eastAsia="zh-CN"/>
              </w:rPr>
              <w:t>B</w:t>
            </w:r>
            <w:r>
              <w:rPr>
                <w:rFonts w:hint="eastAsia" w:ascii="Times New Roman" w:hAnsi="Times New Roman" w:eastAsia="宋体"/>
                <w:color w:val="auto"/>
                <w:sz w:val="22"/>
                <w:szCs w:val="22"/>
              </w:rPr>
              <w:t>区，园区已采取三级环境风险防范体系，</w:t>
            </w:r>
            <w:r>
              <w:rPr>
                <w:rFonts w:hint="eastAsia"/>
                <w:color w:val="auto"/>
                <w:sz w:val="22"/>
                <w:szCs w:val="22"/>
                <w:lang w:val="en-US" w:eastAsia="zh-CN"/>
              </w:rPr>
              <w:t>南溪组团B区不属于重点化工园区</w:t>
            </w:r>
            <w:r>
              <w:rPr>
                <w:rFonts w:hint="eastAsia" w:ascii="Times New Roman" w:hAnsi="Times New Roman" w:eastAsia="宋体"/>
                <w:color w:val="auto"/>
                <w:sz w:val="22"/>
                <w:szCs w:val="22"/>
              </w:rPr>
              <w:t>。</w:t>
            </w:r>
          </w:p>
        </w:tc>
        <w:tc>
          <w:tcPr>
            <w:tcW w:w="952" w:type="dxa"/>
            <w:noWrap w:val="0"/>
            <w:vAlign w:val="center"/>
          </w:tcPr>
          <w:p w14:paraId="3364651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符合</w:t>
            </w:r>
          </w:p>
        </w:tc>
      </w:tr>
      <w:tr w14:paraId="5E0B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7570662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restart"/>
            <w:noWrap w:val="0"/>
            <w:vAlign w:val="center"/>
          </w:tcPr>
          <w:p w14:paraId="2B13329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资源开发利用效率</w:t>
            </w:r>
          </w:p>
        </w:tc>
        <w:tc>
          <w:tcPr>
            <w:tcW w:w="6608" w:type="dxa"/>
            <w:noWrap w:val="0"/>
            <w:vAlign w:val="center"/>
          </w:tcPr>
          <w:p w14:paraId="267F079A">
            <w:pPr>
              <w:pStyle w:val="34"/>
              <w:keepNext w:val="0"/>
              <w:keepLines w:val="0"/>
              <w:pageBreakBefore w:val="0"/>
              <w:kinsoku/>
              <w:wordWrap/>
              <w:overflowPunct/>
              <w:topLinePunct w:val="0"/>
              <w:autoSpaceDE/>
              <w:autoSpaceDN/>
              <w:bidi w:val="0"/>
              <w:spacing w:line="240" w:lineRule="auto"/>
              <w:ind w:firstLine="0" w:firstLineChars="0"/>
              <w:jc w:val="both"/>
              <w:textAlignment w:val="auto"/>
              <w:rPr>
                <w:color w:val="auto"/>
                <w:sz w:val="22"/>
                <w:szCs w:val="22"/>
              </w:rPr>
            </w:pPr>
            <w:r>
              <w:rPr>
                <w:rFonts w:hint="eastAsia"/>
                <w:color w:val="auto"/>
                <w:sz w:val="22"/>
                <w:szCs w:val="22"/>
              </w:rPr>
              <w:t>第十八条 实施能源领域碳达峰碳中和行动，科学有序推动能源生产消费方式绿色低碳变革。实施可再生能源替代，减少化石能源消费。加强产业布局和能耗“双控”政策衔接，促进重点用能领域用能结构优化和能效提升。</w:t>
            </w:r>
          </w:p>
        </w:tc>
        <w:tc>
          <w:tcPr>
            <w:tcW w:w="4069" w:type="dxa"/>
            <w:noWrap w:val="0"/>
            <w:vAlign w:val="center"/>
          </w:tcPr>
          <w:p w14:paraId="61FA643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lang w:eastAsia="zh-CN"/>
              </w:rPr>
            </w:pPr>
            <w:r>
              <w:rPr>
                <w:rFonts w:hint="eastAsia" w:ascii="Times New Roman" w:hAnsi="Times New Roman" w:eastAsia="宋体"/>
                <w:color w:val="auto"/>
                <w:sz w:val="22"/>
                <w:szCs w:val="22"/>
              </w:rPr>
              <w:t>本项目采用的能源为电能</w:t>
            </w:r>
            <w:r>
              <w:rPr>
                <w:rFonts w:hint="eastAsia"/>
                <w:color w:val="auto"/>
                <w:sz w:val="22"/>
                <w:szCs w:val="22"/>
                <w:lang w:eastAsia="zh-CN"/>
              </w:rPr>
              <w:t>。</w:t>
            </w:r>
          </w:p>
        </w:tc>
        <w:tc>
          <w:tcPr>
            <w:tcW w:w="952" w:type="dxa"/>
            <w:noWrap w:val="0"/>
            <w:vAlign w:val="center"/>
          </w:tcPr>
          <w:p w14:paraId="66BA329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符合</w:t>
            </w:r>
          </w:p>
        </w:tc>
      </w:tr>
      <w:tr w14:paraId="3F55F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5C27C1A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5635A23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6608" w:type="dxa"/>
            <w:noWrap w:val="0"/>
            <w:vAlign w:val="center"/>
          </w:tcPr>
          <w:p w14:paraId="7751EBF3">
            <w:pPr>
              <w:pStyle w:val="34"/>
              <w:keepNext w:val="0"/>
              <w:keepLines w:val="0"/>
              <w:pageBreakBefore w:val="0"/>
              <w:kinsoku/>
              <w:wordWrap/>
              <w:overflowPunct/>
              <w:topLinePunct w:val="0"/>
              <w:autoSpaceDE/>
              <w:autoSpaceDN/>
              <w:bidi w:val="0"/>
              <w:spacing w:line="240" w:lineRule="auto"/>
              <w:ind w:firstLine="0" w:firstLineChars="0"/>
              <w:jc w:val="both"/>
              <w:textAlignment w:val="auto"/>
              <w:rPr>
                <w:color w:val="auto"/>
                <w:sz w:val="22"/>
                <w:szCs w:val="22"/>
              </w:rPr>
            </w:pPr>
            <w:r>
              <w:rPr>
                <w:rFonts w:hint="eastAsia"/>
                <w:color w:val="auto"/>
                <w:sz w:val="22"/>
                <w:szCs w:val="22"/>
              </w:rPr>
              <w:t xml:space="preserve"> 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4069" w:type="dxa"/>
            <w:noWrap w:val="0"/>
            <w:vAlign w:val="center"/>
          </w:tcPr>
          <w:p w14:paraId="20B14B0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本项目拟使用</w:t>
            </w:r>
            <w:r>
              <w:rPr>
                <w:rFonts w:hint="eastAsia"/>
                <w:color w:val="auto"/>
                <w:sz w:val="22"/>
                <w:szCs w:val="22"/>
                <w:lang w:val="en-US" w:eastAsia="zh-CN"/>
              </w:rPr>
              <w:t>节能设备。</w:t>
            </w:r>
          </w:p>
        </w:tc>
        <w:tc>
          <w:tcPr>
            <w:tcW w:w="952" w:type="dxa"/>
            <w:noWrap w:val="0"/>
            <w:vAlign w:val="center"/>
          </w:tcPr>
          <w:p w14:paraId="0957711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符合</w:t>
            </w:r>
          </w:p>
        </w:tc>
      </w:tr>
      <w:tr w14:paraId="4FDA1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1470E11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16AA7DF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6608" w:type="dxa"/>
            <w:noWrap w:val="0"/>
            <w:vAlign w:val="center"/>
          </w:tcPr>
          <w:p w14:paraId="2C659555">
            <w:pPr>
              <w:pStyle w:val="34"/>
              <w:keepNext w:val="0"/>
              <w:keepLines w:val="0"/>
              <w:pageBreakBefore w:val="0"/>
              <w:kinsoku/>
              <w:wordWrap/>
              <w:overflowPunct/>
              <w:topLinePunct w:val="0"/>
              <w:autoSpaceDE/>
              <w:autoSpaceDN/>
              <w:bidi w:val="0"/>
              <w:spacing w:line="240" w:lineRule="auto"/>
              <w:ind w:firstLine="0" w:firstLineChars="0"/>
              <w:jc w:val="both"/>
              <w:textAlignment w:val="auto"/>
              <w:rPr>
                <w:color w:val="auto"/>
                <w:sz w:val="22"/>
                <w:szCs w:val="22"/>
              </w:rPr>
            </w:pPr>
            <w:r>
              <w:rPr>
                <w:rFonts w:hint="eastAsia"/>
                <w:color w:val="auto"/>
                <w:sz w:val="22"/>
                <w:szCs w:val="22"/>
              </w:rPr>
              <w:t xml:space="preserve"> 第二十条 新建、扩建“两高”项目应采用先进适用的工艺技术和装备，单位产品物耗、能耗、水耗等达到清洁生产先进水平。</w:t>
            </w:r>
          </w:p>
        </w:tc>
        <w:tc>
          <w:tcPr>
            <w:tcW w:w="4069" w:type="dxa"/>
            <w:noWrap w:val="0"/>
            <w:vAlign w:val="center"/>
          </w:tcPr>
          <w:p w14:paraId="367FDCB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拟建项目为</w:t>
            </w:r>
            <w:r>
              <w:rPr>
                <w:rFonts w:hint="eastAsia"/>
                <w:color w:val="auto"/>
                <w:sz w:val="22"/>
                <w:szCs w:val="22"/>
                <w:lang w:val="en-US" w:eastAsia="zh-CN"/>
              </w:rPr>
              <w:t>车用隔热保温材料生产</w:t>
            </w:r>
            <w:r>
              <w:rPr>
                <w:rFonts w:hint="eastAsia" w:ascii="Times New Roman" w:hAnsi="Times New Roman" w:eastAsia="宋体"/>
                <w:color w:val="auto"/>
                <w:kern w:val="0"/>
                <w:sz w:val="22"/>
                <w:szCs w:val="22"/>
              </w:rPr>
              <w:t>，不属于两高项目</w:t>
            </w:r>
          </w:p>
        </w:tc>
        <w:tc>
          <w:tcPr>
            <w:tcW w:w="952" w:type="dxa"/>
            <w:noWrap w:val="0"/>
            <w:vAlign w:val="center"/>
          </w:tcPr>
          <w:p w14:paraId="2049314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符合</w:t>
            </w:r>
          </w:p>
        </w:tc>
      </w:tr>
      <w:tr w14:paraId="30C3A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0EA6681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3F738DF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6608" w:type="dxa"/>
            <w:noWrap w:val="0"/>
            <w:vAlign w:val="center"/>
          </w:tcPr>
          <w:p w14:paraId="2FA8C8C4">
            <w:pPr>
              <w:pStyle w:val="34"/>
              <w:keepNext w:val="0"/>
              <w:keepLines w:val="0"/>
              <w:pageBreakBefore w:val="0"/>
              <w:kinsoku/>
              <w:wordWrap/>
              <w:overflowPunct/>
              <w:topLinePunct w:val="0"/>
              <w:autoSpaceDE/>
              <w:autoSpaceDN/>
              <w:bidi w:val="0"/>
              <w:spacing w:line="240" w:lineRule="auto"/>
              <w:ind w:firstLine="0" w:firstLineChars="0"/>
              <w:jc w:val="both"/>
              <w:textAlignment w:val="auto"/>
              <w:rPr>
                <w:color w:val="auto"/>
                <w:sz w:val="22"/>
                <w:szCs w:val="22"/>
              </w:rPr>
            </w:pPr>
            <w:r>
              <w:rPr>
                <w:rFonts w:hint="eastAsia"/>
                <w:color w:val="auto"/>
                <w:sz w:val="22"/>
                <w:szCs w:val="22"/>
              </w:rPr>
              <w:t>第二十一条 推进企业内部工业用水循环利用、园区内企业间用水系统集成优化。开展火电、石化</w:t>
            </w:r>
            <w:r>
              <w:rPr>
                <w:rFonts w:hint="eastAsia"/>
                <w:color w:val="auto"/>
                <w:sz w:val="22"/>
                <w:szCs w:val="22"/>
                <w:lang w:eastAsia="zh-CN"/>
              </w:rPr>
              <w:t>、</w:t>
            </w:r>
            <w:r>
              <w:rPr>
                <w:rFonts w:hint="eastAsia"/>
                <w:color w:val="auto"/>
                <w:sz w:val="22"/>
                <w:szCs w:val="22"/>
              </w:rPr>
              <w:t>有色金属、造纸、印染等高耗水行业工业废水循环利用示范。根据区域水资源禀赋和行业特点，结合用水总量控制措施，引导区域工业布局和产业结构调整，大力推广工业水循环利用，加快淘汰落后用水工艺和技术。</w:t>
            </w:r>
          </w:p>
        </w:tc>
        <w:tc>
          <w:tcPr>
            <w:tcW w:w="4069" w:type="dxa"/>
            <w:noWrap w:val="0"/>
            <w:vAlign w:val="center"/>
          </w:tcPr>
          <w:p w14:paraId="779CA73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拟建项目为</w:t>
            </w:r>
            <w:r>
              <w:rPr>
                <w:rFonts w:hint="eastAsia"/>
                <w:color w:val="auto"/>
                <w:sz w:val="22"/>
                <w:szCs w:val="22"/>
                <w:lang w:val="en-US" w:eastAsia="zh-CN"/>
              </w:rPr>
              <w:t>车用隔热保温材料生产</w:t>
            </w:r>
            <w:r>
              <w:rPr>
                <w:rFonts w:hint="eastAsia" w:ascii="Times New Roman" w:hAnsi="Times New Roman" w:eastAsia="宋体"/>
                <w:color w:val="auto"/>
                <w:kern w:val="0"/>
                <w:sz w:val="22"/>
                <w:szCs w:val="22"/>
              </w:rPr>
              <w:t>，用水主要为生活用水，生产过程不涉及用水</w:t>
            </w:r>
          </w:p>
        </w:tc>
        <w:tc>
          <w:tcPr>
            <w:tcW w:w="952" w:type="dxa"/>
            <w:noWrap w:val="0"/>
            <w:vAlign w:val="center"/>
          </w:tcPr>
          <w:p w14:paraId="7CEAC23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符合</w:t>
            </w:r>
          </w:p>
        </w:tc>
      </w:tr>
      <w:tr w14:paraId="118E2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3D189F9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4B42B75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6608" w:type="dxa"/>
            <w:noWrap w:val="0"/>
            <w:vAlign w:val="center"/>
          </w:tcPr>
          <w:p w14:paraId="60262EC3">
            <w:pPr>
              <w:pStyle w:val="34"/>
              <w:keepNext w:val="0"/>
              <w:keepLines w:val="0"/>
              <w:pageBreakBefore w:val="0"/>
              <w:kinsoku/>
              <w:wordWrap/>
              <w:overflowPunct/>
              <w:topLinePunct w:val="0"/>
              <w:autoSpaceDE/>
              <w:autoSpaceDN/>
              <w:bidi w:val="0"/>
              <w:spacing w:line="240" w:lineRule="auto"/>
              <w:ind w:firstLine="0" w:firstLineChars="0"/>
              <w:jc w:val="both"/>
              <w:textAlignment w:val="auto"/>
              <w:rPr>
                <w:rFonts w:hint="eastAsia"/>
                <w:color w:val="auto"/>
                <w:sz w:val="22"/>
                <w:szCs w:val="22"/>
              </w:rPr>
            </w:pPr>
            <w:r>
              <w:rPr>
                <w:rFonts w:hint="eastAsia"/>
                <w:color w:val="auto"/>
                <w:sz w:val="22"/>
                <w:szCs w:val="22"/>
              </w:rPr>
              <w:t xml:space="preserve"> 第二十二条 加快推进节水配套设施建设，加强再生水雨水等非常规水多元、梯级和安全利用，逐年提高非常规水利用比例。结合现有污水处理设施提标升级扩能改造，系统规划城镇污水再生利用设施。</w:t>
            </w:r>
          </w:p>
        </w:tc>
        <w:tc>
          <w:tcPr>
            <w:tcW w:w="4069" w:type="dxa"/>
            <w:noWrap w:val="0"/>
            <w:vAlign w:val="center"/>
          </w:tcPr>
          <w:p w14:paraId="155C1A9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拟建项目不涉及生产废水的产生</w:t>
            </w:r>
          </w:p>
        </w:tc>
        <w:tc>
          <w:tcPr>
            <w:tcW w:w="952" w:type="dxa"/>
            <w:noWrap w:val="0"/>
            <w:vAlign w:val="center"/>
          </w:tcPr>
          <w:p w14:paraId="66CB340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符合</w:t>
            </w:r>
          </w:p>
        </w:tc>
      </w:tr>
      <w:tr w14:paraId="05FD8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restart"/>
            <w:noWrap w:val="0"/>
            <w:vAlign w:val="center"/>
          </w:tcPr>
          <w:p w14:paraId="5178FDC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合川总体管控要求</w:t>
            </w:r>
          </w:p>
        </w:tc>
        <w:tc>
          <w:tcPr>
            <w:tcW w:w="1199" w:type="dxa"/>
            <w:vMerge w:val="restart"/>
            <w:noWrap w:val="0"/>
            <w:vAlign w:val="center"/>
          </w:tcPr>
          <w:p w14:paraId="06E6300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空间布局约束</w:t>
            </w:r>
          </w:p>
        </w:tc>
        <w:tc>
          <w:tcPr>
            <w:tcW w:w="6608" w:type="dxa"/>
            <w:noWrap w:val="0"/>
            <w:vAlign w:val="center"/>
          </w:tcPr>
          <w:p w14:paraId="58B79575">
            <w:pPr>
              <w:pStyle w:val="35"/>
              <w:keepNext w:val="0"/>
              <w:keepLines w:val="0"/>
              <w:pageBreakBefore w:val="0"/>
              <w:kinsoku/>
              <w:wordWrap/>
              <w:overflowPunct/>
              <w:topLinePunct w:val="0"/>
              <w:autoSpaceDE/>
              <w:autoSpaceDN/>
              <w:bidi w:val="0"/>
              <w:spacing w:line="240" w:lineRule="auto"/>
              <w:ind w:firstLine="0" w:firstLineChars="0"/>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第一条 执行重点管控单元市级总体要求第一条、第二条、第三条、第四条、第五条、第六条和第七条。</w:t>
            </w:r>
          </w:p>
        </w:tc>
        <w:tc>
          <w:tcPr>
            <w:tcW w:w="4069" w:type="dxa"/>
            <w:noWrap w:val="0"/>
            <w:vAlign w:val="center"/>
          </w:tcPr>
          <w:p w14:paraId="224CE455">
            <w:pPr>
              <w:pStyle w:val="35"/>
              <w:keepNext w:val="0"/>
              <w:keepLines w:val="0"/>
              <w:pageBreakBefore w:val="0"/>
              <w:kinsoku/>
              <w:wordWrap/>
              <w:overflowPunct/>
              <w:topLinePunct w:val="0"/>
              <w:autoSpaceDE/>
              <w:autoSpaceDN/>
              <w:bidi w:val="0"/>
              <w:spacing w:line="240" w:lineRule="auto"/>
              <w:ind w:firstLine="0" w:firstLineChars="0"/>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与前述“市级总体要求第一条、第二条、第三条、第四条、第五条、第六条和第七条”符合性分析一致</w:t>
            </w:r>
          </w:p>
        </w:tc>
        <w:tc>
          <w:tcPr>
            <w:tcW w:w="952" w:type="dxa"/>
            <w:noWrap w:val="0"/>
            <w:vAlign w:val="center"/>
          </w:tcPr>
          <w:p w14:paraId="5495F35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符合</w:t>
            </w:r>
          </w:p>
        </w:tc>
      </w:tr>
      <w:tr w14:paraId="26339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6DEF29E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44F274D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6608" w:type="dxa"/>
            <w:noWrap w:val="0"/>
            <w:vAlign w:val="center"/>
          </w:tcPr>
          <w:p w14:paraId="013411F2">
            <w:pPr>
              <w:pStyle w:val="35"/>
              <w:keepNext w:val="0"/>
              <w:keepLines w:val="0"/>
              <w:pageBreakBefore w:val="0"/>
              <w:kinsoku/>
              <w:wordWrap/>
              <w:overflowPunct/>
              <w:topLinePunct w:val="0"/>
              <w:autoSpaceDE/>
              <w:autoSpaceDN/>
              <w:bidi w:val="0"/>
              <w:spacing w:line="240" w:lineRule="auto"/>
              <w:ind w:firstLine="0" w:firstLineChars="0"/>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第二条 嘉陵江岸线1公里范围内限制布局新建纸浆制造、印染等存在环境风险的项目。</w:t>
            </w:r>
          </w:p>
        </w:tc>
        <w:tc>
          <w:tcPr>
            <w:tcW w:w="4069" w:type="dxa"/>
            <w:noWrap w:val="0"/>
            <w:vAlign w:val="center"/>
          </w:tcPr>
          <w:p w14:paraId="7247CA18">
            <w:pPr>
              <w:pStyle w:val="35"/>
              <w:keepNext w:val="0"/>
              <w:keepLines w:val="0"/>
              <w:pageBreakBefore w:val="0"/>
              <w:kinsoku/>
              <w:wordWrap/>
              <w:overflowPunct/>
              <w:topLinePunct w:val="0"/>
              <w:autoSpaceDE/>
              <w:autoSpaceDN/>
              <w:bidi w:val="0"/>
              <w:spacing w:line="240" w:lineRule="auto"/>
              <w:ind w:firstLine="0" w:firstLineChars="0"/>
              <w:textAlignment w:val="auto"/>
              <w:rPr>
                <w:rFonts w:ascii="Times New Roman" w:hAnsi="Times New Roman" w:eastAsia="宋体"/>
                <w:color w:val="auto"/>
                <w:sz w:val="22"/>
                <w:szCs w:val="22"/>
              </w:rPr>
            </w:pPr>
            <w:r>
              <w:rPr>
                <w:rFonts w:ascii="Times New Roman" w:hAnsi="Times New Roman" w:eastAsia="宋体"/>
                <w:color w:val="auto"/>
                <w:sz w:val="22"/>
                <w:szCs w:val="22"/>
              </w:rPr>
              <w:t>拟建项目位于合川工业园区南溪组团</w:t>
            </w:r>
            <w:r>
              <w:rPr>
                <w:rFonts w:hint="eastAsia"/>
                <w:color w:val="auto"/>
                <w:sz w:val="22"/>
                <w:szCs w:val="22"/>
                <w:lang w:val="en-US" w:eastAsia="zh-CN"/>
              </w:rPr>
              <w:t>B</w:t>
            </w:r>
            <w:r>
              <w:rPr>
                <w:rFonts w:ascii="Times New Roman" w:hAnsi="Times New Roman" w:eastAsia="宋体"/>
                <w:color w:val="auto"/>
                <w:sz w:val="22"/>
                <w:szCs w:val="22"/>
              </w:rPr>
              <w:t>区内，</w:t>
            </w:r>
            <w:r>
              <w:rPr>
                <w:rFonts w:hint="eastAsia" w:ascii="Times New Roman" w:hAnsi="Times New Roman" w:eastAsia="宋体"/>
                <w:color w:val="auto"/>
                <w:sz w:val="22"/>
                <w:szCs w:val="22"/>
              </w:rPr>
              <w:t>距离嘉陵江岸线</w:t>
            </w:r>
            <w:r>
              <w:rPr>
                <w:rFonts w:hint="eastAsia"/>
                <w:color w:val="auto"/>
                <w:sz w:val="22"/>
                <w:szCs w:val="22"/>
                <w:lang w:val="en-US" w:eastAsia="zh-CN"/>
              </w:rPr>
              <w:t>4.0</w:t>
            </w:r>
            <w:r>
              <w:rPr>
                <w:rFonts w:hint="eastAsia" w:ascii="Times New Roman" w:hAnsi="Times New Roman" w:eastAsia="宋体"/>
                <w:color w:val="auto"/>
                <w:sz w:val="22"/>
                <w:szCs w:val="22"/>
              </w:rPr>
              <w:t>公里</w:t>
            </w:r>
            <w:r>
              <w:rPr>
                <w:rFonts w:hint="eastAsia"/>
                <w:color w:val="auto"/>
                <w:sz w:val="22"/>
                <w:szCs w:val="22"/>
                <w:lang w:eastAsia="zh-CN"/>
              </w:rPr>
              <w:t>，</w:t>
            </w:r>
            <w:r>
              <w:rPr>
                <w:rFonts w:hint="eastAsia"/>
                <w:color w:val="auto"/>
                <w:sz w:val="22"/>
                <w:szCs w:val="22"/>
                <w:lang w:val="en-US" w:eastAsia="zh-CN"/>
              </w:rPr>
              <w:t>不属于前述项目</w:t>
            </w:r>
            <w:r>
              <w:rPr>
                <w:rFonts w:ascii="Times New Roman" w:hAnsi="Times New Roman" w:eastAsia="宋体"/>
                <w:color w:val="auto"/>
                <w:sz w:val="22"/>
                <w:szCs w:val="22"/>
              </w:rPr>
              <w:t>。</w:t>
            </w:r>
          </w:p>
        </w:tc>
        <w:tc>
          <w:tcPr>
            <w:tcW w:w="952" w:type="dxa"/>
            <w:noWrap w:val="0"/>
            <w:vAlign w:val="center"/>
          </w:tcPr>
          <w:p w14:paraId="5A14E68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符合</w:t>
            </w:r>
          </w:p>
        </w:tc>
      </w:tr>
      <w:tr w14:paraId="3B7FF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01CD45A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restart"/>
            <w:noWrap w:val="0"/>
            <w:vAlign w:val="center"/>
          </w:tcPr>
          <w:p w14:paraId="71E53F8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污染物排放管控</w:t>
            </w:r>
          </w:p>
        </w:tc>
        <w:tc>
          <w:tcPr>
            <w:tcW w:w="6608" w:type="dxa"/>
            <w:noWrap w:val="0"/>
            <w:vAlign w:val="center"/>
          </w:tcPr>
          <w:p w14:paraId="4C20B7B3">
            <w:pPr>
              <w:pStyle w:val="35"/>
              <w:keepNext w:val="0"/>
              <w:keepLines w:val="0"/>
              <w:pageBreakBefore w:val="0"/>
              <w:kinsoku/>
              <w:wordWrap/>
              <w:overflowPunct/>
              <w:topLinePunct w:val="0"/>
              <w:autoSpaceDE/>
              <w:autoSpaceDN/>
              <w:bidi w:val="0"/>
              <w:spacing w:line="240" w:lineRule="auto"/>
              <w:ind w:firstLine="0" w:firstLineChars="0"/>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第三条执行重点管控单元市级总体要求第八条、第九条、第十条、第十一条、第十二条、第十三条、第十四条和第十五条。</w:t>
            </w:r>
          </w:p>
        </w:tc>
        <w:tc>
          <w:tcPr>
            <w:tcW w:w="4069" w:type="dxa"/>
            <w:noWrap w:val="0"/>
            <w:vAlign w:val="center"/>
          </w:tcPr>
          <w:p w14:paraId="0E4A0DA6">
            <w:pPr>
              <w:pStyle w:val="35"/>
              <w:keepNext w:val="0"/>
              <w:keepLines w:val="0"/>
              <w:pageBreakBefore w:val="0"/>
              <w:kinsoku/>
              <w:wordWrap/>
              <w:overflowPunct/>
              <w:topLinePunct w:val="0"/>
              <w:autoSpaceDE/>
              <w:autoSpaceDN/>
              <w:bidi w:val="0"/>
              <w:spacing w:line="240" w:lineRule="auto"/>
              <w:ind w:firstLine="0" w:firstLineChars="0"/>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同前述市级总体要求第八条、第九条、第十条、第十一条、第十二条、第十三条、第十四条和第十五条的符合性分析</w:t>
            </w:r>
          </w:p>
        </w:tc>
        <w:tc>
          <w:tcPr>
            <w:tcW w:w="952" w:type="dxa"/>
            <w:noWrap w:val="0"/>
            <w:vAlign w:val="center"/>
          </w:tcPr>
          <w:p w14:paraId="6F804E4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符合</w:t>
            </w:r>
          </w:p>
        </w:tc>
      </w:tr>
      <w:tr w14:paraId="69252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0E5310F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3265695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6608" w:type="dxa"/>
            <w:noWrap w:val="0"/>
            <w:vAlign w:val="center"/>
          </w:tcPr>
          <w:p w14:paraId="5EEEE969">
            <w:pPr>
              <w:pStyle w:val="35"/>
              <w:keepNext w:val="0"/>
              <w:keepLines w:val="0"/>
              <w:pageBreakBefore w:val="0"/>
              <w:kinsoku/>
              <w:wordWrap/>
              <w:overflowPunct/>
              <w:topLinePunct w:val="0"/>
              <w:autoSpaceDE/>
              <w:autoSpaceDN/>
              <w:bidi w:val="0"/>
              <w:spacing w:line="240" w:lineRule="auto"/>
              <w:ind w:firstLine="0" w:firstLineChars="0"/>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第四条 持续推进农村人居环境整治，巩固拓展农村厕所革命成果，引导农村新建住房配套建设卫生厕所，推进人口规模较大村庄配套建设公共厕所；强化畜禽粪污资源化利用，加强散养畜禽管理；推进农药化肥减量增效；加强水产养殖污染专项治理，在养殖区内新建、改扩建水产专用养殖场（池）应配套建设养殖尾水治理设施，实现养殖尾水达标排放、循环使用或资源化利用。</w:t>
            </w:r>
          </w:p>
        </w:tc>
        <w:tc>
          <w:tcPr>
            <w:tcW w:w="4069" w:type="dxa"/>
            <w:noWrap w:val="0"/>
            <w:vAlign w:val="center"/>
          </w:tcPr>
          <w:p w14:paraId="68A2A9D3">
            <w:pPr>
              <w:pStyle w:val="35"/>
              <w:keepNext w:val="0"/>
              <w:keepLines w:val="0"/>
              <w:pageBreakBefore w:val="0"/>
              <w:kinsoku/>
              <w:wordWrap/>
              <w:overflowPunct/>
              <w:topLinePunct w:val="0"/>
              <w:autoSpaceDE/>
              <w:autoSpaceDN/>
              <w:bidi w:val="0"/>
              <w:spacing w:line="240" w:lineRule="auto"/>
              <w:ind w:firstLine="0" w:firstLineChars="0"/>
              <w:textAlignment w:val="auto"/>
              <w:rPr>
                <w:rFonts w:ascii="Times New Roman" w:hAnsi="Times New Roman" w:eastAsia="宋体"/>
                <w:color w:val="auto"/>
                <w:sz w:val="22"/>
                <w:szCs w:val="22"/>
              </w:rPr>
            </w:pPr>
            <w:r>
              <w:rPr>
                <w:rFonts w:ascii="Times New Roman" w:hAnsi="Times New Roman" w:eastAsia="宋体"/>
                <w:color w:val="auto"/>
                <w:sz w:val="22"/>
                <w:szCs w:val="22"/>
              </w:rPr>
              <w:t>拟建项目位于合川工业园区南溪组团</w:t>
            </w:r>
            <w:r>
              <w:rPr>
                <w:rFonts w:hint="eastAsia"/>
                <w:color w:val="auto"/>
                <w:sz w:val="22"/>
                <w:szCs w:val="22"/>
                <w:lang w:val="en-US" w:eastAsia="zh-CN"/>
              </w:rPr>
              <w:t>B</w:t>
            </w:r>
            <w:r>
              <w:rPr>
                <w:rFonts w:ascii="Times New Roman" w:hAnsi="Times New Roman" w:eastAsia="宋体"/>
                <w:color w:val="auto"/>
                <w:sz w:val="22"/>
                <w:szCs w:val="22"/>
              </w:rPr>
              <w:t>区内，</w:t>
            </w:r>
            <w:r>
              <w:rPr>
                <w:rFonts w:hint="eastAsia"/>
                <w:color w:val="auto"/>
                <w:sz w:val="22"/>
                <w:szCs w:val="22"/>
                <w:lang w:val="en-US" w:eastAsia="zh-CN"/>
              </w:rPr>
              <w:t>本项目</w:t>
            </w:r>
            <w:r>
              <w:rPr>
                <w:rFonts w:hint="eastAsia" w:ascii="Times New Roman" w:hAnsi="Times New Roman" w:eastAsia="宋体"/>
                <w:color w:val="auto"/>
                <w:sz w:val="22"/>
                <w:szCs w:val="22"/>
              </w:rPr>
              <w:t>不属于前述养殖项目</w:t>
            </w:r>
            <w:r>
              <w:rPr>
                <w:rFonts w:ascii="Times New Roman" w:hAnsi="Times New Roman" w:eastAsia="宋体"/>
                <w:color w:val="auto"/>
                <w:sz w:val="22"/>
                <w:szCs w:val="22"/>
              </w:rPr>
              <w:t>。</w:t>
            </w:r>
          </w:p>
        </w:tc>
        <w:tc>
          <w:tcPr>
            <w:tcW w:w="952" w:type="dxa"/>
            <w:noWrap w:val="0"/>
            <w:vAlign w:val="center"/>
          </w:tcPr>
          <w:p w14:paraId="6BBB6E3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符合</w:t>
            </w:r>
          </w:p>
        </w:tc>
      </w:tr>
      <w:tr w14:paraId="37BD4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53B0C63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601CBCD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6608" w:type="dxa"/>
            <w:noWrap w:val="0"/>
            <w:vAlign w:val="center"/>
          </w:tcPr>
          <w:p w14:paraId="1C044C33">
            <w:pPr>
              <w:pStyle w:val="35"/>
              <w:keepNext w:val="0"/>
              <w:keepLines w:val="0"/>
              <w:pageBreakBefore w:val="0"/>
              <w:kinsoku/>
              <w:wordWrap/>
              <w:overflowPunct/>
              <w:topLinePunct w:val="0"/>
              <w:autoSpaceDE/>
              <w:autoSpaceDN/>
              <w:bidi w:val="0"/>
              <w:spacing w:line="240" w:lineRule="auto"/>
              <w:ind w:firstLine="0" w:firstLineChars="0"/>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第五条 持续推进水泥等高排放重点管控企业超低排放改造</w:t>
            </w:r>
            <w:r>
              <w:rPr>
                <w:rFonts w:hint="eastAsia"/>
                <w:color w:val="auto"/>
                <w:sz w:val="22"/>
                <w:szCs w:val="22"/>
                <w:lang w:eastAsia="zh-CN"/>
              </w:rPr>
              <w:t>；</w:t>
            </w:r>
            <w:r>
              <w:rPr>
                <w:rFonts w:hint="eastAsia" w:ascii="Times New Roman" w:hAnsi="Times New Roman" w:eastAsia="宋体"/>
                <w:color w:val="auto"/>
                <w:sz w:val="22"/>
                <w:szCs w:val="22"/>
              </w:rPr>
              <w:t>加大新型干法水泥窑、玻璃行业废气深度治理力度，深化烧结砖瓦窑生产企业深度治理，推进烧结砖瓦窑脱硫脱硝除尘改造</w:t>
            </w:r>
            <w:r>
              <w:rPr>
                <w:rFonts w:hint="eastAsia"/>
                <w:color w:val="auto"/>
                <w:sz w:val="22"/>
                <w:szCs w:val="22"/>
                <w:lang w:eastAsia="zh-CN"/>
              </w:rPr>
              <w:t>；</w:t>
            </w:r>
            <w:r>
              <w:rPr>
                <w:rFonts w:hint="eastAsia" w:ascii="Times New Roman" w:hAnsi="Times New Roman" w:eastAsia="宋体"/>
                <w:color w:val="auto"/>
                <w:sz w:val="22"/>
                <w:szCs w:val="22"/>
              </w:rPr>
              <w:t>新建燃煤机组 实施超低排放；燃气锅炉实施低氮改造。</w:t>
            </w:r>
          </w:p>
        </w:tc>
        <w:tc>
          <w:tcPr>
            <w:tcW w:w="4069" w:type="dxa"/>
            <w:noWrap w:val="0"/>
            <w:vAlign w:val="center"/>
          </w:tcPr>
          <w:p w14:paraId="5D131839">
            <w:pPr>
              <w:pStyle w:val="35"/>
              <w:keepNext w:val="0"/>
              <w:keepLines w:val="0"/>
              <w:pageBreakBefore w:val="0"/>
              <w:kinsoku/>
              <w:wordWrap/>
              <w:overflowPunct/>
              <w:topLinePunct w:val="0"/>
              <w:autoSpaceDE/>
              <w:autoSpaceDN/>
              <w:bidi w:val="0"/>
              <w:spacing w:line="240" w:lineRule="auto"/>
              <w:ind w:firstLine="0" w:firstLineChars="0"/>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拟建项目为</w:t>
            </w:r>
            <w:r>
              <w:rPr>
                <w:rFonts w:hint="eastAsia"/>
                <w:color w:val="auto"/>
                <w:sz w:val="22"/>
                <w:szCs w:val="22"/>
                <w:lang w:val="en-US" w:eastAsia="zh-CN"/>
              </w:rPr>
              <w:t>车用隔热保温材料生产</w:t>
            </w:r>
            <w:r>
              <w:rPr>
                <w:rFonts w:hint="eastAsia" w:ascii="Times New Roman" w:hAnsi="Times New Roman" w:eastAsia="宋体"/>
                <w:color w:val="auto"/>
                <w:sz w:val="22"/>
                <w:szCs w:val="22"/>
              </w:rPr>
              <w:t>，不属于前述项目。</w:t>
            </w:r>
          </w:p>
        </w:tc>
        <w:tc>
          <w:tcPr>
            <w:tcW w:w="952" w:type="dxa"/>
            <w:noWrap w:val="0"/>
            <w:vAlign w:val="center"/>
          </w:tcPr>
          <w:p w14:paraId="21FA714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符合</w:t>
            </w:r>
          </w:p>
        </w:tc>
      </w:tr>
      <w:tr w14:paraId="3E2A4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1050E0C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4D4E961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6608" w:type="dxa"/>
            <w:noWrap w:val="0"/>
            <w:vAlign w:val="center"/>
          </w:tcPr>
          <w:p w14:paraId="2D24CAA5">
            <w:pPr>
              <w:pStyle w:val="35"/>
              <w:keepNext w:val="0"/>
              <w:keepLines w:val="0"/>
              <w:pageBreakBefore w:val="0"/>
              <w:kinsoku/>
              <w:wordWrap/>
              <w:overflowPunct/>
              <w:topLinePunct w:val="0"/>
              <w:autoSpaceDE/>
              <w:autoSpaceDN/>
              <w:bidi w:val="0"/>
              <w:spacing w:line="240" w:lineRule="auto"/>
              <w:ind w:firstLine="0" w:firstLineChars="0"/>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 xml:space="preserve"> 第六条 严格施工扬尘管理，建筑面积8万平方米以上工地全部安装扬尘在线监测系统并联网。加强道路扬尘控制，强化运渣车辆冒装撒漏监管。推进混凝土搅拌站和非煤矿山物料储运系统密闭化改造。</w:t>
            </w:r>
          </w:p>
        </w:tc>
        <w:tc>
          <w:tcPr>
            <w:tcW w:w="4069" w:type="dxa"/>
            <w:noWrap w:val="0"/>
            <w:vAlign w:val="center"/>
          </w:tcPr>
          <w:p w14:paraId="5D214E15">
            <w:pPr>
              <w:pStyle w:val="3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olor w:val="auto"/>
                <w:sz w:val="22"/>
                <w:szCs w:val="22"/>
                <w:lang w:val="en-US" w:eastAsia="zh-CN"/>
              </w:rPr>
            </w:pPr>
            <w:r>
              <w:rPr>
                <w:rFonts w:hint="eastAsia" w:ascii="Times New Roman" w:hAnsi="Times New Roman" w:eastAsia="宋体"/>
                <w:color w:val="auto"/>
                <w:sz w:val="22"/>
                <w:szCs w:val="22"/>
              </w:rPr>
              <w:t>本项目在施工期</w:t>
            </w:r>
            <w:r>
              <w:rPr>
                <w:rFonts w:hint="eastAsia"/>
                <w:color w:val="auto"/>
                <w:sz w:val="22"/>
                <w:szCs w:val="22"/>
                <w:lang w:val="en-US" w:eastAsia="zh-CN"/>
              </w:rPr>
              <w:t>主要进行装修和设备安装，不涉及土建工程</w:t>
            </w:r>
            <w:r>
              <w:rPr>
                <w:rFonts w:hint="eastAsia" w:ascii="Times New Roman" w:hAnsi="Times New Roman" w:eastAsia="宋体"/>
                <w:color w:val="auto"/>
                <w:sz w:val="22"/>
                <w:szCs w:val="22"/>
              </w:rPr>
              <w:t>，</w:t>
            </w:r>
            <w:r>
              <w:rPr>
                <w:rFonts w:hint="eastAsia"/>
                <w:color w:val="auto"/>
                <w:sz w:val="22"/>
                <w:szCs w:val="22"/>
                <w:lang w:val="en-US" w:eastAsia="zh-CN"/>
              </w:rPr>
              <w:t>施工过程中扬尘产生量较小。</w:t>
            </w:r>
          </w:p>
        </w:tc>
        <w:tc>
          <w:tcPr>
            <w:tcW w:w="952" w:type="dxa"/>
            <w:noWrap w:val="0"/>
            <w:vAlign w:val="center"/>
          </w:tcPr>
          <w:p w14:paraId="1BC12B8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符合</w:t>
            </w:r>
          </w:p>
        </w:tc>
      </w:tr>
      <w:tr w14:paraId="1B876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5262411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790A0F8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6608" w:type="dxa"/>
            <w:noWrap w:val="0"/>
            <w:vAlign w:val="center"/>
          </w:tcPr>
          <w:p w14:paraId="23B2A9FF">
            <w:pPr>
              <w:pStyle w:val="35"/>
              <w:keepNext w:val="0"/>
              <w:keepLines w:val="0"/>
              <w:pageBreakBefore w:val="0"/>
              <w:kinsoku/>
              <w:wordWrap/>
              <w:overflowPunct/>
              <w:topLinePunct w:val="0"/>
              <w:autoSpaceDE/>
              <w:autoSpaceDN/>
              <w:bidi w:val="0"/>
              <w:spacing w:line="240" w:lineRule="auto"/>
              <w:ind w:firstLine="0" w:firstLineChars="0"/>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 xml:space="preserve"> 第七条 加快大宗货物和中长途货物运输“公转铁、公转水”，大力发展铁水、公铁、公水等多式联运，大宗物料优先采用铁路、管道或水路运输，短途接驳优先使用新能源车辆运输</w:t>
            </w:r>
            <w:r>
              <w:rPr>
                <w:rFonts w:hint="eastAsia"/>
                <w:color w:val="auto"/>
                <w:sz w:val="22"/>
                <w:szCs w:val="22"/>
                <w:lang w:eastAsia="zh-CN"/>
              </w:rPr>
              <w:t>；</w:t>
            </w:r>
            <w:r>
              <w:rPr>
                <w:rFonts w:hint="eastAsia" w:ascii="Times New Roman" w:hAnsi="Times New Roman" w:eastAsia="宋体"/>
                <w:color w:val="auto"/>
                <w:sz w:val="22"/>
                <w:szCs w:val="22"/>
              </w:rPr>
              <w:t>加强船舶和非道路移动机械排气污染防治，提高燃油车船能效标准，健全交通运输装备能效标识制度，加快淘汰高耗能高排放老旧车船。全面实施汽车国六排放标准和非道路移动柴油机械国四排放标准。</w:t>
            </w:r>
          </w:p>
        </w:tc>
        <w:tc>
          <w:tcPr>
            <w:tcW w:w="4069" w:type="dxa"/>
            <w:noWrap w:val="0"/>
            <w:vAlign w:val="center"/>
          </w:tcPr>
          <w:p w14:paraId="7EE331B0">
            <w:pPr>
              <w:pStyle w:val="35"/>
              <w:keepNext w:val="0"/>
              <w:keepLines w:val="0"/>
              <w:pageBreakBefore w:val="0"/>
              <w:kinsoku/>
              <w:wordWrap/>
              <w:overflowPunct/>
              <w:topLinePunct w:val="0"/>
              <w:autoSpaceDE/>
              <w:autoSpaceDN/>
              <w:bidi w:val="0"/>
              <w:spacing w:line="240" w:lineRule="auto"/>
              <w:ind w:firstLine="0" w:firstLineChars="0"/>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本项目货物运输为短途运输，采用汽车运输</w:t>
            </w:r>
          </w:p>
        </w:tc>
        <w:tc>
          <w:tcPr>
            <w:tcW w:w="952" w:type="dxa"/>
            <w:noWrap w:val="0"/>
            <w:vAlign w:val="center"/>
          </w:tcPr>
          <w:p w14:paraId="2318041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符合</w:t>
            </w:r>
          </w:p>
        </w:tc>
      </w:tr>
      <w:tr w14:paraId="70910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17A3015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08FB9A4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6608" w:type="dxa"/>
            <w:noWrap w:val="0"/>
            <w:vAlign w:val="center"/>
          </w:tcPr>
          <w:p w14:paraId="234D1327">
            <w:pPr>
              <w:pStyle w:val="35"/>
              <w:keepNext w:val="0"/>
              <w:keepLines w:val="0"/>
              <w:pageBreakBefore w:val="0"/>
              <w:kinsoku/>
              <w:wordWrap/>
              <w:overflowPunct/>
              <w:topLinePunct w:val="0"/>
              <w:autoSpaceDE/>
              <w:autoSpaceDN/>
              <w:bidi w:val="0"/>
              <w:spacing w:line="240" w:lineRule="auto"/>
              <w:ind w:firstLine="0" w:firstLineChars="0"/>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第八条 推动新建小区公共烟道建设油烟集中处置设施，实现居民生活油烟达标排放，减少生活有机溶剂使用，针对建筑装修、汽修喷涂作业、干洗等行业，严格执行有机溶剂VOCs含量限值标准，鼓励使用低毒、低挥发性溶剂。</w:t>
            </w:r>
          </w:p>
        </w:tc>
        <w:tc>
          <w:tcPr>
            <w:tcW w:w="4069" w:type="dxa"/>
            <w:noWrap w:val="0"/>
            <w:vAlign w:val="center"/>
          </w:tcPr>
          <w:p w14:paraId="748071A1">
            <w:pPr>
              <w:pStyle w:val="35"/>
              <w:keepNext w:val="0"/>
              <w:keepLines w:val="0"/>
              <w:pageBreakBefore w:val="0"/>
              <w:kinsoku/>
              <w:wordWrap/>
              <w:overflowPunct/>
              <w:topLinePunct w:val="0"/>
              <w:autoSpaceDE/>
              <w:autoSpaceDN/>
              <w:bidi w:val="0"/>
              <w:spacing w:line="240" w:lineRule="auto"/>
              <w:ind w:firstLine="0" w:firstLineChars="0"/>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本项目</w:t>
            </w:r>
            <w:r>
              <w:rPr>
                <w:rFonts w:hint="eastAsia"/>
                <w:color w:val="auto"/>
                <w:sz w:val="22"/>
                <w:szCs w:val="22"/>
                <w:lang w:val="en-US" w:eastAsia="zh-CN"/>
              </w:rPr>
              <w:t>不设置食堂和住宿，不涉及生活油烟的产生</w:t>
            </w:r>
            <w:r>
              <w:rPr>
                <w:rFonts w:hint="eastAsia" w:ascii="Times New Roman" w:hAnsi="Times New Roman" w:eastAsia="宋体"/>
                <w:color w:val="auto"/>
                <w:sz w:val="22"/>
                <w:szCs w:val="22"/>
              </w:rPr>
              <w:t>；本项目为</w:t>
            </w:r>
            <w:r>
              <w:rPr>
                <w:rFonts w:hint="eastAsia"/>
                <w:color w:val="auto"/>
                <w:sz w:val="22"/>
                <w:szCs w:val="22"/>
                <w:lang w:val="en-US" w:eastAsia="zh-CN"/>
              </w:rPr>
              <w:t>车用隔热保温材料</w:t>
            </w:r>
            <w:r>
              <w:rPr>
                <w:rFonts w:hint="eastAsia" w:ascii="Times New Roman" w:hAnsi="Times New Roman" w:eastAsia="宋体"/>
                <w:color w:val="auto"/>
                <w:sz w:val="22"/>
                <w:szCs w:val="22"/>
              </w:rPr>
              <w:t>生产，不属于建筑装修、汽修喷涂作业、干洗等行业</w:t>
            </w:r>
          </w:p>
        </w:tc>
        <w:tc>
          <w:tcPr>
            <w:tcW w:w="952" w:type="dxa"/>
            <w:noWrap w:val="0"/>
            <w:vAlign w:val="center"/>
          </w:tcPr>
          <w:p w14:paraId="51EFB8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符合</w:t>
            </w:r>
          </w:p>
        </w:tc>
      </w:tr>
      <w:tr w14:paraId="6694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4B896FE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restart"/>
            <w:noWrap w:val="0"/>
            <w:vAlign w:val="center"/>
          </w:tcPr>
          <w:p w14:paraId="03618ED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环境风险防控</w:t>
            </w:r>
          </w:p>
        </w:tc>
        <w:tc>
          <w:tcPr>
            <w:tcW w:w="6608" w:type="dxa"/>
            <w:noWrap w:val="0"/>
            <w:vAlign w:val="center"/>
          </w:tcPr>
          <w:p w14:paraId="4B89D77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第九条 执行重点管控单元市级总体要求第十六条。</w:t>
            </w:r>
          </w:p>
        </w:tc>
        <w:tc>
          <w:tcPr>
            <w:tcW w:w="4069" w:type="dxa"/>
            <w:noWrap w:val="0"/>
            <w:vAlign w:val="center"/>
          </w:tcPr>
          <w:p w14:paraId="1570C48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同前述市级总体要求第十六条符合性分析</w:t>
            </w:r>
          </w:p>
        </w:tc>
        <w:tc>
          <w:tcPr>
            <w:tcW w:w="952" w:type="dxa"/>
            <w:noWrap w:val="0"/>
            <w:vAlign w:val="center"/>
          </w:tcPr>
          <w:p w14:paraId="55028D1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符合</w:t>
            </w:r>
          </w:p>
        </w:tc>
      </w:tr>
      <w:tr w14:paraId="671FC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271BCB0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5D521B7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6608" w:type="dxa"/>
            <w:noWrap w:val="0"/>
            <w:vAlign w:val="center"/>
          </w:tcPr>
          <w:p w14:paraId="03EFCAE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第十条 强化工业园区环境风险管控。完善工业园区现有重大风险源的风险防范体系和应急预案，定期开展应急事故演练，并加强监管</w:t>
            </w:r>
            <w:r>
              <w:rPr>
                <w:rFonts w:hint="eastAsia"/>
                <w:color w:val="auto"/>
                <w:sz w:val="22"/>
                <w:szCs w:val="22"/>
                <w:lang w:eastAsia="zh-CN"/>
              </w:rPr>
              <w:t>；</w:t>
            </w:r>
            <w:r>
              <w:rPr>
                <w:rFonts w:hint="eastAsia" w:ascii="Times New Roman" w:hAnsi="Times New Roman" w:eastAsia="宋体"/>
                <w:color w:val="auto"/>
                <w:sz w:val="22"/>
                <w:szCs w:val="22"/>
              </w:rPr>
              <w:t>实施技术、工艺、设备等生态化、循环化改造，加快布局分散的企业向园区集中，按要求设置生态隔离带，建设相应的防护工程。强化环境应急队伍建设和物资储备。</w:t>
            </w:r>
          </w:p>
        </w:tc>
        <w:tc>
          <w:tcPr>
            <w:tcW w:w="4069" w:type="dxa"/>
            <w:noWrap w:val="0"/>
            <w:vAlign w:val="center"/>
          </w:tcPr>
          <w:p w14:paraId="14EC37C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本项目位于南溪组团</w:t>
            </w:r>
            <w:r>
              <w:rPr>
                <w:rFonts w:hint="eastAsia"/>
                <w:color w:val="auto"/>
                <w:sz w:val="22"/>
                <w:szCs w:val="22"/>
                <w:lang w:val="en-US" w:eastAsia="zh-CN"/>
              </w:rPr>
              <w:t>B</w:t>
            </w:r>
            <w:r>
              <w:rPr>
                <w:rFonts w:hint="eastAsia" w:ascii="Times New Roman" w:hAnsi="Times New Roman" w:eastAsia="宋体"/>
                <w:color w:val="auto"/>
                <w:sz w:val="22"/>
                <w:szCs w:val="22"/>
              </w:rPr>
              <w:t>区，园区已完善风险防范体系和应急预案</w:t>
            </w:r>
          </w:p>
        </w:tc>
        <w:tc>
          <w:tcPr>
            <w:tcW w:w="952" w:type="dxa"/>
            <w:noWrap w:val="0"/>
            <w:vAlign w:val="center"/>
          </w:tcPr>
          <w:p w14:paraId="3D9ABC0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符合</w:t>
            </w:r>
          </w:p>
        </w:tc>
      </w:tr>
      <w:tr w14:paraId="69357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2345606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078DE7F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6608" w:type="dxa"/>
            <w:noWrap w:val="0"/>
            <w:vAlign w:val="center"/>
          </w:tcPr>
          <w:p w14:paraId="03047FB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第十一条 工业集聚区内的项目对水环境存在安全隐患的，应当建立车间、工厂和集聚区三级环境风险防范体系。</w:t>
            </w:r>
          </w:p>
        </w:tc>
        <w:tc>
          <w:tcPr>
            <w:tcW w:w="4069" w:type="dxa"/>
            <w:noWrap w:val="0"/>
            <w:vAlign w:val="center"/>
          </w:tcPr>
          <w:p w14:paraId="6736E9D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22"/>
                <w:szCs w:val="22"/>
                <w:lang w:val="en-US" w:eastAsia="zh-CN"/>
              </w:rPr>
            </w:pPr>
            <w:r>
              <w:rPr>
                <w:rFonts w:hint="eastAsia" w:ascii="Times New Roman" w:hAnsi="Times New Roman" w:eastAsia="宋体"/>
                <w:color w:val="auto"/>
                <w:sz w:val="22"/>
                <w:szCs w:val="22"/>
              </w:rPr>
              <w:t>本项目不涉及生产废水的产生</w:t>
            </w:r>
            <w:r>
              <w:rPr>
                <w:rFonts w:hint="eastAsia"/>
                <w:color w:val="auto"/>
                <w:sz w:val="22"/>
                <w:szCs w:val="22"/>
                <w:lang w:eastAsia="zh-CN"/>
              </w:rPr>
              <w:t>，</w:t>
            </w:r>
            <w:r>
              <w:rPr>
                <w:rFonts w:hint="eastAsia"/>
                <w:color w:val="auto"/>
                <w:sz w:val="22"/>
                <w:szCs w:val="22"/>
                <w:lang w:val="en-US" w:eastAsia="zh-CN"/>
              </w:rPr>
              <w:t>维修废油暂存在危险废物贮存点内，下方设置托盘。</w:t>
            </w:r>
          </w:p>
        </w:tc>
        <w:tc>
          <w:tcPr>
            <w:tcW w:w="952" w:type="dxa"/>
            <w:noWrap w:val="0"/>
            <w:vAlign w:val="center"/>
          </w:tcPr>
          <w:p w14:paraId="55B59A4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符合</w:t>
            </w:r>
          </w:p>
        </w:tc>
      </w:tr>
      <w:tr w14:paraId="0567E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1F93754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7ED6DD0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6608" w:type="dxa"/>
            <w:noWrap w:val="0"/>
            <w:vAlign w:val="center"/>
          </w:tcPr>
          <w:p w14:paraId="6C6AA36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第十二条 深化区域联防联控机制，进一步健全与遂宁、广安、潼南、铜梁、北碚等地突发环境事件应急响应机制，有效预防和应对跨区域的突发环境风险事件。</w:t>
            </w:r>
          </w:p>
        </w:tc>
        <w:tc>
          <w:tcPr>
            <w:tcW w:w="4069" w:type="dxa"/>
            <w:noWrap w:val="0"/>
            <w:vAlign w:val="center"/>
          </w:tcPr>
          <w:p w14:paraId="227C242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22"/>
                <w:szCs w:val="22"/>
                <w:lang w:val="en-US" w:eastAsia="zh-CN"/>
              </w:rPr>
            </w:pPr>
            <w:r>
              <w:rPr>
                <w:rFonts w:hint="eastAsia" w:ascii="Times New Roman" w:hAnsi="Times New Roman" w:eastAsia="宋体"/>
                <w:color w:val="auto"/>
                <w:sz w:val="22"/>
                <w:szCs w:val="22"/>
              </w:rPr>
              <w:t>本项目位于合川南溪组团</w:t>
            </w:r>
            <w:r>
              <w:rPr>
                <w:rFonts w:hint="eastAsia"/>
                <w:color w:val="auto"/>
                <w:sz w:val="22"/>
                <w:szCs w:val="22"/>
                <w:lang w:val="en-US" w:eastAsia="zh-CN"/>
              </w:rPr>
              <w:t>B</w:t>
            </w:r>
            <w:r>
              <w:rPr>
                <w:rFonts w:hint="eastAsia" w:ascii="Times New Roman" w:hAnsi="Times New Roman" w:eastAsia="宋体"/>
                <w:color w:val="auto"/>
                <w:sz w:val="22"/>
                <w:szCs w:val="22"/>
              </w:rPr>
              <w:t>区，</w:t>
            </w:r>
            <w:r>
              <w:rPr>
                <w:rFonts w:hint="eastAsia"/>
                <w:color w:val="auto"/>
                <w:sz w:val="22"/>
                <w:szCs w:val="22"/>
                <w:lang w:val="en-US" w:eastAsia="zh-CN"/>
              </w:rPr>
              <w:t>维修废油暂存在危险废物贮存点内，下方设置托盘。本项目Q值为0.00002，风险等级低。</w:t>
            </w:r>
          </w:p>
        </w:tc>
        <w:tc>
          <w:tcPr>
            <w:tcW w:w="952" w:type="dxa"/>
            <w:noWrap w:val="0"/>
            <w:vAlign w:val="center"/>
          </w:tcPr>
          <w:p w14:paraId="4B97AA4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符合</w:t>
            </w:r>
          </w:p>
        </w:tc>
      </w:tr>
      <w:tr w14:paraId="2C994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51ADB0C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restart"/>
            <w:noWrap w:val="0"/>
            <w:vAlign w:val="center"/>
          </w:tcPr>
          <w:p w14:paraId="1546296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资源开发利用效率</w:t>
            </w:r>
          </w:p>
        </w:tc>
        <w:tc>
          <w:tcPr>
            <w:tcW w:w="6608" w:type="dxa"/>
            <w:noWrap w:val="0"/>
            <w:vAlign w:val="center"/>
          </w:tcPr>
          <w:p w14:paraId="300CC14D">
            <w:pPr>
              <w:pStyle w:val="35"/>
              <w:keepNext w:val="0"/>
              <w:keepLines w:val="0"/>
              <w:pageBreakBefore w:val="0"/>
              <w:kinsoku/>
              <w:wordWrap/>
              <w:overflowPunct/>
              <w:topLinePunct w:val="0"/>
              <w:autoSpaceDE/>
              <w:autoSpaceDN/>
              <w:bidi w:val="0"/>
              <w:spacing w:line="240" w:lineRule="auto"/>
              <w:ind w:firstLine="0" w:firstLineChars="0"/>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第十三条 执行重点管控单元市级总体要求第十八条、第十九条、第二十条、第二十一条和第二十二条。</w:t>
            </w:r>
          </w:p>
        </w:tc>
        <w:tc>
          <w:tcPr>
            <w:tcW w:w="4069" w:type="dxa"/>
            <w:noWrap w:val="0"/>
            <w:vAlign w:val="center"/>
          </w:tcPr>
          <w:p w14:paraId="4CB0F878">
            <w:pPr>
              <w:pStyle w:val="35"/>
              <w:keepNext w:val="0"/>
              <w:keepLines w:val="0"/>
              <w:pageBreakBefore w:val="0"/>
              <w:kinsoku/>
              <w:wordWrap/>
              <w:overflowPunct/>
              <w:topLinePunct w:val="0"/>
              <w:autoSpaceDE/>
              <w:autoSpaceDN/>
              <w:bidi w:val="0"/>
              <w:spacing w:line="240" w:lineRule="auto"/>
              <w:ind w:firstLine="0" w:firstLineChars="0"/>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同市级总体要求第十八条、第十九条、第二十条、第二十一条和第二十二条符合性分析</w:t>
            </w:r>
          </w:p>
        </w:tc>
        <w:tc>
          <w:tcPr>
            <w:tcW w:w="952" w:type="dxa"/>
            <w:noWrap w:val="0"/>
            <w:vAlign w:val="center"/>
          </w:tcPr>
          <w:p w14:paraId="41192F7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符合</w:t>
            </w:r>
          </w:p>
        </w:tc>
      </w:tr>
      <w:tr w14:paraId="1F810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1D37DD4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49D0A6D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6608" w:type="dxa"/>
            <w:noWrap w:val="0"/>
            <w:vAlign w:val="center"/>
          </w:tcPr>
          <w:p w14:paraId="36AA3587">
            <w:pPr>
              <w:pStyle w:val="35"/>
              <w:keepNext w:val="0"/>
              <w:keepLines w:val="0"/>
              <w:pageBreakBefore w:val="0"/>
              <w:kinsoku/>
              <w:wordWrap/>
              <w:overflowPunct/>
              <w:topLinePunct w:val="0"/>
              <w:autoSpaceDE/>
              <w:autoSpaceDN/>
              <w:bidi w:val="0"/>
              <w:spacing w:line="240" w:lineRule="auto"/>
              <w:ind w:firstLine="0" w:firstLineChars="0"/>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第十四条 严控煤炭消费总量，逐步降低煤炭消费比重，新建耗煤项目实行煤炭减量替代，逐步推进天然气、电力及可再生能源替代，持续推进煤炭消费总量及比重持续下降。推进水泥、玻璃等行业开展煤炭清洁高效利用。</w:t>
            </w:r>
          </w:p>
        </w:tc>
        <w:tc>
          <w:tcPr>
            <w:tcW w:w="4069" w:type="dxa"/>
            <w:noWrap w:val="0"/>
            <w:vAlign w:val="center"/>
          </w:tcPr>
          <w:p w14:paraId="1988ED75">
            <w:pPr>
              <w:pStyle w:val="35"/>
              <w:keepNext w:val="0"/>
              <w:keepLines w:val="0"/>
              <w:pageBreakBefore w:val="0"/>
              <w:kinsoku/>
              <w:wordWrap/>
              <w:overflowPunct/>
              <w:topLinePunct w:val="0"/>
              <w:autoSpaceDE/>
              <w:autoSpaceDN/>
              <w:bidi w:val="0"/>
              <w:spacing w:line="240" w:lineRule="auto"/>
              <w:ind w:firstLine="0" w:firstLineChars="0"/>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本项目能源主要为电，不涉及煤炭的使用</w:t>
            </w:r>
            <w:r>
              <w:rPr>
                <w:rFonts w:ascii="Times New Roman" w:hAnsi="Times New Roman" w:eastAsia="宋体"/>
                <w:color w:val="auto"/>
                <w:sz w:val="22"/>
                <w:szCs w:val="22"/>
              </w:rPr>
              <w:t>。</w:t>
            </w:r>
          </w:p>
        </w:tc>
        <w:tc>
          <w:tcPr>
            <w:tcW w:w="952" w:type="dxa"/>
            <w:noWrap w:val="0"/>
            <w:vAlign w:val="center"/>
          </w:tcPr>
          <w:p w14:paraId="5E07C5C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符合</w:t>
            </w:r>
          </w:p>
        </w:tc>
      </w:tr>
      <w:tr w14:paraId="12BF1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0A545E7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77C0F56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6608" w:type="dxa"/>
            <w:noWrap w:val="0"/>
            <w:vAlign w:val="center"/>
          </w:tcPr>
          <w:p w14:paraId="424DA2AA">
            <w:pPr>
              <w:pStyle w:val="35"/>
              <w:keepNext w:val="0"/>
              <w:keepLines w:val="0"/>
              <w:pageBreakBefore w:val="0"/>
              <w:kinsoku/>
              <w:wordWrap/>
              <w:overflowPunct/>
              <w:topLinePunct w:val="0"/>
              <w:autoSpaceDE/>
              <w:autoSpaceDN/>
              <w:bidi w:val="0"/>
              <w:spacing w:line="240" w:lineRule="auto"/>
              <w:ind w:firstLine="0" w:firstLineChars="0"/>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第十五条持续开展重点河流和水库富营养化监测预警及控制，科学实施梯级航电工程生态调度，保证生态基流。</w:t>
            </w:r>
          </w:p>
        </w:tc>
        <w:tc>
          <w:tcPr>
            <w:tcW w:w="4069" w:type="dxa"/>
            <w:noWrap w:val="0"/>
            <w:vAlign w:val="center"/>
          </w:tcPr>
          <w:p w14:paraId="12F78FB9">
            <w:pPr>
              <w:pStyle w:val="35"/>
              <w:keepNext w:val="0"/>
              <w:keepLines w:val="0"/>
              <w:pageBreakBefore w:val="0"/>
              <w:kinsoku/>
              <w:wordWrap/>
              <w:overflowPunct/>
              <w:topLinePunct w:val="0"/>
              <w:autoSpaceDE/>
              <w:autoSpaceDN/>
              <w:bidi w:val="0"/>
              <w:spacing w:line="240" w:lineRule="auto"/>
              <w:ind w:firstLine="0" w:firstLineChars="0"/>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本项目仅涉及生活污水，处理达标后排入</w:t>
            </w:r>
            <w:r>
              <w:rPr>
                <w:rFonts w:hint="eastAsia"/>
                <w:color w:val="auto"/>
                <w:sz w:val="22"/>
                <w:szCs w:val="22"/>
                <w:lang w:eastAsia="zh-CN"/>
              </w:rPr>
              <w:t>农创园污水处理厂</w:t>
            </w:r>
            <w:r>
              <w:rPr>
                <w:rFonts w:hint="eastAsia" w:ascii="Times New Roman" w:hAnsi="Times New Roman" w:eastAsia="宋体"/>
                <w:color w:val="auto"/>
                <w:sz w:val="22"/>
                <w:szCs w:val="22"/>
              </w:rPr>
              <w:t>，对区域水环境影响较小</w:t>
            </w:r>
          </w:p>
        </w:tc>
        <w:tc>
          <w:tcPr>
            <w:tcW w:w="952" w:type="dxa"/>
            <w:noWrap w:val="0"/>
            <w:vAlign w:val="center"/>
          </w:tcPr>
          <w:p w14:paraId="331A8DE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符合</w:t>
            </w:r>
          </w:p>
        </w:tc>
      </w:tr>
      <w:tr w14:paraId="4DD3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3CF3C7F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1215AAF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6608" w:type="dxa"/>
            <w:noWrap w:val="0"/>
            <w:vAlign w:val="center"/>
          </w:tcPr>
          <w:p w14:paraId="54C3595E">
            <w:pPr>
              <w:pStyle w:val="35"/>
              <w:keepNext w:val="0"/>
              <w:keepLines w:val="0"/>
              <w:pageBreakBefore w:val="0"/>
              <w:kinsoku/>
              <w:wordWrap/>
              <w:overflowPunct/>
              <w:topLinePunct w:val="0"/>
              <w:autoSpaceDE/>
              <w:autoSpaceDN/>
              <w:bidi w:val="0"/>
              <w:spacing w:line="240" w:lineRule="auto"/>
              <w:ind w:firstLine="0" w:firstLineChars="0"/>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第十六条 在高污染燃料禁燃区内，禁止销售、燃用高污染燃料</w:t>
            </w:r>
            <w:r>
              <w:rPr>
                <w:rFonts w:hint="eastAsia"/>
                <w:color w:val="auto"/>
                <w:sz w:val="22"/>
                <w:szCs w:val="22"/>
                <w:lang w:eastAsia="zh-CN"/>
              </w:rPr>
              <w:t>；</w:t>
            </w:r>
            <w:r>
              <w:rPr>
                <w:rFonts w:hint="eastAsia" w:ascii="Times New Roman" w:hAnsi="Times New Roman" w:eastAsia="宋体"/>
                <w:color w:val="auto"/>
                <w:sz w:val="22"/>
                <w:szCs w:val="22"/>
              </w:rPr>
              <w:t>禁止新建、扩建燃用高污染燃料的设施，已建成的，应当在城市人民政府规定的期限内改用天然气、页岩气、液化石油气、电或者其他清洁能源。</w:t>
            </w:r>
          </w:p>
        </w:tc>
        <w:tc>
          <w:tcPr>
            <w:tcW w:w="4069" w:type="dxa"/>
            <w:noWrap w:val="0"/>
            <w:vAlign w:val="center"/>
          </w:tcPr>
          <w:p w14:paraId="7A175A4C">
            <w:pPr>
              <w:pStyle w:val="35"/>
              <w:keepNext w:val="0"/>
              <w:keepLines w:val="0"/>
              <w:pageBreakBefore w:val="0"/>
              <w:kinsoku/>
              <w:wordWrap/>
              <w:overflowPunct/>
              <w:topLinePunct w:val="0"/>
              <w:autoSpaceDE/>
              <w:autoSpaceDN/>
              <w:bidi w:val="0"/>
              <w:spacing w:line="240" w:lineRule="auto"/>
              <w:ind w:firstLine="0" w:firstLineChars="0"/>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本项目能源为电，不涉及高污染燃料设备</w:t>
            </w:r>
          </w:p>
        </w:tc>
        <w:tc>
          <w:tcPr>
            <w:tcW w:w="952" w:type="dxa"/>
            <w:noWrap w:val="0"/>
            <w:vAlign w:val="center"/>
          </w:tcPr>
          <w:p w14:paraId="4A7672D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符合</w:t>
            </w:r>
          </w:p>
        </w:tc>
      </w:tr>
      <w:tr w14:paraId="721B8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14EAAD0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4E3A660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6608" w:type="dxa"/>
            <w:noWrap w:val="0"/>
            <w:vAlign w:val="center"/>
          </w:tcPr>
          <w:p w14:paraId="517BBAD3">
            <w:pPr>
              <w:pStyle w:val="35"/>
              <w:keepNext w:val="0"/>
              <w:keepLines w:val="0"/>
              <w:pageBreakBefore w:val="0"/>
              <w:kinsoku/>
              <w:wordWrap/>
              <w:overflowPunct/>
              <w:topLinePunct w:val="0"/>
              <w:autoSpaceDE/>
              <w:autoSpaceDN/>
              <w:bidi w:val="0"/>
              <w:spacing w:line="240" w:lineRule="auto"/>
              <w:ind w:firstLine="0" w:firstLineChars="0"/>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第十七条 禁止违法利用、占用长江流域河湖岸线。禁止《长江岸线保护和开发利用总体规划》划定的岸线保护区和岸线保留区内投资建设除公共安全及公众利益的防洪护岸、河道治理、供水、生态环境保护、航道整治、国家重要基础设施以外的项目。</w:t>
            </w:r>
          </w:p>
        </w:tc>
        <w:tc>
          <w:tcPr>
            <w:tcW w:w="4069" w:type="dxa"/>
            <w:noWrap w:val="0"/>
            <w:vAlign w:val="center"/>
          </w:tcPr>
          <w:p w14:paraId="2F51DCC0">
            <w:pPr>
              <w:pStyle w:val="35"/>
              <w:keepNext w:val="0"/>
              <w:keepLines w:val="0"/>
              <w:pageBreakBefore w:val="0"/>
              <w:kinsoku/>
              <w:wordWrap/>
              <w:overflowPunct/>
              <w:topLinePunct w:val="0"/>
              <w:autoSpaceDE/>
              <w:autoSpaceDN/>
              <w:bidi w:val="0"/>
              <w:spacing w:line="240" w:lineRule="auto"/>
              <w:ind w:firstLine="0" w:firstLineChars="0"/>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本项目位于合川工业园区南溪组团</w:t>
            </w:r>
            <w:r>
              <w:rPr>
                <w:rFonts w:hint="eastAsia"/>
                <w:color w:val="auto"/>
                <w:sz w:val="22"/>
                <w:szCs w:val="22"/>
                <w:lang w:val="en-US" w:eastAsia="zh-CN"/>
              </w:rPr>
              <w:t>B区</w:t>
            </w:r>
            <w:r>
              <w:rPr>
                <w:rFonts w:hint="eastAsia" w:ascii="Times New Roman" w:hAnsi="Times New Roman" w:eastAsia="宋体"/>
                <w:color w:val="auto"/>
                <w:sz w:val="22"/>
                <w:szCs w:val="22"/>
              </w:rPr>
              <w:t>，距离嘉陵江</w:t>
            </w:r>
            <w:r>
              <w:rPr>
                <w:rFonts w:hint="eastAsia"/>
                <w:color w:val="auto"/>
                <w:sz w:val="22"/>
                <w:szCs w:val="22"/>
                <w:lang w:val="en-US" w:eastAsia="zh-CN"/>
              </w:rPr>
              <w:t>4.0</w:t>
            </w:r>
            <w:r>
              <w:rPr>
                <w:rFonts w:hint="eastAsia" w:ascii="Times New Roman" w:hAnsi="Times New Roman" w:eastAsia="宋体"/>
                <w:color w:val="auto"/>
                <w:sz w:val="22"/>
                <w:szCs w:val="22"/>
              </w:rPr>
              <w:t>公里，未占用长江流域河湖岸线</w:t>
            </w:r>
          </w:p>
        </w:tc>
        <w:tc>
          <w:tcPr>
            <w:tcW w:w="952" w:type="dxa"/>
            <w:noWrap w:val="0"/>
            <w:vAlign w:val="center"/>
          </w:tcPr>
          <w:p w14:paraId="1328B16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符合</w:t>
            </w:r>
          </w:p>
        </w:tc>
      </w:tr>
      <w:tr w14:paraId="72906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restart"/>
            <w:noWrap w:val="0"/>
            <w:vAlign w:val="center"/>
          </w:tcPr>
          <w:p w14:paraId="385449D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hint="eastAsia" w:ascii="Times New Roman" w:hAnsi="Times New Roman" w:eastAsia="宋体"/>
                <w:color w:val="auto"/>
                <w:kern w:val="0"/>
                <w:sz w:val="22"/>
                <w:szCs w:val="22"/>
              </w:rPr>
              <w:t>合川区工业城镇重点管控单元</w:t>
            </w:r>
            <w:r>
              <w:rPr>
                <w:rFonts w:hint="eastAsia" w:ascii="Times New Roman" w:hAnsi="Times New Roman" w:eastAsia="宋体"/>
                <w:color w:val="auto"/>
                <w:kern w:val="0"/>
                <w:sz w:val="22"/>
                <w:szCs w:val="22"/>
                <w:lang w:eastAsia="zh-CN"/>
              </w:rPr>
              <w:t>—</w:t>
            </w:r>
            <w:r>
              <w:rPr>
                <w:rFonts w:hint="eastAsia" w:ascii="Times New Roman" w:hAnsi="Times New Roman" w:eastAsia="宋体"/>
                <w:color w:val="auto"/>
                <w:kern w:val="0"/>
                <w:sz w:val="22"/>
                <w:szCs w:val="22"/>
              </w:rPr>
              <w:t>网络安全产业城片区</w:t>
            </w:r>
          </w:p>
        </w:tc>
        <w:tc>
          <w:tcPr>
            <w:tcW w:w="1199" w:type="dxa"/>
            <w:noWrap w:val="0"/>
            <w:vAlign w:val="center"/>
          </w:tcPr>
          <w:p w14:paraId="0C6F5034">
            <w:pPr>
              <w:pStyle w:val="35"/>
              <w:keepNext w:val="0"/>
              <w:keepLines w:val="0"/>
              <w:pageBreakBefore w:val="0"/>
              <w:kinsoku/>
              <w:wordWrap/>
              <w:overflowPunct/>
              <w:topLinePunct w:val="0"/>
              <w:autoSpaceDE/>
              <w:autoSpaceDN/>
              <w:bidi w:val="0"/>
              <w:spacing w:line="240" w:lineRule="auto"/>
              <w:ind w:firstLine="0" w:firstLineChars="0"/>
              <w:textAlignment w:val="auto"/>
              <w:rPr>
                <w:rFonts w:ascii="Times New Roman" w:hAnsi="Times New Roman" w:eastAsia="宋体"/>
                <w:color w:val="auto"/>
                <w:sz w:val="22"/>
                <w:szCs w:val="22"/>
              </w:rPr>
            </w:pPr>
            <w:r>
              <w:rPr>
                <w:rFonts w:ascii="Times New Roman" w:hAnsi="Times New Roman" w:eastAsia="宋体"/>
                <w:color w:val="auto"/>
                <w:sz w:val="22"/>
                <w:szCs w:val="22"/>
              </w:rPr>
              <w:t>空间布局约束</w:t>
            </w:r>
          </w:p>
        </w:tc>
        <w:tc>
          <w:tcPr>
            <w:tcW w:w="6608" w:type="dxa"/>
            <w:noWrap w:val="0"/>
            <w:vAlign w:val="center"/>
          </w:tcPr>
          <w:p w14:paraId="52309314">
            <w:pPr>
              <w:pStyle w:val="35"/>
              <w:keepNext w:val="0"/>
              <w:keepLines w:val="0"/>
              <w:pageBreakBefore w:val="0"/>
              <w:kinsoku/>
              <w:wordWrap/>
              <w:overflowPunct/>
              <w:topLinePunct w:val="0"/>
              <w:autoSpaceDE/>
              <w:autoSpaceDN/>
              <w:bidi w:val="0"/>
              <w:spacing w:line="240" w:lineRule="auto"/>
              <w:ind w:firstLine="0" w:firstLineChars="0"/>
              <w:textAlignment w:val="auto"/>
              <w:rPr>
                <w:rFonts w:ascii="Times New Roman" w:hAnsi="Times New Roman" w:eastAsia="宋体"/>
                <w:color w:val="auto"/>
                <w:sz w:val="22"/>
                <w:szCs w:val="22"/>
                <w:lang w:val="zh-CN"/>
              </w:rPr>
            </w:pPr>
            <w:r>
              <w:rPr>
                <w:rFonts w:hint="eastAsia" w:ascii="Times New Roman" w:hAnsi="Times New Roman" w:eastAsia="宋体"/>
                <w:color w:val="auto"/>
                <w:sz w:val="22"/>
                <w:szCs w:val="22"/>
                <w:lang w:val="zh-CN"/>
              </w:rPr>
              <w:t>规划工业用地与周边生活区控制20</w:t>
            </w:r>
            <w:r>
              <w:rPr>
                <w:rFonts w:hint="eastAsia"/>
                <w:color w:val="auto"/>
                <w:sz w:val="22"/>
                <w:szCs w:val="22"/>
                <w:lang w:val="zh-CN"/>
              </w:rPr>
              <w:t>—</w:t>
            </w:r>
            <w:r>
              <w:rPr>
                <w:rFonts w:hint="eastAsia" w:ascii="Times New Roman" w:hAnsi="Times New Roman" w:eastAsia="宋体"/>
                <w:color w:val="auto"/>
                <w:sz w:val="22"/>
                <w:szCs w:val="22"/>
                <w:lang w:val="zh-CN"/>
              </w:rPr>
              <w:t>50米宽的防护绿带，防护绿带具体宽度应根据实际使用用途，按照国家相关标准确定。</w:t>
            </w:r>
          </w:p>
        </w:tc>
        <w:tc>
          <w:tcPr>
            <w:tcW w:w="4069" w:type="dxa"/>
            <w:noWrap w:val="0"/>
            <w:vAlign w:val="center"/>
          </w:tcPr>
          <w:p w14:paraId="313DBC90">
            <w:pPr>
              <w:pStyle w:val="3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olor w:val="auto"/>
                <w:sz w:val="22"/>
                <w:szCs w:val="22"/>
                <w:lang w:val="en-US" w:eastAsia="zh-CN"/>
              </w:rPr>
            </w:pPr>
            <w:r>
              <w:rPr>
                <w:rFonts w:hint="eastAsia" w:ascii="Times New Roman" w:hAnsi="Times New Roman" w:eastAsia="宋体"/>
                <w:color w:val="auto"/>
                <w:sz w:val="22"/>
                <w:szCs w:val="22"/>
                <w:lang w:val="en-US" w:eastAsia="zh-CN"/>
              </w:rPr>
              <w:t>本项目位于重庆市合川区草街街道农创路205号，租赁</w:t>
            </w:r>
            <w:r>
              <w:rPr>
                <w:rFonts w:hint="eastAsia"/>
                <w:color w:val="auto"/>
                <w:sz w:val="22"/>
                <w:szCs w:val="22"/>
              </w:rPr>
              <w:t>博盟汽车科技</w:t>
            </w:r>
            <w:r>
              <w:rPr>
                <w:rFonts w:hint="eastAsia"/>
                <w:color w:val="auto"/>
                <w:sz w:val="22"/>
                <w:szCs w:val="22"/>
                <w:lang w:eastAsia="zh-CN"/>
              </w:rPr>
              <w:t>（</w:t>
            </w:r>
            <w:r>
              <w:rPr>
                <w:rFonts w:hint="eastAsia"/>
                <w:color w:val="auto"/>
                <w:sz w:val="22"/>
                <w:szCs w:val="22"/>
              </w:rPr>
              <w:t>重庆</w:t>
            </w:r>
            <w:r>
              <w:rPr>
                <w:rFonts w:hint="eastAsia"/>
                <w:color w:val="auto"/>
                <w:sz w:val="22"/>
                <w:szCs w:val="22"/>
                <w:lang w:eastAsia="zh-CN"/>
              </w:rPr>
              <w:t>）</w:t>
            </w:r>
            <w:r>
              <w:rPr>
                <w:rFonts w:hint="eastAsia"/>
                <w:color w:val="auto"/>
                <w:sz w:val="22"/>
                <w:szCs w:val="22"/>
              </w:rPr>
              <w:t>有限公司</w:t>
            </w:r>
            <w:r>
              <w:rPr>
                <w:rFonts w:hint="eastAsia"/>
                <w:color w:val="auto"/>
                <w:sz w:val="22"/>
                <w:szCs w:val="22"/>
                <w:lang w:val="en-US" w:eastAsia="zh-CN"/>
              </w:rPr>
              <w:t>新建</w:t>
            </w:r>
            <w:r>
              <w:rPr>
                <w:rFonts w:hint="eastAsia"/>
                <w:color w:val="auto"/>
                <w:sz w:val="22"/>
                <w:szCs w:val="22"/>
              </w:rPr>
              <w:t>3号厂房</w:t>
            </w:r>
            <w:r>
              <w:rPr>
                <w:rFonts w:hint="eastAsia"/>
                <w:color w:val="auto"/>
                <w:sz w:val="22"/>
                <w:szCs w:val="22"/>
                <w:lang w:eastAsia="zh-CN"/>
              </w:rPr>
              <w:t>，</w:t>
            </w:r>
            <w:r>
              <w:rPr>
                <w:rFonts w:hint="eastAsia" w:ascii="Times New Roman" w:hAnsi="Times New Roman" w:eastAsia="宋体"/>
                <w:color w:val="auto"/>
                <w:sz w:val="22"/>
                <w:szCs w:val="22"/>
                <w:lang w:val="en-US" w:eastAsia="zh-CN"/>
              </w:rPr>
              <w:t>本项目地块为工业用地，本项目租赁区域厂界</w:t>
            </w:r>
            <w:r>
              <w:rPr>
                <w:rFonts w:hint="eastAsia"/>
                <w:color w:val="auto"/>
                <w:sz w:val="22"/>
                <w:szCs w:val="22"/>
                <w:lang w:val="en-US" w:eastAsia="zh-CN"/>
              </w:rPr>
              <w:t>距离最近的散居农户为</w:t>
            </w:r>
            <w:r>
              <w:rPr>
                <w:rFonts w:hint="eastAsia" w:ascii="Times New Roman" w:hAnsi="Times New Roman" w:eastAsia="宋体"/>
                <w:color w:val="auto"/>
                <w:sz w:val="22"/>
                <w:szCs w:val="22"/>
                <w:lang w:val="en-US" w:eastAsia="zh-CN"/>
              </w:rPr>
              <w:t>1</w:t>
            </w:r>
            <w:r>
              <w:rPr>
                <w:rFonts w:hint="eastAsia"/>
                <w:color w:val="auto"/>
                <w:sz w:val="22"/>
                <w:szCs w:val="22"/>
                <w:lang w:val="en-US" w:eastAsia="zh-CN"/>
              </w:rPr>
              <w:t>2</w:t>
            </w:r>
            <w:r>
              <w:rPr>
                <w:rFonts w:hint="eastAsia" w:ascii="Times New Roman" w:hAnsi="Times New Roman" w:eastAsia="宋体"/>
                <w:color w:val="auto"/>
                <w:sz w:val="22"/>
                <w:szCs w:val="22"/>
                <w:lang w:val="en-US" w:eastAsia="zh-CN"/>
              </w:rPr>
              <w:t>0m。</w:t>
            </w:r>
          </w:p>
        </w:tc>
        <w:tc>
          <w:tcPr>
            <w:tcW w:w="952" w:type="dxa"/>
            <w:noWrap w:val="0"/>
            <w:vAlign w:val="center"/>
          </w:tcPr>
          <w:p w14:paraId="5BE0859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符合</w:t>
            </w:r>
          </w:p>
        </w:tc>
      </w:tr>
      <w:tr w14:paraId="4E98D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16EBA65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restart"/>
            <w:noWrap w:val="0"/>
            <w:vAlign w:val="center"/>
          </w:tcPr>
          <w:p w14:paraId="40D19C3F">
            <w:pPr>
              <w:pStyle w:val="35"/>
              <w:keepNext w:val="0"/>
              <w:keepLines w:val="0"/>
              <w:pageBreakBefore w:val="0"/>
              <w:kinsoku/>
              <w:wordWrap/>
              <w:overflowPunct/>
              <w:topLinePunct w:val="0"/>
              <w:autoSpaceDE/>
              <w:autoSpaceDN/>
              <w:bidi w:val="0"/>
              <w:spacing w:line="240" w:lineRule="auto"/>
              <w:ind w:firstLine="0" w:firstLineChars="0"/>
              <w:textAlignment w:val="auto"/>
              <w:rPr>
                <w:rFonts w:ascii="Times New Roman" w:hAnsi="Times New Roman" w:eastAsia="宋体"/>
                <w:color w:val="auto"/>
                <w:sz w:val="22"/>
                <w:szCs w:val="22"/>
              </w:rPr>
            </w:pPr>
            <w:r>
              <w:rPr>
                <w:rFonts w:ascii="Times New Roman" w:hAnsi="Times New Roman" w:eastAsia="宋体"/>
                <w:color w:val="auto"/>
                <w:sz w:val="22"/>
                <w:szCs w:val="22"/>
              </w:rPr>
              <w:t>污染物排放管控</w:t>
            </w:r>
          </w:p>
        </w:tc>
        <w:tc>
          <w:tcPr>
            <w:tcW w:w="6608" w:type="dxa"/>
            <w:noWrap w:val="0"/>
            <w:vAlign w:val="center"/>
          </w:tcPr>
          <w:p w14:paraId="19593252">
            <w:pPr>
              <w:pStyle w:val="35"/>
              <w:keepNext w:val="0"/>
              <w:keepLines w:val="0"/>
              <w:pageBreakBefore w:val="0"/>
              <w:kinsoku/>
              <w:wordWrap/>
              <w:overflowPunct/>
              <w:topLinePunct w:val="0"/>
              <w:autoSpaceDE/>
              <w:autoSpaceDN/>
              <w:bidi w:val="0"/>
              <w:spacing w:line="240" w:lineRule="auto"/>
              <w:ind w:firstLine="0" w:firstLineChars="0"/>
              <w:textAlignment w:val="auto"/>
              <w:rPr>
                <w:rFonts w:ascii="Times New Roman" w:hAnsi="Times New Roman" w:eastAsia="宋体"/>
                <w:color w:val="auto"/>
                <w:sz w:val="22"/>
                <w:szCs w:val="22"/>
                <w:lang w:val="zh-CN"/>
              </w:rPr>
            </w:pPr>
            <w:r>
              <w:rPr>
                <w:rFonts w:hint="eastAsia" w:ascii="Times New Roman" w:hAnsi="Times New Roman" w:eastAsia="宋体"/>
                <w:color w:val="auto"/>
                <w:sz w:val="22"/>
                <w:szCs w:val="22"/>
                <w:lang w:val="zh-CN"/>
              </w:rPr>
              <w:t>加强重金属</w:t>
            </w:r>
            <w:r>
              <w:rPr>
                <w:rFonts w:hint="eastAsia"/>
                <w:color w:val="auto"/>
                <w:sz w:val="22"/>
                <w:szCs w:val="22"/>
                <w:lang w:val="zh-CN"/>
              </w:rPr>
              <w:t>（</w:t>
            </w:r>
            <w:r>
              <w:rPr>
                <w:rFonts w:hint="eastAsia" w:ascii="Times New Roman" w:hAnsi="Times New Roman" w:eastAsia="宋体"/>
                <w:color w:val="auto"/>
                <w:sz w:val="22"/>
                <w:szCs w:val="22"/>
                <w:lang w:val="zh-CN"/>
              </w:rPr>
              <w:t>铅、汞、镉、铬、砷</w:t>
            </w:r>
            <w:r>
              <w:rPr>
                <w:rFonts w:hint="eastAsia"/>
                <w:color w:val="auto"/>
                <w:sz w:val="22"/>
                <w:szCs w:val="22"/>
                <w:lang w:val="zh-CN"/>
              </w:rPr>
              <w:t>）</w:t>
            </w:r>
            <w:r>
              <w:rPr>
                <w:rFonts w:hint="eastAsia" w:ascii="Times New Roman" w:hAnsi="Times New Roman" w:eastAsia="宋体"/>
                <w:color w:val="auto"/>
                <w:sz w:val="22"/>
                <w:szCs w:val="22"/>
                <w:lang w:val="zh-CN"/>
              </w:rPr>
              <w:t>排放总量控制，坚持新、改、扩建涉重点重金属项目遵循重点重金属污染物排放“等量替换”原则</w:t>
            </w:r>
          </w:p>
        </w:tc>
        <w:tc>
          <w:tcPr>
            <w:tcW w:w="4069" w:type="dxa"/>
            <w:noWrap w:val="0"/>
            <w:vAlign w:val="center"/>
          </w:tcPr>
          <w:p w14:paraId="7CBAC871">
            <w:pPr>
              <w:pStyle w:val="3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olor w:val="auto"/>
                <w:sz w:val="22"/>
                <w:szCs w:val="22"/>
                <w:lang w:val="en-US" w:eastAsia="zh-CN"/>
              </w:rPr>
            </w:pPr>
            <w:r>
              <w:rPr>
                <w:rFonts w:hint="eastAsia" w:ascii="Times New Roman" w:hAnsi="Times New Roman" w:eastAsia="宋体"/>
                <w:color w:val="auto"/>
                <w:sz w:val="22"/>
                <w:szCs w:val="22"/>
                <w:lang w:val="en-US" w:eastAsia="zh-CN"/>
              </w:rPr>
              <w:t>本项目为车用隔热保温材料生产项目，不涉及重金属的排放。</w:t>
            </w:r>
          </w:p>
        </w:tc>
        <w:tc>
          <w:tcPr>
            <w:tcW w:w="952" w:type="dxa"/>
            <w:noWrap w:val="0"/>
            <w:vAlign w:val="center"/>
          </w:tcPr>
          <w:p w14:paraId="3ECA741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ascii="Times New Roman" w:hAnsi="Times New Roman" w:eastAsia="宋体"/>
                <w:color w:val="auto"/>
                <w:sz w:val="22"/>
                <w:szCs w:val="22"/>
              </w:rPr>
              <w:t>符合</w:t>
            </w:r>
          </w:p>
        </w:tc>
      </w:tr>
      <w:tr w14:paraId="11C37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226BC83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4DEAC3EA">
            <w:pPr>
              <w:pStyle w:val="35"/>
              <w:keepNext w:val="0"/>
              <w:keepLines w:val="0"/>
              <w:pageBreakBefore w:val="0"/>
              <w:kinsoku/>
              <w:wordWrap/>
              <w:overflowPunct/>
              <w:topLinePunct w:val="0"/>
              <w:autoSpaceDE/>
              <w:autoSpaceDN/>
              <w:bidi w:val="0"/>
              <w:spacing w:line="240" w:lineRule="auto"/>
              <w:ind w:firstLine="0" w:firstLineChars="0"/>
              <w:textAlignment w:val="auto"/>
              <w:rPr>
                <w:rFonts w:ascii="Times New Roman" w:hAnsi="Times New Roman" w:eastAsia="宋体"/>
                <w:color w:val="auto"/>
                <w:sz w:val="22"/>
                <w:szCs w:val="22"/>
              </w:rPr>
            </w:pPr>
          </w:p>
        </w:tc>
        <w:tc>
          <w:tcPr>
            <w:tcW w:w="6608" w:type="dxa"/>
            <w:noWrap w:val="0"/>
            <w:vAlign w:val="center"/>
          </w:tcPr>
          <w:p w14:paraId="3CC403A6">
            <w:pPr>
              <w:pStyle w:val="35"/>
              <w:keepNext w:val="0"/>
              <w:keepLines w:val="0"/>
              <w:pageBreakBefore w:val="0"/>
              <w:kinsoku/>
              <w:wordWrap/>
              <w:overflowPunct/>
              <w:topLinePunct w:val="0"/>
              <w:autoSpaceDE/>
              <w:autoSpaceDN/>
              <w:bidi w:val="0"/>
              <w:spacing w:line="240" w:lineRule="auto"/>
              <w:ind w:firstLine="0" w:firstLineChars="0"/>
              <w:textAlignment w:val="auto"/>
              <w:rPr>
                <w:rFonts w:ascii="Times New Roman" w:hAnsi="Times New Roman" w:eastAsia="宋体"/>
                <w:color w:val="auto"/>
                <w:sz w:val="22"/>
                <w:szCs w:val="22"/>
                <w:lang w:val="zh-CN"/>
              </w:rPr>
            </w:pPr>
            <w:r>
              <w:rPr>
                <w:rFonts w:hint="eastAsia" w:ascii="Times New Roman" w:hAnsi="Times New Roman" w:eastAsia="宋体"/>
                <w:color w:val="auto"/>
                <w:sz w:val="22"/>
                <w:szCs w:val="22"/>
                <w:lang w:val="zh-CN"/>
              </w:rPr>
              <w:t>园区内排放工业废水的企业应当采取有效措施，收集和处理产生的全部废水，防止污染环境。含有毒有害水污染物的工业废水应当分类收集和处理，不得稀释排放。</w:t>
            </w:r>
          </w:p>
        </w:tc>
        <w:tc>
          <w:tcPr>
            <w:tcW w:w="4069" w:type="dxa"/>
            <w:noWrap w:val="0"/>
            <w:vAlign w:val="center"/>
          </w:tcPr>
          <w:p w14:paraId="5E941454">
            <w:pPr>
              <w:pStyle w:val="3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olor w:val="auto"/>
                <w:sz w:val="22"/>
                <w:szCs w:val="22"/>
                <w:lang w:val="en-US" w:eastAsia="zh-CN"/>
              </w:rPr>
            </w:pPr>
            <w:r>
              <w:rPr>
                <w:rFonts w:hint="eastAsia" w:ascii="Times New Roman" w:hAnsi="Times New Roman" w:eastAsia="宋体"/>
                <w:color w:val="auto"/>
                <w:sz w:val="22"/>
                <w:szCs w:val="22"/>
                <w:lang w:val="en-US" w:eastAsia="zh-CN"/>
              </w:rPr>
              <w:t>本项目不涉及工业废水的排放。</w:t>
            </w:r>
          </w:p>
        </w:tc>
        <w:tc>
          <w:tcPr>
            <w:tcW w:w="952" w:type="dxa"/>
            <w:noWrap w:val="0"/>
            <w:vAlign w:val="center"/>
          </w:tcPr>
          <w:p w14:paraId="4BC9755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符合</w:t>
            </w:r>
          </w:p>
        </w:tc>
      </w:tr>
      <w:tr w14:paraId="6B51F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2EF89C7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vMerge w:val="continue"/>
            <w:noWrap w:val="0"/>
            <w:vAlign w:val="center"/>
          </w:tcPr>
          <w:p w14:paraId="6A608D4B">
            <w:pPr>
              <w:pStyle w:val="35"/>
              <w:keepNext w:val="0"/>
              <w:keepLines w:val="0"/>
              <w:pageBreakBefore w:val="0"/>
              <w:kinsoku/>
              <w:wordWrap/>
              <w:overflowPunct/>
              <w:topLinePunct w:val="0"/>
              <w:autoSpaceDE/>
              <w:autoSpaceDN/>
              <w:bidi w:val="0"/>
              <w:spacing w:line="240" w:lineRule="auto"/>
              <w:ind w:firstLine="0" w:firstLineChars="0"/>
              <w:textAlignment w:val="auto"/>
              <w:rPr>
                <w:rFonts w:ascii="Times New Roman" w:hAnsi="Times New Roman" w:eastAsia="宋体"/>
                <w:color w:val="auto"/>
                <w:sz w:val="22"/>
                <w:szCs w:val="22"/>
              </w:rPr>
            </w:pPr>
          </w:p>
        </w:tc>
        <w:tc>
          <w:tcPr>
            <w:tcW w:w="6608" w:type="dxa"/>
            <w:noWrap w:val="0"/>
            <w:vAlign w:val="center"/>
          </w:tcPr>
          <w:p w14:paraId="3D47F71C">
            <w:pPr>
              <w:pStyle w:val="35"/>
              <w:keepNext w:val="0"/>
              <w:keepLines w:val="0"/>
              <w:pageBreakBefore w:val="0"/>
              <w:kinsoku/>
              <w:wordWrap/>
              <w:overflowPunct/>
              <w:topLinePunct w:val="0"/>
              <w:autoSpaceDE/>
              <w:autoSpaceDN/>
              <w:bidi w:val="0"/>
              <w:spacing w:line="240" w:lineRule="auto"/>
              <w:ind w:firstLine="0" w:firstLineChars="0"/>
              <w:textAlignment w:val="auto"/>
              <w:rPr>
                <w:rFonts w:hint="eastAsia" w:ascii="Times New Roman" w:hAnsi="Times New Roman" w:eastAsia="宋体"/>
                <w:color w:val="auto"/>
                <w:sz w:val="22"/>
                <w:szCs w:val="22"/>
                <w:lang w:val="zh-CN"/>
              </w:rPr>
            </w:pPr>
            <w:r>
              <w:rPr>
                <w:rFonts w:hint="eastAsia" w:ascii="Times New Roman" w:hAnsi="Times New Roman" w:eastAsia="宋体"/>
                <w:color w:val="auto"/>
                <w:sz w:val="22"/>
                <w:szCs w:val="22"/>
                <w:lang w:val="zh-CN"/>
              </w:rPr>
              <w:t>新建排水管网按雨、污分流建设，新建污水处理设施的配套管网应同步设计、同步建设、同步投运。</w:t>
            </w:r>
          </w:p>
        </w:tc>
        <w:tc>
          <w:tcPr>
            <w:tcW w:w="4069" w:type="dxa"/>
            <w:noWrap w:val="0"/>
            <w:vAlign w:val="center"/>
          </w:tcPr>
          <w:p w14:paraId="468BB9CB">
            <w:pPr>
              <w:pStyle w:val="3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olor w:val="auto"/>
                <w:sz w:val="22"/>
                <w:szCs w:val="22"/>
                <w:lang w:val="en-US" w:eastAsia="zh-CN"/>
              </w:rPr>
            </w:pPr>
            <w:r>
              <w:rPr>
                <w:rFonts w:hint="eastAsia" w:ascii="Times New Roman" w:hAnsi="Times New Roman" w:eastAsia="宋体"/>
                <w:color w:val="auto"/>
                <w:sz w:val="22"/>
                <w:szCs w:val="22"/>
                <w:lang w:val="en-US" w:eastAsia="zh-CN"/>
              </w:rPr>
              <w:t>本项目租赁现有厂房进行装修和设备安装，排水管网依托</w:t>
            </w:r>
            <w:r>
              <w:rPr>
                <w:rFonts w:hint="eastAsia"/>
                <w:color w:val="auto"/>
                <w:sz w:val="22"/>
                <w:szCs w:val="22"/>
              </w:rPr>
              <w:t>博盟汽车科技</w:t>
            </w:r>
            <w:r>
              <w:rPr>
                <w:rFonts w:hint="eastAsia"/>
                <w:color w:val="auto"/>
                <w:sz w:val="22"/>
                <w:szCs w:val="22"/>
                <w:lang w:eastAsia="zh-CN"/>
              </w:rPr>
              <w:t>（</w:t>
            </w:r>
            <w:r>
              <w:rPr>
                <w:rFonts w:hint="eastAsia"/>
                <w:color w:val="auto"/>
                <w:sz w:val="22"/>
                <w:szCs w:val="22"/>
              </w:rPr>
              <w:t>重庆</w:t>
            </w:r>
            <w:r>
              <w:rPr>
                <w:rFonts w:hint="eastAsia"/>
                <w:color w:val="auto"/>
                <w:sz w:val="22"/>
                <w:szCs w:val="22"/>
                <w:lang w:eastAsia="zh-CN"/>
              </w:rPr>
              <w:t>）</w:t>
            </w:r>
            <w:r>
              <w:rPr>
                <w:rFonts w:hint="eastAsia"/>
                <w:color w:val="auto"/>
                <w:sz w:val="22"/>
                <w:szCs w:val="22"/>
              </w:rPr>
              <w:t>有限公司</w:t>
            </w:r>
            <w:r>
              <w:rPr>
                <w:rFonts w:hint="eastAsia"/>
                <w:color w:val="auto"/>
                <w:sz w:val="22"/>
                <w:szCs w:val="22"/>
                <w:lang w:val="en-US" w:eastAsia="zh-CN"/>
              </w:rPr>
              <w:t>现有管网，已采取雨污分流建设。</w:t>
            </w:r>
          </w:p>
        </w:tc>
        <w:tc>
          <w:tcPr>
            <w:tcW w:w="952" w:type="dxa"/>
            <w:noWrap w:val="0"/>
            <w:vAlign w:val="center"/>
          </w:tcPr>
          <w:p w14:paraId="3735823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r>
              <w:rPr>
                <w:rFonts w:hint="eastAsia" w:ascii="Times New Roman" w:hAnsi="Times New Roman" w:eastAsia="宋体"/>
                <w:color w:val="auto"/>
                <w:sz w:val="22"/>
                <w:szCs w:val="22"/>
              </w:rPr>
              <w:t>符合</w:t>
            </w:r>
          </w:p>
        </w:tc>
      </w:tr>
      <w:tr w14:paraId="64358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4EA0694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noWrap w:val="0"/>
            <w:vAlign w:val="center"/>
          </w:tcPr>
          <w:p w14:paraId="50F64959">
            <w:pPr>
              <w:pStyle w:val="35"/>
              <w:keepNext w:val="0"/>
              <w:keepLines w:val="0"/>
              <w:pageBreakBefore w:val="0"/>
              <w:kinsoku/>
              <w:wordWrap/>
              <w:overflowPunct/>
              <w:topLinePunct w:val="0"/>
              <w:autoSpaceDE/>
              <w:autoSpaceDN/>
              <w:bidi w:val="0"/>
              <w:spacing w:line="240" w:lineRule="auto"/>
              <w:ind w:firstLine="0" w:firstLineChars="0"/>
              <w:textAlignment w:val="auto"/>
              <w:rPr>
                <w:rFonts w:ascii="Times New Roman" w:hAnsi="Times New Roman" w:eastAsia="宋体"/>
                <w:color w:val="auto"/>
                <w:sz w:val="22"/>
                <w:szCs w:val="22"/>
              </w:rPr>
            </w:pPr>
            <w:r>
              <w:rPr>
                <w:rFonts w:ascii="Times New Roman" w:hAnsi="Times New Roman" w:eastAsia="宋体"/>
                <w:color w:val="auto"/>
                <w:sz w:val="22"/>
                <w:szCs w:val="22"/>
              </w:rPr>
              <w:t>环境风险防控</w:t>
            </w:r>
          </w:p>
        </w:tc>
        <w:tc>
          <w:tcPr>
            <w:tcW w:w="6608" w:type="dxa"/>
            <w:noWrap w:val="0"/>
            <w:vAlign w:val="center"/>
          </w:tcPr>
          <w:p w14:paraId="3A635105">
            <w:pPr>
              <w:pStyle w:val="35"/>
              <w:keepNext w:val="0"/>
              <w:keepLines w:val="0"/>
              <w:pageBreakBefore w:val="0"/>
              <w:kinsoku/>
              <w:wordWrap/>
              <w:overflowPunct/>
              <w:topLinePunct w:val="0"/>
              <w:autoSpaceDE/>
              <w:autoSpaceDN/>
              <w:bidi w:val="0"/>
              <w:spacing w:line="240" w:lineRule="auto"/>
              <w:ind w:firstLine="0" w:firstLineChars="0"/>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w:t>
            </w:r>
          </w:p>
        </w:tc>
        <w:tc>
          <w:tcPr>
            <w:tcW w:w="4069" w:type="dxa"/>
            <w:noWrap w:val="0"/>
            <w:vAlign w:val="center"/>
          </w:tcPr>
          <w:p w14:paraId="3F6E0305">
            <w:pPr>
              <w:pStyle w:val="35"/>
              <w:keepNext w:val="0"/>
              <w:keepLines w:val="0"/>
              <w:pageBreakBefore w:val="0"/>
              <w:kinsoku/>
              <w:wordWrap/>
              <w:overflowPunct/>
              <w:topLinePunct w:val="0"/>
              <w:autoSpaceDE/>
              <w:autoSpaceDN/>
              <w:bidi w:val="0"/>
              <w:spacing w:line="240" w:lineRule="auto"/>
              <w:ind w:firstLine="0" w:firstLineChars="0"/>
              <w:textAlignment w:val="auto"/>
              <w:rPr>
                <w:rFonts w:hint="eastAsia" w:ascii="Times New Roman" w:hAnsi="Times New Roman" w:eastAsia="宋体"/>
                <w:color w:val="auto"/>
                <w:sz w:val="22"/>
                <w:szCs w:val="22"/>
              </w:rPr>
            </w:pPr>
            <w:r>
              <w:rPr>
                <w:rFonts w:hint="eastAsia" w:ascii="Times New Roman" w:hAnsi="Times New Roman" w:eastAsia="宋体"/>
                <w:color w:val="auto"/>
                <w:sz w:val="22"/>
                <w:szCs w:val="22"/>
              </w:rPr>
              <w:t>/</w:t>
            </w:r>
          </w:p>
        </w:tc>
        <w:tc>
          <w:tcPr>
            <w:tcW w:w="952" w:type="dxa"/>
            <w:noWrap w:val="0"/>
            <w:vAlign w:val="center"/>
          </w:tcPr>
          <w:p w14:paraId="657663D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lang w:val="en-US" w:eastAsia="zh-CN"/>
              </w:rPr>
            </w:pPr>
            <w:r>
              <w:rPr>
                <w:rFonts w:hint="eastAsia" w:ascii="Times New Roman" w:hAnsi="Times New Roman" w:eastAsia="宋体"/>
                <w:color w:val="auto"/>
                <w:sz w:val="22"/>
                <w:szCs w:val="22"/>
                <w:lang w:val="en-US" w:eastAsia="zh-CN"/>
              </w:rPr>
              <w:t>/</w:t>
            </w:r>
          </w:p>
        </w:tc>
      </w:tr>
      <w:tr w14:paraId="4E254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2" w:type="dxa"/>
            <w:vMerge w:val="continue"/>
            <w:noWrap w:val="0"/>
            <w:vAlign w:val="center"/>
          </w:tcPr>
          <w:p w14:paraId="5DECF4F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2"/>
                <w:szCs w:val="22"/>
              </w:rPr>
            </w:pPr>
          </w:p>
        </w:tc>
        <w:tc>
          <w:tcPr>
            <w:tcW w:w="1199" w:type="dxa"/>
            <w:noWrap w:val="0"/>
            <w:vAlign w:val="center"/>
          </w:tcPr>
          <w:p w14:paraId="65247BFE">
            <w:pPr>
              <w:pStyle w:val="35"/>
              <w:keepNext w:val="0"/>
              <w:keepLines w:val="0"/>
              <w:pageBreakBefore w:val="0"/>
              <w:kinsoku/>
              <w:wordWrap/>
              <w:overflowPunct/>
              <w:topLinePunct w:val="0"/>
              <w:autoSpaceDE/>
              <w:autoSpaceDN/>
              <w:bidi w:val="0"/>
              <w:spacing w:line="240" w:lineRule="auto"/>
              <w:ind w:firstLine="0" w:firstLineChars="0"/>
              <w:textAlignment w:val="auto"/>
              <w:rPr>
                <w:rFonts w:ascii="Times New Roman" w:hAnsi="Times New Roman" w:eastAsia="宋体"/>
                <w:color w:val="auto"/>
                <w:sz w:val="22"/>
                <w:szCs w:val="22"/>
              </w:rPr>
            </w:pPr>
            <w:r>
              <w:rPr>
                <w:rFonts w:ascii="Times New Roman" w:hAnsi="Times New Roman" w:eastAsia="宋体"/>
                <w:color w:val="auto"/>
                <w:sz w:val="22"/>
                <w:szCs w:val="22"/>
              </w:rPr>
              <w:t>资源开发效率要求</w:t>
            </w:r>
          </w:p>
        </w:tc>
        <w:tc>
          <w:tcPr>
            <w:tcW w:w="6608" w:type="dxa"/>
            <w:noWrap w:val="0"/>
            <w:vAlign w:val="center"/>
          </w:tcPr>
          <w:p w14:paraId="29EE6B19">
            <w:pPr>
              <w:pStyle w:val="35"/>
              <w:keepNext w:val="0"/>
              <w:keepLines w:val="0"/>
              <w:pageBreakBefore w:val="0"/>
              <w:kinsoku/>
              <w:wordWrap/>
              <w:overflowPunct/>
              <w:topLinePunct w:val="0"/>
              <w:autoSpaceDE/>
              <w:autoSpaceDN/>
              <w:bidi w:val="0"/>
              <w:spacing w:line="240" w:lineRule="auto"/>
              <w:ind w:firstLine="0" w:firstLineChars="0"/>
              <w:textAlignment w:val="auto"/>
              <w:rPr>
                <w:rFonts w:hint="eastAsia" w:ascii="Times New Roman" w:hAnsi="Times New Roman" w:eastAsia="宋体"/>
                <w:color w:val="auto"/>
                <w:sz w:val="22"/>
                <w:szCs w:val="22"/>
                <w:lang w:val="en-US" w:eastAsia="zh-CN"/>
              </w:rPr>
            </w:pPr>
            <w:r>
              <w:rPr>
                <w:rFonts w:hint="eastAsia" w:ascii="Times New Roman" w:hAnsi="Times New Roman" w:eastAsia="宋体"/>
                <w:color w:val="auto"/>
                <w:sz w:val="22"/>
                <w:szCs w:val="22"/>
                <w:lang w:val="en-US" w:eastAsia="zh-CN"/>
              </w:rPr>
              <w:t>/</w:t>
            </w:r>
          </w:p>
        </w:tc>
        <w:tc>
          <w:tcPr>
            <w:tcW w:w="4069" w:type="dxa"/>
            <w:noWrap w:val="0"/>
            <w:vAlign w:val="center"/>
          </w:tcPr>
          <w:p w14:paraId="21AFD066">
            <w:pPr>
              <w:pStyle w:val="35"/>
              <w:keepNext w:val="0"/>
              <w:keepLines w:val="0"/>
              <w:pageBreakBefore w:val="0"/>
              <w:kinsoku/>
              <w:wordWrap/>
              <w:overflowPunct/>
              <w:topLinePunct w:val="0"/>
              <w:autoSpaceDE/>
              <w:autoSpaceDN/>
              <w:bidi w:val="0"/>
              <w:spacing w:line="240" w:lineRule="auto"/>
              <w:ind w:firstLine="0" w:firstLineChars="0"/>
              <w:textAlignment w:val="auto"/>
              <w:rPr>
                <w:rFonts w:hint="eastAsia" w:ascii="Times New Roman" w:hAnsi="Times New Roman" w:eastAsia="宋体"/>
                <w:color w:val="auto"/>
                <w:sz w:val="22"/>
                <w:szCs w:val="22"/>
                <w:lang w:val="en-US" w:eastAsia="zh-CN"/>
              </w:rPr>
            </w:pPr>
            <w:r>
              <w:rPr>
                <w:rFonts w:hint="eastAsia" w:ascii="Times New Roman" w:hAnsi="Times New Roman" w:eastAsia="宋体"/>
                <w:color w:val="auto"/>
                <w:sz w:val="22"/>
                <w:szCs w:val="22"/>
                <w:lang w:val="en-US" w:eastAsia="zh-CN"/>
              </w:rPr>
              <w:t>/</w:t>
            </w:r>
          </w:p>
        </w:tc>
        <w:tc>
          <w:tcPr>
            <w:tcW w:w="952" w:type="dxa"/>
            <w:noWrap w:val="0"/>
            <w:vAlign w:val="center"/>
          </w:tcPr>
          <w:p w14:paraId="09D43D6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2"/>
                <w:szCs w:val="22"/>
                <w:lang w:val="en-US" w:eastAsia="zh-CN"/>
              </w:rPr>
            </w:pPr>
            <w:r>
              <w:rPr>
                <w:rFonts w:hint="eastAsia" w:ascii="Times New Roman" w:hAnsi="Times New Roman" w:eastAsia="宋体"/>
                <w:color w:val="auto"/>
                <w:sz w:val="22"/>
                <w:szCs w:val="22"/>
                <w:lang w:val="en-US" w:eastAsia="zh-CN"/>
              </w:rPr>
              <w:t>/</w:t>
            </w:r>
          </w:p>
        </w:tc>
      </w:tr>
    </w:tbl>
    <w:p w14:paraId="2F4A2697">
      <w:pPr>
        <w:pageBreakBefore w:val="0"/>
        <w:widowControl w:val="0"/>
        <w:kinsoku/>
        <w:wordWrap/>
        <w:overflowPunct/>
        <w:topLinePunct w:val="0"/>
        <w:autoSpaceDE/>
        <w:autoSpaceDN/>
        <w:bidi w:val="0"/>
        <w:adjustRightInd w:val="0"/>
        <w:snapToGrid w:val="0"/>
        <w:spacing w:line="240" w:lineRule="auto"/>
        <w:ind w:left="0" w:leftChars="0"/>
        <w:rPr>
          <w:rFonts w:hint="default"/>
          <w:color w:val="auto"/>
          <w:sz w:val="26"/>
          <w:szCs w:val="26"/>
          <w:lang w:val="en-US" w:eastAsia="zh-CN"/>
        </w:rPr>
      </w:pPr>
    </w:p>
    <w:p w14:paraId="08FE4AC1">
      <w:pPr>
        <w:keepNext w:val="0"/>
        <w:keepLines w:val="0"/>
        <w:pageBreakBefore w:val="0"/>
        <w:widowControl w:val="0"/>
        <w:kinsoku/>
        <w:wordWrap/>
        <w:overflowPunct/>
        <w:topLinePunct w:val="0"/>
        <w:autoSpaceDE/>
        <w:autoSpaceDN/>
        <w:bidi w:val="0"/>
        <w:adjustRightInd w:val="0"/>
        <w:snapToGrid w:val="0"/>
        <w:spacing w:line="460" w:lineRule="exact"/>
        <w:ind w:left="0" w:leftChars="0"/>
        <w:textAlignment w:val="auto"/>
        <w:rPr>
          <w:rFonts w:hint="default"/>
          <w:color w:val="auto"/>
          <w:sz w:val="26"/>
          <w:szCs w:val="26"/>
          <w:lang w:val="en-US" w:eastAsia="zh-CN"/>
        </w:rPr>
      </w:pPr>
      <w:r>
        <w:rPr>
          <w:rFonts w:hint="default"/>
          <w:color w:val="auto"/>
          <w:sz w:val="26"/>
          <w:szCs w:val="26"/>
          <w:lang w:val="en-US" w:eastAsia="zh-CN"/>
        </w:rPr>
        <w:t>本项目属于污染影响类建设项目，位于信息安全产业城内，属于重点管控单元，不涉及生态保护红线，</w:t>
      </w:r>
      <w:r>
        <w:rPr>
          <w:rFonts w:hint="eastAsia"/>
          <w:color w:val="auto"/>
          <w:sz w:val="26"/>
          <w:szCs w:val="26"/>
          <w:lang w:val="en-US" w:eastAsia="zh-CN"/>
        </w:rPr>
        <w:t>根据以上符合性分析</w:t>
      </w:r>
      <w:r>
        <w:rPr>
          <w:rFonts w:hint="default"/>
          <w:color w:val="auto"/>
          <w:sz w:val="26"/>
          <w:szCs w:val="26"/>
          <w:lang w:val="en-US" w:eastAsia="zh-CN"/>
        </w:rPr>
        <w:t>，本项目符合</w:t>
      </w:r>
      <w:r>
        <w:rPr>
          <w:rFonts w:hint="eastAsia"/>
          <w:color w:val="auto"/>
          <w:sz w:val="26"/>
          <w:szCs w:val="26"/>
          <w:lang w:val="en-US" w:eastAsia="zh-CN"/>
        </w:rPr>
        <w:t>“</w:t>
      </w:r>
      <w:r>
        <w:rPr>
          <w:rFonts w:hint="default" w:ascii="Times New Roman" w:hAnsi="Times New Roman" w:eastAsia="宋体" w:cs="Times New Roman"/>
          <w:color w:val="auto"/>
          <w:sz w:val="26"/>
          <w:szCs w:val="26"/>
          <w:lang w:val="en-US" w:eastAsia="zh-CN"/>
        </w:rPr>
        <w:t>重庆市合川区人民政府关于印发《重庆市合川区“三线一单”生态环境分区管控调整方案</w:t>
      </w:r>
      <w:r>
        <w:rPr>
          <w:rFonts w:hint="eastAsia" w:cs="Times New Roman"/>
          <w:color w:val="auto"/>
          <w:sz w:val="26"/>
          <w:szCs w:val="26"/>
          <w:lang w:val="en-US" w:eastAsia="zh-CN"/>
        </w:rPr>
        <w:t>（</w:t>
      </w:r>
      <w:r>
        <w:rPr>
          <w:rFonts w:hint="default" w:ascii="Times New Roman" w:hAnsi="Times New Roman" w:eastAsia="宋体" w:cs="Times New Roman"/>
          <w:color w:val="auto"/>
          <w:sz w:val="26"/>
          <w:szCs w:val="26"/>
          <w:lang w:val="en-US" w:eastAsia="zh-CN"/>
        </w:rPr>
        <w:t>2023年</w:t>
      </w:r>
      <w:r>
        <w:rPr>
          <w:rFonts w:hint="eastAsia" w:cs="Times New Roman"/>
          <w:color w:val="auto"/>
          <w:sz w:val="26"/>
          <w:szCs w:val="26"/>
          <w:lang w:val="en-US" w:eastAsia="zh-CN"/>
        </w:rPr>
        <w:t>）</w:t>
      </w:r>
      <w:r>
        <w:rPr>
          <w:rFonts w:hint="default" w:ascii="Times New Roman" w:hAnsi="Times New Roman" w:eastAsia="宋体" w:cs="Times New Roman"/>
          <w:color w:val="auto"/>
          <w:sz w:val="26"/>
          <w:szCs w:val="26"/>
          <w:lang w:val="en-US" w:eastAsia="zh-CN"/>
        </w:rPr>
        <w:t>》的通知</w:t>
      </w:r>
      <w:r>
        <w:rPr>
          <w:rFonts w:hint="eastAsia" w:cs="Times New Roman"/>
          <w:color w:val="auto"/>
          <w:sz w:val="26"/>
          <w:szCs w:val="26"/>
          <w:lang w:val="en-US" w:eastAsia="zh-CN"/>
        </w:rPr>
        <w:t>”</w:t>
      </w:r>
      <w:r>
        <w:rPr>
          <w:rFonts w:hint="default"/>
          <w:color w:val="auto"/>
          <w:sz w:val="26"/>
          <w:szCs w:val="26"/>
          <w:lang w:val="en-US" w:eastAsia="zh-CN"/>
        </w:rPr>
        <w:t>（合川府发〔202</w:t>
      </w:r>
      <w:r>
        <w:rPr>
          <w:rFonts w:hint="eastAsia"/>
          <w:color w:val="auto"/>
          <w:sz w:val="26"/>
          <w:szCs w:val="26"/>
          <w:lang w:val="en-US" w:eastAsia="zh-CN"/>
        </w:rPr>
        <w:t>4</w:t>
      </w:r>
      <w:r>
        <w:rPr>
          <w:rFonts w:hint="default"/>
          <w:color w:val="auto"/>
          <w:sz w:val="26"/>
          <w:szCs w:val="26"/>
          <w:lang w:val="en-US" w:eastAsia="zh-CN"/>
        </w:rPr>
        <w:t>〕</w:t>
      </w:r>
      <w:r>
        <w:rPr>
          <w:rFonts w:hint="eastAsia"/>
          <w:color w:val="auto"/>
          <w:sz w:val="26"/>
          <w:szCs w:val="26"/>
          <w:lang w:val="en-US" w:eastAsia="zh-CN"/>
        </w:rPr>
        <w:t>8</w:t>
      </w:r>
      <w:r>
        <w:rPr>
          <w:rFonts w:hint="default"/>
          <w:color w:val="auto"/>
          <w:sz w:val="26"/>
          <w:szCs w:val="26"/>
          <w:lang w:val="en-US" w:eastAsia="zh-CN"/>
        </w:rPr>
        <w:t>号）的相关要求。</w:t>
      </w:r>
    </w:p>
    <w:p w14:paraId="6700CE0A">
      <w:pPr>
        <w:pStyle w:val="2"/>
        <w:keepNext/>
        <w:keepLines/>
        <w:widowControl w:val="0"/>
        <w:numPr>
          <w:ilvl w:val="0"/>
          <w:numId w:val="0"/>
        </w:numPr>
        <w:bidi w:val="0"/>
        <w:spacing w:beforeLines="0" w:beforeAutospacing="0" w:afterLines="0" w:afterAutospacing="0" w:line="520" w:lineRule="exact"/>
        <w:jc w:val="center"/>
        <w:outlineLvl w:val="0"/>
        <w:rPr>
          <w:rFonts w:hint="eastAsia"/>
          <w:color w:val="auto"/>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p>
    <w:p w14:paraId="71E066DA">
      <w:pPr>
        <w:pStyle w:val="2"/>
        <w:numPr>
          <w:ilvl w:val="0"/>
          <w:numId w:val="0"/>
        </w:numPr>
        <w:bidi w:val="0"/>
        <w:ind w:firstLine="0" w:firstLineChars="0"/>
        <w:rPr>
          <w:rFonts w:hint="eastAsia"/>
          <w:color w:val="auto"/>
          <w:lang w:val="en-US" w:eastAsia="zh-CN"/>
        </w:rPr>
      </w:pPr>
      <w:r>
        <w:rPr>
          <w:rFonts w:hint="eastAsia" w:ascii="Times New Roman" w:hAnsi="Times New Roman" w:eastAsia="黑体" w:cstheme="minorBidi"/>
          <w:color w:val="auto"/>
          <w:kern w:val="44"/>
          <w:sz w:val="30"/>
          <w:szCs w:val="24"/>
          <w:lang w:val="en-US" w:eastAsia="zh-CN" w:bidi="ar-SA"/>
        </w:rPr>
        <w:t>二、</w:t>
      </w:r>
      <w:r>
        <w:rPr>
          <w:rFonts w:hint="eastAsia"/>
          <w:color w:val="auto"/>
          <w:lang w:val="en-US" w:eastAsia="zh-CN"/>
        </w:rPr>
        <w:t>建设项目工程分析</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8123"/>
      </w:tblGrid>
      <w:tr w14:paraId="4835D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trPr>
        <w:tc>
          <w:tcPr>
            <w:tcW w:w="399" w:type="dxa"/>
            <w:vAlign w:val="center"/>
          </w:tcPr>
          <w:p w14:paraId="3284102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r>
              <w:rPr>
                <w:rFonts w:hint="eastAsia"/>
                <w:color w:val="auto"/>
                <w:sz w:val="26"/>
                <w:szCs w:val="26"/>
                <w:lang w:val="en-US" w:eastAsia="zh-CN"/>
              </w:rPr>
              <w:t>建设内容</w:t>
            </w:r>
          </w:p>
        </w:tc>
        <w:tc>
          <w:tcPr>
            <w:tcW w:w="8123" w:type="dxa"/>
            <w:vAlign w:val="top"/>
          </w:tcPr>
          <w:p w14:paraId="147033BC">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left"/>
              <w:textAlignment w:val="auto"/>
              <w:rPr>
                <w:rFonts w:hint="default" w:ascii="Times New Roman" w:hAnsi="Times New Roman" w:eastAsia="宋体" w:cs="Times New Roman"/>
                <w:color w:val="auto"/>
                <w:sz w:val="26"/>
                <w:szCs w:val="26"/>
              </w:rPr>
            </w:pPr>
            <w:r>
              <w:rPr>
                <w:rFonts w:hint="default" w:ascii="Times New Roman" w:hAnsi="Times New Roman" w:eastAsia="宋体" w:cs="Times New Roman"/>
                <w:b/>
                <w:bCs/>
                <w:color w:val="auto"/>
                <w:sz w:val="26"/>
                <w:szCs w:val="26"/>
                <w:lang w:val="en-US" w:eastAsia="zh-CN"/>
              </w:rPr>
              <w:t>2.1建设内容</w:t>
            </w:r>
          </w:p>
          <w:p w14:paraId="0CAEC1DA">
            <w:pPr>
              <w:pStyle w:val="4"/>
              <w:pageBreakBefore w:val="0"/>
              <w:widowControl w:val="0"/>
              <w:kinsoku/>
              <w:wordWrap/>
              <w:overflowPunct/>
              <w:topLinePunct w:val="0"/>
              <w:autoSpaceDE/>
              <w:autoSpaceDN/>
              <w:bidi w:val="0"/>
              <w:adjustRightInd w:val="0"/>
              <w:snapToGrid w:val="0"/>
              <w:spacing w:beforeLines="0" w:afterLines="0" w:line="460" w:lineRule="exact"/>
              <w:textAlignment w:val="auto"/>
              <w:rPr>
                <w:rFonts w:hint="eastAsia"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2.1.1项目由来</w:t>
            </w:r>
            <w:r>
              <w:rPr>
                <w:rFonts w:hint="eastAsia" w:cs="Times New Roman"/>
                <w:color w:val="auto"/>
                <w:sz w:val="26"/>
                <w:szCs w:val="26"/>
                <w:lang w:val="en-US" w:eastAsia="zh-CN"/>
              </w:rPr>
              <w:t>及概况</w:t>
            </w:r>
          </w:p>
          <w:p w14:paraId="4E64A4C4">
            <w:pPr>
              <w:rPr>
                <w:rFonts w:hint="default"/>
                <w:b/>
                <w:bCs/>
                <w:color w:val="auto"/>
                <w:lang w:val="en-US" w:eastAsia="zh-CN"/>
              </w:rPr>
            </w:pPr>
            <w:r>
              <w:rPr>
                <w:rFonts w:hint="eastAsia" w:cs="Times New Roman"/>
                <w:b/>
                <w:bCs/>
                <w:color w:val="auto"/>
                <w:sz w:val="26"/>
                <w:szCs w:val="26"/>
                <w:lang w:val="en-US" w:eastAsia="zh-CN"/>
              </w:rPr>
              <w:t>（1）项目由来</w:t>
            </w:r>
          </w:p>
          <w:p w14:paraId="2F846D7D">
            <w:pPr>
              <w:pageBreakBefore w:val="0"/>
              <w:widowControl w:val="0"/>
              <w:kinsoku/>
              <w:wordWrap/>
              <w:overflowPunct/>
              <w:topLinePunct w:val="0"/>
              <w:autoSpaceDE/>
              <w:autoSpaceDN/>
              <w:bidi w:val="0"/>
              <w:adjustRightInd w:val="0"/>
              <w:snapToGrid w:val="0"/>
              <w:spacing w:line="460" w:lineRule="exact"/>
              <w:rPr>
                <w:rFonts w:hint="eastAsia"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rPr>
              <w:t>重庆维纳轻科技发展有限公司</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以下简称“维纳轻”</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成立于2017年6月，主要生产和销售车用隔热保温材料。企业从远期规划，拟投资建设“</w:t>
            </w:r>
            <w:r>
              <w:rPr>
                <w:rFonts w:hint="default" w:ascii="Times New Roman" w:hAnsi="Times New Roman" w:eastAsia="宋体" w:cs="Times New Roman"/>
                <w:color w:val="auto"/>
                <w:sz w:val="26"/>
                <w:szCs w:val="26"/>
                <w:lang w:val="en-US" w:eastAsia="zh-CN"/>
              </w:rPr>
              <w:t>年产5000吨车用隔热保温材料生产线</w:t>
            </w:r>
            <w:r>
              <w:rPr>
                <w:rFonts w:hint="eastAsia" w:ascii="Times New Roman" w:hAnsi="Times New Roman" w:eastAsia="宋体" w:cs="Times New Roman"/>
                <w:color w:val="auto"/>
                <w:sz w:val="26"/>
                <w:szCs w:val="26"/>
                <w:lang w:val="en-US" w:eastAsia="zh-CN"/>
              </w:rPr>
              <w:t>”（以下简称“本项目”）。因此维纳轻</w:t>
            </w:r>
            <w:r>
              <w:rPr>
                <w:rFonts w:hint="default" w:ascii="Times New Roman" w:hAnsi="Times New Roman" w:eastAsia="宋体" w:cs="Times New Roman"/>
                <w:color w:val="auto"/>
                <w:sz w:val="26"/>
                <w:szCs w:val="26"/>
              </w:rPr>
              <w:t>租用博盟汽车科技</w:t>
            </w:r>
            <w:r>
              <w:rPr>
                <w:rFonts w:hint="eastAsia"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重庆</w:t>
            </w:r>
            <w:r>
              <w:rPr>
                <w:rFonts w:hint="eastAsia"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有限公司</w:t>
            </w:r>
            <w:r>
              <w:rPr>
                <w:rFonts w:hint="eastAsia" w:ascii="Times New Roman" w:hAnsi="Times New Roman" w:eastAsia="宋体" w:cs="Times New Roman"/>
                <w:color w:val="auto"/>
                <w:sz w:val="26"/>
                <w:szCs w:val="26"/>
                <w:lang w:val="en-US" w:eastAsia="zh-CN"/>
              </w:rPr>
              <w:t>新建</w:t>
            </w:r>
            <w:r>
              <w:rPr>
                <w:rFonts w:hint="eastAsia" w:cs="Times New Roman"/>
                <w:color w:val="auto"/>
                <w:sz w:val="26"/>
                <w:szCs w:val="26"/>
                <w:lang w:val="en-US" w:eastAsia="zh-CN"/>
              </w:rPr>
              <w:t>的</w:t>
            </w:r>
            <w:r>
              <w:rPr>
                <w:rFonts w:hint="default" w:ascii="Times New Roman" w:hAnsi="Times New Roman" w:eastAsia="宋体" w:cs="Times New Roman"/>
                <w:color w:val="auto"/>
                <w:sz w:val="26"/>
                <w:szCs w:val="26"/>
              </w:rPr>
              <w:t>3号</w:t>
            </w:r>
            <w:r>
              <w:rPr>
                <w:rFonts w:hint="eastAsia" w:ascii="Times New Roman" w:hAnsi="Times New Roman" w:eastAsia="宋体" w:cs="Times New Roman"/>
                <w:color w:val="auto"/>
                <w:sz w:val="26"/>
                <w:szCs w:val="26"/>
                <w:lang w:val="en-US" w:eastAsia="zh-CN"/>
              </w:rPr>
              <w:t>闲置</w:t>
            </w:r>
            <w:r>
              <w:rPr>
                <w:rFonts w:hint="default" w:ascii="Times New Roman" w:hAnsi="Times New Roman" w:eastAsia="宋体" w:cs="Times New Roman"/>
                <w:color w:val="auto"/>
                <w:sz w:val="26"/>
                <w:szCs w:val="26"/>
              </w:rPr>
              <w:t>厂房</w:t>
            </w:r>
            <w:r>
              <w:rPr>
                <w:rFonts w:hint="eastAsia" w:cs="Times New Roman"/>
                <w:color w:val="auto"/>
                <w:sz w:val="26"/>
                <w:szCs w:val="26"/>
                <w:lang w:val="en-US" w:eastAsia="zh-CN"/>
              </w:rPr>
              <w:t>的</w:t>
            </w:r>
            <w:r>
              <w:rPr>
                <w:rFonts w:hint="eastAsia" w:ascii="Times New Roman" w:hAnsi="Times New Roman" w:eastAsia="宋体" w:cs="Times New Roman"/>
                <w:color w:val="auto"/>
                <w:sz w:val="26"/>
                <w:szCs w:val="26"/>
                <w:lang w:val="en-US" w:eastAsia="zh-CN"/>
              </w:rPr>
              <w:t>一层西侧部分区域进行生产线的建设。</w:t>
            </w:r>
          </w:p>
          <w:p w14:paraId="76C59F87">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eastAsia" w:ascii="Times New Roman" w:hAnsi="宋体" w:cs="Times New Roman"/>
                <w:color w:val="auto"/>
                <w:kern w:val="0"/>
                <w:sz w:val="26"/>
                <w:szCs w:val="26"/>
              </w:rPr>
              <w:t>本</w:t>
            </w:r>
            <w:r>
              <w:rPr>
                <w:rFonts w:ascii="Times New Roman" w:hAnsi="宋体" w:cs="Times New Roman"/>
                <w:color w:val="auto"/>
                <w:kern w:val="0"/>
                <w:sz w:val="26"/>
                <w:szCs w:val="26"/>
              </w:rPr>
              <w:t>项目于</w:t>
            </w:r>
            <w:r>
              <w:rPr>
                <w:rFonts w:ascii="Times New Roman" w:hAnsi="Times New Roman" w:cs="Times New Roman"/>
                <w:color w:val="auto"/>
                <w:kern w:val="0"/>
                <w:sz w:val="26"/>
                <w:szCs w:val="26"/>
              </w:rPr>
              <w:t>202</w:t>
            </w:r>
            <w:r>
              <w:rPr>
                <w:rFonts w:hint="eastAsia" w:ascii="Times New Roman" w:hAnsi="Times New Roman" w:cs="Times New Roman"/>
                <w:color w:val="auto"/>
                <w:kern w:val="0"/>
                <w:sz w:val="26"/>
                <w:szCs w:val="26"/>
                <w:lang w:val="en-US" w:eastAsia="zh-CN"/>
              </w:rPr>
              <w:t>4</w:t>
            </w:r>
            <w:r>
              <w:rPr>
                <w:rFonts w:ascii="Times New Roman" w:hAnsi="宋体" w:cs="Times New Roman"/>
                <w:color w:val="auto"/>
                <w:kern w:val="0"/>
                <w:sz w:val="26"/>
                <w:szCs w:val="26"/>
              </w:rPr>
              <w:t>年</w:t>
            </w:r>
            <w:r>
              <w:rPr>
                <w:rFonts w:hint="eastAsia" w:ascii="Times New Roman" w:hAnsi="宋体" w:cs="Times New Roman"/>
                <w:color w:val="auto"/>
                <w:kern w:val="0"/>
                <w:sz w:val="26"/>
                <w:szCs w:val="26"/>
                <w:lang w:val="en-US" w:eastAsia="zh-CN"/>
              </w:rPr>
              <w:t>1</w:t>
            </w:r>
            <w:r>
              <w:rPr>
                <w:rFonts w:hint="eastAsia" w:ascii="Times New Roman" w:hAnsi="Times New Roman" w:cs="Times New Roman"/>
                <w:color w:val="auto"/>
                <w:kern w:val="0"/>
                <w:sz w:val="26"/>
                <w:szCs w:val="26"/>
              </w:rPr>
              <w:t>2</w:t>
            </w:r>
            <w:r>
              <w:rPr>
                <w:rFonts w:ascii="Times New Roman" w:hAnsi="宋体" w:cs="Times New Roman"/>
                <w:color w:val="auto"/>
                <w:kern w:val="0"/>
                <w:sz w:val="26"/>
                <w:szCs w:val="26"/>
              </w:rPr>
              <w:t>月</w:t>
            </w:r>
            <w:r>
              <w:rPr>
                <w:rFonts w:hint="eastAsia" w:ascii="Times New Roman" w:hAnsi="Times New Roman" w:cs="Times New Roman"/>
                <w:color w:val="auto"/>
                <w:kern w:val="0"/>
                <w:sz w:val="26"/>
                <w:szCs w:val="26"/>
                <w:lang w:val="en-US" w:eastAsia="zh-CN"/>
              </w:rPr>
              <w:t>26</w:t>
            </w:r>
            <w:r>
              <w:rPr>
                <w:rFonts w:ascii="Times New Roman" w:hAnsi="宋体" w:cs="Times New Roman"/>
                <w:color w:val="auto"/>
                <w:kern w:val="0"/>
                <w:sz w:val="26"/>
                <w:szCs w:val="26"/>
              </w:rPr>
              <w:t>日取得了重庆市</w:t>
            </w:r>
            <w:r>
              <w:rPr>
                <w:rFonts w:hint="eastAsia" w:ascii="Times New Roman" w:hAnsi="宋体" w:cs="Times New Roman"/>
                <w:color w:val="auto"/>
                <w:kern w:val="0"/>
                <w:sz w:val="26"/>
                <w:szCs w:val="26"/>
                <w:lang w:val="en-US" w:eastAsia="zh-CN"/>
              </w:rPr>
              <w:t>合川</w:t>
            </w:r>
            <w:r>
              <w:rPr>
                <w:rFonts w:hint="eastAsia" w:ascii="Times New Roman" w:hAnsi="宋体" w:cs="Times New Roman"/>
                <w:color w:val="auto"/>
                <w:kern w:val="0"/>
                <w:sz w:val="26"/>
                <w:szCs w:val="26"/>
              </w:rPr>
              <w:t>区发展和改革</w:t>
            </w:r>
            <w:r>
              <w:rPr>
                <w:rFonts w:ascii="Times New Roman" w:hAnsi="宋体" w:cs="Times New Roman"/>
                <w:color w:val="auto"/>
                <w:kern w:val="0"/>
                <w:sz w:val="26"/>
                <w:szCs w:val="26"/>
              </w:rPr>
              <w:t>委员会投资项目备案证，项目代码</w:t>
            </w:r>
            <w:r>
              <w:rPr>
                <w:rFonts w:hint="eastAsia" w:ascii="Times New Roman" w:hAnsi="宋体" w:cs="Times New Roman"/>
                <w:color w:val="auto"/>
                <w:kern w:val="0"/>
                <w:sz w:val="26"/>
                <w:szCs w:val="26"/>
              </w:rPr>
              <w:t>2412-500117-04-05-288930</w:t>
            </w:r>
            <w:r>
              <w:rPr>
                <w:rFonts w:ascii="Times New Roman" w:hAnsi="宋体" w:cs="Times New Roman"/>
                <w:color w:val="auto"/>
                <w:kern w:val="0"/>
                <w:sz w:val="26"/>
                <w:szCs w:val="26"/>
              </w:rPr>
              <w:t>。</w:t>
            </w:r>
            <w:r>
              <w:rPr>
                <w:rFonts w:ascii="Times New Roman" w:hAnsi="宋体" w:cs="Times New Roman"/>
                <w:color w:val="auto"/>
                <w:sz w:val="26"/>
                <w:szCs w:val="26"/>
              </w:rPr>
              <w:t>根据《中华人民共和国环境影响评价法</w:t>
            </w:r>
            <w:r>
              <w:rPr>
                <w:rFonts w:hint="eastAsia" w:hAnsi="宋体" w:cs="Times New Roman"/>
                <w:color w:val="auto"/>
                <w:sz w:val="26"/>
                <w:szCs w:val="26"/>
                <w:lang w:eastAsia="zh-CN"/>
              </w:rPr>
              <w:t>》《</w:t>
            </w:r>
            <w:r>
              <w:rPr>
                <w:rFonts w:ascii="Times New Roman" w:hAnsi="宋体" w:cs="Times New Roman"/>
                <w:color w:val="auto"/>
                <w:sz w:val="26"/>
                <w:szCs w:val="26"/>
              </w:rPr>
              <w:t>中华人民共和国环境保护法</w:t>
            </w:r>
            <w:r>
              <w:rPr>
                <w:rFonts w:hint="eastAsia" w:hAnsi="宋体" w:cs="Times New Roman"/>
                <w:color w:val="auto"/>
                <w:sz w:val="26"/>
                <w:szCs w:val="26"/>
                <w:lang w:eastAsia="zh-CN"/>
              </w:rPr>
              <w:t>》《</w:t>
            </w:r>
            <w:r>
              <w:rPr>
                <w:rFonts w:ascii="Times New Roman" w:hAnsi="宋体" w:cs="Times New Roman"/>
                <w:color w:val="auto"/>
                <w:sz w:val="26"/>
                <w:szCs w:val="26"/>
              </w:rPr>
              <w:t>建设项目环境保护管理条例》中相关规定，项目应开展环境影响评价工作。对照《建设项目环境影响评价分类管理名录》（</w:t>
            </w:r>
            <w:r>
              <w:rPr>
                <w:rFonts w:ascii="Times New Roman" w:hAnsi="Times New Roman" w:cs="Times New Roman"/>
                <w:color w:val="auto"/>
                <w:sz w:val="26"/>
                <w:szCs w:val="26"/>
              </w:rPr>
              <w:t>2021</w:t>
            </w:r>
            <w:r>
              <w:rPr>
                <w:rFonts w:ascii="Times New Roman" w:hAnsi="宋体" w:cs="Times New Roman"/>
                <w:color w:val="auto"/>
                <w:sz w:val="26"/>
                <w:szCs w:val="26"/>
              </w:rPr>
              <w:t>年版），项目属</w:t>
            </w:r>
            <w:r>
              <w:rPr>
                <w:rFonts w:ascii="Times New Roman" w:hAnsi="Times New Roman" w:cs="Times New Roman"/>
                <w:color w:val="auto"/>
                <w:sz w:val="26"/>
                <w:szCs w:val="26"/>
              </w:rPr>
              <w:t>“</w:t>
            </w:r>
            <w:r>
              <w:rPr>
                <w:rFonts w:hint="eastAsia" w:ascii="Times New Roman" w:hAnsi="Times New Roman" w:cs="Times New Roman"/>
                <w:color w:val="auto"/>
                <w:sz w:val="26"/>
                <w:szCs w:val="26"/>
              </w:rPr>
              <w:t>二十七、非金属矿物制品业30</w:t>
            </w:r>
            <w:r>
              <w:rPr>
                <w:rFonts w:hint="eastAsia" w:ascii="Times New Roman" w:hAnsi="Times New Roman" w:cs="Times New Roman"/>
                <w:color w:val="auto"/>
                <w:sz w:val="26"/>
                <w:szCs w:val="26"/>
                <w:lang w:eastAsia="zh-CN"/>
              </w:rPr>
              <w:t>”</w:t>
            </w:r>
            <w:r>
              <w:rPr>
                <w:rFonts w:hint="eastAsia" w:ascii="Times New Roman" w:hAnsi="Times New Roman" w:cs="Times New Roman"/>
                <w:color w:val="auto"/>
                <w:sz w:val="26"/>
                <w:szCs w:val="26"/>
                <w:lang w:val="en-US" w:eastAsia="zh-CN"/>
              </w:rPr>
              <w:t>中的“</w:t>
            </w:r>
            <w:r>
              <w:rPr>
                <w:rFonts w:hint="eastAsia" w:ascii="Times New Roman" w:hAnsi="Times New Roman" w:cs="Times New Roman"/>
                <w:color w:val="auto"/>
                <w:sz w:val="26"/>
                <w:szCs w:val="26"/>
              </w:rPr>
              <w:t>58玻璃纤维和玻璃纤维增强塑料制品制造306</w:t>
            </w:r>
            <w:r>
              <w:rPr>
                <w:rFonts w:hint="eastAsia" w:ascii="Times New Roman" w:hAnsi="Times New Roman" w:cs="Times New Roman"/>
                <w:color w:val="auto"/>
                <w:sz w:val="26"/>
                <w:szCs w:val="26"/>
                <w:lang w:val="en-US" w:eastAsia="zh-CN"/>
              </w:rPr>
              <w:t>”</w:t>
            </w:r>
            <w:r>
              <w:rPr>
                <w:rFonts w:hint="eastAsia" w:ascii="Times New Roman" w:hAnsi="Times New Roman" w:cs="Times New Roman"/>
                <w:color w:val="auto"/>
                <w:sz w:val="26"/>
                <w:szCs w:val="26"/>
              </w:rPr>
              <w:t>中的</w:t>
            </w:r>
            <w:r>
              <w:rPr>
                <w:rFonts w:hint="eastAsia" w:ascii="Times New Roman" w:hAnsi="Times New Roman" w:cs="Times New Roman"/>
                <w:color w:val="auto"/>
                <w:sz w:val="26"/>
                <w:szCs w:val="26"/>
                <w:lang w:eastAsia="zh-CN"/>
              </w:rPr>
              <w:t>“</w:t>
            </w:r>
            <w:r>
              <w:rPr>
                <w:rFonts w:hint="eastAsia" w:ascii="Times New Roman" w:hAnsi="Times New Roman" w:cs="Times New Roman"/>
                <w:color w:val="auto"/>
                <w:sz w:val="26"/>
                <w:szCs w:val="26"/>
              </w:rPr>
              <w:t>全部</w:t>
            </w:r>
            <w:r>
              <w:rPr>
                <w:rFonts w:hint="eastAsia" w:ascii="Times New Roman" w:hAnsi="Times New Roman" w:cs="Times New Roman"/>
                <w:color w:val="auto"/>
                <w:sz w:val="26"/>
                <w:szCs w:val="26"/>
                <w:lang w:eastAsia="zh-CN"/>
              </w:rPr>
              <w:t>”</w:t>
            </w:r>
            <w:r>
              <w:rPr>
                <w:rFonts w:ascii="Times New Roman" w:hAnsi="宋体" w:cs="Times New Roman"/>
                <w:color w:val="auto"/>
                <w:sz w:val="26"/>
                <w:szCs w:val="26"/>
              </w:rPr>
              <w:t>，应编制环境影响报告表。受</w:t>
            </w:r>
            <w:r>
              <w:rPr>
                <w:rFonts w:hint="default" w:ascii="Times New Roman" w:hAnsi="Times New Roman" w:eastAsia="宋体" w:cs="Times New Roman"/>
                <w:color w:val="auto"/>
                <w:sz w:val="26"/>
                <w:szCs w:val="26"/>
              </w:rPr>
              <w:t>重庆维纳轻科技发展有限公司</w:t>
            </w:r>
            <w:r>
              <w:rPr>
                <w:rFonts w:ascii="Times New Roman" w:hAnsi="宋体" w:cs="Times New Roman"/>
                <w:color w:val="auto"/>
                <w:sz w:val="26"/>
                <w:szCs w:val="26"/>
              </w:rPr>
              <w:t>委托，重庆港力环保股份有限公司承担项目环境影响报告表编制工作。</w:t>
            </w:r>
          </w:p>
          <w:p w14:paraId="54030A12">
            <w:pPr>
              <w:pageBreakBefore w:val="0"/>
              <w:widowControl w:val="0"/>
              <w:kinsoku/>
              <w:wordWrap/>
              <w:overflowPunct/>
              <w:topLinePunct w:val="0"/>
              <w:autoSpaceDE/>
              <w:autoSpaceDN/>
              <w:bidi w:val="0"/>
              <w:adjustRightInd w:val="0"/>
              <w:snapToGrid w:val="0"/>
              <w:spacing w:line="460" w:lineRule="exact"/>
              <w:rPr>
                <w:rFonts w:ascii="Times New Roman" w:cs="Times New Roman"/>
                <w:color w:val="auto"/>
                <w:sz w:val="26"/>
                <w:szCs w:val="26"/>
              </w:rPr>
            </w:pPr>
            <w:r>
              <w:rPr>
                <w:rFonts w:ascii="Times New Roman" w:cs="Times New Roman"/>
                <w:color w:val="auto"/>
                <w:sz w:val="26"/>
                <w:szCs w:val="26"/>
              </w:rPr>
              <w:t>接受委托后，我单位立即组织相关技术人员开展资料收集与分析，深入现场对项目周边环境状况进行调查，在项目分析以及现状调查的基础上，严格按照《建设项目环境影响报告表编制技术指南（</w:t>
            </w:r>
            <w:r>
              <w:rPr>
                <w:rFonts w:hint="eastAsia" w:ascii="Times New Roman" w:cs="Times New Roman"/>
                <w:color w:val="auto"/>
                <w:sz w:val="26"/>
                <w:szCs w:val="26"/>
              </w:rPr>
              <w:t>污染</w:t>
            </w:r>
            <w:r>
              <w:rPr>
                <w:rFonts w:ascii="Times New Roman" w:cs="Times New Roman"/>
                <w:color w:val="auto"/>
                <w:sz w:val="26"/>
                <w:szCs w:val="26"/>
              </w:rPr>
              <w:t>影响类）（试行）》及相关法律法规要求，编制完成了《</w:t>
            </w:r>
            <w:r>
              <w:rPr>
                <w:rFonts w:hint="default" w:ascii="Times New Roman" w:hAnsi="Times New Roman" w:eastAsia="宋体" w:cs="Times New Roman"/>
                <w:color w:val="auto"/>
                <w:sz w:val="26"/>
                <w:szCs w:val="26"/>
              </w:rPr>
              <w:t>重庆维纳轻科技发展有限公司</w:t>
            </w:r>
            <w:r>
              <w:rPr>
                <w:rFonts w:hint="default" w:ascii="Times New Roman" w:hAnsi="Times New Roman" w:eastAsia="宋体" w:cs="Times New Roman"/>
                <w:color w:val="auto"/>
                <w:sz w:val="26"/>
                <w:szCs w:val="26"/>
                <w:lang w:val="en-US" w:eastAsia="zh-CN"/>
              </w:rPr>
              <w:t>年产5000吨车用隔热保温材料生产线</w:t>
            </w:r>
            <w:r>
              <w:rPr>
                <w:rFonts w:ascii="Times New Roman" w:cs="Times New Roman"/>
                <w:color w:val="auto"/>
                <w:sz w:val="26"/>
                <w:szCs w:val="26"/>
              </w:rPr>
              <w:t>环境影响报告表》。</w:t>
            </w:r>
          </w:p>
          <w:p w14:paraId="378DEE3A">
            <w:pPr>
              <w:pageBreakBefore w:val="0"/>
              <w:widowControl w:val="0"/>
              <w:numPr>
                <w:ilvl w:val="0"/>
                <w:numId w:val="0"/>
              </w:numPr>
              <w:kinsoku/>
              <w:wordWrap/>
              <w:overflowPunct/>
              <w:topLinePunct w:val="0"/>
              <w:autoSpaceDE/>
              <w:autoSpaceDN/>
              <w:bidi w:val="0"/>
              <w:adjustRightInd w:val="0"/>
              <w:snapToGrid w:val="0"/>
              <w:spacing w:line="460" w:lineRule="exact"/>
              <w:ind w:left="0" w:leftChars="0" w:firstLine="522" w:firstLineChars="200"/>
              <w:rPr>
                <w:rFonts w:hint="eastAsia" w:cs="Times New Roman"/>
                <w:b/>
                <w:bCs/>
                <w:color w:val="auto"/>
                <w:sz w:val="26"/>
                <w:szCs w:val="26"/>
                <w:lang w:val="en-US" w:eastAsia="zh-CN"/>
              </w:rPr>
            </w:pPr>
            <w:r>
              <w:rPr>
                <w:rFonts w:hint="eastAsia" w:ascii="Times New Roman" w:hAnsi="Times New Roman" w:eastAsia="宋体" w:cs="Times New Roman"/>
                <w:b/>
                <w:bCs/>
                <w:color w:val="auto"/>
                <w:kern w:val="2"/>
                <w:sz w:val="26"/>
                <w:szCs w:val="26"/>
                <w:lang w:val="en-US" w:eastAsia="zh-CN" w:bidi="ar-SA"/>
              </w:rPr>
              <w:t>（2）</w:t>
            </w:r>
            <w:r>
              <w:rPr>
                <w:rFonts w:hint="eastAsia" w:cs="Times New Roman"/>
                <w:b/>
                <w:bCs/>
                <w:color w:val="auto"/>
                <w:sz w:val="26"/>
                <w:szCs w:val="26"/>
                <w:lang w:val="en-US" w:eastAsia="zh-CN"/>
              </w:rPr>
              <w:t>租赁厂房概况</w:t>
            </w:r>
          </w:p>
          <w:p w14:paraId="0678C9E4">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leftChars="0" w:firstLine="520" w:firstLineChars="200"/>
              <w:textAlignment w:val="auto"/>
              <w:rPr>
                <w:rFonts w:hint="default" w:cs="Times New Roman"/>
                <w:color w:val="auto"/>
                <w:sz w:val="26"/>
                <w:szCs w:val="26"/>
                <w:lang w:val="en-US" w:eastAsia="zh-CN"/>
              </w:rPr>
            </w:pPr>
            <w:r>
              <w:rPr>
                <w:rFonts w:hint="default" w:ascii="Times New Roman" w:hAnsi="Times New Roman" w:eastAsia="宋体" w:cs="Times New Roman"/>
                <w:color w:val="auto"/>
                <w:sz w:val="26"/>
                <w:szCs w:val="26"/>
              </w:rPr>
              <w:t>博盟汽车科技</w:t>
            </w:r>
            <w:r>
              <w:rPr>
                <w:rFonts w:hint="eastAsia"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重庆</w:t>
            </w:r>
            <w:r>
              <w:rPr>
                <w:rFonts w:hint="eastAsia"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有限公司</w:t>
            </w:r>
            <w:r>
              <w:rPr>
                <w:rFonts w:hint="eastAsia" w:cs="Times New Roman"/>
                <w:color w:val="auto"/>
                <w:sz w:val="26"/>
                <w:szCs w:val="26"/>
                <w:lang w:val="en-US" w:eastAsia="zh-CN"/>
              </w:rPr>
              <w:t>投资</w:t>
            </w:r>
            <w:r>
              <w:rPr>
                <w:rFonts w:hint="eastAsia"/>
                <w:color w:val="auto"/>
                <w:sz w:val="26"/>
                <w:szCs w:val="26"/>
                <w:lang w:val="en-US" w:eastAsia="zh-CN"/>
              </w:rPr>
              <w:t>的“</w:t>
            </w:r>
            <w:r>
              <w:rPr>
                <w:rFonts w:hint="eastAsia"/>
                <w:color w:val="auto"/>
                <w:sz w:val="26"/>
                <w:szCs w:val="26"/>
                <w:lang w:eastAsia="zh-CN"/>
              </w:rPr>
              <w:t>博盟年产200万台套新能源汽车配件项目一期</w:t>
            </w:r>
            <w:r>
              <w:rPr>
                <w:rFonts w:hint="eastAsia"/>
                <w:color w:val="auto"/>
                <w:sz w:val="26"/>
                <w:szCs w:val="26"/>
                <w:lang w:val="en-US" w:eastAsia="zh-CN"/>
              </w:rPr>
              <w:t>项目”于2024年7月完成环评手续。</w:t>
            </w:r>
            <w:r>
              <w:rPr>
                <w:rFonts w:hint="eastAsia" w:cs="Times New Roman"/>
                <w:color w:val="auto"/>
                <w:sz w:val="26"/>
                <w:szCs w:val="26"/>
                <w:lang w:val="en-US" w:eastAsia="zh-CN"/>
              </w:rPr>
              <w:t>主要生产隔热垫（玻璃纤维气凝胶隔热垫、陶瓷纤维气凝胶隔热垫）、新能源线束、车窗升降机、电器盒壳体注塑件、连接器密封件生产线及配套公辅设施、环保设施，年产200万台套新能源汽车配件。本项目租赁</w:t>
            </w:r>
            <w:r>
              <w:rPr>
                <w:rFonts w:hint="default" w:ascii="Times New Roman" w:hAnsi="Times New Roman" w:eastAsia="宋体" w:cs="Times New Roman"/>
                <w:color w:val="auto"/>
                <w:sz w:val="26"/>
                <w:szCs w:val="26"/>
              </w:rPr>
              <w:t>博盟汽车科技</w:t>
            </w:r>
            <w:r>
              <w:rPr>
                <w:rFonts w:hint="eastAsia"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重庆</w:t>
            </w:r>
            <w:r>
              <w:rPr>
                <w:rFonts w:hint="eastAsia"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有限公司</w:t>
            </w:r>
            <w:r>
              <w:rPr>
                <w:rFonts w:hint="eastAsia" w:cs="Times New Roman"/>
                <w:color w:val="auto"/>
                <w:sz w:val="26"/>
                <w:szCs w:val="26"/>
                <w:lang w:val="en-US" w:eastAsia="zh-CN"/>
              </w:rPr>
              <w:t>3#厂房一层部分区域进行生产线建设。根据现场踏勘，3#厂房为闲置厂房。</w:t>
            </w:r>
          </w:p>
          <w:p w14:paraId="17291028">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textAlignment w:val="auto"/>
              <w:rPr>
                <w:rFonts w:hint="default" w:ascii="Times New Roman" w:hAnsi="Times New Roman" w:eastAsia="宋体" w:cs="Times New Roman"/>
                <w:b/>
                <w:bCs/>
                <w:color w:val="auto"/>
                <w:sz w:val="26"/>
                <w:szCs w:val="26"/>
                <w:lang w:val="en-US" w:eastAsia="zh-CN"/>
              </w:rPr>
            </w:pPr>
            <w:r>
              <w:rPr>
                <w:rFonts w:hint="default" w:ascii="Times New Roman" w:hAnsi="Times New Roman" w:eastAsia="宋体" w:cs="Times New Roman"/>
                <w:b/>
                <w:bCs/>
                <w:color w:val="auto"/>
                <w:sz w:val="26"/>
                <w:szCs w:val="26"/>
                <w:lang w:val="en-US" w:eastAsia="zh-CN"/>
              </w:rPr>
              <w:t>2.1.2项目概况</w:t>
            </w:r>
          </w:p>
          <w:p w14:paraId="62387FA4">
            <w:pPr>
              <w:pageBreakBefore w:val="0"/>
              <w:widowControl w:val="0"/>
              <w:numPr>
                <w:ilvl w:val="0"/>
                <w:numId w:val="0"/>
              </w:numPr>
              <w:kinsoku/>
              <w:wordWrap/>
              <w:overflowPunct/>
              <w:topLinePunct w:val="0"/>
              <w:autoSpaceDE/>
              <w:autoSpaceDN/>
              <w:bidi w:val="0"/>
              <w:adjustRightInd w:val="0"/>
              <w:snapToGrid w:val="0"/>
              <w:spacing w:line="460" w:lineRule="exact"/>
              <w:ind w:firstLine="520" w:firstLineChars="2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kern w:val="2"/>
                <w:sz w:val="26"/>
                <w:szCs w:val="26"/>
                <w:lang w:val="en-US" w:eastAsia="zh-CN" w:bidi="ar-SA"/>
              </w:rPr>
              <w:t>（1）</w:t>
            </w:r>
            <w:r>
              <w:rPr>
                <w:rFonts w:hint="default" w:ascii="Times New Roman" w:hAnsi="Times New Roman" w:eastAsia="宋体" w:cs="Times New Roman"/>
                <w:color w:val="auto"/>
                <w:sz w:val="26"/>
                <w:szCs w:val="26"/>
                <w:lang w:val="en-US" w:eastAsia="zh-CN"/>
              </w:rPr>
              <w:t>项目名称：年产5000吨车用隔热保温材料生产线；</w:t>
            </w:r>
          </w:p>
          <w:p w14:paraId="70FC2CAB">
            <w:pPr>
              <w:pageBreakBefore w:val="0"/>
              <w:widowControl w:val="0"/>
              <w:kinsoku/>
              <w:wordWrap/>
              <w:overflowPunct/>
              <w:topLinePunct w:val="0"/>
              <w:autoSpaceDE/>
              <w:autoSpaceDN/>
              <w:bidi w:val="0"/>
              <w:adjustRightInd w:val="0"/>
              <w:snapToGrid w:val="0"/>
              <w:spacing w:line="460" w:lineRule="exact"/>
              <w:ind w:firstLine="48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（2）建设性质：</w:t>
            </w:r>
            <w:r>
              <w:rPr>
                <w:rFonts w:hint="default" w:ascii="Times New Roman" w:hAnsi="Times New Roman" w:eastAsia="宋体" w:cs="Times New Roman"/>
                <w:color w:val="auto"/>
                <w:sz w:val="26"/>
                <w:szCs w:val="26"/>
                <w:lang w:val="en-US" w:eastAsia="zh-CN"/>
              </w:rPr>
              <w:t>新建</w:t>
            </w:r>
            <w:r>
              <w:rPr>
                <w:rFonts w:hint="default" w:ascii="Times New Roman" w:hAnsi="Times New Roman" w:eastAsia="宋体" w:cs="Times New Roman"/>
                <w:color w:val="auto"/>
                <w:sz w:val="26"/>
                <w:szCs w:val="26"/>
              </w:rPr>
              <w:t>；</w:t>
            </w:r>
          </w:p>
          <w:p w14:paraId="760D0A54">
            <w:pPr>
              <w:pageBreakBefore w:val="0"/>
              <w:widowControl w:val="0"/>
              <w:kinsoku/>
              <w:wordWrap/>
              <w:overflowPunct/>
              <w:topLinePunct w:val="0"/>
              <w:autoSpaceDE/>
              <w:autoSpaceDN/>
              <w:bidi w:val="0"/>
              <w:adjustRightInd w:val="0"/>
              <w:snapToGrid w:val="0"/>
              <w:spacing w:line="460" w:lineRule="exact"/>
              <w:ind w:firstLine="48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（3）建设单位：重庆维纳轻科技发展有限公司；</w:t>
            </w:r>
          </w:p>
          <w:p w14:paraId="51F8D5DA">
            <w:pPr>
              <w:pageBreakBefore w:val="0"/>
              <w:widowControl w:val="0"/>
              <w:kinsoku/>
              <w:wordWrap/>
              <w:overflowPunct/>
              <w:topLinePunct w:val="0"/>
              <w:autoSpaceDE/>
              <w:autoSpaceDN/>
              <w:bidi w:val="0"/>
              <w:adjustRightInd w:val="0"/>
              <w:snapToGrid w:val="0"/>
              <w:spacing w:line="460" w:lineRule="exact"/>
              <w:ind w:firstLine="48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（4）建设地点：重庆市合川区草街街道农创路205号；</w:t>
            </w:r>
          </w:p>
          <w:p w14:paraId="78D590E8">
            <w:pPr>
              <w:pageBreakBefore w:val="0"/>
              <w:widowControl w:val="0"/>
              <w:kinsoku/>
              <w:wordWrap/>
              <w:overflowPunct/>
              <w:topLinePunct w:val="0"/>
              <w:autoSpaceDE/>
              <w:autoSpaceDN/>
              <w:bidi w:val="0"/>
              <w:adjustRightInd w:val="0"/>
              <w:snapToGrid w:val="0"/>
              <w:spacing w:line="460" w:lineRule="exact"/>
              <w:ind w:firstLine="48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（5）总投资：</w:t>
            </w:r>
            <w:r>
              <w:rPr>
                <w:rFonts w:hint="eastAsia" w:ascii="Times New Roman" w:hAnsi="Times New Roman" w:eastAsia="宋体" w:cs="Times New Roman"/>
                <w:color w:val="auto"/>
                <w:sz w:val="26"/>
                <w:szCs w:val="26"/>
                <w:lang w:val="en-US" w:eastAsia="zh-CN"/>
              </w:rPr>
              <w:t>500</w:t>
            </w:r>
            <w:r>
              <w:rPr>
                <w:rFonts w:hint="default" w:ascii="Times New Roman" w:hAnsi="Times New Roman" w:eastAsia="宋体" w:cs="Times New Roman"/>
                <w:color w:val="auto"/>
                <w:sz w:val="26"/>
                <w:szCs w:val="26"/>
              </w:rPr>
              <w:t>万元，其中环保投资</w:t>
            </w:r>
            <w:r>
              <w:rPr>
                <w:rFonts w:hint="eastAsia" w:cs="Times New Roman"/>
                <w:color w:val="auto"/>
                <w:sz w:val="26"/>
                <w:szCs w:val="26"/>
                <w:highlight w:val="none"/>
                <w:lang w:val="en-US" w:eastAsia="zh-CN"/>
              </w:rPr>
              <w:t>10</w:t>
            </w:r>
            <w:r>
              <w:rPr>
                <w:rFonts w:hint="default" w:ascii="Times New Roman" w:hAnsi="Times New Roman" w:eastAsia="宋体" w:cs="Times New Roman"/>
                <w:color w:val="auto"/>
                <w:sz w:val="26"/>
                <w:szCs w:val="26"/>
              </w:rPr>
              <w:t>万元，环保投资占比</w:t>
            </w:r>
            <w:r>
              <w:rPr>
                <w:rFonts w:hint="eastAsia" w:cs="Times New Roman"/>
                <w:color w:val="auto"/>
                <w:sz w:val="26"/>
                <w:szCs w:val="26"/>
                <w:lang w:val="en-US" w:eastAsia="zh-CN"/>
              </w:rPr>
              <w:t>2</w:t>
            </w:r>
            <w:r>
              <w:rPr>
                <w:rFonts w:hint="default" w:ascii="Times New Roman" w:hAnsi="Times New Roman" w:eastAsia="宋体" w:cs="Times New Roman"/>
                <w:color w:val="auto"/>
                <w:sz w:val="26"/>
                <w:szCs w:val="26"/>
              </w:rPr>
              <w:t>%；</w:t>
            </w:r>
          </w:p>
          <w:p w14:paraId="392CBBAC">
            <w:pPr>
              <w:pageBreakBefore w:val="0"/>
              <w:widowControl w:val="0"/>
              <w:numPr>
                <w:ilvl w:val="0"/>
                <w:numId w:val="0"/>
              </w:numPr>
              <w:kinsoku/>
              <w:wordWrap/>
              <w:overflowPunct/>
              <w:topLinePunct w:val="0"/>
              <w:autoSpaceDE/>
              <w:autoSpaceDN/>
              <w:bidi w:val="0"/>
              <w:adjustRightInd w:val="0"/>
              <w:snapToGrid w:val="0"/>
              <w:spacing w:line="460" w:lineRule="exact"/>
              <w:ind w:firstLine="520" w:firstLineChars="2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rPr>
              <w:t>（6）建设规模：租用博盟汽车科技</w:t>
            </w:r>
            <w:r>
              <w:rPr>
                <w:rFonts w:hint="eastAsia"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重庆</w:t>
            </w:r>
            <w:r>
              <w:rPr>
                <w:rFonts w:hint="eastAsia"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有限公司3号厂房1965.71</w:t>
            </w:r>
            <w:r>
              <w:rPr>
                <w:rFonts w:hint="eastAsia" w:ascii="Times New Roman" w:hAnsi="Times New Roman" w:eastAsia="宋体" w:cs="Times New Roman"/>
                <w:color w:val="auto"/>
                <w:sz w:val="26"/>
                <w:szCs w:val="26"/>
                <w:highlight w:val="none"/>
                <w:lang w:val="en-US" w:eastAsia="zh-CN"/>
              </w:rPr>
              <w:t>m</w:t>
            </w:r>
            <w:r>
              <w:rPr>
                <w:rFonts w:hint="eastAsia" w:ascii="Times New Roman" w:hAnsi="Times New Roman" w:eastAsia="宋体" w:cs="Times New Roman"/>
                <w:color w:val="auto"/>
                <w:sz w:val="26"/>
                <w:szCs w:val="26"/>
                <w:highlight w:val="none"/>
                <w:vertAlign w:val="superscript"/>
                <w:lang w:val="en-US" w:eastAsia="zh-CN"/>
              </w:rPr>
              <w:t>2</w:t>
            </w:r>
            <w:r>
              <w:rPr>
                <w:rFonts w:hint="default" w:ascii="Times New Roman" w:hAnsi="Times New Roman" w:eastAsia="宋体" w:cs="Times New Roman"/>
                <w:color w:val="auto"/>
                <w:sz w:val="26"/>
                <w:szCs w:val="26"/>
              </w:rPr>
              <w:t>，新建年产5000吨车用隔热保温材料生产线，主要用于生产燃油车、新能源汽车</w:t>
            </w:r>
            <w:r>
              <w:rPr>
                <w:rFonts w:hint="eastAsia"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增程和混动车型</w:t>
            </w:r>
            <w:r>
              <w:rPr>
                <w:rFonts w:hint="eastAsia"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的排气系统隔热零部件及新能源动力电池总成热管理系统中的核心隔热零部件等</w:t>
            </w:r>
            <w:r>
              <w:rPr>
                <w:rFonts w:hint="default" w:ascii="Times New Roman" w:hAnsi="Times New Roman" w:eastAsia="宋体" w:cs="Times New Roman"/>
                <w:color w:val="auto"/>
                <w:sz w:val="26"/>
                <w:szCs w:val="26"/>
                <w:lang w:val="en-US" w:eastAsia="zh-CN"/>
              </w:rPr>
              <w:t>。</w:t>
            </w:r>
          </w:p>
          <w:p w14:paraId="6FF71456">
            <w:pPr>
              <w:pageBreakBefore w:val="0"/>
              <w:widowControl w:val="0"/>
              <w:numPr>
                <w:ilvl w:val="0"/>
                <w:numId w:val="0"/>
              </w:numPr>
              <w:kinsoku/>
              <w:wordWrap/>
              <w:overflowPunct/>
              <w:topLinePunct w:val="0"/>
              <w:autoSpaceDE/>
              <w:autoSpaceDN/>
              <w:bidi w:val="0"/>
              <w:adjustRightInd w:val="0"/>
              <w:snapToGrid w:val="0"/>
              <w:spacing w:line="460" w:lineRule="exact"/>
              <w:ind w:firstLine="520" w:firstLineChars="2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（7）劳动定员：员工</w:t>
            </w:r>
            <w:r>
              <w:rPr>
                <w:rFonts w:hint="eastAsia" w:ascii="Times New Roman" w:hAnsi="Times New Roman" w:eastAsia="宋体" w:cs="Times New Roman"/>
                <w:color w:val="auto"/>
                <w:sz w:val="26"/>
                <w:szCs w:val="26"/>
                <w:lang w:val="en-US" w:eastAsia="zh-CN"/>
              </w:rPr>
              <w:t>20</w:t>
            </w:r>
            <w:r>
              <w:rPr>
                <w:rFonts w:hint="default" w:ascii="Times New Roman" w:hAnsi="Times New Roman" w:eastAsia="宋体" w:cs="Times New Roman"/>
                <w:color w:val="auto"/>
                <w:sz w:val="26"/>
                <w:szCs w:val="26"/>
                <w:lang w:val="en-US" w:eastAsia="zh-CN"/>
              </w:rPr>
              <w:t>人，</w:t>
            </w:r>
            <w:r>
              <w:rPr>
                <w:rFonts w:hint="eastAsia" w:cs="Times New Roman"/>
                <w:color w:val="auto"/>
                <w:sz w:val="26"/>
                <w:szCs w:val="26"/>
                <w:lang w:val="en-US" w:eastAsia="zh-CN"/>
              </w:rPr>
              <w:t>不提供食宿</w:t>
            </w:r>
            <w:r>
              <w:rPr>
                <w:rFonts w:hint="eastAsia" w:ascii="Times New Roman" w:hAnsi="Times New Roman" w:eastAsia="宋体" w:cs="Times New Roman"/>
                <w:color w:val="auto"/>
                <w:sz w:val="26"/>
                <w:szCs w:val="26"/>
                <w:lang w:val="en-US" w:eastAsia="zh-CN"/>
              </w:rPr>
              <w:t>。</w:t>
            </w:r>
          </w:p>
          <w:p w14:paraId="12888C31">
            <w:pPr>
              <w:pageBreakBefore w:val="0"/>
              <w:widowControl w:val="0"/>
              <w:numPr>
                <w:ilvl w:val="0"/>
                <w:numId w:val="0"/>
              </w:numPr>
              <w:kinsoku/>
              <w:wordWrap/>
              <w:overflowPunct/>
              <w:topLinePunct w:val="0"/>
              <w:autoSpaceDE/>
              <w:autoSpaceDN/>
              <w:bidi w:val="0"/>
              <w:adjustRightInd w:val="0"/>
              <w:snapToGrid w:val="0"/>
              <w:spacing w:line="460" w:lineRule="exact"/>
              <w:ind w:firstLine="520" w:firstLineChars="200"/>
              <w:rPr>
                <w:rFonts w:hint="default" w:ascii="Times New Roman" w:hAnsi="Times New Roman" w:eastAsia="宋体" w:cs="Times New Roman"/>
                <w:b w:val="0"/>
                <w:bCs w:val="0"/>
                <w:color w:val="auto"/>
                <w:sz w:val="26"/>
                <w:szCs w:val="26"/>
                <w:lang w:val="en-US" w:eastAsia="zh-CN"/>
              </w:rPr>
            </w:pPr>
            <w:r>
              <w:rPr>
                <w:rFonts w:hint="default" w:ascii="Times New Roman" w:hAnsi="Times New Roman" w:eastAsia="宋体" w:cs="Times New Roman"/>
                <w:color w:val="auto"/>
                <w:sz w:val="26"/>
                <w:szCs w:val="26"/>
                <w:lang w:val="en-US" w:eastAsia="zh-CN"/>
              </w:rPr>
              <w:t>（8）工作制度：</w:t>
            </w:r>
            <w:r>
              <w:rPr>
                <w:rFonts w:hint="default" w:ascii="Times New Roman" w:hAnsi="Times New Roman" w:eastAsia="宋体" w:cs="Times New Roman"/>
                <w:b w:val="0"/>
                <w:bCs w:val="0"/>
                <w:color w:val="auto"/>
                <w:sz w:val="26"/>
                <w:szCs w:val="26"/>
                <w:lang w:val="en-US" w:eastAsia="zh-CN"/>
              </w:rPr>
              <w:t>年生产300天，一天</w:t>
            </w:r>
            <w:r>
              <w:rPr>
                <w:rFonts w:hint="eastAsia" w:ascii="Times New Roman" w:hAnsi="Times New Roman" w:eastAsia="宋体" w:cs="Times New Roman"/>
                <w:b w:val="0"/>
                <w:bCs w:val="0"/>
                <w:color w:val="auto"/>
                <w:sz w:val="26"/>
                <w:szCs w:val="26"/>
                <w:lang w:val="en-US" w:eastAsia="zh-CN"/>
              </w:rPr>
              <w:t>2</w:t>
            </w:r>
            <w:r>
              <w:rPr>
                <w:rFonts w:hint="default" w:ascii="Times New Roman" w:hAnsi="Times New Roman" w:eastAsia="宋体" w:cs="Times New Roman"/>
                <w:b w:val="0"/>
                <w:bCs w:val="0"/>
                <w:color w:val="auto"/>
                <w:sz w:val="26"/>
                <w:szCs w:val="26"/>
                <w:lang w:val="en-US" w:eastAsia="zh-CN"/>
              </w:rPr>
              <w:t>班，每班8小时。</w:t>
            </w:r>
          </w:p>
          <w:p w14:paraId="03E65270">
            <w:pPr>
              <w:pStyle w:val="4"/>
              <w:pageBreakBefore w:val="0"/>
              <w:widowControl w:val="0"/>
              <w:kinsoku/>
              <w:wordWrap/>
              <w:overflowPunct/>
              <w:topLinePunct w:val="0"/>
              <w:autoSpaceDE/>
              <w:autoSpaceDN/>
              <w:bidi w:val="0"/>
              <w:adjustRightInd w:val="0"/>
              <w:snapToGrid w:val="0"/>
              <w:spacing w:beforeLines="0" w:afterLines="0" w:line="460" w:lineRule="exact"/>
              <w:textAlignment w:val="auto"/>
              <w:rPr>
                <w:rFonts w:hint="eastAsia"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2.1.3</w:t>
            </w:r>
            <w:r>
              <w:rPr>
                <w:rFonts w:hint="eastAsia" w:cs="Times New Roman"/>
                <w:color w:val="auto"/>
                <w:sz w:val="26"/>
                <w:szCs w:val="26"/>
                <w:lang w:val="en-US" w:eastAsia="zh-CN"/>
              </w:rPr>
              <w:t>产品方案</w:t>
            </w:r>
          </w:p>
          <w:p w14:paraId="46E57CAF">
            <w:pPr>
              <w:pageBreakBefore w:val="0"/>
              <w:widowControl w:val="0"/>
              <w:kinsoku/>
              <w:wordWrap/>
              <w:overflowPunct/>
              <w:topLinePunct w:val="0"/>
              <w:autoSpaceDE/>
              <w:autoSpaceDN/>
              <w:bidi w:val="0"/>
              <w:spacing w:line="460" w:lineRule="exact"/>
              <w:ind w:left="0" w:leftChars="0" w:firstLine="520" w:firstLineChars="200"/>
              <w:textAlignment w:val="auto"/>
              <w:rPr>
                <w:rFonts w:hint="eastAsia" w:cs="Times New Roman"/>
                <w:color w:val="auto"/>
                <w:sz w:val="26"/>
                <w:szCs w:val="26"/>
                <w:lang w:val="en-US" w:eastAsia="zh-CN"/>
              </w:rPr>
            </w:pPr>
            <w:r>
              <w:rPr>
                <w:rFonts w:hint="eastAsia" w:cs="Times New Roman"/>
                <w:color w:val="auto"/>
                <w:sz w:val="26"/>
                <w:szCs w:val="26"/>
                <w:lang w:val="en-US" w:eastAsia="zh-CN"/>
              </w:rPr>
              <w:t>本项目主要生产玻璃纤维毡、车用纤维隔热片以及车用消音隔热棉，详见下表。</w:t>
            </w:r>
          </w:p>
          <w:p w14:paraId="23996F96">
            <w:pPr>
              <w:pageBreakBefore w:val="0"/>
              <w:widowControl w:val="0"/>
              <w:kinsoku/>
              <w:wordWrap/>
              <w:overflowPunct/>
              <w:topLinePunct w:val="0"/>
              <w:autoSpaceDE/>
              <w:autoSpaceDN/>
              <w:bidi w:val="0"/>
              <w:spacing w:line="460" w:lineRule="exact"/>
              <w:ind w:left="0" w:leftChars="0" w:firstLine="0" w:firstLineChars="0"/>
              <w:textAlignment w:val="auto"/>
              <w:rPr>
                <w:rFonts w:hint="eastAsia" w:cs="Times New Roman"/>
                <w:color w:val="auto"/>
                <w:sz w:val="26"/>
                <w:szCs w:val="26"/>
                <w:lang w:val="en-US" w:eastAsia="zh-CN"/>
              </w:rPr>
            </w:pPr>
          </w:p>
          <w:p w14:paraId="12670FC5">
            <w:pPr>
              <w:pageBreakBefore w:val="0"/>
              <w:widowControl w:val="0"/>
              <w:kinsoku/>
              <w:wordWrap/>
              <w:overflowPunct/>
              <w:topLinePunct w:val="0"/>
              <w:autoSpaceDE/>
              <w:autoSpaceDN/>
              <w:bidi w:val="0"/>
              <w:spacing w:line="460" w:lineRule="exact"/>
              <w:textAlignment w:val="auto"/>
              <w:rPr>
                <w:rFonts w:hint="eastAsia" w:cs="Times New Roman"/>
                <w:color w:val="auto"/>
                <w:sz w:val="26"/>
                <w:szCs w:val="26"/>
                <w:lang w:val="en-US" w:eastAsia="zh-CN"/>
              </w:rPr>
            </w:pPr>
            <w:r>
              <w:rPr>
                <w:rFonts w:hint="eastAsia" w:cs="Times New Roman"/>
                <w:color w:val="auto"/>
                <w:sz w:val="26"/>
                <w:szCs w:val="26"/>
                <w:lang w:val="en-US" w:eastAsia="zh-CN"/>
              </w:rPr>
              <w:t>表2.1-1.1           本项目生产规模表</w:t>
            </w:r>
          </w:p>
          <w:tbl>
            <w:tblPr>
              <w:tblStyle w:val="17"/>
              <w:tblW w:w="4841"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02"/>
              <w:gridCol w:w="1343"/>
              <w:gridCol w:w="976"/>
              <w:gridCol w:w="950"/>
              <w:gridCol w:w="1932"/>
              <w:gridCol w:w="1748"/>
            </w:tblGrid>
            <w:tr w14:paraId="05AFD1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58" w:type="pct"/>
                  <w:noWrap w:val="0"/>
                  <w:vAlign w:val="center"/>
                </w:tcPr>
                <w:p w14:paraId="0BC485A4">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序号</w:t>
                  </w:r>
                </w:p>
              </w:tc>
              <w:tc>
                <w:tcPr>
                  <w:tcW w:w="877" w:type="pct"/>
                  <w:noWrap w:val="0"/>
                  <w:vAlign w:val="center"/>
                </w:tcPr>
                <w:p w14:paraId="160583A3">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生产线名称</w:t>
                  </w:r>
                </w:p>
              </w:tc>
              <w:tc>
                <w:tcPr>
                  <w:tcW w:w="637" w:type="pct"/>
                  <w:noWrap w:val="0"/>
                  <w:vAlign w:val="center"/>
                </w:tcPr>
                <w:p w14:paraId="7F1E4139">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rPr>
                  </w:pPr>
                  <w:r>
                    <w:rPr>
                      <w:rFonts w:hint="default" w:ascii="Times New Roman" w:hAnsi="Times New Roman" w:cs="Times New Roman"/>
                      <w:color w:val="auto"/>
                      <w:sz w:val="22"/>
                      <w:szCs w:val="22"/>
                    </w:rPr>
                    <w:t>产品</w:t>
                  </w:r>
                </w:p>
              </w:tc>
              <w:tc>
                <w:tcPr>
                  <w:tcW w:w="620" w:type="pct"/>
                  <w:noWrap w:val="0"/>
                  <w:vAlign w:val="center"/>
                </w:tcPr>
                <w:p w14:paraId="7D804B6D">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产能</w:t>
                  </w:r>
                  <w:r>
                    <w:rPr>
                      <w:rFonts w:hint="default" w:ascii="Times New Roman" w:hAnsi="Times New Roman" w:cs="Times New Roman"/>
                      <w:color w:val="auto"/>
                      <w:sz w:val="22"/>
                      <w:szCs w:val="22"/>
                    </w:rPr>
                    <w:t>t/a</w:t>
                  </w:r>
                </w:p>
              </w:tc>
              <w:tc>
                <w:tcPr>
                  <w:tcW w:w="1263" w:type="pct"/>
                  <w:noWrap w:val="0"/>
                  <w:vAlign w:val="center"/>
                </w:tcPr>
                <w:p w14:paraId="2D2EC32F">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规格</w:t>
                  </w:r>
                </w:p>
              </w:tc>
              <w:tc>
                <w:tcPr>
                  <w:tcW w:w="1142" w:type="pct"/>
                  <w:noWrap w:val="0"/>
                  <w:vAlign w:val="center"/>
                </w:tcPr>
                <w:p w14:paraId="22ED81B1">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备注</w:t>
                  </w:r>
                </w:p>
              </w:tc>
            </w:tr>
            <w:tr w14:paraId="748A61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58" w:type="pct"/>
                  <w:noWrap w:val="0"/>
                  <w:vAlign w:val="center"/>
                </w:tcPr>
                <w:p w14:paraId="668D5D74">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rPr>
                  </w:pPr>
                  <w:r>
                    <w:rPr>
                      <w:rFonts w:hint="default" w:ascii="Times New Roman" w:hAnsi="Times New Roman" w:cs="Times New Roman"/>
                      <w:color w:val="auto"/>
                      <w:sz w:val="22"/>
                      <w:szCs w:val="22"/>
                    </w:rPr>
                    <w:t>1</w:t>
                  </w:r>
                </w:p>
              </w:tc>
              <w:tc>
                <w:tcPr>
                  <w:tcW w:w="877" w:type="pct"/>
                  <w:noWrap w:val="0"/>
                  <w:vAlign w:val="center"/>
                </w:tcPr>
                <w:p w14:paraId="77B275E5">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lang w:val="en-US"/>
                    </w:rPr>
                  </w:pPr>
                  <w:r>
                    <w:rPr>
                      <w:rFonts w:hint="eastAsia" w:cs="Times New Roman"/>
                      <w:color w:val="auto"/>
                      <w:sz w:val="22"/>
                      <w:szCs w:val="22"/>
                      <w:lang w:val="en-US" w:eastAsia="zh-CN"/>
                    </w:rPr>
                    <w:t>玻璃纤维毡生产线</w:t>
                  </w:r>
                </w:p>
              </w:tc>
              <w:tc>
                <w:tcPr>
                  <w:tcW w:w="637" w:type="pct"/>
                  <w:noWrap w:val="0"/>
                  <w:vAlign w:val="center"/>
                </w:tcPr>
                <w:p w14:paraId="43F9637A">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rPr>
                  </w:pPr>
                  <w:r>
                    <w:rPr>
                      <w:rFonts w:hint="eastAsia" w:cs="Times New Roman"/>
                      <w:color w:val="auto"/>
                      <w:sz w:val="22"/>
                      <w:szCs w:val="22"/>
                      <w:lang w:val="en-US" w:eastAsia="zh-CN"/>
                    </w:rPr>
                    <w:t>玻璃纤维毡</w:t>
                  </w:r>
                </w:p>
              </w:tc>
              <w:tc>
                <w:tcPr>
                  <w:tcW w:w="620" w:type="pct"/>
                  <w:noWrap w:val="0"/>
                  <w:vAlign w:val="center"/>
                </w:tcPr>
                <w:p w14:paraId="1B251965">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rPr>
                  </w:pPr>
                  <w:r>
                    <w:rPr>
                      <w:rFonts w:hint="eastAsia" w:cs="Times New Roman"/>
                      <w:color w:val="auto"/>
                      <w:sz w:val="22"/>
                      <w:szCs w:val="22"/>
                      <w:lang w:val="en-US" w:eastAsia="zh-CN"/>
                    </w:rPr>
                    <w:t>3</w:t>
                  </w:r>
                  <w:r>
                    <w:rPr>
                      <w:rFonts w:hint="eastAsia" w:ascii="Times New Roman" w:hAnsi="Times New Roman" w:cs="Times New Roman"/>
                      <w:color w:val="auto"/>
                      <w:sz w:val="22"/>
                      <w:szCs w:val="22"/>
                      <w:lang w:val="en-US" w:eastAsia="zh-CN"/>
                    </w:rPr>
                    <w:t>000</w:t>
                  </w:r>
                </w:p>
              </w:tc>
              <w:tc>
                <w:tcPr>
                  <w:tcW w:w="1263" w:type="pct"/>
                  <w:noWrap w:val="0"/>
                  <w:vAlign w:val="center"/>
                </w:tcPr>
                <w:p w14:paraId="50F5E066">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耐温700~1050</w:t>
                  </w:r>
                  <w:r>
                    <w:rPr>
                      <w:rFonts w:hint="default" w:ascii="Times New Roman" w:hAnsi="Times New Roman" w:cs="Times New Roman"/>
                      <w:color w:val="auto"/>
                      <w:sz w:val="22"/>
                      <w:szCs w:val="22"/>
                      <w:lang w:val="en-US" w:eastAsia="zh-CN"/>
                    </w:rPr>
                    <w:t>℃</w:t>
                  </w:r>
                </w:p>
                <w:p w14:paraId="34EE627B">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rPr>
                  </w:pPr>
                  <w:r>
                    <w:rPr>
                      <w:rFonts w:hint="eastAsia" w:ascii="Times New Roman" w:hAnsi="Times New Roman" w:cs="Times New Roman"/>
                      <w:color w:val="auto"/>
                      <w:sz w:val="22"/>
                      <w:szCs w:val="22"/>
                      <w:lang w:eastAsia="zh-CN"/>
                    </w:rPr>
                    <w:t>（</w:t>
                  </w:r>
                  <w:r>
                    <w:rPr>
                      <w:rFonts w:hint="default" w:ascii="Times New Roman" w:hAnsi="Times New Roman" w:cs="Times New Roman"/>
                      <w:color w:val="auto"/>
                      <w:sz w:val="22"/>
                      <w:szCs w:val="22"/>
                    </w:rPr>
                    <w:t>长：18m</w:t>
                  </w:r>
                  <w:r>
                    <w:rPr>
                      <w:rFonts w:hint="eastAsia" w:cs="Times New Roman"/>
                      <w:color w:val="auto"/>
                      <w:sz w:val="22"/>
                      <w:szCs w:val="22"/>
                      <w:lang w:eastAsia="zh-CN"/>
                    </w:rPr>
                    <w:t>～</w:t>
                  </w:r>
                  <w:r>
                    <w:rPr>
                      <w:rFonts w:hint="default" w:ascii="Times New Roman" w:hAnsi="Times New Roman" w:cs="Times New Roman"/>
                      <w:color w:val="auto"/>
                      <w:sz w:val="22"/>
                      <w:szCs w:val="22"/>
                    </w:rPr>
                    <w:t>110m</w:t>
                  </w:r>
                </w:p>
                <w:p w14:paraId="18005C93">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宽：1m</w:t>
                  </w:r>
                  <w:r>
                    <w:rPr>
                      <w:rFonts w:hint="eastAsia" w:cs="Times New Roman"/>
                      <w:color w:val="auto"/>
                      <w:sz w:val="22"/>
                      <w:szCs w:val="22"/>
                      <w:lang w:eastAsia="zh-CN"/>
                    </w:rPr>
                    <w:t>～</w:t>
                  </w:r>
                  <w:r>
                    <w:rPr>
                      <w:rFonts w:hint="default" w:ascii="Times New Roman" w:hAnsi="Times New Roman" w:cs="Times New Roman"/>
                      <w:color w:val="auto"/>
                      <w:sz w:val="22"/>
                      <w:szCs w:val="22"/>
                    </w:rPr>
                    <w:t>3.5m</w:t>
                  </w:r>
                </w:p>
                <w:p w14:paraId="2E3FED31">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厚：3mm~20mm</w:t>
                  </w:r>
                  <w:r>
                    <w:rPr>
                      <w:rFonts w:hint="eastAsia" w:ascii="Times New Roman" w:hAnsi="Times New Roman" w:cs="Times New Roman"/>
                      <w:color w:val="auto"/>
                      <w:sz w:val="22"/>
                      <w:szCs w:val="22"/>
                      <w:lang w:eastAsia="zh-CN"/>
                    </w:rPr>
                    <w:t>）</w:t>
                  </w:r>
                </w:p>
              </w:tc>
              <w:tc>
                <w:tcPr>
                  <w:tcW w:w="1142" w:type="pct"/>
                  <w:noWrap w:val="0"/>
                  <w:vAlign w:val="center"/>
                </w:tcPr>
                <w:p w14:paraId="183D79BC">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实际生产量为3000t，其中1000t用于车用纤维隔热片的生产，实际外售产品为2000t</w:t>
                  </w:r>
                </w:p>
              </w:tc>
            </w:tr>
            <w:tr w14:paraId="6CEB2B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58" w:type="pct"/>
                  <w:noWrap w:val="0"/>
                  <w:vAlign w:val="center"/>
                </w:tcPr>
                <w:p w14:paraId="411DC71C">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2</w:t>
                  </w:r>
                </w:p>
              </w:tc>
              <w:tc>
                <w:tcPr>
                  <w:tcW w:w="877" w:type="pct"/>
                  <w:noWrap w:val="0"/>
                  <w:vAlign w:val="center"/>
                </w:tcPr>
                <w:p w14:paraId="1C7B9355">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cs="Times New Roman"/>
                      <w:color w:val="auto"/>
                      <w:sz w:val="22"/>
                      <w:szCs w:val="22"/>
                      <w:lang w:val="en-US" w:eastAsia="zh-CN"/>
                    </w:rPr>
                  </w:pPr>
                  <w:r>
                    <w:rPr>
                      <w:rFonts w:hint="eastAsia" w:ascii="Times New Roman" w:hAnsi="Times New Roman" w:cs="Times New Roman"/>
                      <w:color w:val="auto"/>
                      <w:sz w:val="22"/>
                      <w:szCs w:val="22"/>
                      <w:lang w:val="en-US" w:eastAsia="zh-CN"/>
                    </w:rPr>
                    <w:t>车用纤维隔热片</w:t>
                  </w:r>
                  <w:r>
                    <w:rPr>
                      <w:rFonts w:hint="eastAsia" w:cs="Times New Roman"/>
                      <w:color w:val="auto"/>
                      <w:sz w:val="22"/>
                      <w:szCs w:val="22"/>
                      <w:lang w:val="en-US" w:eastAsia="zh-CN"/>
                    </w:rPr>
                    <w:t>生产线</w:t>
                  </w:r>
                </w:p>
              </w:tc>
              <w:tc>
                <w:tcPr>
                  <w:tcW w:w="637" w:type="pct"/>
                  <w:noWrap w:val="0"/>
                  <w:vAlign w:val="center"/>
                </w:tcPr>
                <w:p w14:paraId="19710441">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eastAsia" w:cs="Times New Roman"/>
                      <w:color w:val="auto"/>
                      <w:sz w:val="22"/>
                      <w:szCs w:val="22"/>
                      <w:lang w:val="en-US" w:eastAsia="zh-CN"/>
                    </w:rPr>
                  </w:pPr>
                  <w:r>
                    <w:rPr>
                      <w:rFonts w:hint="eastAsia" w:ascii="Times New Roman" w:hAnsi="Times New Roman" w:cs="Times New Roman"/>
                      <w:color w:val="auto"/>
                      <w:sz w:val="22"/>
                      <w:szCs w:val="22"/>
                      <w:lang w:val="en-US" w:eastAsia="zh-CN"/>
                    </w:rPr>
                    <w:t>车用纤维隔热片</w:t>
                  </w:r>
                </w:p>
              </w:tc>
              <w:tc>
                <w:tcPr>
                  <w:tcW w:w="620" w:type="pct"/>
                  <w:noWrap w:val="0"/>
                  <w:vAlign w:val="center"/>
                </w:tcPr>
                <w:p w14:paraId="7F56B8FA">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1500</w:t>
                  </w:r>
                </w:p>
              </w:tc>
              <w:tc>
                <w:tcPr>
                  <w:tcW w:w="1263" w:type="pct"/>
                  <w:noWrap w:val="0"/>
                  <w:vAlign w:val="center"/>
                </w:tcPr>
                <w:p w14:paraId="1B202416">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密度：80kg/m</w:t>
                  </w:r>
                  <w:r>
                    <w:rPr>
                      <w:rFonts w:hint="default" w:ascii="Times New Roman" w:hAnsi="Times New Roman" w:cs="Times New Roman"/>
                      <w:color w:val="auto"/>
                      <w:sz w:val="22"/>
                      <w:szCs w:val="22"/>
                      <w:vertAlign w:val="superscript"/>
                    </w:rPr>
                    <w:t>3</w:t>
                  </w:r>
                  <w:r>
                    <w:rPr>
                      <w:rFonts w:hint="default" w:ascii="Times New Roman" w:hAnsi="Times New Roman" w:cs="Times New Roman"/>
                      <w:color w:val="auto"/>
                      <w:sz w:val="22"/>
                      <w:szCs w:val="22"/>
                    </w:rPr>
                    <w:t>~</w:t>
                  </w:r>
                  <w:r>
                    <w:rPr>
                      <w:rFonts w:hint="eastAsia" w:cs="Times New Roman"/>
                      <w:color w:val="auto"/>
                      <w:sz w:val="22"/>
                      <w:szCs w:val="22"/>
                      <w:lang w:val="en-US" w:eastAsia="zh-CN"/>
                    </w:rPr>
                    <w:t>25</w:t>
                  </w:r>
                  <w:r>
                    <w:rPr>
                      <w:rFonts w:hint="default" w:ascii="Times New Roman" w:hAnsi="Times New Roman" w:cs="Times New Roman"/>
                      <w:color w:val="auto"/>
                      <w:sz w:val="22"/>
                      <w:szCs w:val="22"/>
                    </w:rPr>
                    <w:t>0kgm</w:t>
                  </w:r>
                  <w:r>
                    <w:rPr>
                      <w:rFonts w:hint="default" w:ascii="Times New Roman" w:hAnsi="Times New Roman" w:cs="Times New Roman"/>
                      <w:color w:val="auto"/>
                      <w:sz w:val="22"/>
                      <w:szCs w:val="22"/>
                      <w:vertAlign w:val="superscript"/>
                    </w:rPr>
                    <w:t>3</w:t>
                  </w:r>
                </w:p>
                <w:p w14:paraId="7BF85BC5">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尺寸：异形件</w:t>
                  </w:r>
                </w:p>
              </w:tc>
              <w:tc>
                <w:tcPr>
                  <w:tcW w:w="1142" w:type="pct"/>
                  <w:noWrap w:val="0"/>
                  <w:vAlign w:val="center"/>
                </w:tcPr>
                <w:p w14:paraId="77DAA9DC">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用于燃油车、新能源汽车零部件的隔热</w:t>
                  </w:r>
                </w:p>
              </w:tc>
            </w:tr>
            <w:tr w14:paraId="42D47D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58" w:type="pct"/>
                  <w:noWrap w:val="0"/>
                  <w:vAlign w:val="center"/>
                </w:tcPr>
                <w:p w14:paraId="07D8C088">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3</w:t>
                  </w:r>
                </w:p>
              </w:tc>
              <w:tc>
                <w:tcPr>
                  <w:tcW w:w="877" w:type="pct"/>
                  <w:noWrap w:val="0"/>
                  <w:vAlign w:val="center"/>
                </w:tcPr>
                <w:p w14:paraId="62FDE4C4">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车用消音</w:t>
                  </w:r>
                  <w:r>
                    <w:rPr>
                      <w:rFonts w:hint="eastAsia" w:cs="Times New Roman"/>
                      <w:color w:val="auto"/>
                      <w:sz w:val="22"/>
                      <w:szCs w:val="22"/>
                      <w:lang w:val="en-US" w:eastAsia="zh-CN"/>
                    </w:rPr>
                    <w:t>隔热</w:t>
                  </w:r>
                  <w:r>
                    <w:rPr>
                      <w:rFonts w:hint="eastAsia" w:ascii="Times New Roman" w:hAnsi="Times New Roman" w:cs="Times New Roman"/>
                      <w:color w:val="auto"/>
                      <w:sz w:val="22"/>
                      <w:szCs w:val="22"/>
                      <w:lang w:val="en-US" w:eastAsia="zh-CN"/>
                    </w:rPr>
                    <w:t>棉</w:t>
                  </w:r>
                  <w:r>
                    <w:rPr>
                      <w:rFonts w:hint="eastAsia" w:cs="Times New Roman"/>
                      <w:color w:val="auto"/>
                      <w:sz w:val="22"/>
                      <w:szCs w:val="22"/>
                      <w:lang w:val="en-US" w:eastAsia="zh-CN"/>
                    </w:rPr>
                    <w:t>生产线</w:t>
                  </w:r>
                </w:p>
              </w:tc>
              <w:tc>
                <w:tcPr>
                  <w:tcW w:w="637" w:type="pct"/>
                  <w:noWrap w:val="0"/>
                  <w:vAlign w:val="center"/>
                </w:tcPr>
                <w:p w14:paraId="426ADB7A">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车用消音</w:t>
                  </w:r>
                  <w:r>
                    <w:rPr>
                      <w:rFonts w:hint="eastAsia" w:cs="Times New Roman"/>
                      <w:color w:val="auto"/>
                      <w:sz w:val="22"/>
                      <w:szCs w:val="22"/>
                      <w:lang w:val="en-US" w:eastAsia="zh-CN"/>
                    </w:rPr>
                    <w:t>隔热</w:t>
                  </w:r>
                  <w:r>
                    <w:rPr>
                      <w:rFonts w:hint="eastAsia" w:ascii="Times New Roman" w:hAnsi="Times New Roman" w:cs="Times New Roman"/>
                      <w:color w:val="auto"/>
                      <w:sz w:val="22"/>
                      <w:szCs w:val="22"/>
                      <w:lang w:val="en-US" w:eastAsia="zh-CN"/>
                    </w:rPr>
                    <w:t>棉</w:t>
                  </w:r>
                </w:p>
              </w:tc>
              <w:tc>
                <w:tcPr>
                  <w:tcW w:w="620" w:type="pct"/>
                  <w:noWrap w:val="0"/>
                  <w:vAlign w:val="center"/>
                </w:tcPr>
                <w:p w14:paraId="7A0A717E">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1500</w:t>
                  </w:r>
                </w:p>
              </w:tc>
              <w:tc>
                <w:tcPr>
                  <w:tcW w:w="1263" w:type="pct"/>
                  <w:noWrap w:val="0"/>
                  <w:vAlign w:val="center"/>
                </w:tcPr>
                <w:p w14:paraId="4BAA3FBE">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0-3000g</w:t>
                  </w:r>
                </w:p>
              </w:tc>
              <w:tc>
                <w:tcPr>
                  <w:tcW w:w="1142" w:type="pct"/>
                  <w:noWrap w:val="0"/>
                  <w:vAlign w:val="center"/>
                </w:tcPr>
                <w:p w14:paraId="5982E60E">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用于燃油车、新能源汽车零部件的隔热</w:t>
                  </w:r>
                </w:p>
              </w:tc>
            </w:tr>
          </w:tbl>
          <w:p w14:paraId="31A7C8C5">
            <w:pPr>
              <w:ind w:left="0" w:leftChars="0" w:firstLine="0" w:firstLineChars="0"/>
              <w:rPr>
                <w:rFonts w:hint="default" w:cs="Times New Roman"/>
                <w:color w:val="auto"/>
                <w:sz w:val="26"/>
                <w:szCs w:val="26"/>
                <w:lang w:val="en-US" w:eastAsia="zh-CN"/>
              </w:rPr>
            </w:pPr>
          </w:p>
          <w:p w14:paraId="2A3A5034">
            <w:pPr>
              <w:pageBreakBefore w:val="0"/>
              <w:widowControl w:val="0"/>
              <w:kinsoku/>
              <w:wordWrap/>
              <w:overflowPunct/>
              <w:topLinePunct w:val="0"/>
              <w:autoSpaceDE/>
              <w:autoSpaceDN/>
              <w:bidi w:val="0"/>
              <w:spacing w:line="460" w:lineRule="exact"/>
              <w:textAlignment w:val="auto"/>
              <w:rPr>
                <w:rFonts w:hint="eastAsia" w:cs="Times New Roman"/>
                <w:color w:val="auto"/>
                <w:sz w:val="26"/>
                <w:szCs w:val="26"/>
                <w:lang w:val="en-US" w:eastAsia="zh-CN"/>
              </w:rPr>
            </w:pPr>
            <w:r>
              <w:rPr>
                <w:rFonts w:hint="eastAsia" w:cs="Times New Roman"/>
                <w:color w:val="auto"/>
                <w:sz w:val="26"/>
                <w:szCs w:val="26"/>
                <w:lang w:val="en-US" w:eastAsia="zh-CN"/>
              </w:rPr>
              <w:t>表2.1-1.2            本项目产品方案表</w:t>
            </w:r>
          </w:p>
          <w:tbl>
            <w:tblPr>
              <w:tblStyle w:val="17"/>
              <w:tblW w:w="4841"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02"/>
              <w:gridCol w:w="1343"/>
              <w:gridCol w:w="976"/>
              <w:gridCol w:w="950"/>
              <w:gridCol w:w="1932"/>
              <w:gridCol w:w="1748"/>
            </w:tblGrid>
            <w:tr w14:paraId="1A555A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58" w:type="pct"/>
                  <w:noWrap w:val="0"/>
                  <w:vAlign w:val="center"/>
                </w:tcPr>
                <w:p w14:paraId="47D8A535">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序号</w:t>
                  </w:r>
                </w:p>
              </w:tc>
              <w:tc>
                <w:tcPr>
                  <w:tcW w:w="877" w:type="pct"/>
                  <w:noWrap w:val="0"/>
                  <w:vAlign w:val="center"/>
                </w:tcPr>
                <w:p w14:paraId="39379499">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生产线名称</w:t>
                  </w:r>
                </w:p>
              </w:tc>
              <w:tc>
                <w:tcPr>
                  <w:tcW w:w="637" w:type="pct"/>
                  <w:noWrap w:val="0"/>
                  <w:vAlign w:val="center"/>
                </w:tcPr>
                <w:p w14:paraId="44F39A72">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rPr>
                  </w:pPr>
                  <w:r>
                    <w:rPr>
                      <w:rFonts w:hint="default" w:ascii="Times New Roman" w:hAnsi="Times New Roman" w:cs="Times New Roman"/>
                      <w:color w:val="auto"/>
                      <w:sz w:val="22"/>
                      <w:szCs w:val="22"/>
                    </w:rPr>
                    <w:t>产品</w:t>
                  </w:r>
                </w:p>
              </w:tc>
              <w:tc>
                <w:tcPr>
                  <w:tcW w:w="620" w:type="pct"/>
                  <w:noWrap w:val="0"/>
                  <w:vAlign w:val="center"/>
                </w:tcPr>
                <w:p w14:paraId="300B7B0C">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产能</w:t>
                  </w:r>
                  <w:r>
                    <w:rPr>
                      <w:rFonts w:hint="default" w:ascii="Times New Roman" w:hAnsi="Times New Roman" w:cs="Times New Roman"/>
                      <w:color w:val="auto"/>
                      <w:sz w:val="22"/>
                      <w:szCs w:val="22"/>
                    </w:rPr>
                    <w:t>t/a</w:t>
                  </w:r>
                </w:p>
              </w:tc>
              <w:tc>
                <w:tcPr>
                  <w:tcW w:w="1263" w:type="pct"/>
                  <w:noWrap w:val="0"/>
                  <w:vAlign w:val="center"/>
                </w:tcPr>
                <w:p w14:paraId="79F3859E">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规格</w:t>
                  </w:r>
                </w:p>
              </w:tc>
              <w:tc>
                <w:tcPr>
                  <w:tcW w:w="1142" w:type="pct"/>
                  <w:noWrap w:val="0"/>
                  <w:vAlign w:val="center"/>
                </w:tcPr>
                <w:p w14:paraId="6A7A6F6F">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备注</w:t>
                  </w:r>
                </w:p>
              </w:tc>
            </w:tr>
            <w:tr w14:paraId="583BB3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58" w:type="pct"/>
                  <w:noWrap w:val="0"/>
                  <w:vAlign w:val="center"/>
                </w:tcPr>
                <w:p w14:paraId="6530527D">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rPr>
                  </w:pPr>
                  <w:r>
                    <w:rPr>
                      <w:rFonts w:hint="default" w:ascii="Times New Roman" w:hAnsi="Times New Roman" w:cs="Times New Roman"/>
                      <w:color w:val="auto"/>
                      <w:sz w:val="22"/>
                      <w:szCs w:val="22"/>
                    </w:rPr>
                    <w:t>1</w:t>
                  </w:r>
                </w:p>
              </w:tc>
              <w:tc>
                <w:tcPr>
                  <w:tcW w:w="877" w:type="pct"/>
                  <w:noWrap w:val="0"/>
                  <w:vAlign w:val="center"/>
                </w:tcPr>
                <w:p w14:paraId="68AA1824">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lang w:val="en-US"/>
                    </w:rPr>
                  </w:pPr>
                  <w:r>
                    <w:rPr>
                      <w:rFonts w:hint="eastAsia" w:cs="Times New Roman"/>
                      <w:color w:val="auto"/>
                      <w:sz w:val="22"/>
                      <w:szCs w:val="22"/>
                      <w:lang w:val="en-US" w:eastAsia="zh-CN"/>
                    </w:rPr>
                    <w:t>玻璃纤维毡生产线</w:t>
                  </w:r>
                </w:p>
              </w:tc>
              <w:tc>
                <w:tcPr>
                  <w:tcW w:w="637" w:type="pct"/>
                  <w:noWrap w:val="0"/>
                  <w:vAlign w:val="center"/>
                </w:tcPr>
                <w:p w14:paraId="22A8EAC1">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rPr>
                  </w:pPr>
                  <w:r>
                    <w:rPr>
                      <w:rFonts w:hint="eastAsia" w:cs="Times New Roman"/>
                      <w:color w:val="auto"/>
                      <w:sz w:val="22"/>
                      <w:szCs w:val="22"/>
                      <w:lang w:val="en-US" w:eastAsia="zh-CN"/>
                    </w:rPr>
                    <w:t>玻璃纤维毡</w:t>
                  </w:r>
                </w:p>
              </w:tc>
              <w:tc>
                <w:tcPr>
                  <w:tcW w:w="620" w:type="pct"/>
                  <w:noWrap w:val="0"/>
                  <w:vAlign w:val="center"/>
                </w:tcPr>
                <w:p w14:paraId="434E6508">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rPr>
                  </w:pPr>
                  <w:r>
                    <w:rPr>
                      <w:rFonts w:hint="eastAsia" w:ascii="Times New Roman" w:hAnsi="Times New Roman" w:cs="Times New Roman"/>
                      <w:color w:val="auto"/>
                      <w:sz w:val="22"/>
                      <w:szCs w:val="22"/>
                      <w:lang w:val="en-US" w:eastAsia="zh-CN"/>
                    </w:rPr>
                    <w:t>2000</w:t>
                  </w:r>
                </w:p>
              </w:tc>
              <w:tc>
                <w:tcPr>
                  <w:tcW w:w="1263" w:type="pct"/>
                  <w:noWrap w:val="0"/>
                  <w:vAlign w:val="center"/>
                </w:tcPr>
                <w:p w14:paraId="1C54BAD3">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耐温700~1050</w:t>
                  </w:r>
                  <w:r>
                    <w:rPr>
                      <w:rFonts w:hint="default" w:ascii="Times New Roman" w:hAnsi="Times New Roman" w:cs="Times New Roman"/>
                      <w:color w:val="auto"/>
                      <w:sz w:val="22"/>
                      <w:szCs w:val="22"/>
                      <w:lang w:val="en-US" w:eastAsia="zh-CN"/>
                    </w:rPr>
                    <w:t>℃</w:t>
                  </w:r>
                </w:p>
                <w:p w14:paraId="2B16AB73">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rPr>
                  </w:pPr>
                  <w:r>
                    <w:rPr>
                      <w:rFonts w:hint="eastAsia" w:ascii="Times New Roman" w:hAnsi="Times New Roman" w:cs="Times New Roman"/>
                      <w:color w:val="auto"/>
                      <w:sz w:val="22"/>
                      <w:szCs w:val="22"/>
                      <w:lang w:eastAsia="zh-CN"/>
                    </w:rPr>
                    <w:t>（</w:t>
                  </w:r>
                  <w:r>
                    <w:rPr>
                      <w:rFonts w:hint="default" w:ascii="Times New Roman" w:hAnsi="Times New Roman" w:cs="Times New Roman"/>
                      <w:color w:val="auto"/>
                      <w:sz w:val="22"/>
                      <w:szCs w:val="22"/>
                    </w:rPr>
                    <w:t>长：18m</w:t>
                  </w:r>
                  <w:r>
                    <w:rPr>
                      <w:rFonts w:hint="eastAsia" w:cs="Times New Roman"/>
                      <w:color w:val="auto"/>
                      <w:sz w:val="22"/>
                      <w:szCs w:val="22"/>
                      <w:lang w:eastAsia="zh-CN"/>
                    </w:rPr>
                    <w:t>～</w:t>
                  </w:r>
                  <w:r>
                    <w:rPr>
                      <w:rFonts w:hint="default" w:ascii="Times New Roman" w:hAnsi="Times New Roman" w:cs="Times New Roman"/>
                      <w:color w:val="auto"/>
                      <w:sz w:val="22"/>
                      <w:szCs w:val="22"/>
                    </w:rPr>
                    <w:t>110m</w:t>
                  </w:r>
                </w:p>
                <w:p w14:paraId="011C2BF4">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宽：1m</w:t>
                  </w:r>
                  <w:r>
                    <w:rPr>
                      <w:rFonts w:hint="eastAsia" w:cs="Times New Roman"/>
                      <w:color w:val="auto"/>
                      <w:sz w:val="22"/>
                      <w:szCs w:val="22"/>
                      <w:lang w:eastAsia="zh-CN"/>
                    </w:rPr>
                    <w:t>～</w:t>
                  </w:r>
                  <w:r>
                    <w:rPr>
                      <w:rFonts w:hint="default" w:ascii="Times New Roman" w:hAnsi="Times New Roman" w:cs="Times New Roman"/>
                      <w:color w:val="auto"/>
                      <w:sz w:val="22"/>
                      <w:szCs w:val="22"/>
                    </w:rPr>
                    <w:t>3.5m</w:t>
                  </w:r>
                </w:p>
                <w:p w14:paraId="623331C6">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厚：3mm</w:t>
                  </w:r>
                  <w:r>
                    <w:rPr>
                      <w:rFonts w:hint="eastAsia" w:cs="Times New Roman"/>
                      <w:color w:val="auto"/>
                      <w:sz w:val="22"/>
                      <w:szCs w:val="22"/>
                      <w:lang w:eastAsia="zh-CN"/>
                    </w:rPr>
                    <w:t>～</w:t>
                  </w:r>
                  <w:r>
                    <w:rPr>
                      <w:rFonts w:hint="default" w:ascii="Times New Roman" w:hAnsi="Times New Roman" w:cs="Times New Roman"/>
                      <w:color w:val="auto"/>
                      <w:sz w:val="22"/>
                      <w:szCs w:val="22"/>
                    </w:rPr>
                    <w:t>20mm</w:t>
                  </w:r>
                  <w:r>
                    <w:rPr>
                      <w:rFonts w:hint="eastAsia" w:ascii="Times New Roman" w:hAnsi="Times New Roman" w:cs="Times New Roman"/>
                      <w:color w:val="auto"/>
                      <w:sz w:val="22"/>
                      <w:szCs w:val="22"/>
                      <w:lang w:eastAsia="zh-CN"/>
                    </w:rPr>
                    <w:t>）</w:t>
                  </w:r>
                </w:p>
              </w:tc>
              <w:tc>
                <w:tcPr>
                  <w:tcW w:w="1142" w:type="pct"/>
                  <w:noWrap w:val="0"/>
                  <w:vAlign w:val="center"/>
                </w:tcPr>
                <w:p w14:paraId="19B145D3">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w:t>
                  </w:r>
                </w:p>
              </w:tc>
            </w:tr>
            <w:tr w14:paraId="0139FF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58" w:type="pct"/>
                  <w:noWrap w:val="0"/>
                  <w:vAlign w:val="center"/>
                </w:tcPr>
                <w:p w14:paraId="130AD5C1">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2</w:t>
                  </w:r>
                </w:p>
              </w:tc>
              <w:tc>
                <w:tcPr>
                  <w:tcW w:w="877" w:type="pct"/>
                  <w:noWrap w:val="0"/>
                  <w:vAlign w:val="center"/>
                </w:tcPr>
                <w:p w14:paraId="3B6E79C0">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cs="Times New Roman"/>
                      <w:color w:val="auto"/>
                      <w:sz w:val="22"/>
                      <w:szCs w:val="22"/>
                      <w:lang w:val="en-US" w:eastAsia="zh-CN"/>
                    </w:rPr>
                  </w:pPr>
                  <w:r>
                    <w:rPr>
                      <w:rFonts w:hint="eastAsia" w:ascii="Times New Roman" w:hAnsi="Times New Roman" w:cs="Times New Roman"/>
                      <w:color w:val="auto"/>
                      <w:sz w:val="22"/>
                      <w:szCs w:val="22"/>
                      <w:lang w:val="en-US" w:eastAsia="zh-CN"/>
                    </w:rPr>
                    <w:t>车用纤维隔热片</w:t>
                  </w:r>
                  <w:r>
                    <w:rPr>
                      <w:rFonts w:hint="eastAsia" w:cs="Times New Roman"/>
                      <w:color w:val="auto"/>
                      <w:sz w:val="22"/>
                      <w:szCs w:val="22"/>
                      <w:lang w:val="en-US" w:eastAsia="zh-CN"/>
                    </w:rPr>
                    <w:t>生产线</w:t>
                  </w:r>
                </w:p>
              </w:tc>
              <w:tc>
                <w:tcPr>
                  <w:tcW w:w="637" w:type="pct"/>
                  <w:noWrap w:val="0"/>
                  <w:vAlign w:val="center"/>
                </w:tcPr>
                <w:p w14:paraId="7A851C0D">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eastAsia" w:cs="Times New Roman"/>
                      <w:color w:val="auto"/>
                      <w:sz w:val="22"/>
                      <w:szCs w:val="22"/>
                      <w:lang w:val="en-US" w:eastAsia="zh-CN"/>
                    </w:rPr>
                  </w:pPr>
                  <w:r>
                    <w:rPr>
                      <w:rFonts w:hint="eastAsia" w:ascii="Times New Roman" w:hAnsi="Times New Roman" w:cs="Times New Roman"/>
                      <w:color w:val="auto"/>
                      <w:sz w:val="22"/>
                      <w:szCs w:val="22"/>
                      <w:lang w:val="en-US" w:eastAsia="zh-CN"/>
                    </w:rPr>
                    <w:t>车用纤维隔热片</w:t>
                  </w:r>
                </w:p>
              </w:tc>
              <w:tc>
                <w:tcPr>
                  <w:tcW w:w="620" w:type="pct"/>
                  <w:noWrap w:val="0"/>
                  <w:vAlign w:val="center"/>
                </w:tcPr>
                <w:p w14:paraId="1DDC1435">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1500</w:t>
                  </w:r>
                </w:p>
              </w:tc>
              <w:tc>
                <w:tcPr>
                  <w:tcW w:w="1263" w:type="pct"/>
                  <w:noWrap w:val="0"/>
                  <w:vAlign w:val="center"/>
                </w:tcPr>
                <w:p w14:paraId="46843088">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密度：80kg/m</w:t>
                  </w:r>
                  <w:r>
                    <w:rPr>
                      <w:rFonts w:hint="default" w:ascii="Times New Roman" w:hAnsi="Times New Roman" w:cs="Times New Roman"/>
                      <w:color w:val="auto"/>
                      <w:sz w:val="22"/>
                      <w:szCs w:val="22"/>
                      <w:vertAlign w:val="superscript"/>
                    </w:rPr>
                    <w:t>3</w:t>
                  </w:r>
                  <w:r>
                    <w:rPr>
                      <w:rFonts w:hint="default" w:ascii="Times New Roman" w:hAnsi="Times New Roman" w:cs="Times New Roman"/>
                      <w:color w:val="auto"/>
                      <w:sz w:val="22"/>
                      <w:szCs w:val="22"/>
                    </w:rPr>
                    <w:t>~</w:t>
                  </w:r>
                  <w:r>
                    <w:rPr>
                      <w:rFonts w:hint="eastAsia" w:cs="Times New Roman"/>
                      <w:color w:val="auto"/>
                      <w:sz w:val="22"/>
                      <w:szCs w:val="22"/>
                      <w:lang w:val="en-US" w:eastAsia="zh-CN"/>
                    </w:rPr>
                    <w:t>25</w:t>
                  </w:r>
                  <w:r>
                    <w:rPr>
                      <w:rFonts w:hint="default" w:ascii="Times New Roman" w:hAnsi="Times New Roman" w:cs="Times New Roman"/>
                      <w:color w:val="auto"/>
                      <w:sz w:val="22"/>
                      <w:szCs w:val="22"/>
                    </w:rPr>
                    <w:t>0kgm</w:t>
                  </w:r>
                  <w:r>
                    <w:rPr>
                      <w:rFonts w:hint="default" w:ascii="Times New Roman" w:hAnsi="Times New Roman" w:cs="Times New Roman"/>
                      <w:color w:val="auto"/>
                      <w:sz w:val="22"/>
                      <w:szCs w:val="22"/>
                      <w:vertAlign w:val="superscript"/>
                    </w:rPr>
                    <w:t>3</w:t>
                  </w:r>
                </w:p>
                <w:p w14:paraId="5B5CB551">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尺寸：异形件</w:t>
                  </w:r>
                </w:p>
              </w:tc>
              <w:tc>
                <w:tcPr>
                  <w:tcW w:w="1142" w:type="pct"/>
                  <w:noWrap w:val="0"/>
                  <w:vAlign w:val="center"/>
                </w:tcPr>
                <w:p w14:paraId="4E0493AB">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用于燃油车、新能源汽车零部件的隔热</w:t>
                  </w:r>
                </w:p>
              </w:tc>
            </w:tr>
            <w:tr w14:paraId="25C2D9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58" w:type="pct"/>
                  <w:noWrap w:val="0"/>
                  <w:vAlign w:val="center"/>
                </w:tcPr>
                <w:p w14:paraId="74D12876">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3</w:t>
                  </w:r>
                </w:p>
              </w:tc>
              <w:tc>
                <w:tcPr>
                  <w:tcW w:w="877" w:type="pct"/>
                  <w:noWrap w:val="0"/>
                  <w:vAlign w:val="center"/>
                </w:tcPr>
                <w:p w14:paraId="26BCA4DA">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车用消音</w:t>
                  </w:r>
                  <w:r>
                    <w:rPr>
                      <w:rFonts w:hint="eastAsia" w:cs="Times New Roman"/>
                      <w:color w:val="auto"/>
                      <w:sz w:val="22"/>
                      <w:szCs w:val="22"/>
                      <w:lang w:val="en-US" w:eastAsia="zh-CN"/>
                    </w:rPr>
                    <w:t>隔热</w:t>
                  </w:r>
                  <w:r>
                    <w:rPr>
                      <w:rFonts w:hint="eastAsia" w:ascii="Times New Roman" w:hAnsi="Times New Roman" w:cs="Times New Roman"/>
                      <w:color w:val="auto"/>
                      <w:sz w:val="22"/>
                      <w:szCs w:val="22"/>
                      <w:lang w:val="en-US" w:eastAsia="zh-CN"/>
                    </w:rPr>
                    <w:t>棉</w:t>
                  </w:r>
                  <w:r>
                    <w:rPr>
                      <w:rFonts w:hint="eastAsia" w:cs="Times New Roman"/>
                      <w:color w:val="auto"/>
                      <w:sz w:val="22"/>
                      <w:szCs w:val="22"/>
                      <w:lang w:val="en-US" w:eastAsia="zh-CN"/>
                    </w:rPr>
                    <w:t>生产线</w:t>
                  </w:r>
                </w:p>
              </w:tc>
              <w:tc>
                <w:tcPr>
                  <w:tcW w:w="637" w:type="pct"/>
                  <w:noWrap w:val="0"/>
                  <w:vAlign w:val="center"/>
                </w:tcPr>
                <w:p w14:paraId="6CC2A79F">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车用消音</w:t>
                  </w:r>
                  <w:r>
                    <w:rPr>
                      <w:rFonts w:hint="eastAsia" w:cs="Times New Roman"/>
                      <w:color w:val="auto"/>
                      <w:sz w:val="22"/>
                      <w:szCs w:val="22"/>
                      <w:lang w:val="en-US" w:eastAsia="zh-CN"/>
                    </w:rPr>
                    <w:t>隔热</w:t>
                  </w:r>
                  <w:r>
                    <w:rPr>
                      <w:rFonts w:hint="eastAsia" w:ascii="Times New Roman" w:hAnsi="Times New Roman" w:cs="Times New Roman"/>
                      <w:color w:val="auto"/>
                      <w:sz w:val="22"/>
                      <w:szCs w:val="22"/>
                      <w:lang w:val="en-US" w:eastAsia="zh-CN"/>
                    </w:rPr>
                    <w:t>棉</w:t>
                  </w:r>
                </w:p>
              </w:tc>
              <w:tc>
                <w:tcPr>
                  <w:tcW w:w="620" w:type="pct"/>
                  <w:noWrap w:val="0"/>
                  <w:vAlign w:val="center"/>
                </w:tcPr>
                <w:p w14:paraId="57F5A4EB">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1500</w:t>
                  </w:r>
                </w:p>
              </w:tc>
              <w:tc>
                <w:tcPr>
                  <w:tcW w:w="1263" w:type="pct"/>
                  <w:noWrap w:val="0"/>
                  <w:vAlign w:val="center"/>
                </w:tcPr>
                <w:p w14:paraId="5F4029AA">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0-3000g</w:t>
                  </w:r>
                </w:p>
              </w:tc>
              <w:tc>
                <w:tcPr>
                  <w:tcW w:w="1142" w:type="pct"/>
                  <w:noWrap w:val="0"/>
                  <w:vAlign w:val="center"/>
                </w:tcPr>
                <w:p w14:paraId="292FBDB4">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用于燃油车、新能源汽车零部件的隔热</w:t>
                  </w:r>
                </w:p>
              </w:tc>
            </w:tr>
          </w:tbl>
          <w:p w14:paraId="0F23DC6A">
            <w:pPr>
              <w:ind w:left="0" w:leftChars="0" w:firstLine="0" w:firstLineChars="0"/>
              <w:rPr>
                <w:rFonts w:hint="default" w:cs="Times New Roman"/>
                <w:color w:val="auto"/>
                <w:sz w:val="26"/>
                <w:szCs w:val="26"/>
                <w:lang w:val="en-US" w:eastAsia="zh-CN"/>
              </w:rPr>
            </w:pPr>
          </w:p>
          <w:p w14:paraId="3126D415">
            <w:pPr>
              <w:pStyle w:val="4"/>
              <w:pageBreakBefore w:val="0"/>
              <w:widowControl w:val="0"/>
              <w:kinsoku/>
              <w:wordWrap/>
              <w:overflowPunct/>
              <w:topLinePunct w:val="0"/>
              <w:autoSpaceDE/>
              <w:autoSpaceDN/>
              <w:bidi w:val="0"/>
              <w:adjustRightInd w:val="0"/>
              <w:snapToGrid w:val="0"/>
              <w:spacing w:beforeLines="0" w:afterLines="0" w:line="460" w:lineRule="exact"/>
              <w:rPr>
                <w:rFonts w:hint="default" w:ascii="Times New Roman" w:hAnsi="Times New Roman" w:eastAsia="宋体" w:cs="Times New Roman"/>
                <w:color w:val="auto"/>
                <w:sz w:val="26"/>
                <w:szCs w:val="26"/>
                <w:lang w:val="en-US" w:eastAsia="zh-CN"/>
              </w:rPr>
            </w:pPr>
            <w:r>
              <w:rPr>
                <w:rFonts w:hint="eastAsia" w:cs="Times New Roman"/>
                <w:color w:val="auto"/>
                <w:sz w:val="26"/>
                <w:szCs w:val="26"/>
                <w:lang w:val="en-US" w:eastAsia="zh-CN"/>
              </w:rPr>
              <w:t>2.1.4</w:t>
            </w:r>
            <w:r>
              <w:rPr>
                <w:rFonts w:hint="default" w:ascii="Times New Roman" w:hAnsi="Times New Roman" w:eastAsia="宋体" w:cs="Times New Roman"/>
                <w:color w:val="auto"/>
                <w:sz w:val="26"/>
                <w:szCs w:val="26"/>
                <w:lang w:val="en-US" w:eastAsia="zh-CN"/>
              </w:rPr>
              <w:t>项目组成</w:t>
            </w:r>
          </w:p>
          <w:p w14:paraId="65FAFB43">
            <w:pPr>
              <w:pageBreakBefore w:val="0"/>
              <w:widowControl w:val="0"/>
              <w:kinsoku/>
              <w:wordWrap/>
              <w:overflowPunct/>
              <w:topLinePunct w:val="0"/>
              <w:autoSpaceDE/>
              <w:autoSpaceDN/>
              <w:bidi w:val="0"/>
              <w:adjustRightInd w:val="0"/>
              <w:snapToGrid w:val="0"/>
              <w:spacing w:line="460" w:lineRule="exact"/>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项目</w:t>
            </w:r>
            <w:r>
              <w:rPr>
                <w:rFonts w:hint="eastAsia" w:cs="Times New Roman"/>
                <w:color w:val="auto"/>
                <w:sz w:val="26"/>
                <w:szCs w:val="26"/>
                <w:lang w:val="en-US" w:eastAsia="zh-CN"/>
              </w:rPr>
              <w:t>租赁博盟汽车科技（重庆）有限公司3号厂房一层西侧区域进行生产线的建设，</w:t>
            </w:r>
            <w:r>
              <w:rPr>
                <w:rFonts w:hint="default" w:ascii="Times New Roman" w:hAnsi="Times New Roman" w:eastAsia="宋体" w:cs="Times New Roman"/>
                <w:color w:val="auto"/>
                <w:sz w:val="26"/>
                <w:szCs w:val="26"/>
                <w:lang w:val="en-US" w:eastAsia="zh-CN"/>
              </w:rPr>
              <w:t>本项目由主体工程、辅助工程、公用工程、环保工程和储运工程组成。本项目工程组成情况见表2.1-</w:t>
            </w:r>
            <w:r>
              <w:rPr>
                <w:rFonts w:hint="eastAsia" w:cs="Times New Roman"/>
                <w:color w:val="auto"/>
                <w:sz w:val="26"/>
                <w:szCs w:val="26"/>
                <w:lang w:val="en-US" w:eastAsia="zh-CN"/>
              </w:rPr>
              <w:t>2.1</w:t>
            </w:r>
            <w:r>
              <w:rPr>
                <w:rFonts w:hint="default" w:ascii="Times New Roman" w:hAnsi="Times New Roman" w:eastAsia="宋体" w:cs="Times New Roman"/>
                <w:color w:val="auto"/>
                <w:sz w:val="26"/>
                <w:szCs w:val="26"/>
                <w:lang w:val="en-US" w:eastAsia="zh-CN"/>
              </w:rPr>
              <w:t>。</w:t>
            </w:r>
          </w:p>
          <w:p w14:paraId="5E23DAEC">
            <w:pPr>
              <w:pageBreakBefore w:val="0"/>
              <w:widowControl w:val="0"/>
              <w:kinsoku/>
              <w:wordWrap/>
              <w:overflowPunct/>
              <w:topLinePunct w:val="0"/>
              <w:autoSpaceDE/>
              <w:autoSpaceDN/>
              <w:bidi w:val="0"/>
              <w:adjustRightInd w:val="0"/>
              <w:snapToGrid w:val="0"/>
              <w:spacing w:line="460" w:lineRule="exact"/>
              <w:rPr>
                <w:rFonts w:hint="default" w:ascii="Times New Roman" w:hAnsi="Times New Roman" w:eastAsia="宋体" w:cs="Times New Roman"/>
                <w:color w:val="auto"/>
                <w:sz w:val="26"/>
                <w:szCs w:val="26"/>
                <w:lang w:val="en-US" w:eastAsia="zh-CN"/>
              </w:rPr>
            </w:pPr>
          </w:p>
          <w:p w14:paraId="2F00FE50">
            <w:pPr>
              <w:pStyle w:val="27"/>
              <w:pageBreakBefore w:val="0"/>
              <w:widowControl w:val="0"/>
              <w:kinsoku/>
              <w:wordWrap/>
              <w:overflowPunct/>
              <w:topLinePunct w:val="0"/>
              <w:autoSpaceDE/>
              <w:autoSpaceDN/>
              <w:bidi w:val="0"/>
              <w:adjustRightInd w:val="0"/>
              <w:snapToGrid w:val="0"/>
              <w:spacing w:line="460" w:lineRule="exact"/>
              <w:ind w:firstLine="520" w:firstLineChars="200"/>
              <w:jc w:val="both"/>
              <w:rPr>
                <w:rFonts w:hint="eastAsia"/>
                <w:color w:val="auto"/>
                <w:lang w:val="en-US" w:eastAsia="zh-CN"/>
              </w:rPr>
            </w:pPr>
            <w:r>
              <w:rPr>
                <w:rFonts w:hint="default" w:ascii="Times New Roman" w:hAnsi="Times New Roman" w:eastAsia="宋体" w:cs="Times New Roman"/>
                <w:color w:val="auto"/>
                <w:sz w:val="26"/>
                <w:szCs w:val="26"/>
                <w:lang w:val="en-US" w:eastAsia="zh-CN"/>
              </w:rPr>
              <w:t>表2.1</w:t>
            </w:r>
            <w:r>
              <w:rPr>
                <w:rFonts w:hint="eastAsia" w:eastAsia="宋体" w:cs="Times New Roman"/>
                <w:color w:val="auto"/>
                <w:sz w:val="26"/>
                <w:szCs w:val="26"/>
                <w:lang w:val="en-US" w:eastAsia="zh-CN"/>
              </w:rPr>
              <w:t>-2.1</w:t>
            </w:r>
            <w:r>
              <w:rPr>
                <w:rFonts w:hint="default" w:ascii="Times New Roman" w:hAnsi="Times New Roman" w:eastAsia="宋体" w:cs="Times New Roman"/>
                <w:color w:val="auto"/>
                <w:sz w:val="26"/>
                <w:szCs w:val="26"/>
                <w:lang w:val="en-US" w:eastAsia="zh-CN"/>
              </w:rPr>
              <w:t xml:space="preserve"> </w:t>
            </w:r>
            <w:r>
              <w:rPr>
                <w:rFonts w:hint="eastAsia" w:ascii="Times New Roman" w:hAnsi="Times New Roman" w:eastAsia="宋体" w:cs="Times New Roman"/>
                <w:color w:val="auto"/>
                <w:sz w:val="26"/>
                <w:szCs w:val="26"/>
                <w:lang w:val="en-US" w:eastAsia="zh-CN"/>
              </w:rPr>
              <w:t xml:space="preserve">        </w:t>
            </w:r>
            <w:r>
              <w:rPr>
                <w:rFonts w:hint="default" w:ascii="Times New Roman" w:hAnsi="Times New Roman" w:eastAsia="宋体" w:cs="Times New Roman"/>
                <w:color w:val="auto"/>
                <w:sz w:val="26"/>
                <w:szCs w:val="26"/>
                <w:lang w:val="en-US" w:eastAsia="zh-CN"/>
              </w:rPr>
              <w:t>项目组成一览表</w:t>
            </w:r>
          </w:p>
          <w:tbl>
            <w:tblPr>
              <w:tblStyle w:val="18"/>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19"/>
              <w:gridCol w:w="5168"/>
              <w:gridCol w:w="798"/>
            </w:tblGrid>
            <w:tr w14:paraId="64373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vAlign w:val="center"/>
                </w:tcPr>
                <w:p w14:paraId="03B90458">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工程分类</w:t>
                  </w:r>
                </w:p>
              </w:tc>
              <w:tc>
                <w:tcPr>
                  <w:tcW w:w="772" w:type="pct"/>
                  <w:vAlign w:val="center"/>
                </w:tcPr>
                <w:p w14:paraId="6E3B5E5D">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项目组成</w:t>
                  </w:r>
                </w:p>
              </w:tc>
              <w:tc>
                <w:tcPr>
                  <w:tcW w:w="3273" w:type="pct"/>
                  <w:vAlign w:val="center"/>
                </w:tcPr>
                <w:p w14:paraId="7E32C03C">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工程内容</w:t>
                  </w:r>
                </w:p>
              </w:tc>
              <w:tc>
                <w:tcPr>
                  <w:tcW w:w="505" w:type="pct"/>
                  <w:vAlign w:val="center"/>
                </w:tcPr>
                <w:p w14:paraId="707A156D">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备注</w:t>
                  </w:r>
                </w:p>
              </w:tc>
            </w:tr>
            <w:tr w14:paraId="565F2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vAlign w:val="center"/>
                </w:tcPr>
                <w:p w14:paraId="73CF0F49">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主体工程</w:t>
                  </w:r>
                </w:p>
              </w:tc>
              <w:tc>
                <w:tcPr>
                  <w:tcW w:w="772" w:type="pct"/>
                  <w:vAlign w:val="center"/>
                </w:tcPr>
                <w:p w14:paraId="68B69F24">
                  <w:pPr>
                    <w:pStyle w:val="26"/>
                    <w:keepNext w:val="0"/>
                    <w:keepLines w:val="0"/>
                    <w:pageBreakBefore w:val="0"/>
                    <w:widowControl w:val="0"/>
                    <w:kinsoku/>
                    <w:wordWrap/>
                    <w:overflowPunct/>
                    <w:topLinePunct w:val="0"/>
                    <w:autoSpaceDE/>
                    <w:autoSpaceDN/>
                    <w:bidi w:val="0"/>
                    <w:adjustRightInd w:val="0"/>
                    <w:snapToGrid/>
                    <w:ind w:left="-48" w:leftChars="-20"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生产区</w:t>
                  </w:r>
                </w:p>
              </w:tc>
              <w:tc>
                <w:tcPr>
                  <w:tcW w:w="3273" w:type="pct"/>
                  <w:vAlign w:val="center"/>
                </w:tcPr>
                <w:p w14:paraId="52D56D9F">
                  <w:pPr>
                    <w:pStyle w:val="26"/>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color w:val="auto"/>
                      <w:sz w:val="22"/>
                      <w:szCs w:val="22"/>
                      <w:vertAlign w:val="baseline"/>
                      <w:lang w:val="en-US" w:eastAsia="zh-CN"/>
                    </w:rPr>
                  </w:pPr>
                  <w:r>
                    <w:rPr>
                      <w:rFonts w:hint="eastAsia"/>
                      <w:color w:val="auto"/>
                      <w:sz w:val="22"/>
                      <w:szCs w:val="22"/>
                      <w:lang w:val="en-US" w:eastAsia="zh-CN"/>
                    </w:rPr>
                    <w:t>生产区域面积约600m</w:t>
                  </w:r>
                  <w:r>
                    <w:rPr>
                      <w:rFonts w:hint="eastAsia"/>
                      <w:color w:val="auto"/>
                      <w:sz w:val="22"/>
                      <w:szCs w:val="22"/>
                      <w:vertAlign w:val="superscript"/>
                      <w:lang w:val="en-US" w:eastAsia="zh-CN"/>
                    </w:rPr>
                    <w:t>2</w:t>
                  </w:r>
                  <w:r>
                    <w:rPr>
                      <w:rFonts w:hint="eastAsia"/>
                      <w:color w:val="auto"/>
                      <w:sz w:val="22"/>
                      <w:szCs w:val="22"/>
                      <w:lang w:val="en-US" w:eastAsia="zh-CN"/>
                    </w:rPr>
                    <w:t>，</w:t>
                  </w:r>
                  <w:r>
                    <w:rPr>
                      <w:rFonts w:hint="eastAsia"/>
                      <w:color w:val="auto"/>
                      <w:sz w:val="22"/>
                      <w:szCs w:val="22"/>
                      <w:vertAlign w:val="baseline"/>
                      <w:lang w:val="en-US" w:eastAsia="zh-CN"/>
                    </w:rPr>
                    <w:t>位于租赁区域的东侧位置，分别设置有一条玻璃纤维毡、一条车用消音隔热棉、一条车用纤维隔热片生产线。</w:t>
                  </w:r>
                </w:p>
                <w:p w14:paraId="484B66F0">
                  <w:pPr>
                    <w:pStyle w:val="26"/>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color w:val="auto"/>
                      <w:sz w:val="22"/>
                      <w:szCs w:val="22"/>
                      <w:vertAlign w:val="baseline"/>
                      <w:lang w:val="en-US" w:eastAsia="zh-CN"/>
                    </w:rPr>
                  </w:pPr>
                  <w:r>
                    <w:rPr>
                      <w:rFonts w:hint="eastAsia"/>
                      <w:color w:val="auto"/>
                      <w:sz w:val="22"/>
                      <w:szCs w:val="22"/>
                      <w:vertAlign w:val="baseline"/>
                      <w:lang w:val="en-US" w:eastAsia="zh-CN"/>
                    </w:rPr>
                    <w:t>玻璃纤维毡生产线：主要装置为大仓混棉仓、振动给棉机、振动均整仪、梳理机、铺网机等；</w:t>
                  </w:r>
                </w:p>
                <w:p w14:paraId="283EA6DC">
                  <w:pPr>
                    <w:pStyle w:val="26"/>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color w:val="auto"/>
                      <w:sz w:val="22"/>
                      <w:szCs w:val="22"/>
                      <w:vertAlign w:val="baseline"/>
                      <w:lang w:val="en-US" w:eastAsia="zh-CN"/>
                    </w:rPr>
                  </w:pPr>
                  <w:r>
                    <w:rPr>
                      <w:rFonts w:hint="eastAsia"/>
                      <w:color w:val="auto"/>
                      <w:sz w:val="22"/>
                      <w:szCs w:val="22"/>
                      <w:vertAlign w:val="baseline"/>
                      <w:lang w:val="en-US" w:eastAsia="zh-CN"/>
                    </w:rPr>
                    <w:t>车用消音隔热棉生产线：主要装置为玻璃纤维膨化机；</w:t>
                  </w:r>
                </w:p>
                <w:p w14:paraId="3260B7CF">
                  <w:pPr>
                    <w:pStyle w:val="26"/>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车用纤维隔热片生产线：主要生产装置为精密气动裁切机。</w:t>
                  </w:r>
                </w:p>
              </w:tc>
              <w:tc>
                <w:tcPr>
                  <w:tcW w:w="505" w:type="pct"/>
                  <w:vAlign w:val="center"/>
                </w:tcPr>
                <w:p w14:paraId="6FFB029C">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新建</w:t>
                  </w:r>
                </w:p>
              </w:tc>
            </w:tr>
            <w:tr w14:paraId="52E22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vAlign w:val="center"/>
                </w:tcPr>
                <w:p w14:paraId="4441CF70">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辅助工程</w:t>
                  </w:r>
                </w:p>
              </w:tc>
              <w:tc>
                <w:tcPr>
                  <w:tcW w:w="772" w:type="pct"/>
                  <w:shd w:val="clear" w:color="auto" w:fill="auto"/>
                  <w:vAlign w:val="center"/>
                </w:tcPr>
                <w:p w14:paraId="62F9C500">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eastAsia"/>
                      <w:color w:val="auto"/>
                      <w:sz w:val="22"/>
                      <w:szCs w:val="22"/>
                      <w:lang w:val="en-US" w:eastAsia="zh-CN"/>
                    </w:rPr>
                    <w:t>办公区</w:t>
                  </w:r>
                </w:p>
              </w:tc>
              <w:tc>
                <w:tcPr>
                  <w:tcW w:w="3273" w:type="pct"/>
                  <w:shd w:val="clear" w:color="auto" w:fill="auto"/>
                  <w:vAlign w:val="center"/>
                </w:tcPr>
                <w:p w14:paraId="617F398C">
                  <w:pPr>
                    <w:pStyle w:val="26"/>
                    <w:keepNext w:val="0"/>
                    <w:keepLines w:val="0"/>
                    <w:pageBreakBefore w:val="0"/>
                    <w:widowControl w:val="0"/>
                    <w:kinsoku/>
                    <w:wordWrap/>
                    <w:overflowPunct/>
                    <w:topLinePunct w:val="0"/>
                    <w:autoSpaceDE/>
                    <w:autoSpaceDN/>
                    <w:bidi w:val="0"/>
                    <w:adjustRightInd w:val="0"/>
                    <w:snapToGrid/>
                    <w:ind w:firstLine="0" w:firstLineChars="0"/>
                    <w:jc w:val="left"/>
                    <w:textAlignment w:val="auto"/>
                    <w:rPr>
                      <w:rFonts w:hint="default" w:ascii="Times New Roman" w:hAnsi="Times New Roman" w:eastAsia="宋体" w:cs="Times New Roman"/>
                      <w:color w:val="auto"/>
                      <w:kern w:val="2"/>
                      <w:sz w:val="22"/>
                      <w:szCs w:val="22"/>
                      <w:lang w:val="en-US" w:eastAsia="zh-CN" w:bidi="ar-SA"/>
                    </w:rPr>
                  </w:pPr>
                  <w:r>
                    <w:rPr>
                      <w:rFonts w:hint="eastAsia"/>
                      <w:color w:val="auto"/>
                      <w:sz w:val="22"/>
                      <w:szCs w:val="22"/>
                      <w:lang w:val="en-US" w:eastAsia="zh-CN"/>
                    </w:rPr>
                    <w:t>位于租赁区域的北侧位置，建筑面积为32.5m</w:t>
                  </w:r>
                  <w:r>
                    <w:rPr>
                      <w:rFonts w:hint="eastAsia"/>
                      <w:color w:val="auto"/>
                      <w:sz w:val="22"/>
                      <w:szCs w:val="22"/>
                      <w:vertAlign w:val="superscript"/>
                      <w:lang w:val="en-US" w:eastAsia="zh-CN"/>
                    </w:rPr>
                    <w:t>2</w:t>
                  </w:r>
                  <w:r>
                    <w:rPr>
                      <w:rFonts w:hint="eastAsia"/>
                      <w:color w:val="auto"/>
                      <w:sz w:val="22"/>
                      <w:szCs w:val="22"/>
                      <w:lang w:val="en-US" w:eastAsia="zh-CN"/>
                    </w:rPr>
                    <w:t>，主要用于员工办公。</w:t>
                  </w:r>
                </w:p>
              </w:tc>
              <w:tc>
                <w:tcPr>
                  <w:tcW w:w="505" w:type="pct"/>
                  <w:vAlign w:val="center"/>
                </w:tcPr>
                <w:p w14:paraId="672D3CDC">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新建</w:t>
                  </w:r>
                </w:p>
              </w:tc>
            </w:tr>
            <w:tr w14:paraId="4E177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vMerge w:val="restart"/>
                  <w:vAlign w:val="center"/>
                </w:tcPr>
                <w:p w14:paraId="301944A6">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公用工程</w:t>
                  </w:r>
                </w:p>
              </w:tc>
              <w:tc>
                <w:tcPr>
                  <w:tcW w:w="772" w:type="pct"/>
                  <w:vAlign w:val="center"/>
                </w:tcPr>
                <w:p w14:paraId="52605D97">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给水</w:t>
                  </w:r>
                </w:p>
              </w:tc>
              <w:tc>
                <w:tcPr>
                  <w:tcW w:w="3273" w:type="pct"/>
                  <w:vAlign w:val="center"/>
                </w:tcPr>
                <w:p w14:paraId="22E70953">
                  <w:pPr>
                    <w:pStyle w:val="26"/>
                    <w:keepNext w:val="0"/>
                    <w:keepLines w:val="0"/>
                    <w:pageBreakBefore w:val="0"/>
                    <w:widowControl w:val="0"/>
                    <w:kinsoku/>
                    <w:wordWrap/>
                    <w:overflowPunct/>
                    <w:topLinePunct w:val="0"/>
                    <w:autoSpaceDE/>
                    <w:autoSpaceDN/>
                    <w:bidi w:val="0"/>
                    <w:adjustRightInd w:val="0"/>
                    <w:snapToGrid/>
                    <w:ind w:firstLine="0" w:firstLineChars="0"/>
                    <w:jc w:val="left"/>
                    <w:textAlignment w:val="auto"/>
                    <w:rPr>
                      <w:rFonts w:hint="default"/>
                      <w:color w:val="auto"/>
                      <w:sz w:val="22"/>
                      <w:szCs w:val="22"/>
                      <w:lang w:val="en-US" w:eastAsia="zh-CN"/>
                    </w:rPr>
                  </w:pPr>
                  <w:r>
                    <w:rPr>
                      <w:rFonts w:hint="eastAsia"/>
                      <w:color w:val="auto"/>
                      <w:sz w:val="22"/>
                      <w:szCs w:val="22"/>
                      <w:lang w:val="en-US" w:eastAsia="zh-CN"/>
                    </w:rPr>
                    <w:t>依托博盟汽车科技（重庆）有限公司现有给水管网。</w:t>
                  </w:r>
                </w:p>
              </w:tc>
              <w:tc>
                <w:tcPr>
                  <w:tcW w:w="505" w:type="pct"/>
                  <w:vAlign w:val="center"/>
                </w:tcPr>
                <w:p w14:paraId="7E6E65B8">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依托</w:t>
                  </w:r>
                </w:p>
              </w:tc>
            </w:tr>
            <w:tr w14:paraId="70C5A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vMerge w:val="continue"/>
                  <w:vAlign w:val="center"/>
                </w:tcPr>
                <w:p w14:paraId="73D0C41D">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p>
              </w:tc>
              <w:tc>
                <w:tcPr>
                  <w:tcW w:w="772" w:type="pct"/>
                  <w:vAlign w:val="center"/>
                </w:tcPr>
                <w:p w14:paraId="1F2D0D9E">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排水</w:t>
                  </w:r>
                </w:p>
              </w:tc>
              <w:tc>
                <w:tcPr>
                  <w:tcW w:w="3273" w:type="pct"/>
                  <w:vAlign w:val="center"/>
                </w:tcPr>
                <w:p w14:paraId="65DAA364">
                  <w:pPr>
                    <w:pStyle w:val="26"/>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color w:val="auto"/>
                      <w:sz w:val="22"/>
                      <w:szCs w:val="22"/>
                      <w:lang w:val="en-US" w:eastAsia="zh-CN"/>
                    </w:rPr>
                  </w:pPr>
                  <w:r>
                    <w:rPr>
                      <w:rFonts w:hint="eastAsia"/>
                      <w:color w:val="auto"/>
                      <w:sz w:val="22"/>
                      <w:szCs w:val="22"/>
                      <w:lang w:val="en-US" w:eastAsia="zh-CN"/>
                    </w:rPr>
                    <w:t>排水系统采用雨污分流制，本项目仅产生生活污水。雨水依托现有设施通过雨水管网排放。生活污水依托厂区内现有生化池（处理规模为</w:t>
                  </w:r>
                  <w:r>
                    <w:rPr>
                      <w:rFonts w:hint="eastAsia"/>
                      <w:color w:val="auto"/>
                      <w:sz w:val="22"/>
                      <w:szCs w:val="22"/>
                      <w:highlight w:val="none"/>
                      <w:lang w:val="en-US" w:eastAsia="zh-CN"/>
                    </w:rPr>
                    <w:t>60m</w:t>
                  </w:r>
                  <w:r>
                    <w:rPr>
                      <w:rFonts w:hint="eastAsia"/>
                      <w:color w:val="auto"/>
                      <w:sz w:val="22"/>
                      <w:szCs w:val="22"/>
                      <w:highlight w:val="none"/>
                      <w:vertAlign w:val="superscript"/>
                      <w:lang w:val="en-US" w:eastAsia="zh-CN"/>
                    </w:rPr>
                    <w:t>3</w:t>
                  </w:r>
                  <w:r>
                    <w:rPr>
                      <w:rFonts w:hint="eastAsia"/>
                      <w:color w:val="auto"/>
                      <w:sz w:val="22"/>
                      <w:szCs w:val="22"/>
                      <w:highlight w:val="none"/>
                      <w:lang w:val="en-US" w:eastAsia="zh-CN"/>
                    </w:rPr>
                    <w:t>/d</w:t>
                  </w:r>
                  <w:r>
                    <w:rPr>
                      <w:rFonts w:hint="eastAsia"/>
                      <w:color w:val="auto"/>
                      <w:sz w:val="22"/>
                      <w:szCs w:val="22"/>
                      <w:lang w:val="en-US" w:eastAsia="zh-CN"/>
                    </w:rPr>
                    <w:t>）处理后排放。</w:t>
                  </w:r>
                </w:p>
              </w:tc>
              <w:tc>
                <w:tcPr>
                  <w:tcW w:w="505" w:type="pct"/>
                  <w:vAlign w:val="center"/>
                </w:tcPr>
                <w:p w14:paraId="78C1E6EB">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依托</w:t>
                  </w:r>
                </w:p>
              </w:tc>
            </w:tr>
            <w:tr w14:paraId="7A5B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vMerge w:val="continue"/>
                  <w:vAlign w:val="center"/>
                </w:tcPr>
                <w:p w14:paraId="3D8F0AF6">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p>
              </w:tc>
              <w:tc>
                <w:tcPr>
                  <w:tcW w:w="772" w:type="pct"/>
                  <w:vAlign w:val="center"/>
                </w:tcPr>
                <w:p w14:paraId="60A2B449">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供电</w:t>
                  </w:r>
                </w:p>
              </w:tc>
              <w:tc>
                <w:tcPr>
                  <w:tcW w:w="3273" w:type="pct"/>
                  <w:vAlign w:val="center"/>
                </w:tcPr>
                <w:p w14:paraId="12B646AA">
                  <w:pPr>
                    <w:pStyle w:val="26"/>
                    <w:keepNext w:val="0"/>
                    <w:keepLines w:val="0"/>
                    <w:pageBreakBefore w:val="0"/>
                    <w:widowControl w:val="0"/>
                    <w:kinsoku/>
                    <w:wordWrap/>
                    <w:overflowPunct/>
                    <w:topLinePunct w:val="0"/>
                    <w:autoSpaceDE/>
                    <w:autoSpaceDN/>
                    <w:bidi w:val="0"/>
                    <w:adjustRightInd w:val="0"/>
                    <w:snapToGrid/>
                    <w:ind w:firstLine="0" w:firstLineChars="0"/>
                    <w:jc w:val="left"/>
                    <w:textAlignment w:val="auto"/>
                    <w:rPr>
                      <w:rFonts w:hint="default"/>
                      <w:color w:val="auto"/>
                      <w:sz w:val="22"/>
                      <w:szCs w:val="22"/>
                      <w:lang w:val="en-US" w:eastAsia="zh-CN"/>
                    </w:rPr>
                  </w:pPr>
                  <w:r>
                    <w:rPr>
                      <w:rFonts w:hint="eastAsia"/>
                      <w:color w:val="auto"/>
                      <w:sz w:val="22"/>
                      <w:szCs w:val="22"/>
                      <w:lang w:val="en-US" w:eastAsia="zh-CN"/>
                    </w:rPr>
                    <w:t>依托信息安全产业城市政供电系统。</w:t>
                  </w:r>
                </w:p>
              </w:tc>
              <w:tc>
                <w:tcPr>
                  <w:tcW w:w="505" w:type="pct"/>
                  <w:vAlign w:val="center"/>
                </w:tcPr>
                <w:p w14:paraId="651A8308">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依托</w:t>
                  </w:r>
                </w:p>
              </w:tc>
            </w:tr>
            <w:tr w14:paraId="189F5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vMerge w:val="continue"/>
                  <w:vAlign w:val="center"/>
                </w:tcPr>
                <w:p w14:paraId="6BAE6B14">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p>
              </w:tc>
              <w:tc>
                <w:tcPr>
                  <w:tcW w:w="772" w:type="pct"/>
                  <w:vAlign w:val="center"/>
                </w:tcPr>
                <w:p w14:paraId="0D8840D6">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压缩空气</w:t>
                  </w:r>
                </w:p>
              </w:tc>
              <w:tc>
                <w:tcPr>
                  <w:tcW w:w="3273" w:type="pct"/>
                  <w:vAlign w:val="center"/>
                </w:tcPr>
                <w:p w14:paraId="5EB59EE8">
                  <w:pPr>
                    <w:pStyle w:val="26"/>
                    <w:keepNext w:val="0"/>
                    <w:keepLines w:val="0"/>
                    <w:pageBreakBefore w:val="0"/>
                    <w:widowControl w:val="0"/>
                    <w:kinsoku/>
                    <w:wordWrap/>
                    <w:overflowPunct/>
                    <w:topLinePunct w:val="0"/>
                    <w:autoSpaceDE/>
                    <w:autoSpaceDN/>
                    <w:bidi w:val="0"/>
                    <w:adjustRightInd w:val="0"/>
                    <w:snapToGrid/>
                    <w:ind w:firstLine="0" w:firstLineChars="0"/>
                    <w:jc w:val="left"/>
                    <w:textAlignment w:val="auto"/>
                    <w:rPr>
                      <w:rFonts w:hint="default"/>
                      <w:color w:val="auto"/>
                      <w:sz w:val="22"/>
                      <w:szCs w:val="22"/>
                      <w:lang w:val="en-US" w:eastAsia="zh-CN"/>
                    </w:rPr>
                  </w:pPr>
                  <w:r>
                    <w:rPr>
                      <w:rFonts w:hint="eastAsia"/>
                      <w:color w:val="auto"/>
                      <w:sz w:val="22"/>
                      <w:szCs w:val="22"/>
                      <w:lang w:val="en-US" w:eastAsia="zh-CN"/>
                    </w:rPr>
                    <w:t>新建1台无油压缩机。</w:t>
                  </w:r>
                </w:p>
              </w:tc>
              <w:tc>
                <w:tcPr>
                  <w:tcW w:w="505" w:type="pct"/>
                  <w:vAlign w:val="center"/>
                </w:tcPr>
                <w:p w14:paraId="1A4712D2">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新建</w:t>
                  </w:r>
                </w:p>
              </w:tc>
            </w:tr>
            <w:tr w14:paraId="31DFB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vMerge w:val="restart"/>
                  <w:vAlign w:val="center"/>
                </w:tcPr>
                <w:p w14:paraId="7681361C">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储运工程</w:t>
                  </w:r>
                </w:p>
              </w:tc>
              <w:tc>
                <w:tcPr>
                  <w:tcW w:w="772" w:type="pct"/>
                  <w:vAlign w:val="center"/>
                </w:tcPr>
                <w:p w14:paraId="13B38E80">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原辅料存放区</w:t>
                  </w:r>
                </w:p>
              </w:tc>
              <w:tc>
                <w:tcPr>
                  <w:tcW w:w="3273" w:type="pct"/>
                  <w:vAlign w:val="center"/>
                </w:tcPr>
                <w:p w14:paraId="7A93AB7A">
                  <w:pPr>
                    <w:pStyle w:val="26"/>
                    <w:keepNext w:val="0"/>
                    <w:keepLines w:val="0"/>
                    <w:pageBreakBefore w:val="0"/>
                    <w:widowControl w:val="0"/>
                    <w:kinsoku/>
                    <w:wordWrap/>
                    <w:overflowPunct/>
                    <w:topLinePunct w:val="0"/>
                    <w:autoSpaceDE/>
                    <w:autoSpaceDN/>
                    <w:bidi w:val="0"/>
                    <w:adjustRightInd w:val="0"/>
                    <w:snapToGrid/>
                    <w:ind w:firstLine="0" w:firstLineChars="0"/>
                    <w:jc w:val="left"/>
                    <w:textAlignment w:val="auto"/>
                    <w:rPr>
                      <w:rFonts w:hint="default"/>
                      <w:color w:val="auto"/>
                      <w:sz w:val="22"/>
                      <w:szCs w:val="22"/>
                      <w:lang w:val="en-US" w:eastAsia="zh-CN"/>
                    </w:rPr>
                  </w:pPr>
                  <w:r>
                    <w:rPr>
                      <w:rFonts w:hint="eastAsia"/>
                      <w:color w:val="auto"/>
                      <w:sz w:val="22"/>
                      <w:szCs w:val="22"/>
                      <w:lang w:val="en-US" w:eastAsia="zh-CN"/>
                    </w:rPr>
                    <w:t>位于租赁区域的东南侧，其中原材料区面积为218m</w:t>
                  </w:r>
                  <w:r>
                    <w:rPr>
                      <w:rFonts w:hint="eastAsia"/>
                      <w:color w:val="auto"/>
                      <w:sz w:val="22"/>
                      <w:szCs w:val="22"/>
                      <w:vertAlign w:val="superscript"/>
                      <w:lang w:val="en-US" w:eastAsia="zh-CN"/>
                    </w:rPr>
                    <w:t>2</w:t>
                  </w:r>
                  <w:r>
                    <w:rPr>
                      <w:rFonts w:hint="eastAsia"/>
                      <w:color w:val="auto"/>
                      <w:sz w:val="22"/>
                      <w:szCs w:val="22"/>
                      <w:lang w:val="en-US" w:eastAsia="zh-CN"/>
                    </w:rPr>
                    <w:t>，主要用于存放玻璃纤维原卷成品、玻璃纤维短切纱等；辅料区，建设面积为70m</w:t>
                  </w:r>
                  <w:r>
                    <w:rPr>
                      <w:rFonts w:hint="eastAsia"/>
                      <w:color w:val="auto"/>
                      <w:sz w:val="22"/>
                      <w:szCs w:val="22"/>
                      <w:vertAlign w:val="superscript"/>
                      <w:lang w:val="en-US" w:eastAsia="zh-CN"/>
                    </w:rPr>
                    <w:t>2</w:t>
                  </w:r>
                  <w:r>
                    <w:rPr>
                      <w:rFonts w:hint="eastAsia"/>
                      <w:color w:val="auto"/>
                      <w:sz w:val="22"/>
                      <w:szCs w:val="22"/>
                      <w:lang w:val="en-US" w:eastAsia="zh-CN"/>
                    </w:rPr>
                    <w:t>，主要用于存放PE袋、编织袋、塑钢带、打包袋等。</w:t>
                  </w:r>
                </w:p>
              </w:tc>
              <w:tc>
                <w:tcPr>
                  <w:tcW w:w="505" w:type="pct"/>
                  <w:vAlign w:val="center"/>
                </w:tcPr>
                <w:p w14:paraId="1422A2A3">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新建</w:t>
                  </w:r>
                </w:p>
              </w:tc>
            </w:tr>
            <w:tr w14:paraId="5FB2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vMerge w:val="continue"/>
                  <w:vAlign w:val="center"/>
                </w:tcPr>
                <w:p w14:paraId="05B5E36C">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eastAsia"/>
                      <w:color w:val="auto"/>
                      <w:sz w:val="22"/>
                      <w:szCs w:val="22"/>
                      <w:lang w:val="en-US" w:eastAsia="zh-CN"/>
                    </w:rPr>
                  </w:pPr>
                </w:p>
              </w:tc>
              <w:tc>
                <w:tcPr>
                  <w:tcW w:w="772" w:type="pct"/>
                  <w:vAlign w:val="center"/>
                </w:tcPr>
                <w:p w14:paraId="081010C7">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成品区</w:t>
                  </w:r>
                </w:p>
              </w:tc>
              <w:tc>
                <w:tcPr>
                  <w:tcW w:w="3273" w:type="pct"/>
                  <w:vAlign w:val="center"/>
                </w:tcPr>
                <w:p w14:paraId="67141133">
                  <w:pPr>
                    <w:pStyle w:val="26"/>
                    <w:keepNext w:val="0"/>
                    <w:keepLines w:val="0"/>
                    <w:pageBreakBefore w:val="0"/>
                    <w:widowControl w:val="0"/>
                    <w:kinsoku/>
                    <w:wordWrap/>
                    <w:overflowPunct/>
                    <w:topLinePunct w:val="0"/>
                    <w:autoSpaceDE/>
                    <w:autoSpaceDN/>
                    <w:bidi w:val="0"/>
                    <w:adjustRightInd w:val="0"/>
                    <w:snapToGrid/>
                    <w:ind w:firstLine="0" w:firstLineChars="0"/>
                    <w:jc w:val="left"/>
                    <w:textAlignment w:val="auto"/>
                    <w:rPr>
                      <w:rFonts w:hint="default"/>
                      <w:color w:val="auto"/>
                      <w:sz w:val="22"/>
                      <w:szCs w:val="22"/>
                      <w:lang w:val="en-US" w:eastAsia="zh-CN"/>
                    </w:rPr>
                  </w:pPr>
                  <w:r>
                    <w:rPr>
                      <w:rFonts w:hint="eastAsia"/>
                      <w:color w:val="auto"/>
                      <w:sz w:val="22"/>
                      <w:szCs w:val="22"/>
                      <w:lang w:val="en-US" w:eastAsia="zh-CN"/>
                    </w:rPr>
                    <w:t>成品区，位于厂区西南侧，建筑面积为204m</w:t>
                  </w:r>
                  <w:r>
                    <w:rPr>
                      <w:rFonts w:hint="eastAsia"/>
                      <w:color w:val="auto"/>
                      <w:sz w:val="22"/>
                      <w:szCs w:val="22"/>
                      <w:vertAlign w:val="superscript"/>
                      <w:lang w:val="en-US" w:eastAsia="zh-CN"/>
                    </w:rPr>
                    <w:t>2</w:t>
                  </w:r>
                  <w:r>
                    <w:rPr>
                      <w:rFonts w:hint="eastAsia"/>
                      <w:color w:val="auto"/>
                      <w:sz w:val="22"/>
                      <w:szCs w:val="22"/>
                      <w:lang w:val="en-US" w:eastAsia="zh-CN"/>
                    </w:rPr>
                    <w:t>，主要用于存放车用纤维隔热片、车用消音隔热棉、玻璃纤维毡。</w:t>
                  </w:r>
                </w:p>
              </w:tc>
              <w:tc>
                <w:tcPr>
                  <w:tcW w:w="505" w:type="pct"/>
                  <w:vAlign w:val="center"/>
                </w:tcPr>
                <w:p w14:paraId="4D44784B">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新建</w:t>
                  </w:r>
                </w:p>
              </w:tc>
            </w:tr>
            <w:tr w14:paraId="3A1FB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vMerge w:val="continue"/>
                  <w:vAlign w:val="center"/>
                </w:tcPr>
                <w:p w14:paraId="154D26B6">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p>
              </w:tc>
              <w:tc>
                <w:tcPr>
                  <w:tcW w:w="772" w:type="pct"/>
                  <w:vAlign w:val="center"/>
                </w:tcPr>
                <w:p w14:paraId="0EFB8B4E">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固废</w:t>
                  </w:r>
                </w:p>
              </w:tc>
              <w:tc>
                <w:tcPr>
                  <w:tcW w:w="3273" w:type="pct"/>
                  <w:vAlign w:val="center"/>
                </w:tcPr>
                <w:p w14:paraId="5B028395">
                  <w:pPr>
                    <w:pStyle w:val="26"/>
                    <w:keepNext w:val="0"/>
                    <w:keepLines w:val="0"/>
                    <w:pageBreakBefore w:val="0"/>
                    <w:widowControl w:val="0"/>
                    <w:kinsoku/>
                    <w:wordWrap/>
                    <w:overflowPunct/>
                    <w:topLinePunct w:val="0"/>
                    <w:autoSpaceDE/>
                    <w:autoSpaceDN/>
                    <w:bidi w:val="0"/>
                    <w:adjustRightInd w:val="0"/>
                    <w:snapToGrid/>
                    <w:ind w:firstLine="0" w:firstLineChars="0"/>
                    <w:jc w:val="left"/>
                    <w:textAlignment w:val="auto"/>
                    <w:rPr>
                      <w:rFonts w:hint="eastAsia"/>
                      <w:color w:val="auto"/>
                      <w:sz w:val="22"/>
                      <w:szCs w:val="22"/>
                      <w:lang w:val="en-US" w:eastAsia="zh-CN"/>
                    </w:rPr>
                  </w:pPr>
                  <w:r>
                    <w:rPr>
                      <w:rFonts w:hint="eastAsia"/>
                      <w:color w:val="auto"/>
                      <w:sz w:val="22"/>
                      <w:szCs w:val="22"/>
                      <w:lang w:val="en-US" w:eastAsia="zh-CN"/>
                    </w:rPr>
                    <w:t>一般固废暂存区：位于厂房南侧，35m</w:t>
                  </w:r>
                  <w:r>
                    <w:rPr>
                      <w:rFonts w:hint="eastAsia"/>
                      <w:color w:val="auto"/>
                      <w:sz w:val="22"/>
                      <w:szCs w:val="22"/>
                      <w:vertAlign w:val="superscript"/>
                      <w:lang w:val="en-US" w:eastAsia="zh-CN"/>
                    </w:rPr>
                    <w:t>2</w:t>
                  </w:r>
                  <w:r>
                    <w:rPr>
                      <w:rFonts w:hint="eastAsia"/>
                      <w:color w:val="auto"/>
                      <w:sz w:val="22"/>
                      <w:szCs w:val="22"/>
                      <w:vertAlign w:val="baseline"/>
                      <w:lang w:val="en-US" w:eastAsia="zh-CN"/>
                    </w:rPr>
                    <w:t>，主要用于存放一般工业固废</w:t>
                  </w:r>
                  <w:r>
                    <w:rPr>
                      <w:rFonts w:hint="eastAsia"/>
                      <w:color w:val="auto"/>
                      <w:sz w:val="22"/>
                      <w:szCs w:val="22"/>
                      <w:lang w:val="en-US" w:eastAsia="zh-CN"/>
                    </w:rPr>
                    <w:t>。</w:t>
                  </w:r>
                </w:p>
                <w:p w14:paraId="31C9FE24">
                  <w:pPr>
                    <w:pStyle w:val="26"/>
                    <w:keepNext w:val="0"/>
                    <w:keepLines w:val="0"/>
                    <w:pageBreakBefore w:val="0"/>
                    <w:widowControl w:val="0"/>
                    <w:kinsoku/>
                    <w:wordWrap/>
                    <w:overflowPunct/>
                    <w:topLinePunct w:val="0"/>
                    <w:autoSpaceDE/>
                    <w:autoSpaceDN/>
                    <w:bidi w:val="0"/>
                    <w:adjustRightInd w:val="0"/>
                    <w:snapToGrid/>
                    <w:ind w:firstLine="0" w:firstLineChars="0"/>
                    <w:jc w:val="left"/>
                    <w:textAlignment w:val="auto"/>
                    <w:rPr>
                      <w:rFonts w:hint="default"/>
                      <w:color w:val="auto"/>
                      <w:sz w:val="22"/>
                      <w:szCs w:val="22"/>
                      <w:vertAlign w:val="baseline"/>
                      <w:lang w:val="en-US" w:eastAsia="zh-CN"/>
                    </w:rPr>
                  </w:pPr>
                  <w:r>
                    <w:rPr>
                      <w:rFonts w:hint="eastAsia"/>
                      <w:color w:val="auto"/>
                      <w:sz w:val="22"/>
                      <w:szCs w:val="22"/>
                      <w:lang w:val="en-US" w:eastAsia="zh-CN"/>
                    </w:rPr>
                    <w:t>危险废物贮存点：位于厂区北侧，面积为5m</w:t>
                  </w:r>
                  <w:r>
                    <w:rPr>
                      <w:rFonts w:hint="eastAsia"/>
                      <w:color w:val="auto"/>
                      <w:sz w:val="22"/>
                      <w:szCs w:val="22"/>
                      <w:vertAlign w:val="superscript"/>
                      <w:lang w:val="en-US" w:eastAsia="zh-CN"/>
                    </w:rPr>
                    <w:t>2</w:t>
                  </w:r>
                  <w:r>
                    <w:rPr>
                      <w:rFonts w:hint="eastAsia"/>
                      <w:color w:val="auto"/>
                      <w:sz w:val="22"/>
                      <w:szCs w:val="22"/>
                      <w:vertAlign w:val="baseline"/>
                      <w:lang w:val="en-US" w:eastAsia="zh-CN"/>
                    </w:rPr>
                    <w:t>，用于存放维修废油。</w:t>
                  </w:r>
                </w:p>
              </w:tc>
              <w:tc>
                <w:tcPr>
                  <w:tcW w:w="505" w:type="pct"/>
                  <w:vAlign w:val="center"/>
                </w:tcPr>
                <w:p w14:paraId="0AAB9565">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新建</w:t>
                  </w:r>
                </w:p>
              </w:tc>
            </w:tr>
            <w:tr w14:paraId="46031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9" w:type="pct"/>
                  <w:vMerge w:val="restart"/>
                  <w:vAlign w:val="center"/>
                </w:tcPr>
                <w:p w14:paraId="65C22BAA">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环保工程</w:t>
                  </w:r>
                </w:p>
              </w:tc>
              <w:tc>
                <w:tcPr>
                  <w:tcW w:w="772" w:type="pct"/>
                  <w:vAlign w:val="center"/>
                </w:tcPr>
                <w:p w14:paraId="4BD03EE0">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废气</w:t>
                  </w:r>
                </w:p>
              </w:tc>
              <w:tc>
                <w:tcPr>
                  <w:tcW w:w="3273" w:type="pct"/>
                  <w:vAlign w:val="center"/>
                </w:tcPr>
                <w:p w14:paraId="02792ADA">
                  <w:pPr>
                    <w:pStyle w:val="26"/>
                    <w:keepNext w:val="0"/>
                    <w:keepLines w:val="0"/>
                    <w:pageBreakBefore w:val="0"/>
                    <w:widowControl w:val="0"/>
                    <w:kinsoku/>
                    <w:wordWrap/>
                    <w:overflowPunct/>
                    <w:topLinePunct w:val="0"/>
                    <w:autoSpaceDE/>
                    <w:autoSpaceDN/>
                    <w:bidi w:val="0"/>
                    <w:adjustRightInd w:val="0"/>
                    <w:snapToGrid/>
                    <w:ind w:firstLine="0" w:firstLineChars="0"/>
                    <w:jc w:val="left"/>
                    <w:textAlignment w:val="auto"/>
                    <w:rPr>
                      <w:rFonts w:hint="default"/>
                      <w:color w:val="auto"/>
                      <w:sz w:val="22"/>
                      <w:szCs w:val="22"/>
                      <w:lang w:val="en-US" w:eastAsia="zh-CN"/>
                    </w:rPr>
                  </w:pPr>
                  <w:r>
                    <w:rPr>
                      <w:rFonts w:hint="eastAsia"/>
                      <w:color w:val="auto"/>
                      <w:sz w:val="22"/>
                      <w:szCs w:val="22"/>
                      <w:highlight w:val="none"/>
                      <w:lang w:val="en-US" w:eastAsia="zh-CN"/>
                    </w:rPr>
                    <w:t>工艺废气：集气罩收集后，收集效率为80%，收集后的废气进入布袋除尘器（处理效率为95%）+</w:t>
                  </w:r>
                  <w:r>
                    <w:rPr>
                      <w:rFonts w:hint="eastAsia" w:cs="Times New Roman"/>
                      <w:color w:val="auto"/>
                      <w:sz w:val="22"/>
                      <w:szCs w:val="22"/>
                      <w:highlight w:val="none"/>
                      <w:lang w:val="en-US" w:eastAsia="zh-CN"/>
                    </w:rPr>
                    <w:t>20</w:t>
                  </w:r>
                  <w:r>
                    <w:rPr>
                      <w:rFonts w:hint="eastAsia" w:ascii="Times New Roman" w:hAnsi="Times New Roman" w:cs="Times New Roman"/>
                      <w:color w:val="auto"/>
                      <w:sz w:val="22"/>
                      <w:szCs w:val="22"/>
                      <w:highlight w:val="none"/>
                      <w:lang w:val="en-US" w:eastAsia="zh-CN"/>
                    </w:rPr>
                    <w:t>m高的排气筒DA001排放</w:t>
                  </w:r>
                  <w:r>
                    <w:rPr>
                      <w:rFonts w:hint="eastAsia"/>
                      <w:color w:val="auto"/>
                      <w:sz w:val="22"/>
                      <w:szCs w:val="22"/>
                      <w:highlight w:val="none"/>
                      <w:lang w:val="en-US" w:eastAsia="zh-CN"/>
                    </w:rPr>
                    <w:t>，风量30000</w:t>
                  </w:r>
                  <w:r>
                    <w:rPr>
                      <w:rFonts w:hint="default" w:ascii="Times New Roman" w:hAnsi="Times New Roman" w:eastAsia="宋体" w:cs="Times New Roman"/>
                      <w:color w:val="auto"/>
                      <w:sz w:val="22"/>
                      <w:szCs w:val="22"/>
                      <w:highlight w:val="none"/>
                    </w:rPr>
                    <w:t>m</w:t>
                  </w:r>
                  <w:r>
                    <w:rPr>
                      <w:rFonts w:hint="default" w:ascii="Times New Roman" w:hAnsi="Times New Roman" w:eastAsia="宋体" w:cs="Times New Roman"/>
                      <w:color w:val="auto"/>
                      <w:sz w:val="22"/>
                      <w:szCs w:val="22"/>
                      <w:highlight w:val="none"/>
                      <w:vertAlign w:val="superscript"/>
                    </w:rPr>
                    <w:t>3</w:t>
                  </w:r>
                  <w:r>
                    <w:rPr>
                      <w:rFonts w:hint="default" w:ascii="Times New Roman" w:hAnsi="Times New Roman" w:eastAsia="宋体" w:cs="Times New Roman"/>
                      <w:color w:val="auto"/>
                      <w:sz w:val="22"/>
                      <w:szCs w:val="22"/>
                      <w:highlight w:val="none"/>
                    </w:rPr>
                    <w:t>/h</w:t>
                  </w:r>
                </w:p>
              </w:tc>
              <w:tc>
                <w:tcPr>
                  <w:tcW w:w="505" w:type="pct"/>
                  <w:vAlign w:val="center"/>
                </w:tcPr>
                <w:p w14:paraId="004F4AB7">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新建</w:t>
                  </w:r>
                </w:p>
              </w:tc>
            </w:tr>
            <w:tr w14:paraId="7F55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vMerge w:val="continue"/>
                  <w:vAlign w:val="center"/>
                </w:tcPr>
                <w:p w14:paraId="38694741">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p>
              </w:tc>
              <w:tc>
                <w:tcPr>
                  <w:tcW w:w="772" w:type="pct"/>
                  <w:vAlign w:val="center"/>
                </w:tcPr>
                <w:p w14:paraId="6DB4DBA8">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噪声</w:t>
                  </w:r>
                </w:p>
              </w:tc>
              <w:tc>
                <w:tcPr>
                  <w:tcW w:w="3273" w:type="pct"/>
                  <w:vAlign w:val="center"/>
                </w:tcPr>
                <w:p w14:paraId="354F774E">
                  <w:pPr>
                    <w:pStyle w:val="26"/>
                    <w:keepNext w:val="0"/>
                    <w:keepLines w:val="0"/>
                    <w:pageBreakBefore w:val="0"/>
                    <w:widowControl w:val="0"/>
                    <w:kinsoku/>
                    <w:wordWrap/>
                    <w:overflowPunct/>
                    <w:topLinePunct w:val="0"/>
                    <w:autoSpaceDE/>
                    <w:autoSpaceDN/>
                    <w:bidi w:val="0"/>
                    <w:adjustRightInd w:val="0"/>
                    <w:snapToGrid/>
                    <w:ind w:firstLine="0" w:firstLineChars="0"/>
                    <w:jc w:val="left"/>
                    <w:textAlignment w:val="auto"/>
                    <w:rPr>
                      <w:rFonts w:hint="default"/>
                      <w:color w:val="auto"/>
                      <w:sz w:val="22"/>
                      <w:szCs w:val="22"/>
                      <w:lang w:val="en-US" w:eastAsia="zh-CN"/>
                    </w:rPr>
                  </w:pPr>
                  <w:r>
                    <w:rPr>
                      <w:rFonts w:hint="default" w:ascii="Times New Roman" w:hAnsi="Times New Roman" w:eastAsia="宋体" w:cs="Times New Roman"/>
                      <w:color w:val="auto"/>
                      <w:sz w:val="22"/>
                      <w:szCs w:val="22"/>
                    </w:rPr>
                    <w:t>基础减</w:t>
                  </w:r>
                  <w:r>
                    <w:rPr>
                      <w:rFonts w:hint="eastAsia" w:ascii="Times New Roman" w:hAnsi="Times New Roman" w:cs="Times New Roman"/>
                      <w:color w:val="auto"/>
                      <w:sz w:val="22"/>
                      <w:szCs w:val="22"/>
                      <w:lang w:val="en-US" w:eastAsia="zh-CN"/>
                    </w:rPr>
                    <w:t>振</w:t>
                  </w:r>
                  <w:r>
                    <w:rPr>
                      <w:rFonts w:hint="default" w:ascii="Times New Roman" w:hAnsi="Times New Roman" w:eastAsia="宋体" w:cs="Times New Roman"/>
                      <w:color w:val="auto"/>
                      <w:sz w:val="22"/>
                      <w:szCs w:val="22"/>
                    </w:rPr>
                    <w:t>、厂房隔声措施</w:t>
                  </w:r>
                  <w:r>
                    <w:rPr>
                      <w:rFonts w:hint="default" w:ascii="Times New Roman" w:hAnsi="Times New Roman" w:eastAsia="宋体" w:cs="Times New Roman"/>
                      <w:color w:val="auto"/>
                      <w:sz w:val="22"/>
                      <w:szCs w:val="22"/>
                      <w:lang w:eastAsia="zh-CN"/>
                    </w:rPr>
                    <w:t>、合理布局</w:t>
                  </w:r>
                  <w:r>
                    <w:rPr>
                      <w:rFonts w:hint="default" w:ascii="Times New Roman" w:hAnsi="Times New Roman" w:eastAsia="宋体" w:cs="Times New Roman"/>
                      <w:color w:val="auto"/>
                      <w:sz w:val="22"/>
                      <w:szCs w:val="22"/>
                    </w:rPr>
                    <w:t>。</w:t>
                  </w:r>
                </w:p>
              </w:tc>
              <w:tc>
                <w:tcPr>
                  <w:tcW w:w="505" w:type="pct"/>
                  <w:vAlign w:val="center"/>
                </w:tcPr>
                <w:p w14:paraId="55DD0BFC">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新建</w:t>
                  </w:r>
                </w:p>
              </w:tc>
            </w:tr>
            <w:tr w14:paraId="2CE9D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vMerge w:val="continue"/>
                  <w:vAlign w:val="center"/>
                </w:tcPr>
                <w:p w14:paraId="40C144FA">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p>
              </w:tc>
              <w:tc>
                <w:tcPr>
                  <w:tcW w:w="772" w:type="pct"/>
                  <w:vAlign w:val="center"/>
                </w:tcPr>
                <w:p w14:paraId="0C620178">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废水</w:t>
                  </w:r>
                </w:p>
              </w:tc>
              <w:tc>
                <w:tcPr>
                  <w:tcW w:w="3273" w:type="pct"/>
                  <w:vAlign w:val="center"/>
                </w:tcPr>
                <w:p w14:paraId="3F22FCBA">
                  <w:pPr>
                    <w:pStyle w:val="26"/>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color w:val="auto"/>
                      <w:sz w:val="22"/>
                      <w:szCs w:val="22"/>
                      <w:lang w:val="en-US" w:eastAsia="zh-CN"/>
                    </w:rPr>
                  </w:pPr>
                  <w:r>
                    <w:rPr>
                      <w:rFonts w:hint="eastAsia"/>
                      <w:color w:val="auto"/>
                      <w:sz w:val="22"/>
                      <w:szCs w:val="22"/>
                      <w:lang w:val="en-US" w:eastAsia="zh-CN"/>
                    </w:rPr>
                    <w:t>生活污水：依托3#厂房现有污水管网收集后进入现有一座</w:t>
                  </w:r>
                  <w:r>
                    <w:rPr>
                      <w:rFonts w:hint="eastAsia"/>
                      <w:color w:val="auto"/>
                      <w:sz w:val="22"/>
                      <w:szCs w:val="22"/>
                      <w:highlight w:val="none"/>
                      <w:lang w:val="en-US" w:eastAsia="zh-CN"/>
                    </w:rPr>
                    <w:t>60m</w:t>
                  </w:r>
                  <w:r>
                    <w:rPr>
                      <w:rFonts w:hint="eastAsia"/>
                      <w:color w:val="auto"/>
                      <w:sz w:val="22"/>
                      <w:szCs w:val="22"/>
                      <w:highlight w:val="none"/>
                      <w:vertAlign w:val="superscript"/>
                      <w:lang w:val="en-US" w:eastAsia="zh-CN"/>
                    </w:rPr>
                    <w:t>3</w:t>
                  </w:r>
                  <w:r>
                    <w:rPr>
                      <w:rFonts w:hint="eastAsia"/>
                      <w:color w:val="auto"/>
                      <w:sz w:val="22"/>
                      <w:szCs w:val="22"/>
                      <w:highlight w:val="none"/>
                      <w:vertAlign w:val="baseline"/>
                      <w:lang w:val="en-US" w:eastAsia="zh-CN"/>
                    </w:rPr>
                    <w:t>/d</w:t>
                  </w:r>
                  <w:r>
                    <w:rPr>
                      <w:rFonts w:hint="eastAsia"/>
                      <w:color w:val="auto"/>
                      <w:sz w:val="22"/>
                      <w:szCs w:val="22"/>
                      <w:lang w:val="en-US" w:eastAsia="zh-CN"/>
                    </w:rPr>
                    <w:t>生化池设施，位于3#厂房东侧。</w:t>
                  </w:r>
                </w:p>
                <w:p w14:paraId="02432958">
                  <w:pPr>
                    <w:pStyle w:val="26"/>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color w:val="auto"/>
                      <w:sz w:val="22"/>
                      <w:szCs w:val="22"/>
                      <w:lang w:val="en-US" w:eastAsia="zh-CN"/>
                    </w:rPr>
                  </w:pPr>
                  <w:r>
                    <w:rPr>
                      <w:rFonts w:hint="eastAsia"/>
                      <w:color w:val="auto"/>
                      <w:sz w:val="22"/>
                      <w:szCs w:val="22"/>
                      <w:lang w:val="en-US" w:eastAsia="zh-CN"/>
                    </w:rPr>
                    <w:t>生活污水均</w:t>
                  </w:r>
                  <w:r>
                    <w:rPr>
                      <w:rFonts w:hint="eastAsia" w:ascii="Times New Roman" w:cs="Times New Roman"/>
                      <w:bCs/>
                      <w:color w:val="auto"/>
                      <w:spacing w:val="0"/>
                      <w:sz w:val="22"/>
                      <w:szCs w:val="22"/>
                      <w:highlight w:val="none"/>
                      <w:lang w:val="en-US" w:eastAsia="zh-CN"/>
                    </w:rPr>
                    <w:t>处理</w:t>
                  </w:r>
                  <w:r>
                    <w:rPr>
                      <w:rFonts w:hint="eastAsia" w:cs="Times New Roman"/>
                      <w:bCs/>
                      <w:color w:val="auto"/>
                      <w:spacing w:val="0"/>
                      <w:sz w:val="22"/>
                      <w:szCs w:val="22"/>
                      <w:highlight w:val="none"/>
                      <w:lang w:val="en-US" w:eastAsia="zh-CN"/>
                    </w:rPr>
                    <w:t>达到</w:t>
                  </w:r>
                  <w:r>
                    <w:rPr>
                      <w:rFonts w:hint="default" w:ascii="Times New Roman" w:cs="Times New Roman"/>
                      <w:bCs/>
                      <w:color w:val="auto"/>
                      <w:spacing w:val="0"/>
                      <w:sz w:val="22"/>
                      <w:szCs w:val="22"/>
                      <w:highlight w:val="none"/>
                      <w:lang w:val="en-US" w:eastAsia="zh-CN"/>
                    </w:rPr>
                    <w:t>《污水综合排放标准》（GB8978-1996）三级标准</w:t>
                  </w:r>
                  <w:r>
                    <w:rPr>
                      <w:rFonts w:hint="eastAsia" w:cs="Times New Roman"/>
                      <w:bCs/>
                      <w:color w:val="auto"/>
                      <w:spacing w:val="0"/>
                      <w:sz w:val="22"/>
                      <w:szCs w:val="22"/>
                      <w:highlight w:val="none"/>
                      <w:lang w:val="en-US" w:eastAsia="zh-CN"/>
                    </w:rPr>
                    <w:t>排放</w:t>
                  </w:r>
                  <w:r>
                    <w:rPr>
                      <w:rFonts w:hint="default" w:ascii="Times New Roman" w:cs="Times New Roman"/>
                      <w:bCs/>
                      <w:color w:val="auto"/>
                      <w:spacing w:val="0"/>
                      <w:sz w:val="22"/>
                      <w:szCs w:val="22"/>
                      <w:highlight w:val="none"/>
                    </w:rPr>
                    <w:t>标准</w:t>
                  </w:r>
                  <w:r>
                    <w:rPr>
                      <w:rFonts w:hint="eastAsia" w:ascii="Times New Roman" w:cs="Times New Roman"/>
                      <w:bCs/>
                      <w:color w:val="auto"/>
                      <w:spacing w:val="0"/>
                      <w:sz w:val="22"/>
                      <w:szCs w:val="22"/>
                      <w:highlight w:val="none"/>
                      <w:lang w:val="en-US" w:eastAsia="zh-CN"/>
                    </w:rPr>
                    <w:t>后</w:t>
                  </w:r>
                  <w:r>
                    <w:rPr>
                      <w:rFonts w:hint="eastAsia" w:cs="Times New Roman"/>
                      <w:bCs/>
                      <w:color w:val="auto"/>
                      <w:spacing w:val="0"/>
                      <w:sz w:val="22"/>
                      <w:szCs w:val="22"/>
                      <w:highlight w:val="none"/>
                      <w:lang w:val="en-US" w:eastAsia="zh-CN"/>
                    </w:rPr>
                    <w:t>，</w:t>
                  </w:r>
                  <w:r>
                    <w:rPr>
                      <w:rFonts w:hint="eastAsia" w:ascii="Times New Roman" w:cs="Times New Roman"/>
                      <w:bCs/>
                      <w:color w:val="auto"/>
                      <w:spacing w:val="0"/>
                      <w:sz w:val="22"/>
                      <w:szCs w:val="22"/>
                      <w:highlight w:val="none"/>
                      <w:lang w:val="en-US" w:eastAsia="zh-CN"/>
                    </w:rPr>
                    <w:t>排放至</w:t>
                  </w:r>
                  <w:r>
                    <w:rPr>
                      <w:rFonts w:hint="eastAsia" w:cs="Times New Roman"/>
                      <w:bCs/>
                      <w:color w:val="auto"/>
                      <w:spacing w:val="0"/>
                      <w:sz w:val="22"/>
                      <w:szCs w:val="22"/>
                      <w:highlight w:val="none"/>
                      <w:lang w:val="en-US" w:eastAsia="zh-CN"/>
                    </w:rPr>
                    <w:t>园区</w:t>
                  </w:r>
                  <w:r>
                    <w:rPr>
                      <w:rFonts w:hint="eastAsia" w:ascii="Times New Roman" w:cs="Times New Roman"/>
                      <w:bCs/>
                      <w:color w:val="auto"/>
                      <w:spacing w:val="0"/>
                      <w:sz w:val="22"/>
                      <w:szCs w:val="22"/>
                      <w:highlight w:val="none"/>
                      <w:lang w:val="en-US" w:eastAsia="zh-CN"/>
                    </w:rPr>
                    <w:t>污水管网，进入</w:t>
                  </w:r>
                  <w:r>
                    <w:rPr>
                      <w:rFonts w:hint="eastAsia" w:cs="Times New Roman"/>
                      <w:bCs/>
                      <w:color w:val="auto"/>
                      <w:spacing w:val="0"/>
                      <w:sz w:val="22"/>
                      <w:szCs w:val="22"/>
                      <w:highlight w:val="none"/>
                      <w:lang w:val="en-US" w:eastAsia="zh-CN"/>
                    </w:rPr>
                    <w:t>农创园污水处理厂，处理达到《城镇污水处理厂污染物排放标准》（GB18918-2002）中一级B标准后排入嘉陵江。</w:t>
                  </w:r>
                </w:p>
              </w:tc>
              <w:tc>
                <w:tcPr>
                  <w:tcW w:w="505" w:type="pct"/>
                  <w:vAlign w:val="center"/>
                </w:tcPr>
                <w:p w14:paraId="292FDB73">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依托</w:t>
                  </w:r>
                </w:p>
              </w:tc>
            </w:tr>
            <w:tr w14:paraId="72D9D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vMerge w:val="continue"/>
                  <w:vAlign w:val="center"/>
                </w:tcPr>
                <w:p w14:paraId="660A0920">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p>
              </w:tc>
              <w:tc>
                <w:tcPr>
                  <w:tcW w:w="772" w:type="pct"/>
                  <w:vAlign w:val="center"/>
                </w:tcPr>
                <w:p w14:paraId="1CBA4328">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固体废物</w:t>
                  </w:r>
                </w:p>
              </w:tc>
              <w:tc>
                <w:tcPr>
                  <w:tcW w:w="3273" w:type="pct"/>
                  <w:vAlign w:val="center"/>
                </w:tcPr>
                <w:p w14:paraId="05159416">
                  <w:pPr>
                    <w:pStyle w:val="26"/>
                    <w:keepNext w:val="0"/>
                    <w:keepLines w:val="0"/>
                    <w:pageBreakBefore w:val="0"/>
                    <w:widowControl w:val="0"/>
                    <w:kinsoku/>
                    <w:wordWrap/>
                    <w:overflowPunct/>
                    <w:topLinePunct w:val="0"/>
                    <w:autoSpaceDE/>
                    <w:autoSpaceDN/>
                    <w:bidi w:val="0"/>
                    <w:adjustRightInd w:val="0"/>
                    <w:snapToGrid/>
                    <w:ind w:firstLine="0" w:firstLineChars="0"/>
                    <w:jc w:val="left"/>
                    <w:textAlignment w:val="auto"/>
                    <w:rPr>
                      <w:rFonts w:hint="eastAsia"/>
                      <w:color w:val="auto"/>
                      <w:sz w:val="22"/>
                      <w:szCs w:val="22"/>
                      <w:lang w:val="en-US" w:eastAsia="zh-CN"/>
                    </w:rPr>
                  </w:pPr>
                  <w:r>
                    <w:rPr>
                      <w:rFonts w:hint="eastAsia"/>
                      <w:color w:val="auto"/>
                      <w:sz w:val="22"/>
                      <w:szCs w:val="22"/>
                      <w:lang w:val="en-US" w:eastAsia="zh-CN"/>
                    </w:rPr>
                    <w:t>①一般固废暂存区：位于厂房南侧，面积约为35m</w:t>
                  </w:r>
                  <w:r>
                    <w:rPr>
                      <w:rFonts w:hint="eastAsia"/>
                      <w:color w:val="auto"/>
                      <w:sz w:val="22"/>
                      <w:szCs w:val="22"/>
                      <w:vertAlign w:val="superscript"/>
                      <w:lang w:val="en-US" w:eastAsia="zh-CN"/>
                    </w:rPr>
                    <w:t>2</w:t>
                  </w:r>
                  <w:r>
                    <w:rPr>
                      <w:rFonts w:hint="eastAsia"/>
                      <w:color w:val="auto"/>
                      <w:sz w:val="22"/>
                      <w:szCs w:val="22"/>
                      <w:lang w:val="en-US" w:eastAsia="zh-CN"/>
                    </w:rPr>
                    <w:t>；</w:t>
                  </w:r>
                </w:p>
                <w:p w14:paraId="5A87BB1B">
                  <w:pPr>
                    <w:pStyle w:val="26"/>
                    <w:keepNext w:val="0"/>
                    <w:keepLines w:val="0"/>
                    <w:pageBreakBefore w:val="0"/>
                    <w:widowControl w:val="0"/>
                    <w:kinsoku/>
                    <w:wordWrap/>
                    <w:overflowPunct/>
                    <w:topLinePunct w:val="0"/>
                    <w:autoSpaceDE/>
                    <w:autoSpaceDN/>
                    <w:bidi w:val="0"/>
                    <w:adjustRightInd w:val="0"/>
                    <w:snapToGrid/>
                    <w:ind w:firstLine="0" w:firstLineChars="0"/>
                    <w:jc w:val="left"/>
                    <w:textAlignment w:val="auto"/>
                    <w:rPr>
                      <w:rFonts w:hint="eastAsia"/>
                      <w:color w:val="auto"/>
                      <w:sz w:val="22"/>
                      <w:szCs w:val="22"/>
                      <w:lang w:val="en-US" w:eastAsia="zh-CN"/>
                    </w:rPr>
                  </w:pPr>
                  <w:r>
                    <w:rPr>
                      <w:rFonts w:hint="eastAsia"/>
                      <w:color w:val="auto"/>
                      <w:sz w:val="22"/>
                      <w:szCs w:val="22"/>
                      <w:lang w:val="en-US" w:eastAsia="zh-CN"/>
                    </w:rPr>
                    <w:t>②</w:t>
                  </w:r>
                  <w:r>
                    <w:rPr>
                      <w:rFonts w:hint="default"/>
                      <w:color w:val="auto"/>
                      <w:sz w:val="22"/>
                      <w:szCs w:val="22"/>
                      <w:lang w:val="en-US" w:eastAsia="zh-CN"/>
                    </w:rPr>
                    <w:t>生活垃圾收集后交由当地环卫部门统一处理</w:t>
                  </w:r>
                  <w:r>
                    <w:rPr>
                      <w:rFonts w:hint="eastAsia"/>
                      <w:color w:val="auto"/>
                      <w:sz w:val="22"/>
                      <w:szCs w:val="22"/>
                      <w:lang w:val="en-US" w:eastAsia="zh-CN"/>
                    </w:rPr>
                    <w:t>；</w:t>
                  </w:r>
                </w:p>
                <w:p w14:paraId="3050AAFE">
                  <w:pPr>
                    <w:pStyle w:val="26"/>
                    <w:keepNext w:val="0"/>
                    <w:keepLines w:val="0"/>
                    <w:pageBreakBefore w:val="0"/>
                    <w:widowControl w:val="0"/>
                    <w:kinsoku/>
                    <w:wordWrap/>
                    <w:overflowPunct/>
                    <w:topLinePunct w:val="0"/>
                    <w:autoSpaceDE/>
                    <w:autoSpaceDN/>
                    <w:bidi w:val="0"/>
                    <w:adjustRightInd w:val="0"/>
                    <w:snapToGrid/>
                    <w:ind w:firstLine="0" w:firstLineChars="0"/>
                    <w:jc w:val="left"/>
                    <w:textAlignment w:val="auto"/>
                    <w:rPr>
                      <w:rFonts w:hint="default"/>
                      <w:color w:val="auto"/>
                      <w:sz w:val="22"/>
                      <w:szCs w:val="22"/>
                      <w:lang w:val="en-US" w:eastAsia="zh-CN"/>
                    </w:rPr>
                  </w:pPr>
                  <w:r>
                    <w:rPr>
                      <w:rFonts w:hint="eastAsia"/>
                      <w:color w:val="auto"/>
                      <w:sz w:val="22"/>
                      <w:szCs w:val="22"/>
                      <w:lang w:val="en-US" w:eastAsia="zh-CN"/>
                    </w:rPr>
                    <w:t>③设备维护产生分维修废油作为危险废物，暂存在危险废物贮存点，面积为5m</w:t>
                  </w:r>
                  <w:r>
                    <w:rPr>
                      <w:rFonts w:hint="eastAsia"/>
                      <w:color w:val="auto"/>
                      <w:sz w:val="22"/>
                      <w:szCs w:val="22"/>
                      <w:vertAlign w:val="superscript"/>
                      <w:lang w:val="en-US" w:eastAsia="zh-CN"/>
                    </w:rPr>
                    <w:t>2</w:t>
                  </w:r>
                  <w:r>
                    <w:rPr>
                      <w:rFonts w:hint="eastAsia"/>
                      <w:color w:val="auto"/>
                      <w:sz w:val="22"/>
                      <w:szCs w:val="22"/>
                      <w:lang w:val="en-US" w:eastAsia="zh-CN"/>
                    </w:rPr>
                    <w:t>。</w:t>
                  </w:r>
                </w:p>
              </w:tc>
              <w:tc>
                <w:tcPr>
                  <w:tcW w:w="505" w:type="pct"/>
                  <w:vAlign w:val="center"/>
                </w:tcPr>
                <w:p w14:paraId="06330EA5">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新建</w:t>
                  </w:r>
                </w:p>
              </w:tc>
            </w:tr>
          </w:tbl>
          <w:p w14:paraId="16CE680B">
            <w:pPr>
              <w:pStyle w:val="4"/>
              <w:pageBreakBefore w:val="0"/>
              <w:widowControl w:val="0"/>
              <w:kinsoku/>
              <w:wordWrap/>
              <w:overflowPunct/>
              <w:topLinePunct w:val="0"/>
              <w:autoSpaceDE/>
              <w:autoSpaceDN/>
              <w:bidi w:val="0"/>
              <w:snapToGrid/>
              <w:spacing w:beforeLines="0" w:afterLines="0" w:line="460" w:lineRule="exact"/>
              <w:rPr>
                <w:rFonts w:hint="eastAsia"/>
                <w:color w:val="auto"/>
                <w:sz w:val="26"/>
                <w:szCs w:val="26"/>
                <w:lang w:val="en-US" w:eastAsia="zh-CN"/>
              </w:rPr>
            </w:pPr>
          </w:p>
          <w:p w14:paraId="5FB38CD9">
            <w:pPr>
              <w:rPr>
                <w:rFonts w:hint="eastAsia"/>
                <w:color w:val="auto"/>
                <w:sz w:val="26"/>
                <w:szCs w:val="26"/>
                <w:lang w:val="en-US" w:eastAsia="zh-CN"/>
              </w:rPr>
            </w:pPr>
            <w:r>
              <w:rPr>
                <w:rFonts w:hint="eastAsia"/>
                <w:color w:val="auto"/>
                <w:sz w:val="26"/>
                <w:szCs w:val="26"/>
                <w:lang w:val="en-US" w:eastAsia="zh-CN"/>
              </w:rPr>
              <w:t>表2.1-2.2      本项目环保设施依托可行性分析</w:t>
            </w:r>
          </w:p>
          <w:tbl>
            <w:tblPr>
              <w:tblStyle w:val="18"/>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275"/>
              <w:gridCol w:w="2419"/>
              <w:gridCol w:w="1533"/>
              <w:gridCol w:w="1533"/>
            </w:tblGrid>
            <w:tr w14:paraId="5B26E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0" w:type="dxa"/>
                  <w:vAlign w:val="center"/>
                </w:tcPr>
                <w:p w14:paraId="63A05978">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序号</w:t>
                  </w:r>
                </w:p>
              </w:tc>
              <w:tc>
                <w:tcPr>
                  <w:tcW w:w="1275" w:type="dxa"/>
                  <w:vAlign w:val="center"/>
                </w:tcPr>
                <w:p w14:paraId="02560863">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依托对象</w:t>
                  </w:r>
                </w:p>
              </w:tc>
              <w:tc>
                <w:tcPr>
                  <w:tcW w:w="2419" w:type="dxa"/>
                  <w:vAlign w:val="center"/>
                </w:tcPr>
                <w:p w14:paraId="5EEFABB8">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实际情况</w:t>
                  </w:r>
                </w:p>
              </w:tc>
              <w:tc>
                <w:tcPr>
                  <w:tcW w:w="1533" w:type="dxa"/>
                  <w:vAlign w:val="center"/>
                </w:tcPr>
                <w:p w14:paraId="16D74B64">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本项目情况</w:t>
                  </w:r>
                </w:p>
              </w:tc>
              <w:tc>
                <w:tcPr>
                  <w:tcW w:w="1533" w:type="dxa"/>
                  <w:vAlign w:val="center"/>
                </w:tcPr>
                <w:p w14:paraId="644D002F">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可行性分析</w:t>
                  </w:r>
                </w:p>
              </w:tc>
            </w:tr>
            <w:tr w14:paraId="4F45F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0" w:type="dxa"/>
                  <w:vAlign w:val="center"/>
                </w:tcPr>
                <w:p w14:paraId="0343489A">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1</w:t>
                  </w:r>
                </w:p>
              </w:tc>
              <w:tc>
                <w:tcPr>
                  <w:tcW w:w="1275" w:type="dxa"/>
                  <w:vAlign w:val="center"/>
                </w:tcPr>
                <w:p w14:paraId="7F4378E9">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生化池</w:t>
                  </w:r>
                </w:p>
              </w:tc>
              <w:tc>
                <w:tcPr>
                  <w:tcW w:w="2419" w:type="dxa"/>
                  <w:vAlign w:val="center"/>
                </w:tcPr>
                <w:p w14:paraId="776F6751">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设计规模为</w:t>
                  </w:r>
                  <w:r>
                    <w:rPr>
                      <w:rFonts w:hint="eastAsia"/>
                      <w:color w:val="auto"/>
                      <w:sz w:val="22"/>
                      <w:szCs w:val="22"/>
                      <w:highlight w:val="none"/>
                      <w:lang w:val="en-US" w:eastAsia="zh-CN"/>
                    </w:rPr>
                    <w:t>60m</w:t>
                  </w:r>
                  <w:r>
                    <w:rPr>
                      <w:rFonts w:hint="eastAsia"/>
                      <w:color w:val="auto"/>
                      <w:sz w:val="22"/>
                      <w:szCs w:val="22"/>
                      <w:highlight w:val="none"/>
                      <w:vertAlign w:val="superscript"/>
                      <w:lang w:val="en-US" w:eastAsia="zh-CN"/>
                    </w:rPr>
                    <w:t>3</w:t>
                  </w:r>
                  <w:r>
                    <w:rPr>
                      <w:rFonts w:hint="eastAsia"/>
                      <w:color w:val="auto"/>
                      <w:sz w:val="22"/>
                      <w:szCs w:val="22"/>
                      <w:highlight w:val="none"/>
                      <w:vertAlign w:val="baseline"/>
                      <w:lang w:val="en-US" w:eastAsia="zh-CN"/>
                    </w:rPr>
                    <w:t>/d，博盟汽车科技（重庆）有限公司满负荷运行产生的废水量为55</w:t>
                  </w:r>
                  <w:r>
                    <w:rPr>
                      <w:rFonts w:hint="eastAsia"/>
                      <w:color w:val="auto"/>
                      <w:sz w:val="22"/>
                      <w:szCs w:val="22"/>
                      <w:highlight w:val="none"/>
                      <w:lang w:val="en-US" w:eastAsia="zh-CN"/>
                    </w:rPr>
                    <w:t>m</w:t>
                  </w:r>
                  <w:r>
                    <w:rPr>
                      <w:rFonts w:hint="eastAsia"/>
                      <w:color w:val="auto"/>
                      <w:sz w:val="22"/>
                      <w:szCs w:val="22"/>
                      <w:highlight w:val="none"/>
                      <w:vertAlign w:val="superscript"/>
                      <w:lang w:val="en-US" w:eastAsia="zh-CN"/>
                    </w:rPr>
                    <w:t>3</w:t>
                  </w:r>
                  <w:r>
                    <w:rPr>
                      <w:rFonts w:hint="eastAsia"/>
                      <w:color w:val="auto"/>
                      <w:sz w:val="22"/>
                      <w:szCs w:val="22"/>
                      <w:highlight w:val="none"/>
                      <w:vertAlign w:val="baseline"/>
                      <w:lang w:val="en-US" w:eastAsia="zh-CN"/>
                    </w:rPr>
                    <w:t>/d。</w:t>
                  </w:r>
                </w:p>
              </w:tc>
              <w:tc>
                <w:tcPr>
                  <w:tcW w:w="1533" w:type="dxa"/>
                  <w:vAlign w:val="center"/>
                </w:tcPr>
                <w:p w14:paraId="6D961C9E">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本项目生活污水排放量为2.16</w:t>
                  </w:r>
                  <w:r>
                    <w:rPr>
                      <w:rFonts w:hint="eastAsia"/>
                      <w:color w:val="auto"/>
                      <w:sz w:val="22"/>
                      <w:szCs w:val="22"/>
                      <w:highlight w:val="none"/>
                      <w:lang w:val="en-US" w:eastAsia="zh-CN"/>
                    </w:rPr>
                    <w:t>m</w:t>
                  </w:r>
                  <w:r>
                    <w:rPr>
                      <w:rFonts w:hint="eastAsia"/>
                      <w:color w:val="auto"/>
                      <w:sz w:val="22"/>
                      <w:szCs w:val="22"/>
                      <w:highlight w:val="none"/>
                      <w:vertAlign w:val="superscript"/>
                      <w:lang w:val="en-US" w:eastAsia="zh-CN"/>
                    </w:rPr>
                    <w:t>3</w:t>
                  </w:r>
                  <w:r>
                    <w:rPr>
                      <w:rFonts w:hint="eastAsia"/>
                      <w:color w:val="auto"/>
                      <w:sz w:val="22"/>
                      <w:szCs w:val="22"/>
                      <w:highlight w:val="none"/>
                      <w:vertAlign w:val="baseline"/>
                      <w:lang w:val="en-US" w:eastAsia="zh-CN"/>
                    </w:rPr>
                    <w:t>/d。</w:t>
                  </w:r>
                </w:p>
              </w:tc>
              <w:tc>
                <w:tcPr>
                  <w:tcW w:w="1533" w:type="dxa"/>
                  <w:vAlign w:val="center"/>
                </w:tcPr>
                <w:p w14:paraId="6F90BB04">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生化池剩余处理能力为</w:t>
                  </w:r>
                  <w:r>
                    <w:rPr>
                      <w:rFonts w:hint="eastAsia"/>
                      <w:color w:val="auto"/>
                      <w:sz w:val="22"/>
                      <w:szCs w:val="22"/>
                      <w:highlight w:val="none"/>
                      <w:vertAlign w:val="baseline"/>
                      <w:lang w:val="en-US" w:eastAsia="zh-CN"/>
                    </w:rPr>
                    <w:t>5</w:t>
                  </w:r>
                  <w:r>
                    <w:rPr>
                      <w:rFonts w:hint="eastAsia"/>
                      <w:color w:val="auto"/>
                      <w:sz w:val="22"/>
                      <w:szCs w:val="22"/>
                      <w:highlight w:val="none"/>
                      <w:lang w:val="en-US" w:eastAsia="zh-CN"/>
                    </w:rPr>
                    <w:t>m</w:t>
                  </w:r>
                  <w:r>
                    <w:rPr>
                      <w:rFonts w:hint="eastAsia"/>
                      <w:color w:val="auto"/>
                      <w:sz w:val="22"/>
                      <w:szCs w:val="22"/>
                      <w:highlight w:val="none"/>
                      <w:vertAlign w:val="superscript"/>
                      <w:lang w:val="en-US" w:eastAsia="zh-CN"/>
                    </w:rPr>
                    <w:t>3</w:t>
                  </w:r>
                  <w:r>
                    <w:rPr>
                      <w:rFonts w:hint="eastAsia"/>
                      <w:color w:val="auto"/>
                      <w:sz w:val="22"/>
                      <w:szCs w:val="22"/>
                      <w:highlight w:val="none"/>
                      <w:vertAlign w:val="baseline"/>
                      <w:lang w:val="en-US" w:eastAsia="zh-CN"/>
                    </w:rPr>
                    <w:t>/d，本项目废排水可依托现有生化池进行处置。</w:t>
                  </w:r>
                </w:p>
              </w:tc>
            </w:tr>
          </w:tbl>
          <w:p w14:paraId="22573542">
            <w:pPr>
              <w:pStyle w:val="9"/>
              <w:rPr>
                <w:rFonts w:hint="default"/>
                <w:color w:val="auto"/>
                <w:lang w:val="en-US" w:eastAsia="zh-CN"/>
              </w:rPr>
            </w:pPr>
          </w:p>
          <w:p w14:paraId="3F73B8E2">
            <w:pPr>
              <w:pStyle w:val="4"/>
              <w:pageBreakBefore w:val="0"/>
              <w:widowControl w:val="0"/>
              <w:kinsoku/>
              <w:wordWrap/>
              <w:overflowPunct/>
              <w:topLinePunct w:val="0"/>
              <w:autoSpaceDE/>
              <w:autoSpaceDN/>
              <w:bidi w:val="0"/>
              <w:snapToGrid/>
              <w:spacing w:beforeLines="0" w:afterLines="0" w:line="460" w:lineRule="exact"/>
              <w:rPr>
                <w:rFonts w:hint="eastAsia"/>
                <w:color w:val="auto"/>
                <w:sz w:val="26"/>
                <w:szCs w:val="26"/>
                <w:lang w:val="en-US" w:eastAsia="zh-CN"/>
              </w:rPr>
            </w:pPr>
          </w:p>
          <w:p w14:paraId="3DBA40BF">
            <w:pPr>
              <w:pStyle w:val="4"/>
              <w:pageBreakBefore w:val="0"/>
              <w:widowControl w:val="0"/>
              <w:kinsoku/>
              <w:wordWrap/>
              <w:overflowPunct/>
              <w:topLinePunct w:val="0"/>
              <w:autoSpaceDE/>
              <w:autoSpaceDN/>
              <w:bidi w:val="0"/>
              <w:snapToGrid/>
              <w:spacing w:beforeLines="0" w:afterLines="0" w:line="460" w:lineRule="exact"/>
              <w:rPr>
                <w:rFonts w:hint="eastAsia"/>
                <w:color w:val="auto"/>
                <w:sz w:val="26"/>
                <w:szCs w:val="26"/>
                <w:lang w:val="en-US" w:eastAsia="zh-CN"/>
              </w:rPr>
            </w:pPr>
            <w:r>
              <w:rPr>
                <w:rFonts w:hint="eastAsia"/>
                <w:color w:val="auto"/>
                <w:sz w:val="26"/>
                <w:szCs w:val="26"/>
                <w:lang w:val="en-US" w:eastAsia="zh-CN"/>
              </w:rPr>
              <w:t>2.1.5主要生产设备</w:t>
            </w:r>
          </w:p>
          <w:p w14:paraId="190EDBCB">
            <w:pPr>
              <w:pageBreakBefore w:val="0"/>
              <w:widowControl w:val="0"/>
              <w:kinsoku/>
              <w:wordWrap/>
              <w:overflowPunct/>
              <w:topLinePunct w:val="0"/>
              <w:autoSpaceDE/>
              <w:autoSpaceDN/>
              <w:bidi w:val="0"/>
              <w:snapToGrid/>
              <w:spacing w:line="460" w:lineRule="exact"/>
              <w:rPr>
                <w:rFonts w:hint="default"/>
                <w:color w:val="auto"/>
                <w:sz w:val="26"/>
                <w:szCs w:val="26"/>
                <w:lang w:val="en-US" w:eastAsia="zh-CN"/>
              </w:rPr>
            </w:pPr>
            <w:r>
              <w:rPr>
                <w:rFonts w:hint="eastAsia"/>
                <w:color w:val="auto"/>
                <w:sz w:val="26"/>
                <w:szCs w:val="26"/>
                <w:lang w:val="en-US" w:eastAsia="zh-CN"/>
              </w:rPr>
              <w:t>本项目主要生产设备详见下表。</w:t>
            </w:r>
          </w:p>
          <w:p w14:paraId="7F82E434">
            <w:pPr>
              <w:pStyle w:val="27"/>
              <w:pageBreakBefore w:val="0"/>
              <w:widowControl w:val="0"/>
              <w:kinsoku/>
              <w:wordWrap/>
              <w:overflowPunct/>
              <w:topLinePunct w:val="0"/>
              <w:autoSpaceDE/>
              <w:autoSpaceDN/>
              <w:bidi w:val="0"/>
              <w:snapToGrid/>
              <w:spacing w:line="460" w:lineRule="exact"/>
              <w:ind w:firstLine="520" w:firstLineChars="200"/>
              <w:jc w:val="both"/>
              <w:rPr>
                <w:rFonts w:hint="default" w:ascii="Times New Roman" w:hAnsi="Times New Roman" w:eastAsia="宋体" w:cs="Times New Roman"/>
                <w:b w:val="0"/>
                <w:bCs w:val="0"/>
                <w:color w:val="auto"/>
                <w:sz w:val="26"/>
                <w:szCs w:val="26"/>
                <w:lang w:val="en-US" w:eastAsia="zh-CN"/>
              </w:rPr>
            </w:pPr>
            <w:r>
              <w:rPr>
                <w:rFonts w:hint="default" w:ascii="Times New Roman" w:hAnsi="Times New Roman" w:eastAsia="宋体" w:cs="Times New Roman"/>
                <w:b w:val="0"/>
                <w:bCs w:val="0"/>
                <w:color w:val="auto"/>
                <w:sz w:val="26"/>
                <w:szCs w:val="26"/>
                <w:lang w:val="en-US" w:eastAsia="zh-CN"/>
              </w:rPr>
              <w:t>表2.1-3</w:t>
            </w:r>
            <w:r>
              <w:rPr>
                <w:rFonts w:hint="eastAsia" w:ascii="Times New Roman" w:hAnsi="Times New Roman" w:eastAsia="宋体" w:cs="Times New Roman"/>
                <w:b w:val="0"/>
                <w:bCs w:val="0"/>
                <w:color w:val="auto"/>
                <w:sz w:val="26"/>
                <w:szCs w:val="26"/>
                <w:lang w:val="en-US" w:eastAsia="zh-CN"/>
              </w:rPr>
              <w:t>.1</w:t>
            </w:r>
            <w:r>
              <w:rPr>
                <w:rFonts w:hint="default" w:ascii="Times New Roman" w:hAnsi="Times New Roman" w:eastAsia="宋体" w:cs="Times New Roman"/>
                <w:b w:val="0"/>
                <w:bCs w:val="0"/>
                <w:color w:val="auto"/>
                <w:sz w:val="26"/>
                <w:szCs w:val="26"/>
                <w:lang w:val="en-US" w:eastAsia="zh-CN"/>
              </w:rPr>
              <w:t xml:space="preserve">  </w:t>
            </w:r>
            <w:r>
              <w:rPr>
                <w:rFonts w:hint="eastAsia" w:ascii="Times New Roman" w:hAnsi="Times New Roman" w:eastAsia="宋体" w:cs="Times New Roman"/>
                <w:b w:val="0"/>
                <w:bCs w:val="0"/>
                <w:color w:val="auto"/>
                <w:sz w:val="26"/>
                <w:szCs w:val="26"/>
                <w:lang w:val="en-US" w:eastAsia="zh-CN"/>
              </w:rPr>
              <w:t xml:space="preserve">            </w:t>
            </w:r>
            <w:r>
              <w:rPr>
                <w:rFonts w:hint="default" w:ascii="Times New Roman" w:hAnsi="Times New Roman" w:eastAsia="宋体" w:cs="Times New Roman"/>
                <w:b w:val="0"/>
                <w:bCs w:val="0"/>
                <w:color w:val="auto"/>
                <w:sz w:val="26"/>
                <w:szCs w:val="26"/>
                <w:lang w:val="en-US" w:eastAsia="zh-CN"/>
              </w:rPr>
              <w:t>主要生产设备一览表</w:t>
            </w:r>
          </w:p>
          <w:tbl>
            <w:tblPr>
              <w:tblStyle w:val="18"/>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2333"/>
              <w:gridCol w:w="1536"/>
              <w:gridCol w:w="1034"/>
              <w:gridCol w:w="1532"/>
            </w:tblGrid>
            <w:tr w14:paraId="67162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25" w:type="dxa"/>
                  <w:vAlign w:val="center"/>
                </w:tcPr>
                <w:p w14:paraId="5C469AEC">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生产线</w:t>
                  </w:r>
                </w:p>
              </w:tc>
              <w:tc>
                <w:tcPr>
                  <w:tcW w:w="2333" w:type="dxa"/>
                  <w:vAlign w:val="center"/>
                </w:tcPr>
                <w:p w14:paraId="19071E5A">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设备名称</w:t>
                  </w:r>
                </w:p>
              </w:tc>
              <w:tc>
                <w:tcPr>
                  <w:tcW w:w="1536" w:type="dxa"/>
                  <w:vAlign w:val="center"/>
                </w:tcPr>
                <w:p w14:paraId="3C758155">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规格/型号</w:t>
                  </w:r>
                </w:p>
              </w:tc>
              <w:tc>
                <w:tcPr>
                  <w:tcW w:w="1034" w:type="dxa"/>
                  <w:vAlign w:val="center"/>
                </w:tcPr>
                <w:p w14:paraId="612ED3D6">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数量（台/套）</w:t>
                  </w:r>
                </w:p>
              </w:tc>
              <w:tc>
                <w:tcPr>
                  <w:tcW w:w="1532" w:type="dxa"/>
                  <w:vAlign w:val="center"/>
                </w:tcPr>
                <w:p w14:paraId="0E6D2431">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工序</w:t>
                  </w:r>
                </w:p>
              </w:tc>
            </w:tr>
            <w:tr w14:paraId="3ACB1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25" w:type="dxa"/>
                  <w:vMerge w:val="restart"/>
                  <w:vAlign w:val="center"/>
                </w:tcPr>
                <w:p w14:paraId="50CF4C3D">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玻璃纤维毡生产线</w:t>
                  </w:r>
                </w:p>
              </w:tc>
              <w:tc>
                <w:tcPr>
                  <w:tcW w:w="2333" w:type="dxa"/>
                  <w:vAlign w:val="center"/>
                </w:tcPr>
                <w:p w14:paraId="7AF24B4E">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自动开包机</w:t>
                  </w:r>
                </w:p>
              </w:tc>
              <w:tc>
                <w:tcPr>
                  <w:tcW w:w="1536" w:type="dxa"/>
                  <w:vAlign w:val="center"/>
                </w:tcPr>
                <w:p w14:paraId="4773F84C">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1200型</w:t>
                  </w:r>
                </w:p>
              </w:tc>
              <w:tc>
                <w:tcPr>
                  <w:tcW w:w="1034" w:type="dxa"/>
                  <w:vAlign w:val="center"/>
                </w:tcPr>
                <w:p w14:paraId="77AA0569">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2</w:t>
                  </w:r>
                </w:p>
              </w:tc>
              <w:tc>
                <w:tcPr>
                  <w:tcW w:w="1532" w:type="dxa"/>
                  <w:vAlign w:val="center"/>
                </w:tcPr>
                <w:p w14:paraId="54B93A88">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开包</w:t>
                  </w:r>
                </w:p>
              </w:tc>
            </w:tr>
            <w:tr w14:paraId="7D465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25" w:type="dxa"/>
                  <w:vMerge w:val="continue"/>
                  <w:vAlign w:val="center"/>
                </w:tcPr>
                <w:p w14:paraId="7BCFB81F">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vertAlign w:val="baseline"/>
                      <w:lang w:val="en-US" w:eastAsia="zh-CN"/>
                    </w:rPr>
                  </w:pPr>
                </w:p>
              </w:tc>
              <w:tc>
                <w:tcPr>
                  <w:tcW w:w="2333" w:type="dxa"/>
                  <w:vAlign w:val="center"/>
                </w:tcPr>
                <w:p w14:paraId="35CD0C3D">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卧式开松机</w:t>
                  </w:r>
                </w:p>
              </w:tc>
              <w:tc>
                <w:tcPr>
                  <w:tcW w:w="1536" w:type="dxa"/>
                  <w:vAlign w:val="center"/>
                </w:tcPr>
                <w:p w14:paraId="43A53C96">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1600型</w:t>
                  </w:r>
                </w:p>
              </w:tc>
              <w:tc>
                <w:tcPr>
                  <w:tcW w:w="1034" w:type="dxa"/>
                  <w:vAlign w:val="center"/>
                </w:tcPr>
                <w:p w14:paraId="25FE70CC">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1</w:t>
                  </w:r>
                </w:p>
              </w:tc>
              <w:tc>
                <w:tcPr>
                  <w:tcW w:w="1532" w:type="dxa"/>
                  <w:vAlign w:val="center"/>
                </w:tcPr>
                <w:p w14:paraId="224DD3DE">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开松</w:t>
                  </w:r>
                </w:p>
              </w:tc>
            </w:tr>
            <w:tr w14:paraId="58E6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25" w:type="dxa"/>
                  <w:vMerge w:val="continue"/>
                  <w:vAlign w:val="center"/>
                </w:tcPr>
                <w:p w14:paraId="5501B7C8">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vertAlign w:val="baseline"/>
                      <w:lang w:val="en-US" w:eastAsia="zh-CN"/>
                    </w:rPr>
                  </w:pPr>
                </w:p>
              </w:tc>
              <w:tc>
                <w:tcPr>
                  <w:tcW w:w="2333" w:type="dxa"/>
                  <w:vAlign w:val="center"/>
                </w:tcPr>
                <w:p w14:paraId="4751405D">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大仓混棉机</w:t>
                  </w:r>
                </w:p>
              </w:tc>
              <w:tc>
                <w:tcPr>
                  <w:tcW w:w="1536" w:type="dxa"/>
                  <w:vAlign w:val="center"/>
                </w:tcPr>
                <w:p w14:paraId="1F0C662B">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1300型</w:t>
                  </w:r>
                </w:p>
              </w:tc>
              <w:tc>
                <w:tcPr>
                  <w:tcW w:w="1034" w:type="dxa"/>
                  <w:vAlign w:val="center"/>
                </w:tcPr>
                <w:p w14:paraId="3372CD5A">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2</w:t>
                  </w:r>
                </w:p>
              </w:tc>
              <w:tc>
                <w:tcPr>
                  <w:tcW w:w="1532" w:type="dxa"/>
                  <w:vAlign w:val="center"/>
                </w:tcPr>
                <w:p w14:paraId="575E4834">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混棉</w:t>
                  </w:r>
                </w:p>
              </w:tc>
            </w:tr>
            <w:tr w14:paraId="62875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25" w:type="dxa"/>
                  <w:vMerge w:val="continue"/>
                  <w:vAlign w:val="center"/>
                </w:tcPr>
                <w:p w14:paraId="1E846452">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vertAlign w:val="baseline"/>
                      <w:lang w:val="en-US" w:eastAsia="zh-CN"/>
                    </w:rPr>
                  </w:pPr>
                </w:p>
              </w:tc>
              <w:tc>
                <w:tcPr>
                  <w:tcW w:w="2333" w:type="dxa"/>
                  <w:vAlign w:val="center"/>
                </w:tcPr>
                <w:p w14:paraId="5AFD848F">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eastAsia"/>
                      <w:color w:val="auto"/>
                      <w:sz w:val="22"/>
                      <w:szCs w:val="22"/>
                      <w:lang w:val="en-US" w:eastAsia="zh-CN"/>
                    </w:rPr>
                  </w:pPr>
                  <w:r>
                    <w:rPr>
                      <w:rFonts w:hint="default"/>
                      <w:color w:val="auto"/>
                      <w:sz w:val="22"/>
                      <w:szCs w:val="22"/>
                      <w:lang w:val="en-US" w:eastAsia="zh-CN"/>
                    </w:rPr>
                    <w:t>振动给棉机</w:t>
                  </w:r>
                </w:p>
              </w:tc>
              <w:tc>
                <w:tcPr>
                  <w:tcW w:w="1536" w:type="dxa"/>
                  <w:vAlign w:val="center"/>
                </w:tcPr>
                <w:p w14:paraId="0102E0AD">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1800型</w:t>
                  </w:r>
                </w:p>
              </w:tc>
              <w:tc>
                <w:tcPr>
                  <w:tcW w:w="1034" w:type="dxa"/>
                  <w:vAlign w:val="center"/>
                </w:tcPr>
                <w:p w14:paraId="7EAB7EC3">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1</w:t>
                  </w:r>
                </w:p>
              </w:tc>
              <w:tc>
                <w:tcPr>
                  <w:tcW w:w="1532" w:type="dxa"/>
                  <w:vAlign w:val="center"/>
                </w:tcPr>
                <w:p w14:paraId="0D6E3596">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给棉</w:t>
                  </w:r>
                </w:p>
              </w:tc>
            </w:tr>
            <w:tr w14:paraId="485C3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25" w:type="dxa"/>
                  <w:vMerge w:val="continue"/>
                  <w:vAlign w:val="center"/>
                </w:tcPr>
                <w:p w14:paraId="0221580B">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vertAlign w:val="baseline"/>
                      <w:lang w:val="en-US" w:eastAsia="zh-CN"/>
                    </w:rPr>
                  </w:pPr>
                </w:p>
              </w:tc>
              <w:tc>
                <w:tcPr>
                  <w:tcW w:w="2333" w:type="dxa"/>
                  <w:vAlign w:val="center"/>
                </w:tcPr>
                <w:p w14:paraId="426098C1">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自调</w:t>
                  </w:r>
                  <w:r>
                    <w:rPr>
                      <w:rFonts w:hint="eastAsia"/>
                      <w:color w:val="auto"/>
                      <w:sz w:val="22"/>
                      <w:szCs w:val="22"/>
                      <w:lang w:val="en-US" w:eastAsia="zh-CN"/>
                    </w:rPr>
                    <w:t>匀调</w:t>
                  </w:r>
                  <w:r>
                    <w:rPr>
                      <w:rFonts w:hint="default"/>
                      <w:color w:val="auto"/>
                      <w:sz w:val="22"/>
                      <w:szCs w:val="22"/>
                      <w:lang w:val="en-US" w:eastAsia="zh-CN"/>
                    </w:rPr>
                    <w:t>整仪</w:t>
                  </w:r>
                </w:p>
              </w:tc>
              <w:tc>
                <w:tcPr>
                  <w:tcW w:w="1536" w:type="dxa"/>
                  <w:vAlign w:val="center"/>
                </w:tcPr>
                <w:p w14:paraId="362727C1">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w:t>
                  </w:r>
                </w:p>
              </w:tc>
              <w:tc>
                <w:tcPr>
                  <w:tcW w:w="1034" w:type="dxa"/>
                  <w:vAlign w:val="center"/>
                </w:tcPr>
                <w:p w14:paraId="0892FEA9">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1</w:t>
                  </w:r>
                </w:p>
              </w:tc>
              <w:tc>
                <w:tcPr>
                  <w:tcW w:w="1532" w:type="dxa"/>
                  <w:vAlign w:val="center"/>
                </w:tcPr>
                <w:p w14:paraId="776DBC00">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给棉</w:t>
                  </w:r>
                </w:p>
              </w:tc>
            </w:tr>
            <w:tr w14:paraId="3764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25" w:type="dxa"/>
                  <w:vMerge w:val="continue"/>
                  <w:vAlign w:val="center"/>
                </w:tcPr>
                <w:p w14:paraId="277D33DA">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vertAlign w:val="baseline"/>
                      <w:lang w:val="en-US" w:eastAsia="zh-CN"/>
                    </w:rPr>
                  </w:pPr>
                </w:p>
              </w:tc>
              <w:tc>
                <w:tcPr>
                  <w:tcW w:w="2333" w:type="dxa"/>
                  <w:vAlign w:val="center"/>
                </w:tcPr>
                <w:p w14:paraId="522FF8B0">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单锡林双道夫梳理机</w:t>
                  </w:r>
                </w:p>
              </w:tc>
              <w:tc>
                <w:tcPr>
                  <w:tcW w:w="1536" w:type="dxa"/>
                  <w:vAlign w:val="center"/>
                </w:tcPr>
                <w:p w14:paraId="278F4E8C">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1230*2000</w:t>
                  </w:r>
                </w:p>
              </w:tc>
              <w:tc>
                <w:tcPr>
                  <w:tcW w:w="1034" w:type="dxa"/>
                  <w:vAlign w:val="center"/>
                </w:tcPr>
                <w:p w14:paraId="46863CAF">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1</w:t>
                  </w:r>
                </w:p>
              </w:tc>
              <w:tc>
                <w:tcPr>
                  <w:tcW w:w="1532" w:type="dxa"/>
                  <w:vAlign w:val="center"/>
                </w:tcPr>
                <w:p w14:paraId="171E66F6">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梳理</w:t>
                  </w:r>
                </w:p>
              </w:tc>
            </w:tr>
            <w:tr w14:paraId="47A28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25" w:type="dxa"/>
                  <w:vMerge w:val="continue"/>
                  <w:vAlign w:val="center"/>
                </w:tcPr>
                <w:p w14:paraId="353957E7">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vertAlign w:val="baseline"/>
                      <w:lang w:val="en-US" w:eastAsia="zh-CN"/>
                    </w:rPr>
                  </w:pPr>
                </w:p>
              </w:tc>
              <w:tc>
                <w:tcPr>
                  <w:tcW w:w="2333" w:type="dxa"/>
                  <w:vAlign w:val="center"/>
                </w:tcPr>
                <w:p w14:paraId="661B4625">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铺网机</w:t>
                  </w:r>
                </w:p>
              </w:tc>
              <w:tc>
                <w:tcPr>
                  <w:tcW w:w="1536" w:type="dxa"/>
                  <w:vAlign w:val="center"/>
                </w:tcPr>
                <w:p w14:paraId="21284BA7">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2200*3500</w:t>
                  </w:r>
                </w:p>
              </w:tc>
              <w:tc>
                <w:tcPr>
                  <w:tcW w:w="1034" w:type="dxa"/>
                  <w:vAlign w:val="center"/>
                </w:tcPr>
                <w:p w14:paraId="715846BD">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1</w:t>
                  </w:r>
                </w:p>
              </w:tc>
              <w:tc>
                <w:tcPr>
                  <w:tcW w:w="1532" w:type="dxa"/>
                  <w:vAlign w:val="center"/>
                </w:tcPr>
                <w:p w14:paraId="2C2D5F86">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铺网</w:t>
                  </w:r>
                </w:p>
              </w:tc>
            </w:tr>
            <w:tr w14:paraId="4834D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25" w:type="dxa"/>
                  <w:vMerge w:val="continue"/>
                  <w:vAlign w:val="center"/>
                </w:tcPr>
                <w:p w14:paraId="4C98324C">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vertAlign w:val="baseline"/>
                      <w:lang w:val="en-US" w:eastAsia="zh-CN"/>
                    </w:rPr>
                  </w:pPr>
                </w:p>
              </w:tc>
              <w:tc>
                <w:tcPr>
                  <w:tcW w:w="2333" w:type="dxa"/>
                  <w:vAlign w:val="center"/>
                </w:tcPr>
                <w:p w14:paraId="633DC12B">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夹帘喂入机</w:t>
                  </w:r>
                </w:p>
              </w:tc>
              <w:tc>
                <w:tcPr>
                  <w:tcW w:w="1536" w:type="dxa"/>
                  <w:vAlign w:val="center"/>
                </w:tcPr>
                <w:p w14:paraId="0B66512B">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3500型</w:t>
                  </w:r>
                </w:p>
              </w:tc>
              <w:tc>
                <w:tcPr>
                  <w:tcW w:w="1034" w:type="dxa"/>
                  <w:vAlign w:val="center"/>
                </w:tcPr>
                <w:p w14:paraId="26FD55EA">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1</w:t>
                  </w:r>
                </w:p>
              </w:tc>
              <w:tc>
                <w:tcPr>
                  <w:tcW w:w="1532" w:type="dxa"/>
                  <w:vAlign w:val="center"/>
                </w:tcPr>
                <w:p w14:paraId="736CE61C">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w:t>
                  </w:r>
                </w:p>
              </w:tc>
            </w:tr>
            <w:tr w14:paraId="398FD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25" w:type="dxa"/>
                  <w:vMerge w:val="continue"/>
                  <w:vAlign w:val="center"/>
                </w:tcPr>
                <w:p w14:paraId="472677D9">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vertAlign w:val="baseline"/>
                      <w:lang w:val="en-US" w:eastAsia="zh-CN"/>
                    </w:rPr>
                  </w:pPr>
                </w:p>
              </w:tc>
              <w:tc>
                <w:tcPr>
                  <w:tcW w:w="2333" w:type="dxa"/>
                  <w:vAlign w:val="center"/>
                </w:tcPr>
                <w:p w14:paraId="41AF2988">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eastAsia"/>
                      <w:color w:val="auto"/>
                      <w:sz w:val="22"/>
                      <w:szCs w:val="22"/>
                      <w:lang w:val="en-US" w:eastAsia="zh-CN"/>
                    </w:rPr>
                  </w:pPr>
                  <w:r>
                    <w:rPr>
                      <w:rFonts w:hint="default"/>
                      <w:color w:val="auto"/>
                      <w:sz w:val="22"/>
                      <w:szCs w:val="22"/>
                      <w:lang w:val="en-US" w:eastAsia="zh-CN"/>
                    </w:rPr>
                    <w:t>中速预刺机</w:t>
                  </w:r>
                </w:p>
              </w:tc>
              <w:tc>
                <w:tcPr>
                  <w:tcW w:w="1536" w:type="dxa"/>
                  <w:vAlign w:val="center"/>
                </w:tcPr>
                <w:p w14:paraId="3A78A814">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3500型</w:t>
                  </w:r>
                </w:p>
              </w:tc>
              <w:tc>
                <w:tcPr>
                  <w:tcW w:w="1034" w:type="dxa"/>
                  <w:vAlign w:val="center"/>
                </w:tcPr>
                <w:p w14:paraId="02918160">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1</w:t>
                  </w:r>
                </w:p>
              </w:tc>
              <w:tc>
                <w:tcPr>
                  <w:tcW w:w="1532" w:type="dxa"/>
                  <w:vAlign w:val="center"/>
                </w:tcPr>
                <w:p w14:paraId="6719BC2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预刺</w:t>
                  </w:r>
                </w:p>
              </w:tc>
            </w:tr>
            <w:tr w14:paraId="7EB1A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25" w:type="dxa"/>
                  <w:vMerge w:val="continue"/>
                  <w:vAlign w:val="center"/>
                </w:tcPr>
                <w:p w14:paraId="49DC437A">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vertAlign w:val="baseline"/>
                      <w:lang w:val="en-US" w:eastAsia="zh-CN"/>
                    </w:rPr>
                  </w:pPr>
                </w:p>
              </w:tc>
              <w:tc>
                <w:tcPr>
                  <w:tcW w:w="2333" w:type="dxa"/>
                  <w:vAlign w:val="center"/>
                </w:tcPr>
                <w:p w14:paraId="061B2B17">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eastAsia"/>
                      <w:color w:val="auto"/>
                      <w:sz w:val="22"/>
                      <w:szCs w:val="22"/>
                      <w:lang w:val="en-US" w:eastAsia="zh-CN"/>
                    </w:rPr>
                  </w:pPr>
                  <w:r>
                    <w:rPr>
                      <w:rFonts w:hint="default"/>
                      <w:color w:val="auto"/>
                      <w:sz w:val="22"/>
                      <w:szCs w:val="22"/>
                      <w:lang w:val="en-US" w:eastAsia="zh-CN"/>
                    </w:rPr>
                    <w:t>中速下刺机</w:t>
                  </w:r>
                </w:p>
              </w:tc>
              <w:tc>
                <w:tcPr>
                  <w:tcW w:w="1536" w:type="dxa"/>
                  <w:vAlign w:val="center"/>
                </w:tcPr>
                <w:p w14:paraId="08F14556">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3500型</w:t>
                  </w:r>
                </w:p>
              </w:tc>
              <w:tc>
                <w:tcPr>
                  <w:tcW w:w="1034" w:type="dxa"/>
                  <w:vAlign w:val="center"/>
                </w:tcPr>
                <w:p w14:paraId="0AFD86B0">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1</w:t>
                  </w:r>
                </w:p>
              </w:tc>
              <w:tc>
                <w:tcPr>
                  <w:tcW w:w="1532" w:type="dxa"/>
                  <w:vAlign w:val="center"/>
                </w:tcPr>
                <w:p w14:paraId="2F74F0B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下刺</w:t>
                  </w:r>
                </w:p>
              </w:tc>
            </w:tr>
            <w:tr w14:paraId="6BF77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25" w:type="dxa"/>
                  <w:vMerge w:val="continue"/>
                  <w:vAlign w:val="center"/>
                </w:tcPr>
                <w:p w14:paraId="2FCDEC8A">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vertAlign w:val="baseline"/>
                      <w:lang w:val="en-US" w:eastAsia="zh-CN"/>
                    </w:rPr>
                  </w:pPr>
                </w:p>
              </w:tc>
              <w:tc>
                <w:tcPr>
                  <w:tcW w:w="2333" w:type="dxa"/>
                  <w:vAlign w:val="center"/>
                </w:tcPr>
                <w:p w14:paraId="6F43A1F7">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eastAsia"/>
                      <w:color w:val="auto"/>
                      <w:sz w:val="22"/>
                      <w:szCs w:val="22"/>
                      <w:lang w:val="en-US" w:eastAsia="zh-CN"/>
                    </w:rPr>
                  </w:pPr>
                  <w:r>
                    <w:rPr>
                      <w:rFonts w:hint="default"/>
                      <w:color w:val="auto"/>
                      <w:sz w:val="22"/>
                      <w:szCs w:val="22"/>
                      <w:lang w:val="en-US" w:eastAsia="zh-CN"/>
                    </w:rPr>
                    <w:t>横切收卷机</w:t>
                  </w:r>
                </w:p>
              </w:tc>
              <w:tc>
                <w:tcPr>
                  <w:tcW w:w="1536" w:type="dxa"/>
                  <w:vAlign w:val="center"/>
                </w:tcPr>
                <w:p w14:paraId="16C657D2">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3500型</w:t>
                  </w:r>
                </w:p>
              </w:tc>
              <w:tc>
                <w:tcPr>
                  <w:tcW w:w="1034" w:type="dxa"/>
                  <w:vAlign w:val="center"/>
                </w:tcPr>
                <w:p w14:paraId="60B1A03B">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1</w:t>
                  </w:r>
                </w:p>
              </w:tc>
              <w:tc>
                <w:tcPr>
                  <w:tcW w:w="1532" w:type="dxa"/>
                  <w:vAlign w:val="center"/>
                </w:tcPr>
                <w:p w14:paraId="170BEE86">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收卷</w:t>
                  </w:r>
                </w:p>
              </w:tc>
            </w:tr>
            <w:tr w14:paraId="4DB79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25" w:type="dxa"/>
                  <w:vMerge w:val="restart"/>
                  <w:vAlign w:val="center"/>
                </w:tcPr>
                <w:p w14:paraId="4B172FDF">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vertAlign w:val="baseline"/>
                      <w:lang w:val="en-US" w:eastAsia="zh-CN"/>
                    </w:rPr>
                  </w:pPr>
                  <w:r>
                    <w:rPr>
                      <w:rFonts w:hint="default"/>
                      <w:color w:val="auto"/>
                      <w:sz w:val="22"/>
                      <w:szCs w:val="22"/>
                      <w:vertAlign w:val="baseline"/>
                      <w:lang w:val="en-US" w:eastAsia="zh-CN"/>
                    </w:rPr>
                    <w:t>车用纤维隔热片</w:t>
                  </w:r>
                  <w:r>
                    <w:rPr>
                      <w:rFonts w:hint="eastAsia"/>
                      <w:color w:val="auto"/>
                      <w:sz w:val="22"/>
                      <w:szCs w:val="22"/>
                      <w:vertAlign w:val="baseline"/>
                      <w:lang w:val="en-US" w:eastAsia="zh-CN"/>
                    </w:rPr>
                    <w:t>生产线</w:t>
                  </w:r>
                </w:p>
              </w:tc>
              <w:tc>
                <w:tcPr>
                  <w:tcW w:w="2333" w:type="dxa"/>
                  <w:vAlign w:val="center"/>
                </w:tcPr>
                <w:p w14:paraId="143B6262">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精密气动裁切机</w:t>
                  </w:r>
                </w:p>
              </w:tc>
              <w:tc>
                <w:tcPr>
                  <w:tcW w:w="1536" w:type="dxa"/>
                  <w:vAlign w:val="center"/>
                </w:tcPr>
                <w:p w14:paraId="0B9B890E">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XLY-1500KN</w:t>
                  </w:r>
                </w:p>
              </w:tc>
              <w:tc>
                <w:tcPr>
                  <w:tcW w:w="1034" w:type="dxa"/>
                  <w:vAlign w:val="center"/>
                </w:tcPr>
                <w:p w14:paraId="4890CE43">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3</w:t>
                  </w:r>
                </w:p>
              </w:tc>
              <w:tc>
                <w:tcPr>
                  <w:tcW w:w="1532" w:type="dxa"/>
                  <w:vAlign w:val="center"/>
                </w:tcPr>
                <w:p w14:paraId="02324697">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裁切</w:t>
                  </w:r>
                </w:p>
              </w:tc>
            </w:tr>
            <w:tr w14:paraId="0C04D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25" w:type="dxa"/>
                  <w:vMerge w:val="continue"/>
                  <w:vAlign w:val="center"/>
                </w:tcPr>
                <w:p w14:paraId="234A9D24">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vertAlign w:val="baseline"/>
                      <w:lang w:val="en-US" w:eastAsia="zh-CN"/>
                    </w:rPr>
                  </w:pPr>
                </w:p>
              </w:tc>
              <w:tc>
                <w:tcPr>
                  <w:tcW w:w="2333" w:type="dxa"/>
                  <w:vAlign w:val="center"/>
                </w:tcPr>
                <w:p w14:paraId="04EFF113">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热风循环烘箱</w:t>
                  </w:r>
                </w:p>
              </w:tc>
              <w:tc>
                <w:tcPr>
                  <w:tcW w:w="1536" w:type="dxa"/>
                  <w:vAlign w:val="center"/>
                </w:tcPr>
                <w:p w14:paraId="08FC2629">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AS-TP-500</w:t>
                  </w:r>
                </w:p>
              </w:tc>
              <w:tc>
                <w:tcPr>
                  <w:tcW w:w="1034" w:type="dxa"/>
                  <w:vAlign w:val="center"/>
                </w:tcPr>
                <w:p w14:paraId="18B1A813">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1</w:t>
                  </w:r>
                </w:p>
              </w:tc>
              <w:tc>
                <w:tcPr>
                  <w:tcW w:w="1532" w:type="dxa"/>
                  <w:vAlign w:val="center"/>
                </w:tcPr>
                <w:p w14:paraId="63CD5659">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烘烤原材料</w:t>
                  </w:r>
                </w:p>
              </w:tc>
            </w:tr>
            <w:tr w14:paraId="7E34E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225" w:type="dxa"/>
                  <w:vMerge w:val="restart"/>
                  <w:vAlign w:val="center"/>
                </w:tcPr>
                <w:p w14:paraId="712DDC06">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vertAlign w:val="baseline"/>
                      <w:lang w:val="en-US" w:eastAsia="zh-CN"/>
                    </w:rPr>
                  </w:pPr>
                  <w:r>
                    <w:rPr>
                      <w:rFonts w:hint="default"/>
                      <w:color w:val="auto"/>
                      <w:sz w:val="22"/>
                      <w:szCs w:val="22"/>
                      <w:vertAlign w:val="baseline"/>
                      <w:lang w:val="en-US" w:eastAsia="zh-CN"/>
                    </w:rPr>
                    <w:t>车用消音隔热棉</w:t>
                  </w:r>
                  <w:r>
                    <w:rPr>
                      <w:rFonts w:hint="eastAsia"/>
                      <w:color w:val="auto"/>
                      <w:sz w:val="22"/>
                      <w:szCs w:val="22"/>
                      <w:vertAlign w:val="baseline"/>
                      <w:lang w:val="en-US" w:eastAsia="zh-CN"/>
                    </w:rPr>
                    <w:t>生产线</w:t>
                  </w:r>
                </w:p>
              </w:tc>
              <w:tc>
                <w:tcPr>
                  <w:tcW w:w="2333" w:type="dxa"/>
                  <w:vAlign w:val="center"/>
                </w:tcPr>
                <w:p w14:paraId="2A27FA82">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玻璃纤维膨化机</w:t>
                  </w:r>
                </w:p>
              </w:tc>
              <w:tc>
                <w:tcPr>
                  <w:tcW w:w="1536" w:type="dxa"/>
                  <w:vAlign w:val="center"/>
                </w:tcPr>
                <w:p w14:paraId="4118A165">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PL</w:t>
                  </w:r>
                </w:p>
              </w:tc>
              <w:tc>
                <w:tcPr>
                  <w:tcW w:w="1034" w:type="dxa"/>
                  <w:vAlign w:val="center"/>
                </w:tcPr>
                <w:p w14:paraId="68063D39">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6</w:t>
                  </w:r>
                </w:p>
              </w:tc>
              <w:tc>
                <w:tcPr>
                  <w:tcW w:w="1532" w:type="dxa"/>
                  <w:vAlign w:val="center"/>
                </w:tcPr>
                <w:p w14:paraId="19112E50">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膨化</w:t>
                  </w:r>
                </w:p>
              </w:tc>
            </w:tr>
            <w:tr w14:paraId="4FCBE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25" w:type="dxa"/>
                  <w:vMerge w:val="continue"/>
                  <w:vAlign w:val="center"/>
                </w:tcPr>
                <w:p w14:paraId="56C65AB0">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vertAlign w:val="baseline"/>
                      <w:lang w:val="en-US" w:eastAsia="zh-CN"/>
                    </w:rPr>
                  </w:pPr>
                </w:p>
              </w:tc>
              <w:tc>
                <w:tcPr>
                  <w:tcW w:w="2333" w:type="dxa"/>
                  <w:vAlign w:val="center"/>
                </w:tcPr>
                <w:p w14:paraId="0A72CE34">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织网机</w:t>
                  </w:r>
                </w:p>
              </w:tc>
              <w:tc>
                <w:tcPr>
                  <w:tcW w:w="1536" w:type="dxa"/>
                  <w:vAlign w:val="center"/>
                </w:tcPr>
                <w:p w14:paraId="4E570868">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w:t>
                  </w:r>
                </w:p>
              </w:tc>
              <w:tc>
                <w:tcPr>
                  <w:tcW w:w="1034" w:type="dxa"/>
                  <w:vAlign w:val="center"/>
                </w:tcPr>
                <w:p w14:paraId="52852892">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3</w:t>
                  </w:r>
                </w:p>
              </w:tc>
              <w:tc>
                <w:tcPr>
                  <w:tcW w:w="1532" w:type="dxa"/>
                  <w:vAlign w:val="center"/>
                </w:tcPr>
                <w:p w14:paraId="43250018">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织网</w:t>
                  </w:r>
                </w:p>
              </w:tc>
            </w:tr>
            <w:tr w14:paraId="2C67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25" w:type="dxa"/>
                  <w:vMerge w:val="restart"/>
                  <w:vAlign w:val="center"/>
                </w:tcPr>
                <w:p w14:paraId="65CE4DB0">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vertAlign w:val="baseline"/>
                      <w:lang w:val="en-US" w:eastAsia="zh-CN"/>
                    </w:rPr>
                  </w:pPr>
                  <w:r>
                    <w:rPr>
                      <w:rFonts w:hint="eastAsia"/>
                      <w:color w:val="auto"/>
                      <w:sz w:val="22"/>
                      <w:szCs w:val="22"/>
                      <w:vertAlign w:val="baseline"/>
                      <w:lang w:val="en-US" w:eastAsia="zh-CN"/>
                    </w:rPr>
                    <w:t>公用设备</w:t>
                  </w:r>
                </w:p>
              </w:tc>
              <w:tc>
                <w:tcPr>
                  <w:tcW w:w="2333" w:type="dxa"/>
                  <w:vAlign w:val="center"/>
                </w:tcPr>
                <w:p w14:paraId="2E7A6DF9">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无油空压机</w:t>
                  </w:r>
                </w:p>
              </w:tc>
              <w:tc>
                <w:tcPr>
                  <w:tcW w:w="1536" w:type="dxa"/>
                  <w:vAlign w:val="center"/>
                </w:tcPr>
                <w:p w14:paraId="6DF2AF8E">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30kW</w:t>
                  </w:r>
                </w:p>
              </w:tc>
              <w:tc>
                <w:tcPr>
                  <w:tcW w:w="1034" w:type="dxa"/>
                  <w:vAlign w:val="center"/>
                </w:tcPr>
                <w:p w14:paraId="2F599024">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1</w:t>
                  </w:r>
                </w:p>
              </w:tc>
              <w:tc>
                <w:tcPr>
                  <w:tcW w:w="1532" w:type="dxa"/>
                  <w:vAlign w:val="center"/>
                </w:tcPr>
                <w:p w14:paraId="2F1A3D73">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p>
              </w:tc>
            </w:tr>
            <w:tr w14:paraId="132E5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25" w:type="dxa"/>
                  <w:vMerge w:val="continue"/>
                  <w:vAlign w:val="center"/>
                </w:tcPr>
                <w:p w14:paraId="3C2A7B64">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vertAlign w:val="baseline"/>
                      <w:lang w:val="en-US" w:eastAsia="zh-CN"/>
                    </w:rPr>
                  </w:pPr>
                </w:p>
              </w:tc>
              <w:tc>
                <w:tcPr>
                  <w:tcW w:w="2333" w:type="dxa"/>
                  <w:vAlign w:val="center"/>
                </w:tcPr>
                <w:p w14:paraId="4F723416">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highlight w:val="none"/>
                      <w:lang w:val="en-US" w:eastAsia="zh-CN"/>
                    </w:rPr>
                  </w:pPr>
                  <w:r>
                    <w:rPr>
                      <w:rFonts w:hint="eastAsia"/>
                      <w:color w:val="auto"/>
                      <w:sz w:val="22"/>
                      <w:szCs w:val="22"/>
                      <w:highlight w:val="none"/>
                      <w:lang w:val="en-US" w:eastAsia="zh-CN"/>
                    </w:rPr>
                    <w:t>布袋除尘器</w:t>
                  </w:r>
                </w:p>
              </w:tc>
              <w:tc>
                <w:tcPr>
                  <w:tcW w:w="1536" w:type="dxa"/>
                  <w:vAlign w:val="center"/>
                </w:tcPr>
                <w:p w14:paraId="53D60BE5">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highlight w:val="none"/>
                      <w:lang w:val="en-US" w:eastAsia="zh-CN"/>
                    </w:rPr>
                  </w:pPr>
                  <w:r>
                    <w:rPr>
                      <w:rFonts w:hint="eastAsia"/>
                      <w:color w:val="auto"/>
                      <w:sz w:val="22"/>
                      <w:szCs w:val="22"/>
                      <w:highlight w:val="none"/>
                      <w:lang w:val="en-US" w:eastAsia="zh-CN"/>
                    </w:rPr>
                    <w:t>风量为30000m</w:t>
                  </w:r>
                  <w:r>
                    <w:rPr>
                      <w:rFonts w:hint="eastAsia"/>
                      <w:color w:val="auto"/>
                      <w:sz w:val="22"/>
                      <w:szCs w:val="22"/>
                      <w:highlight w:val="none"/>
                      <w:vertAlign w:val="superscript"/>
                      <w:lang w:val="en-US" w:eastAsia="zh-CN"/>
                    </w:rPr>
                    <w:t>3</w:t>
                  </w:r>
                </w:p>
              </w:tc>
              <w:tc>
                <w:tcPr>
                  <w:tcW w:w="1034" w:type="dxa"/>
                  <w:vAlign w:val="center"/>
                </w:tcPr>
                <w:p w14:paraId="35E0BB67">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highlight w:val="none"/>
                      <w:lang w:val="en-US" w:eastAsia="zh-CN"/>
                    </w:rPr>
                  </w:pPr>
                  <w:r>
                    <w:rPr>
                      <w:rFonts w:hint="eastAsia"/>
                      <w:color w:val="auto"/>
                      <w:sz w:val="22"/>
                      <w:szCs w:val="22"/>
                      <w:highlight w:val="none"/>
                      <w:lang w:val="en-US" w:eastAsia="zh-CN"/>
                    </w:rPr>
                    <w:t>1</w:t>
                  </w:r>
                </w:p>
              </w:tc>
              <w:tc>
                <w:tcPr>
                  <w:tcW w:w="1532" w:type="dxa"/>
                  <w:vAlign w:val="center"/>
                </w:tcPr>
                <w:p w14:paraId="3DEE68B2">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highlight w:val="none"/>
                      <w:lang w:val="en-US" w:eastAsia="zh-CN"/>
                    </w:rPr>
                  </w:pPr>
                  <w:r>
                    <w:rPr>
                      <w:rFonts w:hint="eastAsia"/>
                      <w:color w:val="auto"/>
                      <w:sz w:val="22"/>
                      <w:szCs w:val="22"/>
                      <w:highlight w:val="none"/>
                      <w:lang w:val="en-US" w:eastAsia="zh-CN"/>
                    </w:rPr>
                    <w:t>收集玻璃纤维粉尘</w:t>
                  </w:r>
                </w:p>
              </w:tc>
            </w:tr>
          </w:tbl>
          <w:p w14:paraId="3ED92A49">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color w:val="auto"/>
                <w:sz w:val="26"/>
                <w:szCs w:val="26"/>
                <w:lang w:val="en-US" w:eastAsia="zh-CN"/>
              </w:rPr>
            </w:pPr>
          </w:p>
          <w:p w14:paraId="47D715A9">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color w:val="auto"/>
                <w:sz w:val="26"/>
                <w:szCs w:val="26"/>
                <w:lang w:val="en-US" w:eastAsia="zh-CN"/>
              </w:rPr>
            </w:pPr>
            <w:r>
              <w:rPr>
                <w:rFonts w:hint="default"/>
                <w:color w:val="auto"/>
                <w:sz w:val="26"/>
                <w:szCs w:val="26"/>
                <w:lang w:val="en-US" w:eastAsia="zh-CN"/>
              </w:rPr>
              <w:t>项目生产设备中无《高耗能落后机电设备（产品）淘汰目录（第一批—第四批）》和《产业结构调整指导目录（20</w:t>
            </w:r>
            <w:r>
              <w:rPr>
                <w:rFonts w:hint="eastAsia"/>
                <w:color w:val="auto"/>
                <w:sz w:val="26"/>
                <w:szCs w:val="26"/>
                <w:lang w:val="en-US" w:eastAsia="zh-CN"/>
              </w:rPr>
              <w:t>24</w:t>
            </w:r>
            <w:r>
              <w:rPr>
                <w:rFonts w:hint="default"/>
                <w:color w:val="auto"/>
                <w:sz w:val="26"/>
                <w:szCs w:val="26"/>
                <w:lang w:val="en-US" w:eastAsia="zh-CN"/>
              </w:rPr>
              <w:t>年本）》中的淘汰落后生产设备。</w:t>
            </w:r>
          </w:p>
          <w:p w14:paraId="5EC5E20F">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s="Times New Roman"/>
                <w:color w:val="auto"/>
                <w:sz w:val="26"/>
                <w:szCs w:val="26"/>
                <w:lang w:val="en-US" w:eastAsia="zh-CN"/>
              </w:rPr>
            </w:pPr>
            <w:r>
              <w:rPr>
                <w:rFonts w:hint="eastAsia"/>
                <w:color w:val="auto"/>
                <w:sz w:val="26"/>
                <w:szCs w:val="26"/>
                <w:lang w:val="en-US" w:eastAsia="zh-CN"/>
              </w:rPr>
              <w:t>本项目主要生产产品为</w:t>
            </w:r>
            <w:r>
              <w:rPr>
                <w:rFonts w:hint="eastAsia" w:cs="Times New Roman"/>
                <w:color w:val="auto"/>
                <w:sz w:val="26"/>
                <w:szCs w:val="26"/>
                <w:lang w:val="en-US" w:eastAsia="zh-CN"/>
              </w:rPr>
              <w:t>玻璃纤维毡、车用纤维隔热片以及车用消音隔热棉，产能匹配性分析详见下表。</w:t>
            </w:r>
          </w:p>
          <w:p w14:paraId="2E6E288A">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s="Times New Roman"/>
                <w:color w:val="auto"/>
                <w:sz w:val="26"/>
                <w:szCs w:val="26"/>
                <w:lang w:val="en-US" w:eastAsia="zh-CN"/>
              </w:rPr>
            </w:pPr>
          </w:p>
          <w:p w14:paraId="54608A6B">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s="Times New Roman"/>
                <w:color w:val="auto"/>
                <w:sz w:val="26"/>
                <w:szCs w:val="26"/>
                <w:lang w:val="en-US" w:eastAsia="zh-CN"/>
              </w:rPr>
            </w:pPr>
            <w:r>
              <w:rPr>
                <w:rFonts w:hint="eastAsia" w:cs="Times New Roman"/>
                <w:color w:val="auto"/>
                <w:sz w:val="26"/>
                <w:szCs w:val="26"/>
                <w:lang w:val="en-US" w:eastAsia="zh-CN"/>
              </w:rPr>
              <w:t>表2.1-3.2           产能匹配性分析</w:t>
            </w:r>
          </w:p>
          <w:tbl>
            <w:tblPr>
              <w:tblStyle w:val="17"/>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1352"/>
              <w:gridCol w:w="957"/>
              <w:gridCol w:w="957"/>
              <w:gridCol w:w="957"/>
              <w:gridCol w:w="958"/>
              <w:gridCol w:w="959"/>
              <w:gridCol w:w="959"/>
            </w:tblGrid>
            <w:tr w14:paraId="169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noWrap w:val="0"/>
                  <w:vAlign w:val="center"/>
                </w:tcPr>
                <w:p w14:paraId="047B2B9C">
                  <w:pPr>
                    <w:pStyle w:val="43"/>
                    <w:jc w:val="center"/>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序号</w:t>
                  </w:r>
                </w:p>
              </w:tc>
              <w:tc>
                <w:tcPr>
                  <w:tcW w:w="1352" w:type="dxa"/>
                  <w:noWrap w:val="0"/>
                  <w:vAlign w:val="center"/>
                </w:tcPr>
                <w:p w14:paraId="5D1C18F1">
                  <w:pPr>
                    <w:pStyle w:val="43"/>
                    <w:jc w:val="center"/>
                    <w:rPr>
                      <w:rFonts w:hint="default" w:ascii="Times New Roman" w:hAnsi="Times New Roman" w:eastAsia="宋体" w:cs="Times New Roman"/>
                      <w:color w:val="auto"/>
                      <w:sz w:val="22"/>
                      <w:szCs w:val="22"/>
                      <w:lang w:val="en-US" w:eastAsia="zh-CN"/>
                    </w:rPr>
                  </w:pPr>
                  <w:r>
                    <w:rPr>
                      <w:rFonts w:hint="eastAsia" w:ascii="Times New Roman" w:eastAsia="宋体" w:cs="Times New Roman"/>
                      <w:color w:val="auto"/>
                      <w:sz w:val="22"/>
                      <w:szCs w:val="22"/>
                      <w:lang w:val="en-US" w:eastAsia="zh-CN"/>
                    </w:rPr>
                    <w:t>生产线</w:t>
                  </w:r>
                </w:p>
              </w:tc>
              <w:tc>
                <w:tcPr>
                  <w:tcW w:w="957" w:type="dxa"/>
                  <w:noWrap w:val="0"/>
                  <w:vAlign w:val="center"/>
                </w:tcPr>
                <w:p w14:paraId="198D6C73">
                  <w:pPr>
                    <w:pStyle w:val="43"/>
                    <w:jc w:val="center"/>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工艺</w:t>
                  </w:r>
                </w:p>
              </w:tc>
              <w:tc>
                <w:tcPr>
                  <w:tcW w:w="957" w:type="dxa"/>
                  <w:noWrap w:val="0"/>
                  <w:vAlign w:val="center"/>
                </w:tcPr>
                <w:p w14:paraId="10450E99">
                  <w:pPr>
                    <w:pStyle w:val="43"/>
                    <w:jc w:val="center"/>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设备名称</w:t>
                  </w:r>
                </w:p>
              </w:tc>
              <w:tc>
                <w:tcPr>
                  <w:tcW w:w="957" w:type="dxa"/>
                  <w:noWrap w:val="0"/>
                  <w:vAlign w:val="center"/>
                </w:tcPr>
                <w:p w14:paraId="4C343D78">
                  <w:pPr>
                    <w:pStyle w:val="43"/>
                    <w:jc w:val="center"/>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数量</w:t>
                  </w:r>
                </w:p>
              </w:tc>
              <w:tc>
                <w:tcPr>
                  <w:tcW w:w="958" w:type="dxa"/>
                  <w:noWrap w:val="0"/>
                  <w:vAlign w:val="center"/>
                </w:tcPr>
                <w:p w14:paraId="346DAD5B">
                  <w:pPr>
                    <w:pStyle w:val="43"/>
                    <w:jc w:val="center"/>
                    <w:rPr>
                      <w:rFonts w:hint="eastAsia"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设计产能</w:t>
                  </w:r>
                </w:p>
                <w:p w14:paraId="40DF42E5">
                  <w:pPr>
                    <w:pStyle w:val="43"/>
                    <w:jc w:val="center"/>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t/h</w:t>
                  </w:r>
                </w:p>
              </w:tc>
              <w:tc>
                <w:tcPr>
                  <w:tcW w:w="959" w:type="dxa"/>
                  <w:noWrap w:val="0"/>
                  <w:vAlign w:val="center"/>
                </w:tcPr>
                <w:p w14:paraId="1D50DD65">
                  <w:pPr>
                    <w:pStyle w:val="43"/>
                    <w:jc w:val="center"/>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单台设备年运行时数/h</w:t>
                  </w:r>
                </w:p>
              </w:tc>
              <w:tc>
                <w:tcPr>
                  <w:tcW w:w="959" w:type="dxa"/>
                  <w:noWrap w:val="0"/>
                  <w:vAlign w:val="center"/>
                </w:tcPr>
                <w:p w14:paraId="57C8566E">
                  <w:pPr>
                    <w:pStyle w:val="43"/>
                    <w:jc w:val="center"/>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年产量/吨</w:t>
                  </w:r>
                </w:p>
              </w:tc>
            </w:tr>
            <w:tr w14:paraId="78D80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noWrap w:val="0"/>
                  <w:vAlign w:val="center"/>
                </w:tcPr>
                <w:p w14:paraId="4D0D6B87">
                  <w:pPr>
                    <w:pStyle w:val="43"/>
                    <w:jc w:val="center"/>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1</w:t>
                  </w:r>
                </w:p>
              </w:tc>
              <w:tc>
                <w:tcPr>
                  <w:tcW w:w="1352" w:type="dxa"/>
                  <w:noWrap w:val="0"/>
                  <w:vAlign w:val="center"/>
                </w:tcPr>
                <w:p w14:paraId="3C9E577A">
                  <w:pPr>
                    <w:pStyle w:val="43"/>
                    <w:jc w:val="center"/>
                    <w:rPr>
                      <w:rFonts w:hint="eastAsia"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玻璃纤维毡</w:t>
                  </w:r>
                </w:p>
              </w:tc>
              <w:tc>
                <w:tcPr>
                  <w:tcW w:w="957" w:type="dxa"/>
                  <w:noWrap w:val="0"/>
                  <w:vAlign w:val="center"/>
                </w:tcPr>
                <w:p w14:paraId="36932189">
                  <w:pPr>
                    <w:pStyle w:val="43"/>
                    <w:jc w:val="center"/>
                    <w:rPr>
                      <w:rFonts w:hint="default" w:ascii="Times New Roman" w:hAnsi="Times New Roman" w:eastAsia="宋体" w:cs="Times New Roman"/>
                      <w:color w:val="auto"/>
                      <w:sz w:val="22"/>
                      <w:szCs w:val="22"/>
                      <w:lang w:val="en-US" w:eastAsia="zh-CN"/>
                    </w:rPr>
                  </w:pPr>
                  <w:r>
                    <w:rPr>
                      <w:rFonts w:hint="eastAsia" w:ascii="Times New Roman" w:eastAsia="宋体" w:cs="Times New Roman"/>
                      <w:color w:val="auto"/>
                      <w:sz w:val="22"/>
                      <w:szCs w:val="22"/>
                      <w:lang w:val="en-US" w:eastAsia="zh-CN"/>
                    </w:rPr>
                    <w:t>单锡林双道夫梳理机</w:t>
                  </w:r>
                </w:p>
              </w:tc>
              <w:tc>
                <w:tcPr>
                  <w:tcW w:w="957" w:type="dxa"/>
                  <w:noWrap w:val="0"/>
                  <w:vAlign w:val="center"/>
                </w:tcPr>
                <w:p w14:paraId="5F56C8E1">
                  <w:pPr>
                    <w:pStyle w:val="43"/>
                    <w:jc w:val="center"/>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铺网机</w:t>
                  </w:r>
                </w:p>
              </w:tc>
              <w:tc>
                <w:tcPr>
                  <w:tcW w:w="957" w:type="dxa"/>
                  <w:noWrap w:val="0"/>
                  <w:vAlign w:val="center"/>
                </w:tcPr>
                <w:p w14:paraId="0201CE1E">
                  <w:pPr>
                    <w:pStyle w:val="43"/>
                    <w:jc w:val="center"/>
                    <w:rPr>
                      <w:rFonts w:hint="eastAsia" w:ascii="Times New Roman" w:hAnsi="Times New Roman" w:eastAsia="宋体" w:cs="Times New Roman"/>
                      <w:color w:val="auto"/>
                      <w:sz w:val="22"/>
                      <w:szCs w:val="22"/>
                      <w:lang w:val="en-US" w:eastAsia="zh-CN"/>
                    </w:rPr>
                  </w:pPr>
                  <w:r>
                    <w:rPr>
                      <w:rFonts w:hint="eastAsia" w:ascii="Times New Roman" w:eastAsia="宋体" w:cs="Times New Roman"/>
                      <w:color w:val="auto"/>
                      <w:sz w:val="22"/>
                      <w:szCs w:val="22"/>
                      <w:lang w:val="en-US" w:eastAsia="zh-CN"/>
                    </w:rPr>
                    <w:t>1</w:t>
                  </w:r>
                </w:p>
              </w:tc>
              <w:tc>
                <w:tcPr>
                  <w:tcW w:w="958" w:type="dxa"/>
                  <w:noWrap w:val="0"/>
                  <w:vAlign w:val="center"/>
                </w:tcPr>
                <w:p w14:paraId="1D5742C8">
                  <w:pPr>
                    <w:pStyle w:val="43"/>
                    <w:jc w:val="center"/>
                    <w:rPr>
                      <w:rFonts w:hint="default" w:ascii="Times New Roman" w:hAnsi="Times New Roman" w:eastAsia="宋体" w:cs="Times New Roman"/>
                      <w:color w:val="auto"/>
                      <w:sz w:val="22"/>
                      <w:szCs w:val="22"/>
                      <w:lang w:val="en-US" w:eastAsia="zh-CN"/>
                    </w:rPr>
                  </w:pPr>
                  <w:r>
                    <w:rPr>
                      <w:rFonts w:hint="eastAsia" w:ascii="Times New Roman" w:eastAsia="宋体" w:cs="Times New Roman"/>
                      <w:color w:val="auto"/>
                      <w:sz w:val="22"/>
                      <w:szCs w:val="22"/>
                      <w:lang w:val="en-US" w:eastAsia="zh-CN"/>
                    </w:rPr>
                    <w:t>0.63</w:t>
                  </w:r>
                </w:p>
              </w:tc>
              <w:tc>
                <w:tcPr>
                  <w:tcW w:w="959" w:type="dxa"/>
                  <w:noWrap w:val="0"/>
                  <w:vAlign w:val="center"/>
                </w:tcPr>
                <w:p w14:paraId="595E9A13">
                  <w:pPr>
                    <w:pStyle w:val="43"/>
                    <w:jc w:val="center"/>
                    <w:rPr>
                      <w:rFonts w:hint="default" w:ascii="Times New Roman" w:hAnsi="Times New Roman" w:eastAsia="宋体" w:cs="Times New Roman"/>
                      <w:color w:val="auto"/>
                      <w:sz w:val="22"/>
                      <w:szCs w:val="22"/>
                      <w:lang w:val="en-US" w:eastAsia="zh-CN"/>
                    </w:rPr>
                  </w:pPr>
                  <w:r>
                    <w:rPr>
                      <w:rFonts w:hint="eastAsia" w:ascii="Times New Roman" w:eastAsia="宋体" w:cs="Times New Roman"/>
                      <w:color w:val="auto"/>
                      <w:sz w:val="22"/>
                      <w:szCs w:val="22"/>
                      <w:lang w:val="en-US" w:eastAsia="zh-CN"/>
                    </w:rPr>
                    <w:t>4800</w:t>
                  </w:r>
                </w:p>
              </w:tc>
              <w:tc>
                <w:tcPr>
                  <w:tcW w:w="959" w:type="dxa"/>
                  <w:noWrap w:val="0"/>
                  <w:vAlign w:val="center"/>
                </w:tcPr>
                <w:p w14:paraId="17F8F797">
                  <w:pPr>
                    <w:pStyle w:val="43"/>
                    <w:jc w:val="center"/>
                    <w:rPr>
                      <w:rFonts w:hint="default" w:ascii="Times New Roman" w:hAnsi="Times New Roman" w:eastAsia="宋体" w:cs="Times New Roman"/>
                      <w:color w:val="auto"/>
                      <w:sz w:val="22"/>
                      <w:szCs w:val="22"/>
                      <w:lang w:val="en-US" w:eastAsia="zh-CN"/>
                    </w:rPr>
                  </w:pPr>
                  <w:r>
                    <w:rPr>
                      <w:rFonts w:hint="eastAsia" w:ascii="Times New Roman" w:eastAsia="宋体" w:cs="Times New Roman"/>
                      <w:color w:val="auto"/>
                      <w:sz w:val="22"/>
                      <w:szCs w:val="22"/>
                      <w:lang w:val="en-US" w:eastAsia="zh-CN"/>
                    </w:rPr>
                    <w:t>3024</w:t>
                  </w:r>
                </w:p>
              </w:tc>
            </w:tr>
            <w:tr w14:paraId="4342E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noWrap w:val="0"/>
                  <w:vAlign w:val="center"/>
                </w:tcPr>
                <w:p w14:paraId="3B0F96CE">
                  <w:pPr>
                    <w:pStyle w:val="43"/>
                    <w:jc w:val="center"/>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2</w:t>
                  </w:r>
                </w:p>
              </w:tc>
              <w:tc>
                <w:tcPr>
                  <w:tcW w:w="1352" w:type="dxa"/>
                  <w:noWrap w:val="0"/>
                  <w:vAlign w:val="center"/>
                </w:tcPr>
                <w:p w14:paraId="7201B022">
                  <w:pPr>
                    <w:pStyle w:val="43"/>
                    <w:jc w:val="center"/>
                    <w:rPr>
                      <w:rFonts w:hint="eastAsia"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车用纤维隔热片</w:t>
                  </w:r>
                </w:p>
              </w:tc>
              <w:tc>
                <w:tcPr>
                  <w:tcW w:w="957" w:type="dxa"/>
                  <w:noWrap w:val="0"/>
                  <w:vAlign w:val="center"/>
                </w:tcPr>
                <w:p w14:paraId="0228F434">
                  <w:pPr>
                    <w:pStyle w:val="43"/>
                    <w:jc w:val="center"/>
                    <w:rPr>
                      <w:rFonts w:hint="default" w:ascii="Times New Roman" w:hAnsi="Times New Roman" w:eastAsia="宋体" w:cs="Times New Roman"/>
                      <w:color w:val="auto"/>
                      <w:sz w:val="22"/>
                      <w:szCs w:val="22"/>
                      <w:lang w:val="en-US" w:eastAsia="zh-CN"/>
                    </w:rPr>
                  </w:pPr>
                  <w:r>
                    <w:rPr>
                      <w:rFonts w:hint="eastAsia" w:ascii="Times New Roman" w:eastAsia="宋体" w:cs="Times New Roman"/>
                      <w:color w:val="auto"/>
                      <w:sz w:val="22"/>
                      <w:szCs w:val="22"/>
                      <w:lang w:val="en-US" w:eastAsia="zh-CN"/>
                    </w:rPr>
                    <w:t>裁切</w:t>
                  </w:r>
                </w:p>
              </w:tc>
              <w:tc>
                <w:tcPr>
                  <w:tcW w:w="957" w:type="dxa"/>
                  <w:noWrap w:val="0"/>
                  <w:vAlign w:val="center"/>
                </w:tcPr>
                <w:p w14:paraId="72FDBAA2">
                  <w:pPr>
                    <w:pStyle w:val="43"/>
                    <w:jc w:val="center"/>
                    <w:rPr>
                      <w:rFonts w:ascii="Times New Roman" w:hAnsi="Times New Roman" w:eastAsia="宋体" w:cs="Times New Roman"/>
                      <w:color w:val="auto"/>
                      <w:sz w:val="22"/>
                      <w:szCs w:val="22"/>
                    </w:rPr>
                  </w:pPr>
                  <w:r>
                    <w:rPr>
                      <w:rFonts w:hint="eastAsia" w:ascii="Times New Roman" w:eastAsia="宋体" w:cs="Times New Roman"/>
                      <w:color w:val="auto"/>
                      <w:sz w:val="22"/>
                      <w:szCs w:val="22"/>
                      <w:lang w:val="en-US" w:eastAsia="zh-CN"/>
                    </w:rPr>
                    <w:t>精密</w:t>
                  </w:r>
                  <w:r>
                    <w:rPr>
                      <w:rFonts w:hint="eastAsia" w:ascii="Times New Roman" w:hAnsi="Times New Roman" w:eastAsia="宋体" w:cs="Times New Roman"/>
                      <w:color w:val="auto"/>
                      <w:sz w:val="22"/>
                      <w:szCs w:val="22"/>
                      <w:lang w:val="en-US" w:eastAsia="zh-CN"/>
                    </w:rPr>
                    <w:t>气动裁</w:t>
                  </w:r>
                  <w:r>
                    <w:rPr>
                      <w:rFonts w:hint="eastAsia" w:ascii="Times New Roman" w:eastAsia="宋体" w:cs="Times New Roman"/>
                      <w:color w:val="auto"/>
                      <w:sz w:val="22"/>
                      <w:szCs w:val="22"/>
                      <w:lang w:val="en-US" w:eastAsia="zh-CN"/>
                    </w:rPr>
                    <w:t>切</w:t>
                  </w:r>
                  <w:r>
                    <w:rPr>
                      <w:rFonts w:hint="eastAsia" w:ascii="Times New Roman" w:hAnsi="Times New Roman" w:eastAsia="宋体" w:cs="Times New Roman"/>
                      <w:color w:val="auto"/>
                      <w:sz w:val="22"/>
                      <w:szCs w:val="22"/>
                      <w:lang w:val="en-US" w:eastAsia="zh-CN"/>
                    </w:rPr>
                    <w:t>机</w:t>
                  </w:r>
                </w:p>
              </w:tc>
              <w:tc>
                <w:tcPr>
                  <w:tcW w:w="957" w:type="dxa"/>
                  <w:noWrap w:val="0"/>
                  <w:vAlign w:val="center"/>
                </w:tcPr>
                <w:p w14:paraId="0F48EEFE">
                  <w:pPr>
                    <w:pStyle w:val="43"/>
                    <w:jc w:val="center"/>
                    <w:rPr>
                      <w:rFonts w:hint="eastAsia" w:ascii="Times New Roman" w:hAnsi="Times New Roman" w:eastAsia="宋体" w:cs="Times New Roman"/>
                      <w:color w:val="auto"/>
                      <w:sz w:val="22"/>
                      <w:szCs w:val="22"/>
                      <w:lang w:val="en-US" w:eastAsia="zh-CN"/>
                    </w:rPr>
                  </w:pPr>
                  <w:r>
                    <w:rPr>
                      <w:rFonts w:hint="eastAsia" w:ascii="Times New Roman" w:eastAsia="宋体" w:cs="Times New Roman"/>
                      <w:color w:val="auto"/>
                      <w:sz w:val="22"/>
                      <w:szCs w:val="22"/>
                      <w:lang w:val="en-US" w:eastAsia="zh-CN"/>
                    </w:rPr>
                    <w:t>3</w:t>
                  </w:r>
                </w:p>
              </w:tc>
              <w:tc>
                <w:tcPr>
                  <w:tcW w:w="958" w:type="dxa"/>
                  <w:noWrap w:val="0"/>
                  <w:vAlign w:val="center"/>
                </w:tcPr>
                <w:p w14:paraId="217B8F59">
                  <w:pPr>
                    <w:pStyle w:val="43"/>
                    <w:jc w:val="center"/>
                    <w:rPr>
                      <w:rFonts w:hint="default" w:ascii="Times New Roman" w:hAnsi="Times New Roman" w:eastAsia="宋体" w:cs="Times New Roman"/>
                      <w:color w:val="auto"/>
                      <w:sz w:val="22"/>
                      <w:szCs w:val="22"/>
                      <w:lang w:val="en-US" w:eastAsia="zh-CN"/>
                    </w:rPr>
                  </w:pPr>
                  <w:r>
                    <w:rPr>
                      <w:rFonts w:hint="eastAsia" w:ascii="Times New Roman" w:eastAsia="宋体" w:cs="Times New Roman"/>
                      <w:color w:val="auto"/>
                      <w:sz w:val="22"/>
                      <w:szCs w:val="22"/>
                      <w:lang w:val="en-US" w:eastAsia="zh-CN"/>
                    </w:rPr>
                    <w:t>0.11</w:t>
                  </w:r>
                </w:p>
              </w:tc>
              <w:tc>
                <w:tcPr>
                  <w:tcW w:w="959" w:type="dxa"/>
                  <w:noWrap w:val="0"/>
                  <w:vAlign w:val="center"/>
                </w:tcPr>
                <w:p w14:paraId="0FD72A93">
                  <w:pPr>
                    <w:pStyle w:val="43"/>
                    <w:jc w:val="center"/>
                    <w:rPr>
                      <w:rFonts w:hint="default" w:ascii="Times New Roman" w:hAnsi="Times New Roman" w:eastAsia="宋体" w:cs="Times New Roman"/>
                      <w:color w:val="auto"/>
                      <w:sz w:val="22"/>
                      <w:szCs w:val="22"/>
                      <w:lang w:val="en-US" w:eastAsia="zh-CN"/>
                    </w:rPr>
                  </w:pPr>
                  <w:r>
                    <w:rPr>
                      <w:rFonts w:hint="eastAsia" w:ascii="Times New Roman" w:eastAsia="宋体" w:cs="Times New Roman"/>
                      <w:color w:val="auto"/>
                      <w:sz w:val="22"/>
                      <w:szCs w:val="22"/>
                      <w:lang w:val="en-US" w:eastAsia="zh-CN"/>
                    </w:rPr>
                    <w:t>4800</w:t>
                  </w:r>
                </w:p>
              </w:tc>
              <w:tc>
                <w:tcPr>
                  <w:tcW w:w="959" w:type="dxa"/>
                  <w:noWrap w:val="0"/>
                  <w:vAlign w:val="center"/>
                </w:tcPr>
                <w:p w14:paraId="4A689A99">
                  <w:pPr>
                    <w:pStyle w:val="43"/>
                    <w:jc w:val="center"/>
                    <w:rPr>
                      <w:rFonts w:hint="default" w:ascii="Times New Roman" w:hAnsi="Times New Roman" w:eastAsia="宋体" w:cs="Times New Roman"/>
                      <w:color w:val="auto"/>
                      <w:sz w:val="22"/>
                      <w:szCs w:val="22"/>
                      <w:lang w:val="en-US" w:eastAsia="zh-CN"/>
                    </w:rPr>
                  </w:pPr>
                  <w:r>
                    <w:rPr>
                      <w:rFonts w:hint="eastAsia" w:ascii="Times New Roman" w:eastAsia="宋体" w:cs="Times New Roman"/>
                      <w:color w:val="auto"/>
                      <w:sz w:val="22"/>
                      <w:szCs w:val="22"/>
                      <w:lang w:val="en-US" w:eastAsia="zh-CN"/>
                    </w:rPr>
                    <w:t>1584</w:t>
                  </w:r>
                </w:p>
              </w:tc>
            </w:tr>
            <w:tr w14:paraId="7F588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noWrap w:val="0"/>
                  <w:vAlign w:val="center"/>
                </w:tcPr>
                <w:p w14:paraId="425BAB7B">
                  <w:pPr>
                    <w:pStyle w:val="43"/>
                    <w:jc w:val="center"/>
                    <w:rPr>
                      <w:rFonts w:hint="eastAsia" w:ascii="Times New Roman" w:hAnsi="Times New Roman" w:eastAsia="宋体" w:cs="Times New Roman"/>
                      <w:color w:val="auto"/>
                      <w:sz w:val="22"/>
                      <w:szCs w:val="22"/>
                      <w:lang w:val="en-US" w:eastAsia="zh-CN"/>
                    </w:rPr>
                  </w:pPr>
                  <w:r>
                    <w:rPr>
                      <w:rFonts w:hint="eastAsia" w:ascii="Times New Roman" w:eastAsia="宋体" w:cs="Times New Roman"/>
                      <w:color w:val="auto"/>
                      <w:sz w:val="22"/>
                      <w:szCs w:val="22"/>
                      <w:lang w:val="en-US" w:eastAsia="zh-CN"/>
                    </w:rPr>
                    <w:t>3</w:t>
                  </w:r>
                </w:p>
              </w:tc>
              <w:tc>
                <w:tcPr>
                  <w:tcW w:w="1352" w:type="dxa"/>
                  <w:noWrap w:val="0"/>
                  <w:vAlign w:val="center"/>
                </w:tcPr>
                <w:p w14:paraId="456B416C">
                  <w:pPr>
                    <w:pStyle w:val="43"/>
                    <w:jc w:val="center"/>
                    <w:rPr>
                      <w:rFonts w:hint="eastAsia"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车用消音隔热棉</w:t>
                  </w:r>
                </w:p>
              </w:tc>
              <w:tc>
                <w:tcPr>
                  <w:tcW w:w="957" w:type="dxa"/>
                  <w:noWrap w:val="0"/>
                  <w:vAlign w:val="center"/>
                </w:tcPr>
                <w:p w14:paraId="6D716D16">
                  <w:pPr>
                    <w:pStyle w:val="43"/>
                    <w:jc w:val="center"/>
                    <w:rPr>
                      <w:rFonts w:hint="eastAsia" w:ascii="Times New Roman" w:hAnsi="Times New Roman" w:eastAsia="宋体" w:cs="Times New Roman"/>
                      <w:color w:val="auto"/>
                      <w:sz w:val="22"/>
                      <w:szCs w:val="22"/>
                      <w:lang w:val="en-US" w:eastAsia="zh-CN"/>
                    </w:rPr>
                  </w:pPr>
                  <w:r>
                    <w:rPr>
                      <w:rFonts w:hint="eastAsia" w:ascii="Times New Roman" w:eastAsia="宋体" w:cs="Times New Roman"/>
                      <w:color w:val="auto"/>
                      <w:sz w:val="22"/>
                      <w:szCs w:val="22"/>
                      <w:lang w:val="en-US" w:eastAsia="zh-CN"/>
                    </w:rPr>
                    <w:t>膨化</w:t>
                  </w:r>
                </w:p>
              </w:tc>
              <w:tc>
                <w:tcPr>
                  <w:tcW w:w="957" w:type="dxa"/>
                  <w:noWrap w:val="0"/>
                  <w:vAlign w:val="center"/>
                </w:tcPr>
                <w:p w14:paraId="0039ACE6">
                  <w:pPr>
                    <w:pStyle w:val="43"/>
                    <w:jc w:val="center"/>
                    <w:rPr>
                      <w:rFonts w:hint="eastAsia"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玻璃纤维膨化机</w:t>
                  </w:r>
                </w:p>
              </w:tc>
              <w:tc>
                <w:tcPr>
                  <w:tcW w:w="957" w:type="dxa"/>
                  <w:noWrap w:val="0"/>
                  <w:vAlign w:val="center"/>
                </w:tcPr>
                <w:p w14:paraId="22ABD214">
                  <w:pPr>
                    <w:pStyle w:val="43"/>
                    <w:jc w:val="center"/>
                    <w:rPr>
                      <w:rFonts w:hint="eastAsia" w:ascii="Times New Roman" w:hAnsi="Times New Roman" w:eastAsia="宋体" w:cs="Times New Roman"/>
                      <w:color w:val="auto"/>
                      <w:sz w:val="22"/>
                      <w:szCs w:val="22"/>
                      <w:lang w:val="en-US" w:eastAsia="zh-CN"/>
                    </w:rPr>
                  </w:pPr>
                  <w:r>
                    <w:rPr>
                      <w:rFonts w:hint="eastAsia" w:ascii="Times New Roman" w:eastAsia="宋体" w:cs="Times New Roman"/>
                      <w:color w:val="auto"/>
                      <w:sz w:val="22"/>
                      <w:szCs w:val="22"/>
                      <w:lang w:val="en-US" w:eastAsia="zh-CN"/>
                    </w:rPr>
                    <w:t>6</w:t>
                  </w:r>
                </w:p>
              </w:tc>
              <w:tc>
                <w:tcPr>
                  <w:tcW w:w="958" w:type="dxa"/>
                  <w:noWrap w:val="0"/>
                  <w:vAlign w:val="center"/>
                </w:tcPr>
                <w:p w14:paraId="275CC868">
                  <w:pPr>
                    <w:pStyle w:val="43"/>
                    <w:jc w:val="center"/>
                    <w:rPr>
                      <w:rFonts w:hint="default" w:ascii="Times New Roman" w:hAnsi="Times New Roman" w:eastAsia="宋体" w:cs="Times New Roman"/>
                      <w:color w:val="auto"/>
                      <w:sz w:val="22"/>
                      <w:szCs w:val="22"/>
                      <w:lang w:val="en-US" w:eastAsia="zh-CN"/>
                    </w:rPr>
                  </w:pPr>
                  <w:r>
                    <w:rPr>
                      <w:rFonts w:hint="eastAsia" w:ascii="Times New Roman" w:eastAsia="宋体" w:cs="Times New Roman"/>
                      <w:color w:val="auto"/>
                      <w:sz w:val="22"/>
                      <w:szCs w:val="22"/>
                      <w:lang w:val="en-US" w:eastAsia="zh-CN"/>
                    </w:rPr>
                    <w:t>0.055</w:t>
                  </w:r>
                </w:p>
              </w:tc>
              <w:tc>
                <w:tcPr>
                  <w:tcW w:w="959" w:type="dxa"/>
                  <w:noWrap w:val="0"/>
                  <w:vAlign w:val="center"/>
                </w:tcPr>
                <w:p w14:paraId="094C4598">
                  <w:pPr>
                    <w:pStyle w:val="43"/>
                    <w:jc w:val="center"/>
                    <w:rPr>
                      <w:rFonts w:hint="default" w:ascii="Times New Roman" w:hAnsi="Times New Roman" w:eastAsia="宋体" w:cs="Times New Roman"/>
                      <w:color w:val="auto"/>
                      <w:sz w:val="22"/>
                      <w:szCs w:val="22"/>
                      <w:lang w:val="en-US" w:eastAsia="zh-CN"/>
                    </w:rPr>
                  </w:pPr>
                  <w:r>
                    <w:rPr>
                      <w:rFonts w:hint="eastAsia" w:ascii="Times New Roman" w:eastAsia="宋体" w:cs="Times New Roman"/>
                      <w:color w:val="auto"/>
                      <w:sz w:val="22"/>
                      <w:szCs w:val="22"/>
                      <w:lang w:val="en-US" w:eastAsia="zh-CN"/>
                    </w:rPr>
                    <w:t>4800</w:t>
                  </w:r>
                </w:p>
              </w:tc>
              <w:tc>
                <w:tcPr>
                  <w:tcW w:w="959" w:type="dxa"/>
                  <w:noWrap w:val="0"/>
                  <w:vAlign w:val="center"/>
                </w:tcPr>
                <w:p w14:paraId="3D863AD9">
                  <w:pPr>
                    <w:pStyle w:val="43"/>
                    <w:jc w:val="center"/>
                    <w:rPr>
                      <w:rFonts w:hint="default" w:ascii="Times New Roman" w:hAnsi="Times New Roman" w:eastAsia="宋体" w:cs="Times New Roman"/>
                      <w:color w:val="auto"/>
                      <w:sz w:val="22"/>
                      <w:szCs w:val="22"/>
                      <w:lang w:val="en-US" w:eastAsia="zh-CN"/>
                    </w:rPr>
                  </w:pPr>
                  <w:r>
                    <w:rPr>
                      <w:rFonts w:hint="eastAsia" w:ascii="Times New Roman" w:eastAsia="宋体" w:cs="Times New Roman"/>
                      <w:color w:val="auto"/>
                      <w:sz w:val="22"/>
                      <w:szCs w:val="22"/>
                      <w:lang w:val="en-US" w:eastAsia="zh-CN"/>
                    </w:rPr>
                    <w:t>1584</w:t>
                  </w:r>
                </w:p>
              </w:tc>
            </w:tr>
            <w:tr w14:paraId="1442E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60" w:type="dxa"/>
                  <w:gridSpan w:val="8"/>
                  <w:noWrap w:val="0"/>
                  <w:vAlign w:val="center"/>
                </w:tcPr>
                <w:p w14:paraId="2D347D40">
                  <w:pPr>
                    <w:pStyle w:val="43"/>
                    <w:jc w:val="center"/>
                    <w:rPr>
                      <w:rFonts w:hint="default" w:ascii="Times New Roman" w:eastAsia="宋体" w:cs="Times New Roman"/>
                      <w:color w:val="auto"/>
                      <w:sz w:val="22"/>
                      <w:szCs w:val="22"/>
                      <w:lang w:val="en-US" w:eastAsia="zh-CN"/>
                    </w:rPr>
                  </w:pPr>
                  <w:r>
                    <w:rPr>
                      <w:rFonts w:hint="eastAsia" w:ascii="Times New Roman" w:eastAsia="宋体" w:cs="Times New Roman"/>
                      <w:color w:val="auto"/>
                      <w:sz w:val="22"/>
                      <w:szCs w:val="22"/>
                      <w:lang w:val="en-US" w:eastAsia="zh-CN"/>
                    </w:rPr>
                    <w:t>注：</w:t>
                  </w:r>
                  <w:r>
                    <w:rPr>
                      <w:rFonts w:hint="eastAsia" w:ascii="Times New Roman" w:hAnsi="Times New Roman" w:eastAsia="宋体" w:cs="Times New Roman"/>
                      <w:color w:val="auto"/>
                      <w:sz w:val="22"/>
                      <w:szCs w:val="22"/>
                    </w:rPr>
                    <w:t>玻璃纤维毡</w:t>
                  </w:r>
                  <w:r>
                    <w:rPr>
                      <w:rFonts w:hint="eastAsia" w:ascii="Times New Roman" w:hAnsi="Times New Roman" w:eastAsia="宋体" w:cs="Times New Roman"/>
                      <w:color w:val="auto"/>
                      <w:sz w:val="22"/>
                      <w:szCs w:val="22"/>
                      <w:lang w:val="en-US" w:eastAsia="zh-CN"/>
                    </w:rPr>
                    <w:t>生产线产量为3024t，其中1000t作为中间产品用于</w:t>
                  </w:r>
                  <w:r>
                    <w:rPr>
                      <w:rFonts w:hint="eastAsia" w:ascii="Times New Roman" w:hAnsi="Times New Roman" w:eastAsia="宋体" w:cs="Times New Roman"/>
                      <w:color w:val="auto"/>
                      <w:sz w:val="22"/>
                      <w:szCs w:val="22"/>
                    </w:rPr>
                    <w:t>车用纤维隔热片</w:t>
                  </w:r>
                  <w:r>
                    <w:rPr>
                      <w:rFonts w:hint="eastAsia" w:ascii="Times New Roman" w:hAnsi="Times New Roman" w:eastAsia="宋体" w:cs="Times New Roman"/>
                      <w:color w:val="auto"/>
                      <w:sz w:val="22"/>
                      <w:szCs w:val="22"/>
                      <w:lang w:val="en-US" w:eastAsia="zh-CN"/>
                    </w:rPr>
                    <w:t>的生产，因此实际</w:t>
                  </w:r>
                  <w:r>
                    <w:rPr>
                      <w:rFonts w:hint="eastAsia" w:ascii="Times New Roman" w:hAnsi="Times New Roman" w:eastAsia="宋体" w:cs="Times New Roman"/>
                      <w:color w:val="auto"/>
                      <w:sz w:val="22"/>
                      <w:szCs w:val="22"/>
                    </w:rPr>
                    <w:t>玻璃纤维毡</w:t>
                  </w:r>
                  <w:r>
                    <w:rPr>
                      <w:rFonts w:hint="eastAsia" w:ascii="Times New Roman" w:hAnsi="Times New Roman" w:eastAsia="宋体" w:cs="Times New Roman"/>
                      <w:color w:val="auto"/>
                      <w:sz w:val="22"/>
                      <w:szCs w:val="22"/>
                      <w:lang w:val="en-US" w:eastAsia="zh-CN"/>
                    </w:rPr>
                    <w:t>产品的产量为2024t。</w:t>
                  </w:r>
                </w:p>
              </w:tc>
            </w:tr>
          </w:tbl>
          <w:p w14:paraId="05ED8E8F">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rFonts w:hint="default" w:cs="Times New Roman"/>
                <w:color w:val="auto"/>
                <w:sz w:val="26"/>
                <w:szCs w:val="26"/>
                <w:lang w:val="en-US" w:eastAsia="zh-CN"/>
              </w:rPr>
            </w:pPr>
          </w:p>
          <w:p w14:paraId="0B2D9172">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textAlignment w:val="auto"/>
              <w:rPr>
                <w:rFonts w:hint="default" w:cs="Times New Roman"/>
                <w:color w:val="auto"/>
                <w:sz w:val="26"/>
                <w:szCs w:val="26"/>
                <w:lang w:val="en-US" w:eastAsia="zh-CN"/>
              </w:rPr>
            </w:pPr>
            <w:r>
              <w:rPr>
                <w:rFonts w:hint="eastAsia" w:cs="Times New Roman"/>
                <w:color w:val="auto"/>
                <w:sz w:val="26"/>
                <w:szCs w:val="26"/>
                <w:lang w:val="en-US" w:eastAsia="zh-CN"/>
              </w:rPr>
              <w:t>项目玻璃纤维毡、车用纤维隔热片以及车用消音隔热棉三类产品的产能分别为2000t/a、1500t/a、1500t/a，设备生产能力与项目规模匹配。</w:t>
            </w:r>
          </w:p>
          <w:p w14:paraId="0DB275C3">
            <w:pPr>
              <w:pStyle w:val="4"/>
              <w:pageBreakBefore w:val="0"/>
              <w:widowControl w:val="0"/>
              <w:kinsoku/>
              <w:wordWrap/>
              <w:overflowPunct/>
              <w:topLinePunct w:val="0"/>
              <w:autoSpaceDE/>
              <w:autoSpaceDN/>
              <w:bidi w:val="0"/>
              <w:snapToGrid/>
              <w:spacing w:beforeLines="0" w:afterLines="0" w:line="460" w:lineRule="exact"/>
              <w:rPr>
                <w:rFonts w:hint="eastAsia"/>
                <w:color w:val="auto"/>
                <w:sz w:val="26"/>
                <w:szCs w:val="26"/>
                <w:lang w:val="en-US" w:eastAsia="zh-CN"/>
              </w:rPr>
            </w:pPr>
            <w:r>
              <w:rPr>
                <w:rFonts w:hint="eastAsia"/>
                <w:color w:val="auto"/>
                <w:sz w:val="26"/>
                <w:szCs w:val="26"/>
                <w:lang w:val="en-US" w:eastAsia="zh-CN"/>
              </w:rPr>
              <w:t>2.1.6主要原辅材料及燃料的种类和用量</w:t>
            </w:r>
          </w:p>
          <w:p w14:paraId="2CB44A3E">
            <w:pPr>
              <w:pageBreakBefore w:val="0"/>
              <w:widowControl w:val="0"/>
              <w:kinsoku/>
              <w:wordWrap/>
              <w:overflowPunct/>
              <w:topLinePunct w:val="0"/>
              <w:autoSpaceDE/>
              <w:autoSpaceDN/>
              <w:bidi w:val="0"/>
              <w:snapToGrid/>
              <w:spacing w:line="460" w:lineRule="exact"/>
              <w:rPr>
                <w:rFonts w:hint="eastAsia"/>
                <w:color w:val="auto"/>
                <w:sz w:val="26"/>
                <w:szCs w:val="26"/>
              </w:rPr>
            </w:pPr>
            <w:r>
              <w:rPr>
                <w:rFonts w:hint="eastAsia"/>
                <w:color w:val="auto"/>
                <w:sz w:val="26"/>
                <w:szCs w:val="26"/>
              </w:rPr>
              <w:t>主要原辅材料及能源用量情况见表2.1-</w:t>
            </w:r>
            <w:r>
              <w:rPr>
                <w:rFonts w:hint="eastAsia"/>
                <w:color w:val="auto"/>
                <w:sz w:val="26"/>
                <w:szCs w:val="26"/>
                <w:lang w:val="en-US" w:eastAsia="zh-CN"/>
              </w:rPr>
              <w:t>4</w:t>
            </w:r>
            <w:r>
              <w:rPr>
                <w:rFonts w:hint="eastAsia"/>
                <w:color w:val="auto"/>
                <w:sz w:val="26"/>
                <w:szCs w:val="26"/>
              </w:rPr>
              <w:t>。</w:t>
            </w:r>
          </w:p>
          <w:p w14:paraId="6B5D2040">
            <w:pPr>
              <w:pageBreakBefore w:val="0"/>
              <w:widowControl w:val="0"/>
              <w:kinsoku/>
              <w:wordWrap/>
              <w:overflowPunct/>
              <w:topLinePunct w:val="0"/>
              <w:autoSpaceDE/>
              <w:autoSpaceDN/>
              <w:bidi w:val="0"/>
              <w:snapToGrid/>
              <w:spacing w:line="460" w:lineRule="exact"/>
              <w:rPr>
                <w:rFonts w:hint="eastAsia"/>
                <w:color w:val="auto"/>
                <w:sz w:val="26"/>
                <w:szCs w:val="26"/>
              </w:rPr>
            </w:pPr>
          </w:p>
          <w:p w14:paraId="1E91837A">
            <w:pPr>
              <w:pStyle w:val="27"/>
              <w:pageBreakBefore w:val="0"/>
              <w:widowControl w:val="0"/>
              <w:kinsoku/>
              <w:wordWrap/>
              <w:overflowPunct/>
              <w:topLinePunct w:val="0"/>
              <w:autoSpaceDE/>
              <w:autoSpaceDN/>
              <w:bidi w:val="0"/>
              <w:snapToGrid/>
              <w:spacing w:line="460" w:lineRule="exact"/>
              <w:ind w:firstLine="520" w:firstLineChars="200"/>
              <w:jc w:val="both"/>
              <w:rPr>
                <w:rFonts w:hint="eastAsia" w:ascii="Times New Roman" w:hAnsi="Times New Roman" w:eastAsia="宋体" w:cstheme="minorBidi"/>
                <w:color w:val="auto"/>
                <w:kern w:val="2"/>
                <w:sz w:val="26"/>
                <w:szCs w:val="26"/>
                <w:lang w:val="en-US" w:eastAsia="zh-CN" w:bidi="ar-SA"/>
              </w:rPr>
            </w:pPr>
            <w:r>
              <w:rPr>
                <w:rFonts w:hint="eastAsia" w:ascii="Times New Roman" w:hAnsi="Times New Roman" w:eastAsia="宋体" w:cstheme="minorBidi"/>
                <w:color w:val="auto"/>
                <w:kern w:val="2"/>
                <w:sz w:val="26"/>
                <w:szCs w:val="26"/>
                <w:lang w:val="en-US" w:eastAsia="zh-CN" w:bidi="ar-SA"/>
              </w:rPr>
              <w:t xml:space="preserve">表2.1-4  </w:t>
            </w:r>
            <w:r>
              <w:rPr>
                <w:rFonts w:hint="eastAsia" w:eastAsia="宋体" w:cstheme="minorBidi"/>
                <w:color w:val="auto"/>
                <w:kern w:val="2"/>
                <w:sz w:val="26"/>
                <w:szCs w:val="26"/>
                <w:lang w:val="en-US" w:eastAsia="zh-CN" w:bidi="ar-SA"/>
              </w:rPr>
              <w:t xml:space="preserve">       </w:t>
            </w:r>
            <w:r>
              <w:rPr>
                <w:rFonts w:hint="eastAsia" w:ascii="Times New Roman" w:hAnsi="Times New Roman" w:eastAsia="宋体" w:cstheme="minorBidi"/>
                <w:color w:val="auto"/>
                <w:kern w:val="2"/>
                <w:sz w:val="26"/>
                <w:szCs w:val="26"/>
                <w:lang w:val="en-US" w:eastAsia="zh-CN" w:bidi="ar-SA"/>
              </w:rPr>
              <w:t>主要原辅料及能源消耗一览表</w:t>
            </w:r>
          </w:p>
          <w:tbl>
            <w:tblPr>
              <w:tblStyle w:val="18"/>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
              <w:gridCol w:w="653"/>
              <w:gridCol w:w="184"/>
              <w:gridCol w:w="1208"/>
              <w:gridCol w:w="950"/>
              <w:gridCol w:w="1106"/>
              <w:gridCol w:w="1013"/>
              <w:gridCol w:w="1181"/>
              <w:gridCol w:w="994"/>
            </w:tblGrid>
            <w:tr w14:paraId="290FF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 w:type="pct"/>
                  <w:vAlign w:val="center"/>
                </w:tcPr>
                <w:p w14:paraId="497C2D5E">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序号</w:t>
                  </w:r>
                </w:p>
              </w:tc>
              <w:tc>
                <w:tcPr>
                  <w:tcW w:w="546" w:type="pct"/>
                  <w:gridSpan w:val="2"/>
                  <w:vAlign w:val="center"/>
                </w:tcPr>
                <w:p w14:paraId="190664AA">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名称</w:t>
                  </w:r>
                </w:p>
              </w:tc>
              <w:tc>
                <w:tcPr>
                  <w:tcW w:w="788" w:type="pct"/>
                  <w:vAlign w:val="center"/>
                </w:tcPr>
                <w:p w14:paraId="12D48EE1">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规格</w:t>
                  </w:r>
                </w:p>
              </w:tc>
              <w:tc>
                <w:tcPr>
                  <w:tcW w:w="620" w:type="pct"/>
                  <w:vAlign w:val="center"/>
                </w:tcPr>
                <w:p w14:paraId="61039004">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年用量</w:t>
                  </w:r>
                  <w:r>
                    <w:rPr>
                      <w:rFonts w:hint="eastAsia"/>
                      <w:color w:val="auto"/>
                      <w:sz w:val="22"/>
                      <w:szCs w:val="22"/>
                      <w:lang w:val="en-US" w:eastAsia="zh-CN"/>
                    </w:rPr>
                    <w:t>（</w:t>
                  </w:r>
                  <w:r>
                    <w:rPr>
                      <w:rFonts w:hint="default"/>
                      <w:color w:val="auto"/>
                      <w:sz w:val="22"/>
                      <w:szCs w:val="22"/>
                      <w:lang w:val="en-US" w:eastAsia="zh-CN"/>
                    </w:rPr>
                    <w:t>t/a</w:t>
                  </w:r>
                  <w:r>
                    <w:rPr>
                      <w:rFonts w:hint="eastAsia"/>
                      <w:color w:val="auto"/>
                      <w:sz w:val="22"/>
                      <w:szCs w:val="22"/>
                      <w:lang w:val="en-US" w:eastAsia="zh-CN"/>
                    </w:rPr>
                    <w:t>）</w:t>
                  </w:r>
                </w:p>
              </w:tc>
              <w:tc>
                <w:tcPr>
                  <w:tcW w:w="721" w:type="pct"/>
                  <w:vAlign w:val="center"/>
                </w:tcPr>
                <w:p w14:paraId="4A6EE158">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厂内</w:t>
                  </w:r>
                  <w:r>
                    <w:rPr>
                      <w:rFonts w:hint="default"/>
                      <w:color w:val="auto"/>
                      <w:sz w:val="22"/>
                      <w:szCs w:val="22"/>
                      <w:lang w:val="en-US" w:eastAsia="zh-CN"/>
                    </w:rPr>
                    <w:t>最大暂存量（t/a）</w:t>
                  </w:r>
                </w:p>
              </w:tc>
              <w:tc>
                <w:tcPr>
                  <w:tcW w:w="661" w:type="pct"/>
                  <w:vAlign w:val="center"/>
                </w:tcPr>
                <w:p w14:paraId="6E270964">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贮存位置</w:t>
                  </w:r>
                </w:p>
              </w:tc>
              <w:tc>
                <w:tcPr>
                  <w:tcW w:w="770" w:type="pct"/>
                  <w:vAlign w:val="center"/>
                </w:tcPr>
                <w:p w14:paraId="598C97E4">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功能</w:t>
                  </w:r>
                </w:p>
              </w:tc>
              <w:tc>
                <w:tcPr>
                  <w:tcW w:w="648" w:type="pct"/>
                  <w:vAlign w:val="center"/>
                </w:tcPr>
                <w:p w14:paraId="4F390626">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来源</w:t>
                  </w:r>
                </w:p>
              </w:tc>
            </w:tr>
            <w:tr w14:paraId="11AF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8" w:type="pct"/>
                  <w:gridSpan w:val="2"/>
                  <w:vAlign w:val="center"/>
                </w:tcPr>
                <w:p w14:paraId="10FCF906">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p>
              </w:tc>
              <w:tc>
                <w:tcPr>
                  <w:tcW w:w="4331" w:type="pct"/>
                  <w:gridSpan w:val="7"/>
                  <w:vAlign w:val="center"/>
                </w:tcPr>
                <w:p w14:paraId="17B5B666">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（一）原辅料消耗</w:t>
                  </w:r>
                </w:p>
              </w:tc>
            </w:tr>
            <w:tr w14:paraId="02C43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 w:type="pct"/>
                  <w:vAlign w:val="center"/>
                </w:tcPr>
                <w:p w14:paraId="7CBD6644">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1</w:t>
                  </w:r>
                </w:p>
              </w:tc>
              <w:tc>
                <w:tcPr>
                  <w:tcW w:w="546" w:type="pct"/>
                  <w:gridSpan w:val="2"/>
                  <w:vMerge w:val="restart"/>
                  <w:vAlign w:val="center"/>
                </w:tcPr>
                <w:p w14:paraId="32716214">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玻璃纤维毡</w:t>
                  </w:r>
                </w:p>
              </w:tc>
              <w:tc>
                <w:tcPr>
                  <w:tcW w:w="788" w:type="pct"/>
                  <w:vAlign w:val="center"/>
                </w:tcPr>
                <w:p w14:paraId="564C0A73">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耐温650</w:t>
                  </w:r>
                  <w:r>
                    <w:rPr>
                      <w:rFonts w:hint="default" w:ascii="Times New Roman" w:hAnsi="Times New Roman" w:cs="Times New Roman"/>
                      <w:color w:val="auto"/>
                      <w:sz w:val="22"/>
                      <w:szCs w:val="22"/>
                      <w:lang w:val="en-US" w:eastAsia="zh-CN"/>
                    </w:rPr>
                    <w:t>℃</w:t>
                  </w:r>
                </w:p>
              </w:tc>
              <w:tc>
                <w:tcPr>
                  <w:tcW w:w="620" w:type="pct"/>
                  <w:vAlign w:val="center"/>
                </w:tcPr>
                <w:p w14:paraId="19405D29">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515.3</w:t>
                  </w:r>
                </w:p>
              </w:tc>
              <w:tc>
                <w:tcPr>
                  <w:tcW w:w="721" w:type="pct"/>
                  <w:vAlign w:val="center"/>
                </w:tcPr>
                <w:p w14:paraId="6D31DEE1">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100</w:t>
                  </w:r>
                </w:p>
              </w:tc>
              <w:tc>
                <w:tcPr>
                  <w:tcW w:w="661" w:type="pct"/>
                  <w:vAlign w:val="center"/>
                </w:tcPr>
                <w:p w14:paraId="38BC7902">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原材料区</w:t>
                  </w:r>
                </w:p>
              </w:tc>
              <w:tc>
                <w:tcPr>
                  <w:tcW w:w="770" w:type="pct"/>
                  <w:vMerge w:val="restart"/>
                  <w:vAlign w:val="center"/>
                </w:tcPr>
                <w:p w14:paraId="4367F67D">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eastAsia="宋体"/>
                      <w:color w:val="auto"/>
                      <w:sz w:val="22"/>
                      <w:szCs w:val="22"/>
                      <w:lang w:val="en-US" w:eastAsia="zh-CN"/>
                    </w:rPr>
                  </w:pPr>
                  <w:r>
                    <w:rPr>
                      <w:rFonts w:hint="eastAsia" w:cs="Times New Roman"/>
                      <w:color w:val="auto"/>
                      <w:sz w:val="22"/>
                      <w:szCs w:val="22"/>
                      <w:lang w:val="en-US" w:eastAsia="zh-CN"/>
                    </w:rPr>
                    <w:t>生产</w:t>
                  </w:r>
                  <w:r>
                    <w:rPr>
                      <w:rFonts w:hint="eastAsia" w:ascii="Times New Roman" w:hAnsi="Times New Roman" w:eastAsia="宋体" w:cs="Times New Roman"/>
                      <w:color w:val="auto"/>
                      <w:sz w:val="22"/>
                      <w:szCs w:val="22"/>
                    </w:rPr>
                    <w:t>车用纤维隔热片</w:t>
                  </w:r>
                  <w:r>
                    <w:rPr>
                      <w:rFonts w:hint="eastAsia" w:cs="Times New Roman"/>
                      <w:color w:val="auto"/>
                      <w:sz w:val="22"/>
                      <w:szCs w:val="22"/>
                      <w:lang w:val="en-US" w:eastAsia="zh-CN"/>
                    </w:rPr>
                    <w:t>的原材料</w:t>
                  </w:r>
                </w:p>
              </w:tc>
              <w:tc>
                <w:tcPr>
                  <w:tcW w:w="648" w:type="pct"/>
                  <w:vAlign w:val="center"/>
                </w:tcPr>
                <w:p w14:paraId="2350321D">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江苏硅酸盐新材料技术有限公司</w:t>
                  </w:r>
                </w:p>
              </w:tc>
            </w:tr>
            <w:tr w14:paraId="76321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 w:type="pct"/>
                  <w:shd w:val="clear" w:color="auto" w:fill="auto"/>
                  <w:vAlign w:val="center"/>
                </w:tcPr>
                <w:p w14:paraId="5BEBA0E6">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color w:val="auto"/>
                      <w:sz w:val="22"/>
                      <w:szCs w:val="22"/>
                      <w:lang w:val="en-US" w:eastAsia="zh-CN"/>
                    </w:rPr>
                    <w:t>2</w:t>
                  </w:r>
                </w:p>
              </w:tc>
              <w:tc>
                <w:tcPr>
                  <w:tcW w:w="546" w:type="pct"/>
                  <w:gridSpan w:val="2"/>
                  <w:vMerge w:val="continue"/>
                  <w:vAlign w:val="center"/>
                </w:tcPr>
                <w:p w14:paraId="036A179F">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p>
              </w:tc>
              <w:tc>
                <w:tcPr>
                  <w:tcW w:w="788" w:type="pct"/>
                  <w:vAlign w:val="center"/>
                </w:tcPr>
                <w:p w14:paraId="6A9A3A71">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耐温750-1050</w:t>
                  </w:r>
                  <w:r>
                    <w:rPr>
                      <w:rFonts w:hint="default" w:ascii="Times New Roman" w:hAnsi="Times New Roman" w:cs="Times New Roman"/>
                      <w:color w:val="auto"/>
                      <w:sz w:val="22"/>
                      <w:szCs w:val="22"/>
                      <w:lang w:val="en-US" w:eastAsia="zh-CN"/>
                    </w:rPr>
                    <w:t>℃</w:t>
                  </w:r>
                </w:p>
              </w:tc>
              <w:tc>
                <w:tcPr>
                  <w:tcW w:w="620" w:type="pct"/>
                  <w:vAlign w:val="center"/>
                </w:tcPr>
                <w:p w14:paraId="0B6560E2">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1000</w:t>
                  </w:r>
                </w:p>
              </w:tc>
              <w:tc>
                <w:tcPr>
                  <w:tcW w:w="721" w:type="pct"/>
                  <w:vAlign w:val="center"/>
                </w:tcPr>
                <w:p w14:paraId="3B7D0964">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200</w:t>
                  </w:r>
                </w:p>
              </w:tc>
              <w:tc>
                <w:tcPr>
                  <w:tcW w:w="661" w:type="pct"/>
                  <w:vAlign w:val="center"/>
                </w:tcPr>
                <w:p w14:paraId="79EA3CA0">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原材料区</w:t>
                  </w:r>
                </w:p>
              </w:tc>
              <w:tc>
                <w:tcPr>
                  <w:tcW w:w="770" w:type="pct"/>
                  <w:vMerge w:val="continue"/>
                  <w:vAlign w:val="center"/>
                </w:tcPr>
                <w:p w14:paraId="594A0A3C">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eastAsia"/>
                      <w:color w:val="auto"/>
                      <w:sz w:val="22"/>
                      <w:szCs w:val="22"/>
                      <w:lang w:val="en-US" w:eastAsia="zh-CN"/>
                    </w:rPr>
                  </w:pPr>
                </w:p>
              </w:tc>
              <w:tc>
                <w:tcPr>
                  <w:tcW w:w="648" w:type="pct"/>
                  <w:vAlign w:val="center"/>
                </w:tcPr>
                <w:p w14:paraId="2B3C95EE">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自产</w:t>
                  </w:r>
                </w:p>
              </w:tc>
            </w:tr>
            <w:tr w14:paraId="5EC2C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 w:type="pct"/>
                  <w:vMerge w:val="restart"/>
                  <w:vAlign w:val="center"/>
                </w:tcPr>
                <w:p w14:paraId="38F6E290">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color w:val="auto"/>
                      <w:sz w:val="22"/>
                      <w:szCs w:val="22"/>
                      <w:lang w:val="en-US" w:eastAsia="zh-CN"/>
                    </w:rPr>
                    <w:t>3</w:t>
                  </w:r>
                </w:p>
              </w:tc>
              <w:tc>
                <w:tcPr>
                  <w:tcW w:w="546" w:type="pct"/>
                  <w:gridSpan w:val="2"/>
                  <w:vAlign w:val="center"/>
                </w:tcPr>
                <w:p w14:paraId="412934E1">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网袋纱</w:t>
                  </w:r>
                </w:p>
              </w:tc>
              <w:tc>
                <w:tcPr>
                  <w:tcW w:w="788" w:type="pct"/>
                  <w:vAlign w:val="center"/>
                </w:tcPr>
                <w:p w14:paraId="13698685">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eastAsia="宋体"/>
                      <w:color w:val="auto"/>
                      <w:sz w:val="22"/>
                      <w:szCs w:val="22"/>
                      <w:lang w:val="en-US" w:eastAsia="zh-CN"/>
                    </w:rPr>
                  </w:pPr>
                  <w:r>
                    <w:rPr>
                      <w:rFonts w:hint="eastAsia"/>
                      <w:color w:val="auto"/>
                      <w:sz w:val="22"/>
                      <w:szCs w:val="22"/>
                      <w:lang w:val="en-US" w:eastAsia="zh-CN"/>
                    </w:rPr>
                    <w:t>200—300TEX</w:t>
                  </w:r>
                </w:p>
              </w:tc>
              <w:tc>
                <w:tcPr>
                  <w:tcW w:w="620" w:type="pct"/>
                  <w:vAlign w:val="center"/>
                </w:tcPr>
                <w:p w14:paraId="21AAC298">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449.45</w:t>
                  </w:r>
                </w:p>
              </w:tc>
              <w:tc>
                <w:tcPr>
                  <w:tcW w:w="721" w:type="pct"/>
                  <w:vAlign w:val="center"/>
                </w:tcPr>
                <w:p w14:paraId="394A7D95">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100</w:t>
                  </w:r>
                </w:p>
              </w:tc>
              <w:tc>
                <w:tcPr>
                  <w:tcW w:w="661" w:type="pct"/>
                  <w:vAlign w:val="center"/>
                </w:tcPr>
                <w:p w14:paraId="7D8614A3">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网袋纱暂存区</w:t>
                  </w:r>
                </w:p>
              </w:tc>
              <w:tc>
                <w:tcPr>
                  <w:tcW w:w="770" w:type="pct"/>
                  <w:vAlign w:val="center"/>
                </w:tcPr>
                <w:p w14:paraId="29FEF036">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装膨化纱</w:t>
                  </w:r>
                </w:p>
              </w:tc>
              <w:tc>
                <w:tcPr>
                  <w:tcW w:w="648" w:type="pct"/>
                  <w:vMerge w:val="restart"/>
                  <w:vAlign w:val="center"/>
                </w:tcPr>
                <w:p w14:paraId="36B2936E">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eastAsia"/>
                      <w:color w:val="auto"/>
                      <w:sz w:val="22"/>
                      <w:szCs w:val="22"/>
                      <w:lang w:val="en-US" w:eastAsia="zh-CN"/>
                    </w:rPr>
                  </w:pPr>
                  <w:r>
                    <w:rPr>
                      <w:rFonts w:hint="eastAsia"/>
                      <w:color w:val="auto"/>
                      <w:sz w:val="22"/>
                      <w:szCs w:val="22"/>
                      <w:lang w:val="en-US" w:eastAsia="zh-CN"/>
                    </w:rPr>
                    <w:t>宁波常耀化工科技公司</w:t>
                  </w:r>
                </w:p>
              </w:tc>
            </w:tr>
            <w:tr w14:paraId="07912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 w:type="pct"/>
                  <w:vMerge w:val="continue"/>
                  <w:shd w:val="clear" w:color="auto" w:fill="auto"/>
                  <w:vAlign w:val="center"/>
                </w:tcPr>
                <w:p w14:paraId="2030DA68">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p>
              </w:tc>
              <w:tc>
                <w:tcPr>
                  <w:tcW w:w="546" w:type="pct"/>
                  <w:gridSpan w:val="2"/>
                  <w:vAlign w:val="center"/>
                </w:tcPr>
                <w:p w14:paraId="121296E4">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膨化沙</w:t>
                  </w:r>
                </w:p>
              </w:tc>
              <w:tc>
                <w:tcPr>
                  <w:tcW w:w="788" w:type="pct"/>
                  <w:vAlign w:val="center"/>
                </w:tcPr>
                <w:p w14:paraId="20AE61E8">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4800—9600TEX</w:t>
                  </w:r>
                </w:p>
              </w:tc>
              <w:tc>
                <w:tcPr>
                  <w:tcW w:w="620" w:type="pct"/>
                  <w:vAlign w:val="center"/>
                </w:tcPr>
                <w:p w14:paraId="0D512488">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1048.72</w:t>
                  </w:r>
                </w:p>
              </w:tc>
              <w:tc>
                <w:tcPr>
                  <w:tcW w:w="721" w:type="pct"/>
                  <w:vAlign w:val="center"/>
                </w:tcPr>
                <w:p w14:paraId="6CCA1155">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100</w:t>
                  </w:r>
                </w:p>
              </w:tc>
              <w:tc>
                <w:tcPr>
                  <w:tcW w:w="661" w:type="pct"/>
                  <w:vAlign w:val="center"/>
                </w:tcPr>
                <w:p w14:paraId="7235F65C">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膨化纱暂存区</w:t>
                  </w:r>
                </w:p>
              </w:tc>
              <w:tc>
                <w:tcPr>
                  <w:tcW w:w="770" w:type="pct"/>
                  <w:vAlign w:val="center"/>
                </w:tcPr>
                <w:p w14:paraId="3E0545F4">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eastAsia" w:eastAsia="宋体"/>
                      <w:color w:val="auto"/>
                      <w:sz w:val="22"/>
                      <w:szCs w:val="22"/>
                      <w:lang w:val="en-US" w:eastAsia="zh-CN"/>
                    </w:rPr>
                  </w:pPr>
                  <w:r>
                    <w:rPr>
                      <w:rFonts w:hint="eastAsia" w:cs="Times New Roman"/>
                      <w:color w:val="auto"/>
                      <w:sz w:val="22"/>
                      <w:szCs w:val="22"/>
                      <w:lang w:val="en-US" w:eastAsia="zh-CN"/>
                    </w:rPr>
                    <w:t>生产</w:t>
                  </w:r>
                  <w:r>
                    <w:rPr>
                      <w:rFonts w:hint="eastAsia" w:ascii="Times New Roman" w:hAnsi="Times New Roman" w:eastAsia="宋体" w:cs="Times New Roman"/>
                      <w:color w:val="auto"/>
                      <w:sz w:val="22"/>
                      <w:szCs w:val="22"/>
                    </w:rPr>
                    <w:t>车用消音隔热棉</w:t>
                  </w:r>
                  <w:r>
                    <w:rPr>
                      <w:rFonts w:hint="eastAsia" w:cs="Times New Roman"/>
                      <w:color w:val="auto"/>
                      <w:sz w:val="22"/>
                      <w:szCs w:val="22"/>
                      <w:lang w:val="en-US" w:eastAsia="zh-CN"/>
                    </w:rPr>
                    <w:t>的原材料</w:t>
                  </w:r>
                </w:p>
              </w:tc>
              <w:tc>
                <w:tcPr>
                  <w:tcW w:w="648" w:type="pct"/>
                  <w:vMerge w:val="continue"/>
                  <w:vAlign w:val="center"/>
                </w:tcPr>
                <w:p w14:paraId="20935397">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p>
              </w:tc>
            </w:tr>
            <w:tr w14:paraId="00FE1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 w:type="pct"/>
                  <w:shd w:val="clear" w:color="auto" w:fill="auto"/>
                  <w:vAlign w:val="center"/>
                </w:tcPr>
                <w:p w14:paraId="5F6165C1">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color w:val="auto"/>
                      <w:sz w:val="22"/>
                      <w:szCs w:val="22"/>
                      <w:lang w:val="en-US" w:eastAsia="zh-CN"/>
                    </w:rPr>
                    <w:t>4</w:t>
                  </w:r>
                </w:p>
              </w:tc>
              <w:tc>
                <w:tcPr>
                  <w:tcW w:w="546" w:type="pct"/>
                  <w:gridSpan w:val="2"/>
                  <w:shd w:val="clear" w:color="auto" w:fill="auto"/>
                  <w:vAlign w:val="center"/>
                </w:tcPr>
                <w:p w14:paraId="2E9D84D8">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eastAsia" w:ascii="Times New Roman" w:hAnsi="Times New Roman" w:eastAsia="宋体" w:cs="Times New Roman"/>
                      <w:color w:val="auto"/>
                      <w:kern w:val="2"/>
                      <w:sz w:val="22"/>
                      <w:szCs w:val="22"/>
                      <w:highlight w:val="none"/>
                      <w:lang w:val="en-US" w:eastAsia="zh-CN" w:bidi="ar-SA"/>
                    </w:rPr>
                  </w:pPr>
                  <w:r>
                    <w:rPr>
                      <w:rFonts w:hint="default"/>
                      <w:color w:val="auto"/>
                      <w:sz w:val="22"/>
                      <w:szCs w:val="22"/>
                      <w:lang w:val="en-US" w:eastAsia="zh-CN"/>
                    </w:rPr>
                    <w:t>玻璃纤维</w:t>
                  </w:r>
                  <w:r>
                    <w:rPr>
                      <w:rFonts w:hint="eastAsia"/>
                      <w:color w:val="auto"/>
                      <w:sz w:val="22"/>
                      <w:szCs w:val="22"/>
                      <w:lang w:val="en-US" w:eastAsia="zh-CN"/>
                    </w:rPr>
                    <w:t>短切纱</w:t>
                  </w:r>
                </w:p>
              </w:tc>
              <w:tc>
                <w:tcPr>
                  <w:tcW w:w="788" w:type="pct"/>
                  <w:shd w:val="clear" w:color="auto" w:fill="auto"/>
                  <w:vAlign w:val="center"/>
                </w:tcPr>
                <w:p w14:paraId="0E8244D8">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eastAsia" w:ascii="Times New Roman" w:hAnsi="Times New Roman" w:eastAsia="宋体" w:cs="Times New Roman"/>
                      <w:color w:val="auto"/>
                      <w:kern w:val="2"/>
                      <w:sz w:val="22"/>
                      <w:szCs w:val="22"/>
                      <w:lang w:val="en-US" w:eastAsia="zh-CN" w:bidi="ar-SA"/>
                    </w:rPr>
                  </w:pPr>
                  <w:r>
                    <w:rPr>
                      <w:rFonts w:hint="eastAsia"/>
                      <w:color w:val="auto"/>
                      <w:sz w:val="22"/>
                      <w:szCs w:val="22"/>
                      <w:lang w:val="en-US" w:eastAsia="zh-CN"/>
                    </w:rPr>
                    <w:t>/</w:t>
                  </w:r>
                </w:p>
              </w:tc>
              <w:tc>
                <w:tcPr>
                  <w:tcW w:w="620" w:type="pct"/>
                  <w:shd w:val="clear" w:color="auto" w:fill="auto"/>
                  <w:vAlign w:val="center"/>
                </w:tcPr>
                <w:p w14:paraId="33335319">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eastAsia"/>
                      <w:color w:val="auto"/>
                      <w:sz w:val="22"/>
                      <w:szCs w:val="22"/>
                      <w:lang w:val="en-US" w:eastAsia="zh-CN"/>
                    </w:rPr>
                    <w:t>3031.5</w:t>
                  </w:r>
                </w:p>
              </w:tc>
              <w:tc>
                <w:tcPr>
                  <w:tcW w:w="721" w:type="pct"/>
                  <w:shd w:val="clear" w:color="auto" w:fill="auto"/>
                  <w:vAlign w:val="center"/>
                </w:tcPr>
                <w:p w14:paraId="63EAAF25">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eastAsia" w:cs="Times New Roman"/>
                      <w:color w:val="auto"/>
                      <w:kern w:val="2"/>
                      <w:sz w:val="22"/>
                      <w:szCs w:val="22"/>
                      <w:lang w:val="en-US" w:eastAsia="zh-CN" w:bidi="ar-SA"/>
                    </w:rPr>
                    <w:t>150</w:t>
                  </w:r>
                </w:p>
              </w:tc>
              <w:tc>
                <w:tcPr>
                  <w:tcW w:w="661" w:type="pct"/>
                  <w:shd w:val="clear" w:color="auto" w:fill="auto"/>
                  <w:vAlign w:val="center"/>
                </w:tcPr>
                <w:p w14:paraId="29F79E6C">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eastAsia"/>
                      <w:color w:val="auto"/>
                      <w:sz w:val="22"/>
                      <w:szCs w:val="22"/>
                      <w:lang w:val="en-US" w:eastAsia="zh-CN"/>
                    </w:rPr>
                    <w:t>原材料区</w:t>
                  </w:r>
                </w:p>
              </w:tc>
              <w:tc>
                <w:tcPr>
                  <w:tcW w:w="770" w:type="pct"/>
                  <w:shd w:val="clear" w:color="auto" w:fill="auto"/>
                  <w:vAlign w:val="center"/>
                </w:tcPr>
                <w:p w14:paraId="0F9FD656">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生产玻璃纤维毡的原材料</w:t>
                  </w:r>
                </w:p>
              </w:tc>
              <w:tc>
                <w:tcPr>
                  <w:tcW w:w="648" w:type="pct"/>
                  <w:shd w:val="clear" w:color="auto" w:fill="auto"/>
                  <w:vAlign w:val="center"/>
                </w:tcPr>
                <w:p w14:paraId="6AEA2396">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eastAsia"/>
                      <w:color w:val="auto"/>
                      <w:sz w:val="22"/>
                      <w:szCs w:val="22"/>
                      <w:lang w:val="en-US" w:eastAsia="zh-CN"/>
                    </w:rPr>
                    <w:t>安徽宏徽科技股份有限责任公司</w:t>
                  </w:r>
                </w:p>
              </w:tc>
            </w:tr>
            <w:tr w14:paraId="3CF1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 w:type="pct"/>
                  <w:shd w:val="clear" w:color="auto" w:fill="auto"/>
                  <w:vAlign w:val="center"/>
                </w:tcPr>
                <w:p w14:paraId="4362786E">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color w:val="auto"/>
                      <w:sz w:val="22"/>
                      <w:szCs w:val="22"/>
                      <w:lang w:val="en-US" w:eastAsia="zh-CN"/>
                    </w:rPr>
                    <w:t>5</w:t>
                  </w:r>
                </w:p>
              </w:tc>
              <w:tc>
                <w:tcPr>
                  <w:tcW w:w="546" w:type="pct"/>
                  <w:gridSpan w:val="2"/>
                  <w:vAlign w:val="center"/>
                </w:tcPr>
                <w:p w14:paraId="613A3032">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PE袋</w:t>
                  </w:r>
                </w:p>
              </w:tc>
              <w:tc>
                <w:tcPr>
                  <w:tcW w:w="788" w:type="pct"/>
                  <w:vAlign w:val="center"/>
                </w:tcPr>
                <w:p w14:paraId="1B858745">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w:t>
                  </w:r>
                </w:p>
              </w:tc>
              <w:tc>
                <w:tcPr>
                  <w:tcW w:w="620" w:type="pct"/>
                  <w:vAlign w:val="center"/>
                </w:tcPr>
                <w:p w14:paraId="34BFDB9B">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2</w:t>
                  </w:r>
                </w:p>
              </w:tc>
              <w:tc>
                <w:tcPr>
                  <w:tcW w:w="721" w:type="pct"/>
                  <w:vAlign w:val="center"/>
                </w:tcPr>
                <w:p w14:paraId="272C0ED7">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0.1</w:t>
                  </w:r>
                </w:p>
              </w:tc>
              <w:tc>
                <w:tcPr>
                  <w:tcW w:w="661" w:type="pct"/>
                  <w:vMerge w:val="restart"/>
                  <w:vAlign w:val="center"/>
                </w:tcPr>
                <w:p w14:paraId="7F4708B3">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辅料区</w:t>
                  </w:r>
                </w:p>
              </w:tc>
              <w:tc>
                <w:tcPr>
                  <w:tcW w:w="770" w:type="pct"/>
                  <w:vAlign w:val="center"/>
                </w:tcPr>
                <w:p w14:paraId="275037BA">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eastAsia"/>
                      <w:color w:val="auto"/>
                      <w:sz w:val="22"/>
                      <w:szCs w:val="22"/>
                      <w:lang w:val="en-US" w:eastAsia="zh-CN"/>
                    </w:rPr>
                  </w:pPr>
                  <w:r>
                    <w:rPr>
                      <w:rFonts w:hint="eastAsia"/>
                      <w:color w:val="auto"/>
                      <w:sz w:val="22"/>
                      <w:szCs w:val="22"/>
                      <w:lang w:val="en-US" w:eastAsia="zh-CN"/>
                    </w:rPr>
                    <w:t>装膨化纱</w:t>
                  </w:r>
                </w:p>
              </w:tc>
              <w:tc>
                <w:tcPr>
                  <w:tcW w:w="648" w:type="pct"/>
                  <w:vAlign w:val="center"/>
                </w:tcPr>
                <w:p w14:paraId="28FFEB05">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w:t>
                  </w:r>
                </w:p>
              </w:tc>
            </w:tr>
            <w:tr w14:paraId="07F4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 w:type="pct"/>
                  <w:shd w:val="clear" w:color="auto" w:fill="auto"/>
                  <w:vAlign w:val="center"/>
                </w:tcPr>
                <w:p w14:paraId="71E6E705">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color w:val="auto"/>
                      <w:sz w:val="22"/>
                      <w:szCs w:val="22"/>
                      <w:lang w:val="en-US" w:eastAsia="zh-CN"/>
                    </w:rPr>
                    <w:t>6</w:t>
                  </w:r>
                </w:p>
              </w:tc>
              <w:tc>
                <w:tcPr>
                  <w:tcW w:w="546" w:type="pct"/>
                  <w:gridSpan w:val="2"/>
                  <w:vAlign w:val="center"/>
                </w:tcPr>
                <w:p w14:paraId="243320EA">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highlight w:val="yellow"/>
                      <w:lang w:val="en-US" w:eastAsia="zh-CN"/>
                    </w:rPr>
                  </w:pPr>
                  <w:r>
                    <w:rPr>
                      <w:rFonts w:hint="default"/>
                      <w:color w:val="auto"/>
                      <w:sz w:val="22"/>
                      <w:szCs w:val="22"/>
                      <w:lang w:val="en-US" w:eastAsia="zh-CN"/>
                    </w:rPr>
                    <w:t>纸箱</w:t>
                  </w:r>
                </w:p>
              </w:tc>
              <w:tc>
                <w:tcPr>
                  <w:tcW w:w="788" w:type="pct"/>
                  <w:vAlign w:val="center"/>
                </w:tcPr>
                <w:p w14:paraId="4FD0C502">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w:t>
                  </w:r>
                </w:p>
              </w:tc>
              <w:tc>
                <w:tcPr>
                  <w:tcW w:w="620" w:type="pct"/>
                  <w:vAlign w:val="center"/>
                </w:tcPr>
                <w:p w14:paraId="6E5F05A1">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40000个</w:t>
                  </w:r>
                </w:p>
              </w:tc>
              <w:tc>
                <w:tcPr>
                  <w:tcW w:w="721" w:type="pct"/>
                  <w:vAlign w:val="center"/>
                </w:tcPr>
                <w:p w14:paraId="28A224F0">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2000个</w:t>
                  </w:r>
                </w:p>
              </w:tc>
              <w:tc>
                <w:tcPr>
                  <w:tcW w:w="661" w:type="pct"/>
                  <w:vMerge w:val="continue"/>
                  <w:vAlign w:val="center"/>
                </w:tcPr>
                <w:p w14:paraId="2D8AB9F3">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p>
              </w:tc>
              <w:tc>
                <w:tcPr>
                  <w:tcW w:w="770" w:type="pct"/>
                  <w:vAlign w:val="center"/>
                </w:tcPr>
                <w:p w14:paraId="0FFA1D0C">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装产品</w:t>
                  </w:r>
                </w:p>
              </w:tc>
              <w:tc>
                <w:tcPr>
                  <w:tcW w:w="648" w:type="pct"/>
                  <w:vAlign w:val="center"/>
                </w:tcPr>
                <w:p w14:paraId="733029C1">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w:t>
                  </w:r>
                </w:p>
              </w:tc>
            </w:tr>
            <w:tr w14:paraId="16888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 w:type="pct"/>
                  <w:shd w:val="clear" w:color="auto" w:fill="auto"/>
                  <w:vAlign w:val="center"/>
                </w:tcPr>
                <w:p w14:paraId="08E005EF">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eastAsia"/>
                      <w:color w:val="auto"/>
                      <w:sz w:val="22"/>
                      <w:szCs w:val="22"/>
                      <w:lang w:val="en-US" w:eastAsia="zh-CN"/>
                    </w:rPr>
                    <w:t>7</w:t>
                  </w:r>
                </w:p>
              </w:tc>
              <w:tc>
                <w:tcPr>
                  <w:tcW w:w="546" w:type="pct"/>
                  <w:gridSpan w:val="2"/>
                  <w:vAlign w:val="center"/>
                </w:tcPr>
                <w:p w14:paraId="19BE713B">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highlight w:val="yellow"/>
                      <w:lang w:val="en-US" w:eastAsia="zh-CN"/>
                    </w:rPr>
                  </w:pPr>
                  <w:r>
                    <w:rPr>
                      <w:rFonts w:hint="default"/>
                      <w:color w:val="auto"/>
                      <w:sz w:val="22"/>
                      <w:szCs w:val="22"/>
                      <w:lang w:val="en-US" w:eastAsia="zh-CN"/>
                    </w:rPr>
                    <w:t>编织袋</w:t>
                  </w:r>
                </w:p>
              </w:tc>
              <w:tc>
                <w:tcPr>
                  <w:tcW w:w="788" w:type="pct"/>
                  <w:vAlign w:val="center"/>
                </w:tcPr>
                <w:p w14:paraId="3114E732">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w:t>
                  </w:r>
                </w:p>
              </w:tc>
              <w:tc>
                <w:tcPr>
                  <w:tcW w:w="620" w:type="pct"/>
                  <w:vAlign w:val="center"/>
                </w:tcPr>
                <w:p w14:paraId="08FD8F41">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30000个</w:t>
                  </w:r>
                </w:p>
              </w:tc>
              <w:tc>
                <w:tcPr>
                  <w:tcW w:w="721" w:type="pct"/>
                  <w:vAlign w:val="center"/>
                </w:tcPr>
                <w:p w14:paraId="4253A2F9">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2000个</w:t>
                  </w:r>
                </w:p>
              </w:tc>
              <w:tc>
                <w:tcPr>
                  <w:tcW w:w="661" w:type="pct"/>
                  <w:vMerge w:val="continue"/>
                  <w:vAlign w:val="center"/>
                </w:tcPr>
                <w:p w14:paraId="544139B8">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eastAsia"/>
                      <w:color w:val="auto"/>
                      <w:sz w:val="22"/>
                      <w:szCs w:val="22"/>
                      <w:lang w:val="en-US" w:eastAsia="zh-CN"/>
                    </w:rPr>
                  </w:pPr>
                </w:p>
              </w:tc>
              <w:tc>
                <w:tcPr>
                  <w:tcW w:w="770" w:type="pct"/>
                  <w:vAlign w:val="center"/>
                </w:tcPr>
                <w:p w14:paraId="6DBE2B8E">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eastAsia"/>
                      <w:color w:val="auto"/>
                      <w:sz w:val="22"/>
                      <w:szCs w:val="22"/>
                      <w:lang w:val="en-US" w:eastAsia="zh-CN"/>
                    </w:rPr>
                  </w:pPr>
                  <w:r>
                    <w:rPr>
                      <w:rFonts w:hint="eastAsia"/>
                      <w:color w:val="auto"/>
                      <w:sz w:val="22"/>
                      <w:szCs w:val="22"/>
                      <w:lang w:val="en-US" w:eastAsia="zh-CN"/>
                    </w:rPr>
                    <w:t>装产品</w:t>
                  </w:r>
                </w:p>
              </w:tc>
              <w:tc>
                <w:tcPr>
                  <w:tcW w:w="648" w:type="pct"/>
                  <w:vAlign w:val="center"/>
                </w:tcPr>
                <w:p w14:paraId="774E31B8">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w:t>
                  </w:r>
                </w:p>
              </w:tc>
            </w:tr>
            <w:tr w14:paraId="591C1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 w:type="pct"/>
                  <w:shd w:val="clear" w:color="auto" w:fill="auto"/>
                  <w:vAlign w:val="center"/>
                </w:tcPr>
                <w:p w14:paraId="4B4B9477">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eastAsia"/>
                      <w:color w:val="auto"/>
                      <w:sz w:val="22"/>
                      <w:szCs w:val="22"/>
                      <w:lang w:val="en-US" w:eastAsia="zh-CN"/>
                    </w:rPr>
                    <w:t>8</w:t>
                  </w:r>
                </w:p>
              </w:tc>
              <w:tc>
                <w:tcPr>
                  <w:tcW w:w="546" w:type="pct"/>
                  <w:gridSpan w:val="2"/>
                  <w:vAlign w:val="center"/>
                </w:tcPr>
                <w:p w14:paraId="5C0A1C87">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highlight w:val="none"/>
                      <w:lang w:val="en-US" w:eastAsia="zh-CN"/>
                    </w:rPr>
                  </w:pPr>
                  <w:r>
                    <w:rPr>
                      <w:rFonts w:hint="default"/>
                      <w:color w:val="auto"/>
                      <w:sz w:val="22"/>
                      <w:szCs w:val="22"/>
                      <w:lang w:val="en-US" w:eastAsia="zh-CN"/>
                    </w:rPr>
                    <w:t>缠绕膜</w:t>
                  </w:r>
                </w:p>
              </w:tc>
              <w:tc>
                <w:tcPr>
                  <w:tcW w:w="788" w:type="pct"/>
                  <w:vAlign w:val="center"/>
                </w:tcPr>
                <w:p w14:paraId="6E0EBB21">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w:t>
                  </w:r>
                </w:p>
              </w:tc>
              <w:tc>
                <w:tcPr>
                  <w:tcW w:w="620" w:type="pct"/>
                  <w:vAlign w:val="center"/>
                </w:tcPr>
                <w:p w14:paraId="09966620">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1</w:t>
                  </w:r>
                </w:p>
              </w:tc>
              <w:tc>
                <w:tcPr>
                  <w:tcW w:w="721" w:type="pct"/>
                  <w:vAlign w:val="center"/>
                </w:tcPr>
                <w:p w14:paraId="773B5FAD">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0.1</w:t>
                  </w:r>
                </w:p>
              </w:tc>
              <w:tc>
                <w:tcPr>
                  <w:tcW w:w="661" w:type="pct"/>
                  <w:vMerge w:val="continue"/>
                  <w:vAlign w:val="center"/>
                </w:tcPr>
                <w:p w14:paraId="036CD8BB">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p>
              </w:tc>
              <w:tc>
                <w:tcPr>
                  <w:tcW w:w="770" w:type="pct"/>
                  <w:vAlign w:val="center"/>
                </w:tcPr>
                <w:p w14:paraId="45EF73F1">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打包产品</w:t>
                  </w:r>
                </w:p>
              </w:tc>
              <w:tc>
                <w:tcPr>
                  <w:tcW w:w="648" w:type="pct"/>
                  <w:vAlign w:val="center"/>
                </w:tcPr>
                <w:p w14:paraId="53822F9D">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w:t>
                  </w:r>
                </w:p>
              </w:tc>
            </w:tr>
            <w:tr w14:paraId="0AD63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 w:type="pct"/>
                  <w:shd w:val="clear" w:color="auto" w:fill="auto"/>
                  <w:vAlign w:val="center"/>
                </w:tcPr>
                <w:p w14:paraId="3A73C9AB">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eastAsia"/>
                      <w:color w:val="auto"/>
                      <w:sz w:val="22"/>
                      <w:szCs w:val="22"/>
                      <w:lang w:val="en-US" w:eastAsia="zh-CN"/>
                    </w:rPr>
                    <w:t>9</w:t>
                  </w:r>
                </w:p>
              </w:tc>
              <w:tc>
                <w:tcPr>
                  <w:tcW w:w="546" w:type="pct"/>
                  <w:gridSpan w:val="2"/>
                  <w:vAlign w:val="center"/>
                </w:tcPr>
                <w:p w14:paraId="7CD67544">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highlight w:val="none"/>
                      <w:lang w:val="en-US" w:eastAsia="zh-CN"/>
                    </w:rPr>
                  </w:pPr>
                  <w:r>
                    <w:rPr>
                      <w:rFonts w:hint="default"/>
                      <w:color w:val="auto"/>
                      <w:sz w:val="22"/>
                      <w:szCs w:val="22"/>
                      <w:lang w:val="en-US" w:eastAsia="zh-CN"/>
                    </w:rPr>
                    <w:t>封口胶</w:t>
                  </w:r>
                  <w:r>
                    <w:rPr>
                      <w:rFonts w:hint="eastAsia"/>
                      <w:color w:val="auto"/>
                      <w:sz w:val="22"/>
                      <w:szCs w:val="22"/>
                      <w:lang w:val="en-US" w:eastAsia="zh-CN"/>
                    </w:rPr>
                    <w:t>带</w:t>
                  </w:r>
                </w:p>
              </w:tc>
              <w:tc>
                <w:tcPr>
                  <w:tcW w:w="788" w:type="pct"/>
                  <w:vAlign w:val="center"/>
                </w:tcPr>
                <w:p w14:paraId="169A226E">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w:t>
                  </w:r>
                </w:p>
              </w:tc>
              <w:tc>
                <w:tcPr>
                  <w:tcW w:w="620" w:type="pct"/>
                  <w:vAlign w:val="center"/>
                </w:tcPr>
                <w:p w14:paraId="6BD33519">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3000卷</w:t>
                  </w:r>
                </w:p>
              </w:tc>
              <w:tc>
                <w:tcPr>
                  <w:tcW w:w="721" w:type="pct"/>
                  <w:vAlign w:val="center"/>
                </w:tcPr>
                <w:p w14:paraId="7ADF8584">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300卷</w:t>
                  </w:r>
                </w:p>
              </w:tc>
              <w:tc>
                <w:tcPr>
                  <w:tcW w:w="661" w:type="pct"/>
                  <w:vMerge w:val="continue"/>
                  <w:vAlign w:val="center"/>
                </w:tcPr>
                <w:p w14:paraId="42FEAEE6">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p>
              </w:tc>
              <w:tc>
                <w:tcPr>
                  <w:tcW w:w="770" w:type="pct"/>
                  <w:vAlign w:val="center"/>
                </w:tcPr>
                <w:p w14:paraId="66857DB9">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eastAsia"/>
                      <w:color w:val="auto"/>
                      <w:sz w:val="22"/>
                      <w:szCs w:val="22"/>
                      <w:lang w:val="en-US" w:eastAsia="zh-CN"/>
                    </w:rPr>
                  </w:pPr>
                  <w:r>
                    <w:rPr>
                      <w:rFonts w:hint="eastAsia"/>
                      <w:color w:val="auto"/>
                      <w:sz w:val="22"/>
                      <w:szCs w:val="22"/>
                      <w:lang w:val="en-US" w:eastAsia="zh-CN"/>
                    </w:rPr>
                    <w:t>打包产品</w:t>
                  </w:r>
                </w:p>
              </w:tc>
              <w:tc>
                <w:tcPr>
                  <w:tcW w:w="648" w:type="pct"/>
                  <w:vAlign w:val="center"/>
                </w:tcPr>
                <w:p w14:paraId="43D59410">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w:t>
                  </w:r>
                </w:p>
              </w:tc>
            </w:tr>
            <w:tr w14:paraId="20ED5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 w:type="pct"/>
                  <w:shd w:val="clear" w:color="auto" w:fill="auto"/>
                  <w:vAlign w:val="center"/>
                </w:tcPr>
                <w:p w14:paraId="1F97A3A9">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eastAsia" w:cs="Times New Roman"/>
                      <w:color w:val="auto"/>
                      <w:kern w:val="2"/>
                      <w:sz w:val="22"/>
                      <w:szCs w:val="22"/>
                      <w:lang w:val="en-US" w:eastAsia="zh-CN" w:bidi="ar-SA"/>
                    </w:rPr>
                    <w:t>10</w:t>
                  </w:r>
                </w:p>
              </w:tc>
              <w:tc>
                <w:tcPr>
                  <w:tcW w:w="546" w:type="pct"/>
                  <w:gridSpan w:val="2"/>
                  <w:vAlign w:val="center"/>
                </w:tcPr>
                <w:p w14:paraId="1F0D7A2A">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highlight w:val="none"/>
                      <w:lang w:val="en-US" w:eastAsia="zh-CN"/>
                    </w:rPr>
                  </w:pPr>
                  <w:r>
                    <w:rPr>
                      <w:rFonts w:hint="default"/>
                      <w:color w:val="auto"/>
                      <w:sz w:val="22"/>
                      <w:szCs w:val="22"/>
                      <w:lang w:val="en-US" w:eastAsia="zh-CN"/>
                    </w:rPr>
                    <w:t>塑钢带</w:t>
                  </w:r>
                </w:p>
              </w:tc>
              <w:tc>
                <w:tcPr>
                  <w:tcW w:w="788" w:type="pct"/>
                  <w:vAlign w:val="center"/>
                </w:tcPr>
                <w:p w14:paraId="74E40957">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w:t>
                  </w:r>
                </w:p>
              </w:tc>
              <w:tc>
                <w:tcPr>
                  <w:tcW w:w="620" w:type="pct"/>
                  <w:vAlign w:val="center"/>
                </w:tcPr>
                <w:p w14:paraId="0EBE3AB8">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1.5</w:t>
                  </w:r>
                </w:p>
              </w:tc>
              <w:tc>
                <w:tcPr>
                  <w:tcW w:w="721" w:type="pct"/>
                  <w:vAlign w:val="center"/>
                </w:tcPr>
                <w:p w14:paraId="4AB72CF2">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0.2</w:t>
                  </w:r>
                </w:p>
              </w:tc>
              <w:tc>
                <w:tcPr>
                  <w:tcW w:w="661" w:type="pct"/>
                  <w:vMerge w:val="continue"/>
                  <w:vAlign w:val="center"/>
                </w:tcPr>
                <w:p w14:paraId="60CC3026">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p>
              </w:tc>
              <w:tc>
                <w:tcPr>
                  <w:tcW w:w="770" w:type="pct"/>
                  <w:vAlign w:val="center"/>
                </w:tcPr>
                <w:p w14:paraId="5A2B6849">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eastAsia"/>
                      <w:color w:val="auto"/>
                      <w:sz w:val="22"/>
                      <w:szCs w:val="22"/>
                      <w:lang w:val="en-US" w:eastAsia="zh-CN"/>
                    </w:rPr>
                  </w:pPr>
                  <w:r>
                    <w:rPr>
                      <w:rFonts w:hint="eastAsia"/>
                      <w:color w:val="auto"/>
                      <w:sz w:val="22"/>
                      <w:szCs w:val="22"/>
                      <w:lang w:val="en-US" w:eastAsia="zh-CN"/>
                    </w:rPr>
                    <w:t>打包产品</w:t>
                  </w:r>
                </w:p>
              </w:tc>
              <w:tc>
                <w:tcPr>
                  <w:tcW w:w="648" w:type="pct"/>
                  <w:vAlign w:val="center"/>
                </w:tcPr>
                <w:p w14:paraId="2E6E85CE">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w:t>
                  </w:r>
                </w:p>
              </w:tc>
            </w:tr>
            <w:tr w14:paraId="3DC1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8" w:type="pct"/>
                  <w:gridSpan w:val="2"/>
                  <w:vAlign w:val="center"/>
                </w:tcPr>
                <w:p w14:paraId="25A6490A">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eastAsia"/>
                      <w:color w:val="auto"/>
                      <w:sz w:val="22"/>
                      <w:szCs w:val="22"/>
                      <w:lang w:val="en-US" w:eastAsia="zh-CN"/>
                    </w:rPr>
                  </w:pPr>
                </w:p>
              </w:tc>
              <w:tc>
                <w:tcPr>
                  <w:tcW w:w="4331" w:type="pct"/>
                  <w:gridSpan w:val="7"/>
                  <w:vAlign w:val="center"/>
                </w:tcPr>
                <w:p w14:paraId="183D8957">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w:t>
                  </w:r>
                  <w:r>
                    <w:rPr>
                      <w:rFonts w:hint="default"/>
                      <w:color w:val="auto"/>
                      <w:sz w:val="22"/>
                      <w:szCs w:val="22"/>
                      <w:lang w:val="en-US" w:eastAsia="zh-CN"/>
                    </w:rPr>
                    <w:t>二</w:t>
                  </w:r>
                  <w:r>
                    <w:rPr>
                      <w:rFonts w:hint="eastAsia"/>
                      <w:color w:val="auto"/>
                      <w:sz w:val="22"/>
                      <w:szCs w:val="22"/>
                      <w:lang w:val="en-US" w:eastAsia="zh-CN"/>
                    </w:rPr>
                    <w:t>）</w:t>
                  </w:r>
                  <w:r>
                    <w:rPr>
                      <w:rFonts w:hint="default"/>
                      <w:color w:val="auto"/>
                      <w:sz w:val="22"/>
                      <w:szCs w:val="22"/>
                      <w:lang w:val="en-US" w:eastAsia="zh-CN"/>
                    </w:rPr>
                    <w:t>能源消耗</w:t>
                  </w:r>
                </w:p>
              </w:tc>
            </w:tr>
            <w:tr w14:paraId="74BDA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 w:type="pct"/>
                  <w:vAlign w:val="center"/>
                </w:tcPr>
                <w:p w14:paraId="7F68561C">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1</w:t>
                  </w:r>
                </w:p>
              </w:tc>
              <w:tc>
                <w:tcPr>
                  <w:tcW w:w="546" w:type="pct"/>
                  <w:gridSpan w:val="2"/>
                  <w:vAlign w:val="center"/>
                </w:tcPr>
                <w:p w14:paraId="0EE81F4E">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自来水</w:t>
                  </w:r>
                </w:p>
              </w:tc>
              <w:tc>
                <w:tcPr>
                  <w:tcW w:w="788" w:type="pct"/>
                  <w:vAlign w:val="center"/>
                </w:tcPr>
                <w:p w14:paraId="15ADD0A0">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w:t>
                  </w:r>
                </w:p>
              </w:tc>
              <w:tc>
                <w:tcPr>
                  <w:tcW w:w="620" w:type="pct"/>
                  <w:vAlign w:val="center"/>
                </w:tcPr>
                <w:p w14:paraId="749B1AA4">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720吨</w:t>
                  </w:r>
                </w:p>
              </w:tc>
              <w:tc>
                <w:tcPr>
                  <w:tcW w:w="721" w:type="pct"/>
                  <w:vAlign w:val="center"/>
                </w:tcPr>
                <w:p w14:paraId="7085EB66">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w:t>
                  </w:r>
                </w:p>
              </w:tc>
              <w:tc>
                <w:tcPr>
                  <w:tcW w:w="661" w:type="pct"/>
                  <w:vAlign w:val="center"/>
                </w:tcPr>
                <w:p w14:paraId="45947DAD">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w:t>
                  </w:r>
                </w:p>
              </w:tc>
              <w:tc>
                <w:tcPr>
                  <w:tcW w:w="770" w:type="pct"/>
                  <w:vAlign w:val="center"/>
                </w:tcPr>
                <w:p w14:paraId="16C41A19">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w:t>
                  </w:r>
                </w:p>
              </w:tc>
              <w:tc>
                <w:tcPr>
                  <w:tcW w:w="648" w:type="pct"/>
                  <w:vMerge w:val="restart"/>
                  <w:vAlign w:val="center"/>
                </w:tcPr>
                <w:p w14:paraId="6ECBA632">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市政管网提供</w:t>
                  </w:r>
                </w:p>
              </w:tc>
            </w:tr>
            <w:tr w14:paraId="149E9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 w:type="pct"/>
                  <w:vAlign w:val="center"/>
                </w:tcPr>
                <w:p w14:paraId="628BEBB8">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2</w:t>
                  </w:r>
                </w:p>
              </w:tc>
              <w:tc>
                <w:tcPr>
                  <w:tcW w:w="546" w:type="pct"/>
                  <w:gridSpan w:val="2"/>
                  <w:vAlign w:val="center"/>
                </w:tcPr>
                <w:p w14:paraId="1598F2AF">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电</w:t>
                  </w:r>
                </w:p>
              </w:tc>
              <w:tc>
                <w:tcPr>
                  <w:tcW w:w="788" w:type="pct"/>
                  <w:vAlign w:val="center"/>
                </w:tcPr>
                <w:p w14:paraId="79D9F99F">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w:t>
                  </w:r>
                </w:p>
              </w:tc>
              <w:tc>
                <w:tcPr>
                  <w:tcW w:w="620" w:type="pct"/>
                  <w:vAlign w:val="center"/>
                </w:tcPr>
                <w:p w14:paraId="4690DE5B">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12000度</w:t>
                  </w:r>
                </w:p>
              </w:tc>
              <w:tc>
                <w:tcPr>
                  <w:tcW w:w="721" w:type="pct"/>
                  <w:vAlign w:val="center"/>
                </w:tcPr>
                <w:p w14:paraId="32F4141A">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w:t>
                  </w:r>
                </w:p>
              </w:tc>
              <w:tc>
                <w:tcPr>
                  <w:tcW w:w="661" w:type="pct"/>
                  <w:vAlign w:val="center"/>
                </w:tcPr>
                <w:p w14:paraId="4766AD99">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w:t>
                  </w:r>
                </w:p>
              </w:tc>
              <w:tc>
                <w:tcPr>
                  <w:tcW w:w="770" w:type="pct"/>
                  <w:vAlign w:val="center"/>
                </w:tcPr>
                <w:p w14:paraId="3A5D13BA">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w:t>
                  </w:r>
                </w:p>
              </w:tc>
              <w:tc>
                <w:tcPr>
                  <w:tcW w:w="648" w:type="pct"/>
                  <w:vMerge w:val="continue"/>
                  <w:vAlign w:val="center"/>
                </w:tcPr>
                <w:p w14:paraId="636F0DF9">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p>
              </w:tc>
            </w:tr>
          </w:tbl>
          <w:p w14:paraId="474220EA">
            <w:pPr>
              <w:pStyle w:val="27"/>
              <w:pageBreakBefore w:val="0"/>
              <w:widowControl w:val="0"/>
              <w:kinsoku/>
              <w:wordWrap/>
              <w:overflowPunct/>
              <w:topLinePunct w:val="0"/>
              <w:autoSpaceDE/>
              <w:autoSpaceDN/>
              <w:bidi w:val="0"/>
              <w:snapToGrid/>
              <w:spacing w:line="460" w:lineRule="exact"/>
              <w:ind w:firstLine="520" w:firstLineChars="200"/>
              <w:jc w:val="both"/>
              <w:rPr>
                <w:rFonts w:hint="eastAsia" w:ascii="Times New Roman" w:hAnsi="Times New Roman" w:eastAsia="宋体" w:cstheme="minorBidi"/>
                <w:color w:val="auto"/>
                <w:kern w:val="2"/>
                <w:sz w:val="26"/>
                <w:szCs w:val="26"/>
                <w:lang w:val="en-US" w:eastAsia="zh-CN" w:bidi="ar-SA"/>
              </w:rPr>
            </w:pPr>
          </w:p>
          <w:p w14:paraId="6A0EDCF4">
            <w:pPr>
              <w:pStyle w:val="27"/>
              <w:pageBreakBefore w:val="0"/>
              <w:widowControl w:val="0"/>
              <w:kinsoku/>
              <w:wordWrap/>
              <w:overflowPunct/>
              <w:topLinePunct w:val="0"/>
              <w:autoSpaceDE/>
              <w:autoSpaceDN/>
              <w:bidi w:val="0"/>
              <w:snapToGrid/>
              <w:spacing w:line="460" w:lineRule="exact"/>
              <w:ind w:firstLine="520" w:firstLineChars="200"/>
              <w:jc w:val="both"/>
              <w:rPr>
                <w:rFonts w:hint="eastAsia" w:ascii="Times New Roman" w:hAnsi="Times New Roman" w:eastAsia="宋体" w:cstheme="minorBidi"/>
                <w:color w:val="auto"/>
                <w:kern w:val="2"/>
                <w:sz w:val="26"/>
                <w:szCs w:val="26"/>
                <w:lang w:val="en-US" w:eastAsia="zh-CN" w:bidi="ar-SA"/>
              </w:rPr>
            </w:pPr>
            <w:r>
              <w:rPr>
                <w:rFonts w:hint="eastAsia" w:ascii="Times New Roman" w:hAnsi="Times New Roman" w:eastAsia="宋体" w:cstheme="minorBidi"/>
                <w:color w:val="auto"/>
                <w:kern w:val="2"/>
                <w:sz w:val="26"/>
                <w:szCs w:val="26"/>
                <w:lang w:val="en-US" w:eastAsia="zh-CN" w:bidi="ar-SA"/>
              </w:rPr>
              <w:t xml:space="preserve">表2.1-5 </w:t>
            </w:r>
            <w:r>
              <w:rPr>
                <w:rFonts w:hint="eastAsia" w:eastAsia="宋体" w:cstheme="minorBidi"/>
                <w:color w:val="auto"/>
                <w:kern w:val="2"/>
                <w:sz w:val="26"/>
                <w:szCs w:val="26"/>
                <w:lang w:val="en-US" w:eastAsia="zh-CN" w:bidi="ar-SA"/>
              </w:rPr>
              <w:t xml:space="preserve">     </w:t>
            </w:r>
            <w:r>
              <w:rPr>
                <w:rFonts w:hint="eastAsia" w:ascii="Times New Roman" w:hAnsi="Times New Roman" w:eastAsia="宋体" w:cstheme="minorBidi"/>
                <w:color w:val="auto"/>
                <w:kern w:val="2"/>
                <w:sz w:val="26"/>
                <w:szCs w:val="26"/>
                <w:lang w:val="en-US" w:eastAsia="zh-CN" w:bidi="ar-SA"/>
              </w:rPr>
              <w:t xml:space="preserve"> </w:t>
            </w:r>
            <w:r>
              <w:rPr>
                <w:rFonts w:hint="eastAsia" w:eastAsia="宋体" w:cstheme="minorBidi"/>
                <w:color w:val="auto"/>
                <w:kern w:val="2"/>
                <w:sz w:val="26"/>
                <w:szCs w:val="26"/>
                <w:lang w:val="en-US" w:eastAsia="zh-CN" w:bidi="ar-SA"/>
              </w:rPr>
              <w:t xml:space="preserve">     </w:t>
            </w:r>
            <w:r>
              <w:rPr>
                <w:rFonts w:hint="eastAsia" w:ascii="Times New Roman" w:hAnsi="Times New Roman" w:eastAsia="宋体" w:cstheme="minorBidi"/>
                <w:color w:val="auto"/>
                <w:kern w:val="2"/>
                <w:sz w:val="26"/>
                <w:szCs w:val="26"/>
                <w:lang w:val="en-US" w:eastAsia="zh-CN" w:bidi="ar-SA"/>
              </w:rPr>
              <w:t>原辅料</w:t>
            </w:r>
            <w:r>
              <w:rPr>
                <w:rFonts w:hint="eastAsia" w:eastAsia="宋体" w:cstheme="minorBidi"/>
                <w:color w:val="auto"/>
                <w:kern w:val="2"/>
                <w:sz w:val="26"/>
                <w:szCs w:val="26"/>
                <w:lang w:val="en-US" w:eastAsia="zh-CN" w:bidi="ar-SA"/>
              </w:rPr>
              <w:t>成分</w:t>
            </w:r>
            <w:r>
              <w:rPr>
                <w:rFonts w:hint="eastAsia" w:ascii="Times New Roman" w:hAnsi="Times New Roman" w:eastAsia="宋体" w:cstheme="minorBidi"/>
                <w:color w:val="auto"/>
                <w:kern w:val="2"/>
                <w:sz w:val="26"/>
                <w:szCs w:val="26"/>
                <w:lang w:val="en-US" w:eastAsia="zh-CN" w:bidi="ar-SA"/>
              </w:rPr>
              <w:t>一览表</w:t>
            </w:r>
          </w:p>
          <w:tbl>
            <w:tblPr>
              <w:tblStyle w:val="18"/>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2595"/>
              <w:gridCol w:w="3891"/>
            </w:tblGrid>
            <w:tr w14:paraId="00B67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0" w:type="dxa"/>
                  <w:vAlign w:val="center"/>
                </w:tcPr>
                <w:p w14:paraId="4BFAC55C">
                  <w:pPr>
                    <w:pStyle w:val="28"/>
                    <w:keepNext w:val="0"/>
                    <w:keepLines w:val="0"/>
                    <w:pageBreakBefore w:val="0"/>
                    <w:widowControl w:val="0"/>
                    <w:kinsoku/>
                    <w:wordWrap/>
                    <w:overflowPunct/>
                    <w:topLinePunct w:val="0"/>
                    <w:autoSpaceDE/>
                    <w:autoSpaceDN/>
                    <w:bidi w:val="0"/>
                    <w:snapToGrid/>
                    <w:textAlignment w:val="auto"/>
                    <w:rPr>
                      <w:color w:val="auto"/>
                      <w:sz w:val="22"/>
                      <w:szCs w:val="22"/>
                    </w:rPr>
                  </w:pPr>
                  <w:r>
                    <w:rPr>
                      <w:rFonts w:hint="default"/>
                      <w:color w:val="auto"/>
                      <w:sz w:val="22"/>
                      <w:szCs w:val="22"/>
                    </w:rPr>
                    <w:t>序号</w:t>
                  </w:r>
                </w:p>
              </w:tc>
              <w:tc>
                <w:tcPr>
                  <w:tcW w:w="2099" w:type="dxa"/>
                  <w:vAlign w:val="center"/>
                </w:tcPr>
                <w:p w14:paraId="4415DFE4">
                  <w:pPr>
                    <w:pStyle w:val="28"/>
                    <w:keepNext w:val="0"/>
                    <w:keepLines w:val="0"/>
                    <w:pageBreakBefore w:val="0"/>
                    <w:widowControl w:val="0"/>
                    <w:kinsoku/>
                    <w:wordWrap/>
                    <w:overflowPunct/>
                    <w:topLinePunct w:val="0"/>
                    <w:autoSpaceDE/>
                    <w:autoSpaceDN/>
                    <w:bidi w:val="0"/>
                    <w:snapToGrid/>
                    <w:textAlignment w:val="auto"/>
                    <w:rPr>
                      <w:color w:val="auto"/>
                      <w:sz w:val="22"/>
                      <w:szCs w:val="22"/>
                    </w:rPr>
                  </w:pPr>
                  <w:r>
                    <w:rPr>
                      <w:rFonts w:hint="default"/>
                      <w:color w:val="auto"/>
                      <w:sz w:val="22"/>
                      <w:szCs w:val="22"/>
                    </w:rPr>
                    <w:t>材料名称</w:t>
                  </w:r>
                </w:p>
              </w:tc>
              <w:tc>
                <w:tcPr>
                  <w:tcW w:w="3148" w:type="dxa"/>
                  <w:vAlign w:val="center"/>
                </w:tcPr>
                <w:p w14:paraId="7FAC1827">
                  <w:pPr>
                    <w:pStyle w:val="28"/>
                    <w:keepNext w:val="0"/>
                    <w:keepLines w:val="0"/>
                    <w:pageBreakBefore w:val="0"/>
                    <w:widowControl w:val="0"/>
                    <w:kinsoku/>
                    <w:wordWrap/>
                    <w:overflowPunct/>
                    <w:topLinePunct w:val="0"/>
                    <w:autoSpaceDE/>
                    <w:autoSpaceDN/>
                    <w:bidi w:val="0"/>
                    <w:snapToGrid/>
                    <w:textAlignment w:val="auto"/>
                    <w:rPr>
                      <w:color w:val="auto"/>
                      <w:sz w:val="22"/>
                      <w:szCs w:val="22"/>
                    </w:rPr>
                  </w:pPr>
                  <w:r>
                    <w:rPr>
                      <w:rFonts w:hint="default"/>
                      <w:color w:val="auto"/>
                      <w:sz w:val="22"/>
                      <w:szCs w:val="22"/>
                    </w:rPr>
                    <w:t>主要成分</w:t>
                  </w:r>
                </w:p>
              </w:tc>
            </w:tr>
            <w:tr w14:paraId="2EF52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0" w:type="dxa"/>
                  <w:vAlign w:val="center"/>
                </w:tcPr>
                <w:p w14:paraId="10D74D51">
                  <w:pPr>
                    <w:pStyle w:val="28"/>
                    <w:keepNext w:val="0"/>
                    <w:keepLines w:val="0"/>
                    <w:pageBreakBefore w:val="0"/>
                    <w:widowControl w:val="0"/>
                    <w:kinsoku/>
                    <w:wordWrap/>
                    <w:overflowPunct/>
                    <w:topLinePunct w:val="0"/>
                    <w:autoSpaceDE/>
                    <w:autoSpaceDN/>
                    <w:bidi w:val="0"/>
                    <w:snapToGrid/>
                    <w:textAlignment w:val="auto"/>
                    <w:rPr>
                      <w:rFonts w:hint="eastAsia" w:eastAsia="宋体"/>
                      <w:color w:val="auto"/>
                      <w:sz w:val="22"/>
                      <w:szCs w:val="22"/>
                      <w:lang w:val="en-US" w:eastAsia="zh-CN"/>
                    </w:rPr>
                  </w:pPr>
                  <w:r>
                    <w:rPr>
                      <w:rFonts w:hint="eastAsia"/>
                      <w:color w:val="auto"/>
                      <w:sz w:val="22"/>
                      <w:szCs w:val="22"/>
                      <w:lang w:val="en-US" w:eastAsia="zh-CN"/>
                    </w:rPr>
                    <w:t>1</w:t>
                  </w:r>
                </w:p>
              </w:tc>
              <w:tc>
                <w:tcPr>
                  <w:tcW w:w="2099" w:type="dxa"/>
                  <w:vAlign w:val="center"/>
                </w:tcPr>
                <w:p w14:paraId="16726E8D">
                  <w:pPr>
                    <w:pStyle w:val="28"/>
                    <w:keepNext w:val="0"/>
                    <w:keepLines w:val="0"/>
                    <w:pageBreakBefore w:val="0"/>
                    <w:widowControl w:val="0"/>
                    <w:kinsoku/>
                    <w:wordWrap/>
                    <w:overflowPunct/>
                    <w:topLinePunct w:val="0"/>
                    <w:autoSpaceDE/>
                    <w:autoSpaceDN/>
                    <w:bidi w:val="0"/>
                    <w:snapToGrid/>
                    <w:textAlignment w:val="auto"/>
                    <w:rPr>
                      <w:rFonts w:hint="default" w:eastAsia="宋体"/>
                      <w:color w:val="auto"/>
                      <w:sz w:val="22"/>
                      <w:szCs w:val="22"/>
                      <w:lang w:val="en-US" w:eastAsia="zh-CN"/>
                    </w:rPr>
                  </w:pPr>
                  <w:r>
                    <w:rPr>
                      <w:rFonts w:hint="eastAsia" w:eastAsia="宋体"/>
                      <w:color w:val="auto"/>
                      <w:sz w:val="22"/>
                      <w:szCs w:val="22"/>
                      <w:lang w:val="en-US" w:eastAsia="zh-CN"/>
                    </w:rPr>
                    <w:t>玻璃纤维</w:t>
                  </w:r>
                  <w:r>
                    <w:rPr>
                      <w:rFonts w:hint="eastAsia"/>
                      <w:color w:val="auto"/>
                      <w:sz w:val="22"/>
                      <w:szCs w:val="22"/>
                      <w:lang w:val="en-US" w:eastAsia="zh-CN"/>
                    </w:rPr>
                    <w:t>毡</w:t>
                  </w:r>
                </w:p>
              </w:tc>
              <w:tc>
                <w:tcPr>
                  <w:tcW w:w="3148" w:type="dxa"/>
                  <w:vAlign w:val="center"/>
                </w:tcPr>
                <w:p w14:paraId="580F95C9">
                  <w:pPr>
                    <w:pStyle w:val="28"/>
                    <w:keepNext w:val="0"/>
                    <w:keepLines w:val="0"/>
                    <w:pageBreakBefore w:val="0"/>
                    <w:widowControl w:val="0"/>
                    <w:kinsoku/>
                    <w:wordWrap/>
                    <w:overflowPunct/>
                    <w:topLinePunct w:val="0"/>
                    <w:autoSpaceDE/>
                    <w:autoSpaceDN/>
                    <w:bidi w:val="0"/>
                    <w:snapToGrid/>
                    <w:textAlignment w:val="auto"/>
                    <w:rPr>
                      <w:rFonts w:hint="default" w:eastAsia="宋体"/>
                      <w:color w:val="auto"/>
                      <w:sz w:val="22"/>
                      <w:szCs w:val="22"/>
                      <w:highlight w:val="yellow"/>
                      <w:lang w:val="en-US" w:eastAsia="zh-CN"/>
                    </w:rPr>
                  </w:pPr>
                  <w:r>
                    <w:rPr>
                      <w:rFonts w:hint="eastAsia"/>
                      <w:color w:val="auto"/>
                      <w:sz w:val="22"/>
                      <w:szCs w:val="22"/>
                      <w:highlight w:val="none"/>
                      <w:lang w:val="en-US" w:eastAsia="zh-CN"/>
                    </w:rPr>
                    <w:t>二氧化硅68%，其他氧化物32%</w:t>
                  </w:r>
                </w:p>
              </w:tc>
            </w:tr>
            <w:tr w14:paraId="24A60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0" w:type="dxa"/>
                  <w:vAlign w:val="center"/>
                </w:tcPr>
                <w:p w14:paraId="6793B6AA">
                  <w:pPr>
                    <w:pStyle w:val="28"/>
                    <w:keepNext w:val="0"/>
                    <w:keepLines w:val="0"/>
                    <w:pageBreakBefore w:val="0"/>
                    <w:widowControl w:val="0"/>
                    <w:kinsoku/>
                    <w:wordWrap/>
                    <w:overflowPunct/>
                    <w:topLinePunct w:val="0"/>
                    <w:autoSpaceDE/>
                    <w:autoSpaceDN/>
                    <w:bidi w:val="0"/>
                    <w:snapToGrid/>
                    <w:textAlignment w:val="auto"/>
                    <w:rPr>
                      <w:rFonts w:hint="eastAsia" w:eastAsia="宋体"/>
                      <w:color w:val="auto"/>
                      <w:sz w:val="22"/>
                      <w:szCs w:val="22"/>
                      <w:lang w:val="en-US" w:eastAsia="zh-CN"/>
                    </w:rPr>
                  </w:pPr>
                  <w:r>
                    <w:rPr>
                      <w:rFonts w:hint="eastAsia"/>
                      <w:color w:val="auto"/>
                      <w:sz w:val="22"/>
                      <w:szCs w:val="22"/>
                      <w:lang w:val="en-US" w:eastAsia="zh-CN"/>
                    </w:rPr>
                    <w:t>2</w:t>
                  </w:r>
                </w:p>
              </w:tc>
              <w:tc>
                <w:tcPr>
                  <w:tcW w:w="2099" w:type="dxa"/>
                  <w:vAlign w:val="center"/>
                </w:tcPr>
                <w:p w14:paraId="197EB9DE">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玻璃纤维短切纱</w:t>
                  </w:r>
                </w:p>
              </w:tc>
              <w:tc>
                <w:tcPr>
                  <w:tcW w:w="3148" w:type="dxa"/>
                  <w:vAlign w:val="center"/>
                </w:tcPr>
                <w:p w14:paraId="449AD6EF">
                  <w:pPr>
                    <w:pStyle w:val="28"/>
                    <w:keepNext w:val="0"/>
                    <w:keepLines w:val="0"/>
                    <w:pageBreakBefore w:val="0"/>
                    <w:widowControl w:val="0"/>
                    <w:kinsoku/>
                    <w:wordWrap/>
                    <w:overflowPunct/>
                    <w:topLinePunct w:val="0"/>
                    <w:autoSpaceDE/>
                    <w:autoSpaceDN/>
                    <w:bidi w:val="0"/>
                    <w:snapToGrid/>
                    <w:textAlignment w:val="auto"/>
                    <w:rPr>
                      <w:rFonts w:hint="default" w:eastAsia="宋体"/>
                      <w:color w:val="auto"/>
                      <w:sz w:val="22"/>
                      <w:szCs w:val="22"/>
                      <w:highlight w:val="yellow"/>
                      <w:lang w:val="en-US" w:eastAsia="zh-CN"/>
                    </w:rPr>
                  </w:pPr>
                  <w:r>
                    <w:rPr>
                      <w:rFonts w:hint="eastAsia"/>
                      <w:color w:val="auto"/>
                      <w:sz w:val="22"/>
                      <w:szCs w:val="22"/>
                      <w:highlight w:val="none"/>
                      <w:lang w:val="en-US" w:eastAsia="zh-CN"/>
                    </w:rPr>
                    <w:t>二氧化硅100%</w:t>
                  </w:r>
                </w:p>
              </w:tc>
            </w:tr>
          </w:tbl>
          <w:p w14:paraId="518B1832">
            <w:pPr>
              <w:pStyle w:val="4"/>
              <w:pageBreakBefore w:val="0"/>
              <w:widowControl w:val="0"/>
              <w:kinsoku/>
              <w:wordWrap/>
              <w:overflowPunct/>
              <w:topLinePunct w:val="0"/>
              <w:autoSpaceDE/>
              <w:autoSpaceDN/>
              <w:bidi w:val="0"/>
              <w:snapToGrid/>
              <w:spacing w:beforeLines="0" w:afterLines="0" w:line="460" w:lineRule="exact"/>
              <w:jc w:val="both"/>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2.1.7水平衡</w:t>
            </w:r>
          </w:p>
          <w:p w14:paraId="2589E3F7">
            <w:pPr>
              <w:pageBreakBefore w:val="0"/>
              <w:widowControl w:val="0"/>
              <w:kinsoku/>
              <w:wordWrap/>
              <w:overflowPunct/>
              <w:topLinePunct w:val="0"/>
              <w:autoSpaceDE/>
              <w:autoSpaceDN/>
              <w:bidi w:val="0"/>
              <w:snapToGrid/>
              <w:spacing w:line="460" w:lineRule="exact"/>
              <w:ind w:leftChars="0" w:firstLine="520" w:firstLineChars="200"/>
              <w:jc w:val="both"/>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本项目用水主要为员工生活用水</w:t>
            </w:r>
            <w:r>
              <w:rPr>
                <w:rFonts w:hint="eastAsia" w:ascii="Times New Roman" w:hAnsi="Times New Roman" w:eastAsia="宋体" w:cs="Times New Roman"/>
                <w:color w:val="auto"/>
                <w:sz w:val="26"/>
                <w:szCs w:val="26"/>
                <w:lang w:val="en-US" w:eastAsia="zh-CN"/>
              </w:rPr>
              <w:t>。</w:t>
            </w:r>
            <w:r>
              <w:rPr>
                <w:rFonts w:hint="eastAsia" w:cs="Times New Roman"/>
                <w:color w:val="auto"/>
                <w:sz w:val="26"/>
                <w:szCs w:val="26"/>
                <w:lang w:val="en-US" w:eastAsia="zh-CN"/>
              </w:rPr>
              <w:t>车间地面采用吸尘器进行清洗。</w:t>
            </w:r>
            <w:r>
              <w:rPr>
                <w:rFonts w:hint="default" w:ascii="Times New Roman" w:hAnsi="Times New Roman" w:eastAsia="宋体" w:cs="Times New Roman"/>
                <w:color w:val="auto"/>
                <w:sz w:val="26"/>
                <w:szCs w:val="26"/>
                <w:lang w:val="en-US" w:eastAsia="zh-CN"/>
              </w:rPr>
              <w:t>根据</w:t>
            </w:r>
            <w:r>
              <w:rPr>
                <w:rFonts w:hint="eastAsia" w:ascii="Times New Roman" w:hAnsi="Times New Roman" w:eastAsia="宋体" w:cs="Times New Roman"/>
                <w:color w:val="auto"/>
                <w:sz w:val="26"/>
                <w:szCs w:val="26"/>
                <w:lang w:val="en-US" w:eastAsia="zh-CN"/>
              </w:rPr>
              <w:t>建设单位</w:t>
            </w:r>
            <w:r>
              <w:rPr>
                <w:rFonts w:hint="default" w:ascii="Times New Roman" w:hAnsi="Times New Roman" w:eastAsia="宋体" w:cs="Times New Roman"/>
                <w:color w:val="auto"/>
                <w:sz w:val="26"/>
                <w:szCs w:val="26"/>
                <w:lang w:val="en-US" w:eastAsia="zh-CN"/>
              </w:rPr>
              <w:t>提供，劳动定员为</w:t>
            </w:r>
            <w:r>
              <w:rPr>
                <w:rFonts w:hint="eastAsia" w:ascii="Times New Roman" w:hAnsi="Times New Roman" w:eastAsia="宋体" w:cs="Times New Roman"/>
                <w:color w:val="auto"/>
                <w:sz w:val="26"/>
                <w:szCs w:val="26"/>
                <w:lang w:val="en-US" w:eastAsia="zh-CN"/>
              </w:rPr>
              <w:t>20</w:t>
            </w:r>
            <w:r>
              <w:rPr>
                <w:rFonts w:hint="default" w:ascii="Times New Roman" w:hAnsi="Times New Roman" w:eastAsia="宋体" w:cs="Times New Roman"/>
                <w:color w:val="auto"/>
                <w:sz w:val="26"/>
                <w:szCs w:val="26"/>
                <w:lang w:val="en-US" w:eastAsia="zh-CN"/>
              </w:rPr>
              <w:t>人，</w:t>
            </w:r>
            <w:r>
              <w:rPr>
                <w:rFonts w:hint="eastAsia" w:ascii="Times New Roman" w:hAnsi="Times New Roman" w:eastAsia="宋体" w:cs="Times New Roman"/>
                <w:color w:val="auto"/>
                <w:sz w:val="26"/>
                <w:szCs w:val="26"/>
                <w:lang w:val="en-US" w:eastAsia="zh-CN"/>
              </w:rPr>
              <w:t>不提供食宿</w:t>
            </w:r>
            <w:r>
              <w:rPr>
                <w:rFonts w:hint="default" w:ascii="Times New Roman" w:hAnsi="Times New Roman" w:eastAsia="宋体" w:cs="Times New Roman"/>
                <w:color w:val="auto"/>
                <w:sz w:val="26"/>
                <w:szCs w:val="26"/>
                <w:highlight w:val="none"/>
                <w:lang w:val="en-US" w:eastAsia="zh-CN"/>
              </w:rPr>
              <w:t>。</w:t>
            </w:r>
            <w:r>
              <w:rPr>
                <w:rFonts w:hint="eastAsia" w:ascii="Times New Roman"/>
                <w:bCs/>
                <w:color w:val="auto"/>
                <w:sz w:val="26"/>
                <w:szCs w:val="26"/>
              </w:rPr>
              <w:t>根据《建筑给水排水设计标准》</w:t>
            </w:r>
            <w:r>
              <w:rPr>
                <w:rFonts w:ascii="Times New Roman"/>
                <w:bCs/>
                <w:color w:val="auto"/>
                <w:sz w:val="26"/>
                <w:szCs w:val="26"/>
              </w:rPr>
              <w:t>(GB50015-2019</w:t>
            </w:r>
            <w:r>
              <w:rPr>
                <w:rFonts w:hint="eastAsia"/>
                <w:bCs/>
                <w:color w:val="auto"/>
                <w:sz w:val="26"/>
                <w:szCs w:val="26"/>
                <w:lang w:eastAsia="zh-CN"/>
              </w:rPr>
              <w:t>）</w:t>
            </w:r>
            <w:r>
              <w:rPr>
                <w:rFonts w:hint="eastAsia" w:ascii="Times New Roman"/>
                <w:bCs/>
                <w:color w:val="auto"/>
                <w:sz w:val="26"/>
                <w:szCs w:val="26"/>
              </w:rPr>
              <w:t>及《重庆市城市生活用水定额（</w:t>
            </w:r>
            <w:r>
              <w:rPr>
                <w:rFonts w:ascii="Times New Roman"/>
                <w:bCs/>
                <w:color w:val="auto"/>
                <w:sz w:val="26"/>
                <w:szCs w:val="26"/>
              </w:rPr>
              <w:t>2017</w:t>
            </w:r>
            <w:r>
              <w:rPr>
                <w:rFonts w:hint="eastAsia" w:ascii="Times New Roman"/>
                <w:bCs/>
                <w:color w:val="auto"/>
                <w:sz w:val="26"/>
                <w:szCs w:val="26"/>
              </w:rPr>
              <w:t>年修订版）》，考虑生活用水定额取</w:t>
            </w:r>
            <w:r>
              <w:rPr>
                <w:rFonts w:ascii="Times New Roman"/>
                <w:bCs/>
                <w:color w:val="auto"/>
                <w:sz w:val="26"/>
                <w:szCs w:val="26"/>
              </w:rPr>
              <w:t>1</w:t>
            </w:r>
            <w:r>
              <w:rPr>
                <w:rFonts w:hint="eastAsia" w:ascii="Times New Roman"/>
                <w:bCs/>
                <w:color w:val="auto"/>
                <w:sz w:val="26"/>
                <w:szCs w:val="26"/>
              </w:rPr>
              <w:t>2</w:t>
            </w:r>
            <w:r>
              <w:rPr>
                <w:rFonts w:ascii="Times New Roman"/>
                <w:bCs/>
                <w:color w:val="auto"/>
                <w:sz w:val="26"/>
                <w:szCs w:val="26"/>
              </w:rPr>
              <w:t>0L/</w:t>
            </w:r>
            <w:r>
              <w:rPr>
                <w:rFonts w:hint="eastAsia" w:ascii="Times New Roman"/>
                <w:bCs/>
                <w:color w:val="auto"/>
                <w:sz w:val="26"/>
                <w:szCs w:val="26"/>
              </w:rPr>
              <w:t>人</w:t>
            </w:r>
            <w:r>
              <w:rPr>
                <w:rFonts w:ascii="Times New Roman"/>
                <w:bCs/>
                <w:color w:val="auto"/>
                <w:sz w:val="26"/>
                <w:szCs w:val="26"/>
              </w:rPr>
              <w:t>·</w:t>
            </w:r>
            <w:r>
              <w:rPr>
                <w:rFonts w:hint="eastAsia" w:ascii="Times New Roman"/>
                <w:bCs/>
                <w:color w:val="auto"/>
                <w:sz w:val="26"/>
                <w:szCs w:val="26"/>
              </w:rPr>
              <w:t>d，</w:t>
            </w:r>
            <w:r>
              <w:rPr>
                <w:rFonts w:hint="default" w:ascii="Times New Roman" w:hAnsi="Times New Roman" w:eastAsia="宋体" w:cs="Times New Roman"/>
                <w:color w:val="auto"/>
                <w:sz w:val="26"/>
                <w:szCs w:val="26"/>
                <w:highlight w:val="none"/>
                <w:lang w:val="en-US" w:eastAsia="zh-CN"/>
              </w:rPr>
              <w:t>排污系数按0.9计。</w:t>
            </w:r>
            <w:r>
              <w:rPr>
                <w:rFonts w:hint="default" w:ascii="Times New Roman" w:hAnsi="Times New Roman" w:eastAsia="宋体" w:cs="Times New Roman"/>
                <w:color w:val="auto"/>
                <w:sz w:val="26"/>
                <w:szCs w:val="26"/>
                <w:lang w:val="en-US" w:eastAsia="zh-CN"/>
              </w:rPr>
              <w:t>本项目水平衡见表2.1-</w:t>
            </w:r>
            <w:r>
              <w:rPr>
                <w:rFonts w:hint="eastAsia" w:ascii="Times New Roman" w:hAnsi="Times New Roman" w:eastAsia="宋体" w:cs="Times New Roman"/>
                <w:color w:val="auto"/>
                <w:sz w:val="26"/>
                <w:szCs w:val="26"/>
                <w:lang w:val="en-US" w:eastAsia="zh-CN"/>
              </w:rPr>
              <w:t>6</w:t>
            </w:r>
            <w:r>
              <w:rPr>
                <w:rFonts w:hint="default" w:ascii="Times New Roman" w:hAnsi="Times New Roman" w:eastAsia="宋体" w:cs="Times New Roman"/>
                <w:color w:val="auto"/>
                <w:sz w:val="26"/>
                <w:szCs w:val="26"/>
                <w:lang w:val="en-US" w:eastAsia="zh-CN"/>
              </w:rPr>
              <w:t>。</w:t>
            </w:r>
          </w:p>
          <w:p w14:paraId="20040FDE">
            <w:pPr>
              <w:pageBreakBefore w:val="0"/>
              <w:widowControl w:val="0"/>
              <w:kinsoku/>
              <w:wordWrap/>
              <w:overflowPunct/>
              <w:topLinePunct w:val="0"/>
              <w:autoSpaceDE/>
              <w:autoSpaceDN/>
              <w:bidi w:val="0"/>
              <w:snapToGrid/>
              <w:spacing w:line="460" w:lineRule="exact"/>
              <w:ind w:leftChars="0" w:firstLine="520" w:firstLineChars="200"/>
              <w:jc w:val="both"/>
              <w:rPr>
                <w:rFonts w:hint="default" w:ascii="Times New Roman" w:hAnsi="Times New Roman" w:eastAsia="宋体" w:cs="Times New Roman"/>
                <w:color w:val="auto"/>
                <w:sz w:val="26"/>
                <w:szCs w:val="26"/>
                <w:lang w:val="en-US" w:eastAsia="zh-CN"/>
              </w:rPr>
            </w:pPr>
          </w:p>
          <w:p w14:paraId="482DB1AF">
            <w:pPr>
              <w:pStyle w:val="27"/>
              <w:pageBreakBefore w:val="0"/>
              <w:widowControl w:val="0"/>
              <w:kinsoku/>
              <w:wordWrap/>
              <w:overflowPunct/>
              <w:topLinePunct w:val="0"/>
              <w:autoSpaceDE/>
              <w:autoSpaceDN/>
              <w:bidi w:val="0"/>
              <w:snapToGrid/>
              <w:spacing w:line="460" w:lineRule="exact"/>
              <w:ind w:leftChars="0" w:firstLine="520" w:firstLineChars="200"/>
              <w:jc w:val="both"/>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表2.1-</w:t>
            </w:r>
            <w:r>
              <w:rPr>
                <w:rFonts w:hint="eastAsia" w:ascii="Times New Roman" w:hAnsi="Times New Roman" w:eastAsia="宋体" w:cs="Times New Roman"/>
                <w:color w:val="auto"/>
                <w:sz w:val="26"/>
                <w:szCs w:val="26"/>
                <w:lang w:val="en-US" w:eastAsia="zh-CN"/>
              </w:rPr>
              <w:t xml:space="preserve">6          </w:t>
            </w:r>
            <w:r>
              <w:rPr>
                <w:rFonts w:hint="default" w:ascii="Times New Roman" w:hAnsi="Times New Roman" w:eastAsia="宋体" w:cs="Times New Roman"/>
                <w:color w:val="auto"/>
                <w:sz w:val="26"/>
                <w:szCs w:val="26"/>
                <w:lang w:val="en-US" w:eastAsia="zh-CN"/>
              </w:rPr>
              <w:t xml:space="preserve">  项目水平衡一览表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53"/>
              <w:gridCol w:w="895"/>
              <w:gridCol w:w="783"/>
              <w:gridCol w:w="850"/>
              <w:gridCol w:w="917"/>
              <w:gridCol w:w="850"/>
              <w:gridCol w:w="979"/>
              <w:gridCol w:w="1713"/>
            </w:tblGrid>
            <w:tr w14:paraId="5E289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853" w:type="dxa"/>
                  <w:vAlign w:val="center"/>
                </w:tcPr>
                <w:p w14:paraId="2A029FCB">
                  <w:pPr>
                    <w:pStyle w:val="26"/>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用水类型</w:t>
                  </w:r>
                </w:p>
              </w:tc>
              <w:tc>
                <w:tcPr>
                  <w:tcW w:w="895" w:type="dxa"/>
                  <w:vAlign w:val="center"/>
                </w:tcPr>
                <w:p w14:paraId="02995B78">
                  <w:pPr>
                    <w:pStyle w:val="26"/>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用水定额</w:t>
                  </w:r>
                </w:p>
              </w:tc>
              <w:tc>
                <w:tcPr>
                  <w:tcW w:w="783" w:type="dxa"/>
                  <w:vAlign w:val="center"/>
                </w:tcPr>
                <w:p w14:paraId="3A121E13">
                  <w:pPr>
                    <w:pStyle w:val="26"/>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用水规格</w:t>
                  </w:r>
                </w:p>
              </w:tc>
              <w:tc>
                <w:tcPr>
                  <w:tcW w:w="850" w:type="dxa"/>
                  <w:vAlign w:val="center"/>
                </w:tcPr>
                <w:p w14:paraId="6B27A1C5">
                  <w:pPr>
                    <w:keepNext w:val="0"/>
                    <w:keepLines w:val="0"/>
                    <w:pageBreakBefore w:val="0"/>
                    <w:widowControl w:val="0"/>
                    <w:tabs>
                      <w:tab w:val="left" w:pos="2393"/>
                    </w:tabs>
                    <w:kinsoku/>
                    <w:wordWrap/>
                    <w:overflowPunct/>
                    <w:topLinePunct w:val="0"/>
                    <w:autoSpaceDE/>
                    <w:autoSpaceDN/>
                    <w:bidi w:val="0"/>
                    <w:snapToGrid/>
                    <w:spacing w:line="240" w:lineRule="auto"/>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平均日</w:t>
                  </w:r>
                  <w:r>
                    <w:rPr>
                      <w:color w:val="auto"/>
                      <w:sz w:val="22"/>
                      <w:szCs w:val="22"/>
                    </w:rPr>
                    <w:t>用水量</w:t>
                  </w:r>
                  <w:r>
                    <w:rPr>
                      <w:rFonts w:hint="eastAsia"/>
                      <w:color w:val="auto"/>
                      <w:sz w:val="22"/>
                      <w:szCs w:val="22"/>
                    </w:rPr>
                    <w:t>（</w:t>
                  </w:r>
                  <w:r>
                    <w:rPr>
                      <w:color w:val="auto"/>
                      <w:sz w:val="22"/>
                      <w:szCs w:val="22"/>
                    </w:rPr>
                    <w:t>m</w:t>
                  </w:r>
                  <w:r>
                    <w:rPr>
                      <w:color w:val="auto"/>
                      <w:sz w:val="22"/>
                      <w:szCs w:val="22"/>
                      <w:vertAlign w:val="superscript"/>
                    </w:rPr>
                    <w:t>3</w:t>
                  </w:r>
                  <w:r>
                    <w:rPr>
                      <w:color w:val="auto"/>
                      <w:sz w:val="22"/>
                      <w:szCs w:val="22"/>
                    </w:rPr>
                    <w:t>/</w:t>
                  </w:r>
                  <w:r>
                    <w:rPr>
                      <w:rFonts w:hint="eastAsia"/>
                      <w:color w:val="auto"/>
                      <w:sz w:val="22"/>
                      <w:szCs w:val="22"/>
                    </w:rPr>
                    <w:t>d）</w:t>
                  </w:r>
                </w:p>
              </w:tc>
              <w:tc>
                <w:tcPr>
                  <w:tcW w:w="917" w:type="dxa"/>
                  <w:vAlign w:val="center"/>
                </w:tcPr>
                <w:p w14:paraId="38D1E004">
                  <w:pPr>
                    <w:keepNext w:val="0"/>
                    <w:keepLines w:val="0"/>
                    <w:pageBreakBefore w:val="0"/>
                    <w:widowControl w:val="0"/>
                    <w:tabs>
                      <w:tab w:val="left" w:pos="2393"/>
                    </w:tabs>
                    <w:kinsoku/>
                    <w:wordWrap/>
                    <w:overflowPunct/>
                    <w:topLinePunct w:val="0"/>
                    <w:autoSpaceDE/>
                    <w:autoSpaceDN/>
                    <w:bidi w:val="0"/>
                    <w:snapToGrid/>
                    <w:spacing w:line="240" w:lineRule="auto"/>
                    <w:ind w:firstLine="0" w:firstLineChars="0"/>
                    <w:jc w:val="center"/>
                    <w:textAlignment w:val="auto"/>
                    <w:rPr>
                      <w:rFonts w:hint="default"/>
                      <w:color w:val="auto"/>
                      <w:sz w:val="22"/>
                      <w:szCs w:val="22"/>
                      <w:lang w:val="en-US" w:eastAsia="zh-CN"/>
                    </w:rPr>
                  </w:pPr>
                  <w:r>
                    <w:rPr>
                      <w:color w:val="auto"/>
                      <w:sz w:val="22"/>
                      <w:szCs w:val="22"/>
                    </w:rPr>
                    <w:t>年用水量</w:t>
                  </w:r>
                  <w:r>
                    <w:rPr>
                      <w:rFonts w:hint="eastAsia"/>
                      <w:color w:val="auto"/>
                      <w:sz w:val="22"/>
                      <w:szCs w:val="22"/>
                    </w:rPr>
                    <w:t>（</w:t>
                  </w:r>
                  <w:r>
                    <w:rPr>
                      <w:color w:val="auto"/>
                      <w:sz w:val="22"/>
                      <w:szCs w:val="22"/>
                    </w:rPr>
                    <w:t>m</w:t>
                  </w:r>
                  <w:r>
                    <w:rPr>
                      <w:color w:val="auto"/>
                      <w:sz w:val="22"/>
                      <w:szCs w:val="22"/>
                      <w:vertAlign w:val="superscript"/>
                    </w:rPr>
                    <w:t>3</w:t>
                  </w:r>
                  <w:r>
                    <w:rPr>
                      <w:color w:val="auto"/>
                      <w:sz w:val="22"/>
                      <w:szCs w:val="22"/>
                    </w:rPr>
                    <w:t>/</w:t>
                  </w:r>
                  <w:r>
                    <w:rPr>
                      <w:rFonts w:hint="eastAsia"/>
                      <w:color w:val="auto"/>
                      <w:sz w:val="22"/>
                      <w:szCs w:val="22"/>
                    </w:rPr>
                    <w:t>a）</w:t>
                  </w:r>
                </w:p>
              </w:tc>
              <w:tc>
                <w:tcPr>
                  <w:tcW w:w="850" w:type="dxa"/>
                  <w:vAlign w:val="center"/>
                </w:tcPr>
                <w:p w14:paraId="2EC28D8B">
                  <w:pPr>
                    <w:keepNext w:val="0"/>
                    <w:keepLines w:val="0"/>
                    <w:pageBreakBefore w:val="0"/>
                    <w:widowControl w:val="0"/>
                    <w:tabs>
                      <w:tab w:val="left" w:pos="2393"/>
                    </w:tabs>
                    <w:kinsoku/>
                    <w:wordWrap/>
                    <w:overflowPunct/>
                    <w:topLinePunct w:val="0"/>
                    <w:autoSpaceDE/>
                    <w:autoSpaceDN/>
                    <w:bidi w:val="0"/>
                    <w:snapToGrid/>
                    <w:spacing w:line="240" w:lineRule="auto"/>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平均日</w:t>
                  </w:r>
                  <w:r>
                    <w:rPr>
                      <w:color w:val="auto"/>
                      <w:sz w:val="22"/>
                      <w:szCs w:val="22"/>
                    </w:rPr>
                    <w:t>排水量</w:t>
                  </w:r>
                  <w:r>
                    <w:rPr>
                      <w:rFonts w:hint="eastAsia"/>
                      <w:color w:val="auto"/>
                      <w:sz w:val="22"/>
                      <w:szCs w:val="22"/>
                    </w:rPr>
                    <w:t>（</w:t>
                  </w:r>
                  <w:r>
                    <w:rPr>
                      <w:color w:val="auto"/>
                      <w:sz w:val="22"/>
                      <w:szCs w:val="22"/>
                    </w:rPr>
                    <w:t>m</w:t>
                  </w:r>
                  <w:r>
                    <w:rPr>
                      <w:color w:val="auto"/>
                      <w:sz w:val="22"/>
                      <w:szCs w:val="22"/>
                      <w:vertAlign w:val="superscript"/>
                    </w:rPr>
                    <w:t>3</w:t>
                  </w:r>
                  <w:r>
                    <w:rPr>
                      <w:color w:val="auto"/>
                      <w:sz w:val="22"/>
                      <w:szCs w:val="22"/>
                    </w:rPr>
                    <w:t>/</w:t>
                  </w:r>
                  <w:r>
                    <w:rPr>
                      <w:rFonts w:hint="eastAsia"/>
                      <w:color w:val="auto"/>
                      <w:sz w:val="22"/>
                      <w:szCs w:val="22"/>
                    </w:rPr>
                    <w:t>d）</w:t>
                  </w:r>
                </w:p>
              </w:tc>
              <w:tc>
                <w:tcPr>
                  <w:tcW w:w="979" w:type="dxa"/>
                  <w:vAlign w:val="center"/>
                </w:tcPr>
                <w:p w14:paraId="2DE4EAB6">
                  <w:pPr>
                    <w:keepNext w:val="0"/>
                    <w:keepLines w:val="0"/>
                    <w:pageBreakBefore w:val="0"/>
                    <w:widowControl w:val="0"/>
                    <w:tabs>
                      <w:tab w:val="left" w:pos="2393"/>
                    </w:tabs>
                    <w:kinsoku/>
                    <w:wordWrap/>
                    <w:overflowPunct/>
                    <w:topLinePunct w:val="0"/>
                    <w:autoSpaceDE/>
                    <w:autoSpaceDN/>
                    <w:bidi w:val="0"/>
                    <w:adjustRightInd/>
                    <w:snapToGrid/>
                    <w:spacing w:line="240" w:lineRule="auto"/>
                    <w:ind w:left="-72" w:leftChars="-30" w:firstLine="0" w:firstLineChars="0"/>
                    <w:jc w:val="center"/>
                    <w:textAlignment w:val="auto"/>
                    <w:rPr>
                      <w:rFonts w:hint="default"/>
                      <w:color w:val="auto"/>
                      <w:sz w:val="22"/>
                      <w:szCs w:val="22"/>
                      <w:lang w:val="en-US" w:eastAsia="zh-CN"/>
                    </w:rPr>
                  </w:pPr>
                  <w:r>
                    <w:rPr>
                      <w:color w:val="auto"/>
                      <w:sz w:val="22"/>
                      <w:szCs w:val="22"/>
                    </w:rPr>
                    <w:t>年排水量</w:t>
                  </w:r>
                  <w:r>
                    <w:rPr>
                      <w:rFonts w:hint="eastAsia"/>
                      <w:color w:val="auto"/>
                      <w:sz w:val="22"/>
                      <w:szCs w:val="22"/>
                    </w:rPr>
                    <w:t>（</w:t>
                  </w:r>
                  <w:r>
                    <w:rPr>
                      <w:color w:val="auto"/>
                      <w:sz w:val="22"/>
                      <w:szCs w:val="22"/>
                    </w:rPr>
                    <w:t>m</w:t>
                  </w:r>
                  <w:r>
                    <w:rPr>
                      <w:color w:val="auto"/>
                      <w:sz w:val="22"/>
                      <w:szCs w:val="22"/>
                      <w:vertAlign w:val="superscript"/>
                    </w:rPr>
                    <w:t>3</w:t>
                  </w:r>
                  <w:r>
                    <w:rPr>
                      <w:color w:val="auto"/>
                      <w:sz w:val="22"/>
                      <w:szCs w:val="22"/>
                    </w:rPr>
                    <w:t>/</w:t>
                  </w:r>
                  <w:r>
                    <w:rPr>
                      <w:rFonts w:hint="eastAsia"/>
                      <w:color w:val="auto"/>
                      <w:sz w:val="22"/>
                      <w:szCs w:val="22"/>
                    </w:rPr>
                    <w:t>a）</w:t>
                  </w:r>
                </w:p>
              </w:tc>
              <w:tc>
                <w:tcPr>
                  <w:tcW w:w="1713" w:type="dxa"/>
                  <w:vAlign w:val="center"/>
                </w:tcPr>
                <w:p w14:paraId="0B1BB3B0">
                  <w:pPr>
                    <w:keepNext w:val="0"/>
                    <w:keepLines w:val="0"/>
                    <w:pageBreakBefore w:val="0"/>
                    <w:widowControl w:val="0"/>
                    <w:tabs>
                      <w:tab w:val="left" w:pos="2393"/>
                    </w:tabs>
                    <w:kinsoku/>
                    <w:wordWrap/>
                    <w:overflowPunct/>
                    <w:topLinePunct w:val="0"/>
                    <w:autoSpaceDE/>
                    <w:autoSpaceDN/>
                    <w:bidi w:val="0"/>
                    <w:snapToGrid/>
                    <w:spacing w:line="240" w:lineRule="auto"/>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治理措施及排放去向</w:t>
                  </w:r>
                </w:p>
              </w:tc>
            </w:tr>
            <w:tr w14:paraId="1958D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853" w:type="dxa"/>
                  <w:vAlign w:val="center"/>
                </w:tcPr>
                <w:p w14:paraId="7BF10531">
                  <w:pPr>
                    <w:pStyle w:val="26"/>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员工生活</w:t>
                  </w:r>
                </w:p>
              </w:tc>
              <w:tc>
                <w:tcPr>
                  <w:tcW w:w="895" w:type="dxa"/>
                  <w:vAlign w:val="center"/>
                </w:tcPr>
                <w:p w14:paraId="722CC07A">
                  <w:pPr>
                    <w:pStyle w:val="26"/>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120</w:t>
                  </w:r>
                  <w:r>
                    <w:rPr>
                      <w:rFonts w:hint="default"/>
                      <w:color w:val="auto"/>
                      <w:sz w:val="22"/>
                      <w:szCs w:val="22"/>
                      <w:lang w:val="en-US" w:eastAsia="zh-CN"/>
                    </w:rPr>
                    <w:t>L/（人·d）</w:t>
                  </w:r>
                </w:p>
              </w:tc>
              <w:tc>
                <w:tcPr>
                  <w:tcW w:w="783" w:type="dxa"/>
                  <w:vAlign w:val="center"/>
                </w:tcPr>
                <w:p w14:paraId="3B2B3B12">
                  <w:pPr>
                    <w:pStyle w:val="26"/>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20人</w:t>
                  </w:r>
                </w:p>
              </w:tc>
              <w:tc>
                <w:tcPr>
                  <w:tcW w:w="850" w:type="dxa"/>
                  <w:vAlign w:val="center"/>
                </w:tcPr>
                <w:p w14:paraId="4E9A7F89">
                  <w:pPr>
                    <w:pStyle w:val="28"/>
                    <w:keepNext w:val="0"/>
                    <w:keepLines w:val="0"/>
                    <w:pageBreakBefore w:val="0"/>
                    <w:widowControl w:val="0"/>
                    <w:kinsoku/>
                    <w:wordWrap/>
                    <w:overflowPunct/>
                    <w:topLinePunct w:val="0"/>
                    <w:autoSpaceDE/>
                    <w:autoSpaceDN/>
                    <w:bidi w:val="0"/>
                    <w:snapToGrid/>
                    <w:jc w:val="center"/>
                    <w:textAlignment w:val="auto"/>
                    <w:rPr>
                      <w:rFonts w:hint="default"/>
                      <w:color w:val="auto"/>
                      <w:sz w:val="22"/>
                      <w:szCs w:val="22"/>
                      <w:lang w:val="en-US" w:eastAsia="zh-CN"/>
                    </w:rPr>
                  </w:pPr>
                  <w:r>
                    <w:rPr>
                      <w:rFonts w:hint="eastAsia"/>
                      <w:color w:val="auto"/>
                      <w:sz w:val="22"/>
                      <w:szCs w:val="22"/>
                      <w:lang w:val="en-US" w:eastAsia="zh-CN"/>
                    </w:rPr>
                    <w:t>2.4</w:t>
                  </w:r>
                </w:p>
              </w:tc>
              <w:tc>
                <w:tcPr>
                  <w:tcW w:w="917" w:type="dxa"/>
                  <w:vAlign w:val="center"/>
                </w:tcPr>
                <w:p w14:paraId="1AC21F3D">
                  <w:pPr>
                    <w:pStyle w:val="28"/>
                    <w:keepNext w:val="0"/>
                    <w:keepLines w:val="0"/>
                    <w:pageBreakBefore w:val="0"/>
                    <w:widowControl w:val="0"/>
                    <w:kinsoku/>
                    <w:wordWrap/>
                    <w:overflowPunct/>
                    <w:topLinePunct w:val="0"/>
                    <w:autoSpaceDE/>
                    <w:autoSpaceDN/>
                    <w:bidi w:val="0"/>
                    <w:snapToGrid/>
                    <w:jc w:val="center"/>
                    <w:textAlignment w:val="auto"/>
                    <w:rPr>
                      <w:rFonts w:hint="default"/>
                      <w:color w:val="auto"/>
                      <w:sz w:val="22"/>
                      <w:szCs w:val="22"/>
                      <w:lang w:val="en-US" w:eastAsia="zh-CN"/>
                    </w:rPr>
                  </w:pPr>
                  <w:r>
                    <w:rPr>
                      <w:rFonts w:hint="eastAsia"/>
                      <w:color w:val="auto"/>
                      <w:sz w:val="22"/>
                      <w:szCs w:val="22"/>
                      <w:lang w:val="en-US" w:eastAsia="zh-CN"/>
                    </w:rPr>
                    <w:t>720</w:t>
                  </w:r>
                </w:p>
              </w:tc>
              <w:tc>
                <w:tcPr>
                  <w:tcW w:w="850" w:type="dxa"/>
                  <w:vAlign w:val="center"/>
                </w:tcPr>
                <w:p w14:paraId="597A1DC9">
                  <w:pPr>
                    <w:pStyle w:val="28"/>
                    <w:keepNext w:val="0"/>
                    <w:keepLines w:val="0"/>
                    <w:pageBreakBefore w:val="0"/>
                    <w:widowControl w:val="0"/>
                    <w:kinsoku/>
                    <w:wordWrap/>
                    <w:overflowPunct/>
                    <w:topLinePunct w:val="0"/>
                    <w:autoSpaceDE/>
                    <w:autoSpaceDN/>
                    <w:bidi w:val="0"/>
                    <w:snapToGrid/>
                    <w:jc w:val="center"/>
                    <w:textAlignment w:val="auto"/>
                    <w:rPr>
                      <w:rFonts w:hint="default"/>
                      <w:color w:val="auto"/>
                      <w:sz w:val="22"/>
                      <w:szCs w:val="22"/>
                      <w:lang w:val="en-US" w:eastAsia="zh-CN"/>
                    </w:rPr>
                  </w:pPr>
                  <w:r>
                    <w:rPr>
                      <w:rFonts w:hint="eastAsia"/>
                      <w:color w:val="auto"/>
                      <w:sz w:val="22"/>
                      <w:szCs w:val="22"/>
                      <w:lang w:val="en-US" w:eastAsia="zh-CN"/>
                    </w:rPr>
                    <w:t>2.16</w:t>
                  </w:r>
                </w:p>
              </w:tc>
              <w:tc>
                <w:tcPr>
                  <w:tcW w:w="979" w:type="dxa"/>
                  <w:vAlign w:val="center"/>
                </w:tcPr>
                <w:p w14:paraId="5373081C">
                  <w:pPr>
                    <w:pStyle w:val="28"/>
                    <w:keepNext w:val="0"/>
                    <w:keepLines w:val="0"/>
                    <w:pageBreakBefore w:val="0"/>
                    <w:widowControl w:val="0"/>
                    <w:kinsoku/>
                    <w:wordWrap/>
                    <w:overflowPunct/>
                    <w:topLinePunct w:val="0"/>
                    <w:autoSpaceDE/>
                    <w:autoSpaceDN/>
                    <w:bidi w:val="0"/>
                    <w:snapToGrid/>
                    <w:jc w:val="center"/>
                    <w:textAlignment w:val="auto"/>
                    <w:rPr>
                      <w:rFonts w:hint="default"/>
                      <w:color w:val="auto"/>
                      <w:sz w:val="22"/>
                      <w:szCs w:val="22"/>
                      <w:lang w:val="en-US" w:eastAsia="zh-CN"/>
                    </w:rPr>
                  </w:pPr>
                  <w:r>
                    <w:rPr>
                      <w:rFonts w:hint="eastAsia"/>
                      <w:color w:val="auto"/>
                      <w:sz w:val="22"/>
                      <w:szCs w:val="22"/>
                      <w:lang w:val="en-US" w:eastAsia="zh-CN"/>
                    </w:rPr>
                    <w:t>648</w:t>
                  </w:r>
                </w:p>
              </w:tc>
              <w:tc>
                <w:tcPr>
                  <w:tcW w:w="1713" w:type="dxa"/>
                  <w:vMerge w:val="restart"/>
                  <w:vAlign w:val="center"/>
                </w:tcPr>
                <w:p w14:paraId="08FB4343">
                  <w:pPr>
                    <w:pStyle w:val="26"/>
                    <w:keepNext w:val="0"/>
                    <w:keepLines w:val="0"/>
                    <w:pageBreakBefore w:val="0"/>
                    <w:widowControl w:val="0"/>
                    <w:kinsoku/>
                    <w:wordWrap/>
                    <w:overflowPunct/>
                    <w:topLinePunct w:val="0"/>
                    <w:autoSpaceDE/>
                    <w:autoSpaceDN/>
                    <w:bidi w:val="0"/>
                    <w:snapToGrid/>
                    <w:spacing w:line="240" w:lineRule="auto"/>
                    <w:ind w:firstLine="0" w:firstLineChars="0"/>
                    <w:jc w:val="both"/>
                    <w:textAlignment w:val="auto"/>
                    <w:rPr>
                      <w:rFonts w:hint="default"/>
                      <w:color w:val="auto"/>
                      <w:sz w:val="22"/>
                      <w:szCs w:val="22"/>
                      <w:lang w:val="en-US" w:eastAsia="zh-CN"/>
                    </w:rPr>
                  </w:pPr>
                  <w:r>
                    <w:rPr>
                      <w:rFonts w:hint="eastAsia"/>
                      <w:color w:val="auto"/>
                      <w:sz w:val="22"/>
                      <w:szCs w:val="22"/>
                      <w:lang w:val="en-US" w:eastAsia="zh-CN"/>
                    </w:rPr>
                    <w:t>进入厂内生化池进行处理，处理达标后排入农创园污水处理厂，处理达标后排入嘉陵江</w:t>
                  </w:r>
                </w:p>
              </w:tc>
            </w:tr>
            <w:tr w14:paraId="0E07C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2531" w:type="dxa"/>
                  <w:gridSpan w:val="3"/>
                  <w:vAlign w:val="center"/>
                </w:tcPr>
                <w:p w14:paraId="7E8ABEC4">
                  <w:pPr>
                    <w:pStyle w:val="26"/>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合计</w:t>
                  </w:r>
                </w:p>
              </w:tc>
              <w:tc>
                <w:tcPr>
                  <w:tcW w:w="850" w:type="dxa"/>
                  <w:shd w:val="clear" w:color="auto" w:fill="auto"/>
                  <w:vAlign w:val="center"/>
                </w:tcPr>
                <w:p w14:paraId="609284E2">
                  <w:pPr>
                    <w:pStyle w:val="28"/>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eastAsia="宋体" w:cs="宋体"/>
                      <w:color w:val="auto"/>
                      <w:kern w:val="2"/>
                      <w:sz w:val="22"/>
                      <w:szCs w:val="22"/>
                      <w:lang w:val="en-US" w:eastAsia="zh-CN" w:bidi="ar-SA"/>
                    </w:rPr>
                  </w:pPr>
                  <w:r>
                    <w:rPr>
                      <w:rFonts w:hint="eastAsia"/>
                      <w:color w:val="auto"/>
                      <w:sz w:val="22"/>
                      <w:szCs w:val="22"/>
                      <w:lang w:val="en-US" w:eastAsia="zh-CN"/>
                    </w:rPr>
                    <w:t>2.4</w:t>
                  </w:r>
                </w:p>
              </w:tc>
              <w:tc>
                <w:tcPr>
                  <w:tcW w:w="917" w:type="dxa"/>
                  <w:shd w:val="clear" w:color="auto" w:fill="auto"/>
                  <w:vAlign w:val="center"/>
                </w:tcPr>
                <w:p w14:paraId="7CB7E091">
                  <w:pPr>
                    <w:pStyle w:val="28"/>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eastAsia="宋体" w:cs="宋体"/>
                      <w:color w:val="auto"/>
                      <w:kern w:val="2"/>
                      <w:sz w:val="22"/>
                      <w:szCs w:val="22"/>
                      <w:lang w:val="en-US" w:eastAsia="zh-CN" w:bidi="ar-SA"/>
                    </w:rPr>
                  </w:pPr>
                  <w:r>
                    <w:rPr>
                      <w:rFonts w:hint="eastAsia"/>
                      <w:color w:val="auto"/>
                      <w:sz w:val="22"/>
                      <w:szCs w:val="22"/>
                      <w:lang w:val="en-US" w:eastAsia="zh-CN"/>
                    </w:rPr>
                    <w:t>720</w:t>
                  </w:r>
                </w:p>
              </w:tc>
              <w:tc>
                <w:tcPr>
                  <w:tcW w:w="850" w:type="dxa"/>
                  <w:shd w:val="clear" w:color="auto" w:fill="auto"/>
                  <w:vAlign w:val="center"/>
                </w:tcPr>
                <w:p w14:paraId="1E2EAA00">
                  <w:pPr>
                    <w:pStyle w:val="28"/>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eastAsia="宋体" w:cs="宋体"/>
                      <w:color w:val="auto"/>
                      <w:kern w:val="2"/>
                      <w:sz w:val="22"/>
                      <w:szCs w:val="22"/>
                      <w:lang w:val="en-US" w:eastAsia="zh-CN" w:bidi="ar-SA"/>
                    </w:rPr>
                  </w:pPr>
                  <w:r>
                    <w:rPr>
                      <w:rFonts w:hint="eastAsia"/>
                      <w:color w:val="auto"/>
                      <w:sz w:val="22"/>
                      <w:szCs w:val="22"/>
                      <w:lang w:val="en-US" w:eastAsia="zh-CN"/>
                    </w:rPr>
                    <w:t>2.16</w:t>
                  </w:r>
                </w:p>
              </w:tc>
              <w:tc>
                <w:tcPr>
                  <w:tcW w:w="979" w:type="dxa"/>
                  <w:shd w:val="clear" w:color="auto" w:fill="auto"/>
                  <w:vAlign w:val="center"/>
                </w:tcPr>
                <w:p w14:paraId="083725D2">
                  <w:pPr>
                    <w:pStyle w:val="28"/>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eastAsia="宋体" w:cs="宋体"/>
                      <w:color w:val="auto"/>
                      <w:kern w:val="2"/>
                      <w:sz w:val="22"/>
                      <w:szCs w:val="22"/>
                      <w:lang w:val="en-US" w:eastAsia="zh-CN" w:bidi="ar-SA"/>
                    </w:rPr>
                  </w:pPr>
                  <w:r>
                    <w:rPr>
                      <w:rFonts w:hint="eastAsia"/>
                      <w:color w:val="auto"/>
                      <w:sz w:val="22"/>
                      <w:szCs w:val="22"/>
                      <w:lang w:val="en-US" w:eastAsia="zh-CN"/>
                    </w:rPr>
                    <w:t>648</w:t>
                  </w:r>
                </w:p>
              </w:tc>
              <w:tc>
                <w:tcPr>
                  <w:tcW w:w="1713" w:type="dxa"/>
                  <w:vMerge w:val="continue"/>
                  <w:vAlign w:val="center"/>
                </w:tcPr>
                <w:p w14:paraId="5FFC5D9E">
                  <w:pPr>
                    <w:pStyle w:val="26"/>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color w:val="auto"/>
                      <w:sz w:val="22"/>
                      <w:szCs w:val="22"/>
                      <w:lang w:val="en-US" w:eastAsia="zh-CN"/>
                    </w:rPr>
                  </w:pPr>
                </w:p>
              </w:tc>
            </w:tr>
          </w:tbl>
          <w:p w14:paraId="3B5EC895">
            <w:pPr>
              <w:bidi w:val="0"/>
              <w:rPr>
                <w:rFonts w:hint="eastAsia" w:ascii="Times New Roman"/>
                <w:bCs/>
                <w:color w:val="auto"/>
                <w:sz w:val="26"/>
                <w:szCs w:val="26"/>
                <w:lang w:val="en-US" w:eastAsia="zh-CN"/>
              </w:rPr>
            </w:pPr>
            <w:r>
              <w:rPr>
                <w:rFonts w:hint="eastAsia" w:ascii="Times New Roman"/>
                <w:bCs/>
                <w:color w:val="auto"/>
                <w:sz w:val="26"/>
                <w:szCs w:val="26"/>
                <w:lang w:val="en-US" w:eastAsia="zh-CN"/>
              </w:rPr>
              <w:t>本项目总水平衡见图2.1-2。</w:t>
            </w:r>
          </w:p>
          <w:p w14:paraId="3C7CD2F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r>
              <w:rPr>
                <w:rFonts w:hint="eastAsia"/>
                <w:color w:val="auto"/>
                <w:lang w:val="en-US" w:eastAsia="zh-CN"/>
              </w:rPr>
              <w:drawing>
                <wp:anchor distT="0" distB="0" distL="114300" distR="114300" simplePos="0" relativeHeight="251661312" behindDoc="0" locked="0" layoutInCell="1" allowOverlap="1">
                  <wp:simplePos x="0" y="0"/>
                  <wp:positionH relativeFrom="column">
                    <wp:posOffset>-55245</wp:posOffset>
                  </wp:positionH>
                  <wp:positionV relativeFrom="paragraph">
                    <wp:posOffset>52705</wp:posOffset>
                  </wp:positionV>
                  <wp:extent cx="4966970" cy="1196340"/>
                  <wp:effectExtent l="0" t="0" r="5080" b="3810"/>
                  <wp:wrapNone/>
                  <wp:docPr id="34" name="ECB019B1-382A-4266-B25C-5B523AA43C14-1" descr="C:/Users/雷琴小宝贝儿/AppData/Local/Temp/wps.qgSGO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CB019B1-382A-4266-B25C-5B523AA43C14-1" descr="C:/Users/雷琴小宝贝儿/AppData/Local/Temp/wps.qgSGOzwps"/>
                          <pic:cNvPicPr>
                            <a:picLocks noChangeAspect="1"/>
                          </pic:cNvPicPr>
                        </pic:nvPicPr>
                        <pic:blipFill>
                          <a:blip r:embed="rId10"/>
                          <a:srcRect r="4338"/>
                          <a:stretch>
                            <a:fillRect/>
                          </a:stretch>
                        </pic:blipFill>
                        <pic:spPr>
                          <a:xfrm>
                            <a:off x="0" y="0"/>
                            <a:ext cx="4966970" cy="1196340"/>
                          </a:xfrm>
                          <a:prstGeom prst="rect">
                            <a:avLst/>
                          </a:prstGeom>
                        </pic:spPr>
                      </pic:pic>
                    </a:graphicData>
                  </a:graphic>
                </wp:anchor>
              </w:drawing>
            </w:r>
          </w:p>
          <w:p w14:paraId="5B6C23D5">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color w:val="auto"/>
                <w:lang w:val="en-US" w:eastAsia="zh-CN"/>
              </w:rPr>
            </w:pPr>
          </w:p>
          <w:p w14:paraId="129842C1">
            <w:pPr>
              <w:jc w:val="both"/>
              <w:rPr>
                <w:rFonts w:hint="eastAsia"/>
                <w:color w:val="auto"/>
                <w:lang w:val="en-US" w:eastAsia="zh-CN"/>
              </w:rPr>
            </w:pPr>
          </w:p>
          <w:p w14:paraId="45A68869">
            <w:pPr>
              <w:bidi w:val="0"/>
              <w:rPr>
                <w:rFonts w:hint="eastAsia"/>
                <w:color w:val="auto"/>
                <w:lang w:val="en-US" w:eastAsia="zh-CN"/>
              </w:rPr>
            </w:pPr>
          </w:p>
          <w:p w14:paraId="3125ABAC">
            <w:pPr>
              <w:pStyle w:val="27"/>
              <w:bidi w:val="0"/>
              <w:jc w:val="center"/>
              <w:rPr>
                <w:rFonts w:hint="eastAsia" w:ascii="Times New Roman" w:hAnsi="Times New Roman" w:eastAsia="宋体" w:cstheme="minorBidi"/>
                <w:bCs/>
                <w:color w:val="auto"/>
                <w:kern w:val="2"/>
                <w:sz w:val="26"/>
                <w:szCs w:val="26"/>
                <w:lang w:val="en-US" w:eastAsia="zh-CN" w:bidi="ar-SA"/>
              </w:rPr>
            </w:pPr>
            <w:r>
              <w:rPr>
                <w:rFonts w:hint="eastAsia" w:ascii="Times New Roman" w:hAnsi="Times New Roman" w:eastAsia="宋体" w:cstheme="minorBidi"/>
                <w:bCs/>
                <w:color w:val="auto"/>
                <w:kern w:val="2"/>
                <w:sz w:val="26"/>
                <w:szCs w:val="26"/>
                <w:lang w:val="en-US" w:eastAsia="zh-CN" w:bidi="ar-SA"/>
              </w:rPr>
              <w:t>图2.1-</w:t>
            </w:r>
            <w:r>
              <w:rPr>
                <w:rFonts w:hint="eastAsia" w:eastAsia="宋体" w:cstheme="minorBidi"/>
                <w:bCs/>
                <w:color w:val="auto"/>
                <w:kern w:val="2"/>
                <w:sz w:val="26"/>
                <w:szCs w:val="26"/>
                <w:lang w:val="en-US" w:eastAsia="zh-CN" w:bidi="ar-SA"/>
              </w:rPr>
              <w:t>1</w:t>
            </w:r>
            <w:r>
              <w:rPr>
                <w:rFonts w:hint="eastAsia" w:ascii="Times New Roman" w:hAnsi="Times New Roman" w:eastAsia="宋体" w:cstheme="minorBidi"/>
                <w:bCs/>
                <w:color w:val="auto"/>
                <w:kern w:val="2"/>
                <w:sz w:val="26"/>
                <w:szCs w:val="26"/>
                <w:lang w:val="en-US" w:eastAsia="zh-CN" w:bidi="ar-SA"/>
              </w:rPr>
              <w:t xml:space="preserve">  项目水平衡图（t/</w:t>
            </w:r>
            <w:r>
              <w:rPr>
                <w:rFonts w:hint="eastAsia" w:eastAsia="宋体" w:cstheme="minorBidi"/>
                <w:bCs/>
                <w:color w:val="auto"/>
                <w:kern w:val="2"/>
                <w:sz w:val="26"/>
                <w:szCs w:val="26"/>
                <w:lang w:val="en-US" w:eastAsia="zh-CN" w:bidi="ar-SA"/>
              </w:rPr>
              <w:t>d</w:t>
            </w:r>
            <w:r>
              <w:rPr>
                <w:rFonts w:hint="eastAsia" w:ascii="Times New Roman" w:hAnsi="Times New Roman" w:eastAsia="宋体" w:cstheme="minorBidi"/>
                <w:bCs/>
                <w:color w:val="auto"/>
                <w:kern w:val="2"/>
                <w:sz w:val="26"/>
                <w:szCs w:val="26"/>
                <w:lang w:val="en-US" w:eastAsia="zh-CN" w:bidi="ar-SA"/>
              </w:rPr>
              <w:t>）</w:t>
            </w:r>
          </w:p>
          <w:p w14:paraId="26C0FF23">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rFonts w:hint="eastAsia" w:cstheme="minorBidi"/>
                <w:b/>
                <w:bCs w:val="0"/>
                <w:color w:val="auto"/>
                <w:kern w:val="2"/>
                <w:sz w:val="26"/>
                <w:szCs w:val="26"/>
                <w:lang w:val="en-US" w:eastAsia="zh-CN" w:bidi="ar-SA"/>
              </w:rPr>
            </w:pPr>
            <w:r>
              <w:rPr>
                <w:rFonts w:hint="eastAsia" w:cstheme="minorBidi"/>
                <w:b/>
                <w:bCs w:val="0"/>
                <w:color w:val="auto"/>
                <w:kern w:val="2"/>
                <w:sz w:val="26"/>
                <w:szCs w:val="26"/>
                <w:lang w:val="en-US" w:eastAsia="zh-CN" w:bidi="ar-SA"/>
              </w:rPr>
              <w:t>2.1.8物料平衡</w:t>
            </w:r>
          </w:p>
          <w:p w14:paraId="67C634D5">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textAlignment w:val="auto"/>
              <w:rPr>
                <w:rFonts w:hint="eastAsia" w:cstheme="minorBidi"/>
                <w:bCs/>
                <w:color w:val="auto"/>
                <w:kern w:val="2"/>
                <w:sz w:val="26"/>
                <w:szCs w:val="26"/>
                <w:lang w:val="en-US" w:eastAsia="zh-CN" w:bidi="ar-SA"/>
              </w:rPr>
            </w:pPr>
            <w:r>
              <w:rPr>
                <w:rFonts w:hint="eastAsia" w:cstheme="minorBidi"/>
                <w:bCs/>
                <w:color w:val="auto"/>
                <w:kern w:val="2"/>
                <w:sz w:val="26"/>
                <w:szCs w:val="26"/>
                <w:lang w:val="en-US" w:eastAsia="zh-CN" w:bidi="ar-SA"/>
              </w:rPr>
              <w:t>本项目设置有3条产品生产线，即一条产能为3000t/a玻璃纤维毡（其中2000t作为产品外售，1000t作为原材料加工制备车用纤维隔热片）、一条产能为1500t/a车用消音隔热棉、一条产能为1500t/a车用纤维隔热片生产线。项目物料平衡图详见下表。</w:t>
            </w:r>
          </w:p>
          <w:p w14:paraId="6477BAF2">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textAlignment w:val="auto"/>
              <w:rPr>
                <w:rFonts w:hint="eastAsia" w:cstheme="minorBidi"/>
                <w:bCs/>
                <w:color w:val="auto"/>
                <w:kern w:val="2"/>
                <w:sz w:val="26"/>
                <w:szCs w:val="26"/>
                <w:lang w:val="en-US" w:eastAsia="zh-CN" w:bidi="ar-SA"/>
              </w:rPr>
            </w:pPr>
          </w:p>
          <w:p w14:paraId="0BC7547B">
            <w:pPr>
              <w:ind w:left="0" w:leftChars="0" w:firstLine="520" w:firstLineChars="200"/>
              <w:rPr>
                <w:rFonts w:hint="eastAsia" w:cstheme="minorBidi"/>
                <w:bCs/>
                <w:color w:val="auto"/>
                <w:kern w:val="2"/>
                <w:sz w:val="26"/>
                <w:szCs w:val="26"/>
                <w:lang w:val="en-US" w:eastAsia="zh-CN" w:bidi="ar-SA"/>
              </w:rPr>
            </w:pPr>
            <w:r>
              <w:rPr>
                <w:rFonts w:hint="eastAsia" w:cstheme="minorBidi"/>
                <w:bCs/>
                <w:color w:val="auto"/>
                <w:kern w:val="2"/>
                <w:sz w:val="26"/>
                <w:szCs w:val="26"/>
                <w:lang w:val="en-US" w:eastAsia="zh-CN" w:bidi="ar-SA"/>
              </w:rPr>
              <w:t>表2.1-7        本项目物料平衡一览表（t/a）</w:t>
            </w:r>
          </w:p>
          <w:tbl>
            <w:tblPr>
              <w:tblStyle w:val="18"/>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327"/>
              <w:gridCol w:w="1327"/>
              <w:gridCol w:w="1768"/>
              <w:gridCol w:w="1193"/>
              <w:gridCol w:w="1342"/>
            </w:tblGrid>
            <w:tr w14:paraId="00A49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3" w:type="dxa"/>
                  <w:vMerge w:val="restart"/>
                  <w:vAlign w:val="center"/>
                </w:tcPr>
                <w:p w14:paraId="7707B3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序号</w:t>
                  </w:r>
                </w:p>
              </w:tc>
              <w:tc>
                <w:tcPr>
                  <w:tcW w:w="1327" w:type="dxa"/>
                  <w:vMerge w:val="restart"/>
                  <w:vAlign w:val="center"/>
                </w:tcPr>
                <w:p w14:paraId="698690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生产线</w:t>
                  </w:r>
                </w:p>
              </w:tc>
              <w:tc>
                <w:tcPr>
                  <w:tcW w:w="3095" w:type="dxa"/>
                  <w:gridSpan w:val="2"/>
                  <w:vAlign w:val="center"/>
                </w:tcPr>
                <w:p w14:paraId="5E92CE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排入情况</w:t>
                  </w:r>
                </w:p>
              </w:tc>
              <w:tc>
                <w:tcPr>
                  <w:tcW w:w="2535" w:type="dxa"/>
                  <w:gridSpan w:val="2"/>
                  <w:vAlign w:val="center"/>
                </w:tcPr>
                <w:p w14:paraId="34D691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排出情况</w:t>
                  </w:r>
                </w:p>
              </w:tc>
            </w:tr>
            <w:tr w14:paraId="0578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3" w:type="dxa"/>
                  <w:vMerge w:val="continue"/>
                  <w:shd w:val="clear" w:color="auto" w:fill="auto"/>
                  <w:vAlign w:val="center"/>
                </w:tcPr>
                <w:p w14:paraId="5E92C8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bCs/>
                      <w:color w:val="auto"/>
                      <w:kern w:val="2"/>
                      <w:sz w:val="22"/>
                      <w:szCs w:val="22"/>
                      <w:vertAlign w:val="baseline"/>
                      <w:lang w:val="en-US" w:eastAsia="zh-CN" w:bidi="ar-SA"/>
                    </w:rPr>
                  </w:pPr>
                </w:p>
              </w:tc>
              <w:tc>
                <w:tcPr>
                  <w:tcW w:w="1327" w:type="dxa"/>
                  <w:vMerge w:val="continue"/>
                  <w:shd w:val="clear" w:color="auto" w:fill="auto"/>
                  <w:vAlign w:val="center"/>
                </w:tcPr>
                <w:p w14:paraId="75B340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p>
              </w:tc>
              <w:tc>
                <w:tcPr>
                  <w:tcW w:w="1327" w:type="dxa"/>
                  <w:shd w:val="clear" w:color="auto" w:fill="auto"/>
                  <w:vAlign w:val="center"/>
                </w:tcPr>
                <w:p w14:paraId="2B3A32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原材料</w:t>
                  </w:r>
                </w:p>
              </w:tc>
              <w:tc>
                <w:tcPr>
                  <w:tcW w:w="1768" w:type="dxa"/>
                  <w:shd w:val="clear" w:color="auto" w:fill="auto"/>
                  <w:vAlign w:val="center"/>
                </w:tcPr>
                <w:p w14:paraId="312EFC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用量（t/a）</w:t>
                  </w:r>
                </w:p>
              </w:tc>
              <w:tc>
                <w:tcPr>
                  <w:tcW w:w="1193" w:type="dxa"/>
                  <w:shd w:val="clear" w:color="auto" w:fill="auto"/>
                  <w:vAlign w:val="center"/>
                </w:tcPr>
                <w:p w14:paraId="347D22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产品</w:t>
                  </w:r>
                </w:p>
              </w:tc>
              <w:tc>
                <w:tcPr>
                  <w:tcW w:w="1342" w:type="dxa"/>
                  <w:shd w:val="clear" w:color="auto" w:fill="auto"/>
                  <w:vAlign w:val="center"/>
                </w:tcPr>
                <w:p w14:paraId="4228D8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产生量（t/a）</w:t>
                  </w:r>
                </w:p>
              </w:tc>
            </w:tr>
            <w:tr w14:paraId="5DB79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3" w:type="dxa"/>
                  <w:vMerge w:val="restart"/>
                  <w:vAlign w:val="center"/>
                </w:tcPr>
                <w:p w14:paraId="6D18CC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1</w:t>
                  </w:r>
                </w:p>
              </w:tc>
              <w:tc>
                <w:tcPr>
                  <w:tcW w:w="1327" w:type="dxa"/>
                  <w:vMerge w:val="restart"/>
                  <w:vAlign w:val="center"/>
                </w:tcPr>
                <w:p w14:paraId="58B899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玻璃纤维毡</w:t>
                  </w:r>
                </w:p>
              </w:tc>
              <w:tc>
                <w:tcPr>
                  <w:tcW w:w="1327" w:type="dxa"/>
                  <w:vMerge w:val="restart"/>
                  <w:vAlign w:val="center"/>
                </w:tcPr>
                <w:p w14:paraId="33DA72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玻璃纤维短切纱</w:t>
                  </w:r>
                </w:p>
              </w:tc>
              <w:tc>
                <w:tcPr>
                  <w:tcW w:w="1768" w:type="dxa"/>
                  <w:vMerge w:val="restart"/>
                  <w:vAlign w:val="center"/>
                </w:tcPr>
                <w:p w14:paraId="5463D4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3031.5</w:t>
                  </w:r>
                </w:p>
              </w:tc>
              <w:tc>
                <w:tcPr>
                  <w:tcW w:w="1193" w:type="dxa"/>
                  <w:vAlign w:val="center"/>
                </w:tcPr>
                <w:p w14:paraId="7F5FCB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玻璃纤维毡</w:t>
                  </w:r>
                </w:p>
              </w:tc>
              <w:tc>
                <w:tcPr>
                  <w:tcW w:w="1342" w:type="dxa"/>
                  <w:vAlign w:val="center"/>
                </w:tcPr>
                <w:p w14:paraId="7C8269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3000</w:t>
                  </w:r>
                </w:p>
              </w:tc>
            </w:tr>
            <w:tr w14:paraId="69949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3" w:type="dxa"/>
                  <w:vMerge w:val="continue"/>
                  <w:vAlign w:val="center"/>
                </w:tcPr>
                <w:p w14:paraId="4B9793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heme="minorBidi"/>
                      <w:bCs/>
                      <w:color w:val="auto"/>
                      <w:kern w:val="2"/>
                      <w:sz w:val="22"/>
                      <w:szCs w:val="22"/>
                      <w:vertAlign w:val="baseline"/>
                      <w:lang w:val="en-US" w:eastAsia="zh-CN" w:bidi="ar-SA"/>
                    </w:rPr>
                  </w:pPr>
                </w:p>
              </w:tc>
              <w:tc>
                <w:tcPr>
                  <w:tcW w:w="1327" w:type="dxa"/>
                  <w:vMerge w:val="continue"/>
                  <w:vAlign w:val="center"/>
                </w:tcPr>
                <w:p w14:paraId="076039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heme="minorBidi"/>
                      <w:bCs/>
                      <w:color w:val="auto"/>
                      <w:kern w:val="2"/>
                      <w:sz w:val="22"/>
                      <w:szCs w:val="22"/>
                      <w:vertAlign w:val="baseline"/>
                      <w:lang w:val="en-US" w:eastAsia="zh-CN" w:bidi="ar-SA"/>
                    </w:rPr>
                  </w:pPr>
                </w:p>
              </w:tc>
              <w:tc>
                <w:tcPr>
                  <w:tcW w:w="1327" w:type="dxa"/>
                  <w:vMerge w:val="continue"/>
                  <w:vAlign w:val="center"/>
                </w:tcPr>
                <w:p w14:paraId="01D9D1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heme="minorBidi"/>
                      <w:bCs/>
                      <w:color w:val="auto"/>
                      <w:kern w:val="2"/>
                      <w:sz w:val="22"/>
                      <w:szCs w:val="22"/>
                      <w:vertAlign w:val="baseline"/>
                      <w:lang w:val="en-US" w:eastAsia="zh-CN" w:bidi="ar-SA"/>
                    </w:rPr>
                  </w:pPr>
                </w:p>
              </w:tc>
              <w:tc>
                <w:tcPr>
                  <w:tcW w:w="1768" w:type="dxa"/>
                  <w:vMerge w:val="continue"/>
                  <w:vAlign w:val="center"/>
                </w:tcPr>
                <w:p w14:paraId="61A0E0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heme="minorBidi"/>
                      <w:bCs/>
                      <w:color w:val="auto"/>
                      <w:kern w:val="2"/>
                      <w:sz w:val="22"/>
                      <w:szCs w:val="22"/>
                      <w:vertAlign w:val="baseline"/>
                      <w:lang w:val="en-US" w:eastAsia="zh-CN" w:bidi="ar-SA"/>
                    </w:rPr>
                  </w:pPr>
                </w:p>
              </w:tc>
              <w:tc>
                <w:tcPr>
                  <w:tcW w:w="1193" w:type="dxa"/>
                  <w:vAlign w:val="center"/>
                </w:tcPr>
                <w:p w14:paraId="590FC5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边角料</w:t>
                  </w:r>
                </w:p>
              </w:tc>
              <w:tc>
                <w:tcPr>
                  <w:tcW w:w="1342" w:type="dxa"/>
                  <w:vAlign w:val="center"/>
                </w:tcPr>
                <w:p w14:paraId="1553E2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30.3</w:t>
                  </w:r>
                </w:p>
              </w:tc>
            </w:tr>
            <w:tr w14:paraId="58290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3" w:type="dxa"/>
                  <w:vMerge w:val="continue"/>
                  <w:vAlign w:val="center"/>
                </w:tcPr>
                <w:p w14:paraId="5191D5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heme="minorBidi"/>
                      <w:bCs/>
                      <w:color w:val="auto"/>
                      <w:kern w:val="2"/>
                      <w:sz w:val="22"/>
                      <w:szCs w:val="22"/>
                      <w:vertAlign w:val="baseline"/>
                      <w:lang w:val="en-US" w:eastAsia="zh-CN" w:bidi="ar-SA"/>
                    </w:rPr>
                  </w:pPr>
                </w:p>
              </w:tc>
              <w:tc>
                <w:tcPr>
                  <w:tcW w:w="1327" w:type="dxa"/>
                  <w:vMerge w:val="continue"/>
                  <w:vAlign w:val="center"/>
                </w:tcPr>
                <w:p w14:paraId="6A6697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heme="minorBidi"/>
                      <w:bCs/>
                      <w:color w:val="auto"/>
                      <w:kern w:val="2"/>
                      <w:sz w:val="22"/>
                      <w:szCs w:val="22"/>
                      <w:vertAlign w:val="baseline"/>
                      <w:lang w:val="en-US" w:eastAsia="zh-CN" w:bidi="ar-SA"/>
                    </w:rPr>
                  </w:pPr>
                </w:p>
              </w:tc>
              <w:tc>
                <w:tcPr>
                  <w:tcW w:w="1327" w:type="dxa"/>
                  <w:vMerge w:val="continue"/>
                  <w:vAlign w:val="center"/>
                </w:tcPr>
                <w:p w14:paraId="2E2776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heme="minorBidi"/>
                      <w:bCs/>
                      <w:color w:val="auto"/>
                      <w:kern w:val="2"/>
                      <w:sz w:val="22"/>
                      <w:szCs w:val="22"/>
                      <w:vertAlign w:val="baseline"/>
                      <w:lang w:val="en-US" w:eastAsia="zh-CN" w:bidi="ar-SA"/>
                    </w:rPr>
                  </w:pPr>
                </w:p>
              </w:tc>
              <w:tc>
                <w:tcPr>
                  <w:tcW w:w="1768" w:type="dxa"/>
                  <w:vMerge w:val="continue"/>
                  <w:vAlign w:val="center"/>
                </w:tcPr>
                <w:p w14:paraId="3C7552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heme="minorBidi"/>
                      <w:bCs/>
                      <w:color w:val="auto"/>
                      <w:kern w:val="2"/>
                      <w:sz w:val="22"/>
                      <w:szCs w:val="22"/>
                      <w:vertAlign w:val="baseline"/>
                      <w:lang w:val="en-US" w:eastAsia="zh-CN" w:bidi="ar-SA"/>
                    </w:rPr>
                  </w:pPr>
                </w:p>
              </w:tc>
              <w:tc>
                <w:tcPr>
                  <w:tcW w:w="1193" w:type="dxa"/>
                  <w:vAlign w:val="center"/>
                </w:tcPr>
                <w:p w14:paraId="4CA69F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粉尘</w:t>
                  </w:r>
                </w:p>
              </w:tc>
              <w:tc>
                <w:tcPr>
                  <w:tcW w:w="1342" w:type="dxa"/>
                  <w:vAlign w:val="center"/>
                </w:tcPr>
                <w:p w14:paraId="1C0A0C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1.2</w:t>
                  </w:r>
                </w:p>
              </w:tc>
            </w:tr>
            <w:tr w14:paraId="1FDDF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57" w:type="dxa"/>
                  <w:gridSpan w:val="3"/>
                  <w:vAlign w:val="center"/>
                </w:tcPr>
                <w:p w14:paraId="49C792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小计</w:t>
                  </w:r>
                </w:p>
              </w:tc>
              <w:tc>
                <w:tcPr>
                  <w:tcW w:w="1768" w:type="dxa"/>
                  <w:vAlign w:val="center"/>
                </w:tcPr>
                <w:p w14:paraId="25D22D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3031.5</w:t>
                  </w:r>
                </w:p>
              </w:tc>
              <w:tc>
                <w:tcPr>
                  <w:tcW w:w="1193" w:type="dxa"/>
                  <w:vAlign w:val="center"/>
                </w:tcPr>
                <w:p w14:paraId="63EAC7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小计</w:t>
                  </w:r>
                </w:p>
              </w:tc>
              <w:tc>
                <w:tcPr>
                  <w:tcW w:w="1342" w:type="dxa"/>
                  <w:vAlign w:val="center"/>
                </w:tcPr>
                <w:p w14:paraId="140A4B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3031.5</w:t>
                  </w:r>
                </w:p>
              </w:tc>
            </w:tr>
            <w:tr w14:paraId="6A400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3" w:type="dxa"/>
                  <w:vMerge w:val="restart"/>
                  <w:vAlign w:val="center"/>
                </w:tcPr>
                <w:p w14:paraId="6153A8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2</w:t>
                  </w:r>
                </w:p>
              </w:tc>
              <w:tc>
                <w:tcPr>
                  <w:tcW w:w="1327" w:type="dxa"/>
                  <w:vMerge w:val="restart"/>
                  <w:vAlign w:val="center"/>
                </w:tcPr>
                <w:p w14:paraId="3FE240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default" w:cstheme="minorBidi"/>
                      <w:bCs/>
                      <w:color w:val="auto"/>
                      <w:kern w:val="2"/>
                      <w:sz w:val="22"/>
                      <w:szCs w:val="22"/>
                      <w:vertAlign w:val="baseline"/>
                      <w:lang w:val="en-US" w:eastAsia="zh-CN" w:bidi="ar-SA"/>
                    </w:rPr>
                    <w:t>车用纤维隔热片</w:t>
                  </w:r>
                </w:p>
              </w:tc>
              <w:tc>
                <w:tcPr>
                  <w:tcW w:w="1327" w:type="dxa"/>
                  <w:vAlign w:val="center"/>
                </w:tcPr>
                <w:p w14:paraId="53360A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自制的</w:t>
                  </w:r>
                  <w:r>
                    <w:rPr>
                      <w:rFonts w:hint="default" w:cstheme="minorBidi"/>
                      <w:bCs/>
                      <w:color w:val="auto"/>
                      <w:kern w:val="2"/>
                      <w:sz w:val="22"/>
                      <w:szCs w:val="22"/>
                      <w:vertAlign w:val="baseline"/>
                      <w:lang w:val="en-US" w:eastAsia="zh-CN" w:bidi="ar-SA"/>
                    </w:rPr>
                    <w:t>玻璃纤维毡</w:t>
                  </w:r>
                </w:p>
              </w:tc>
              <w:tc>
                <w:tcPr>
                  <w:tcW w:w="1768" w:type="dxa"/>
                  <w:vAlign w:val="center"/>
                </w:tcPr>
                <w:p w14:paraId="3D334F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1000</w:t>
                  </w:r>
                </w:p>
              </w:tc>
              <w:tc>
                <w:tcPr>
                  <w:tcW w:w="1193" w:type="dxa"/>
                  <w:vAlign w:val="center"/>
                </w:tcPr>
                <w:p w14:paraId="522A50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default" w:cstheme="minorBidi"/>
                      <w:bCs/>
                      <w:color w:val="auto"/>
                      <w:kern w:val="2"/>
                      <w:sz w:val="22"/>
                      <w:szCs w:val="22"/>
                      <w:vertAlign w:val="baseline"/>
                      <w:lang w:val="en-US" w:eastAsia="zh-CN" w:bidi="ar-SA"/>
                    </w:rPr>
                    <w:t>车用纤维隔热片</w:t>
                  </w:r>
                </w:p>
              </w:tc>
              <w:tc>
                <w:tcPr>
                  <w:tcW w:w="1342" w:type="dxa"/>
                  <w:vAlign w:val="center"/>
                </w:tcPr>
                <w:p w14:paraId="226A37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1500</w:t>
                  </w:r>
                </w:p>
              </w:tc>
            </w:tr>
            <w:tr w14:paraId="75F7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3" w:type="dxa"/>
                  <w:vMerge w:val="continue"/>
                  <w:vAlign w:val="center"/>
                </w:tcPr>
                <w:p w14:paraId="50DDE7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p>
              </w:tc>
              <w:tc>
                <w:tcPr>
                  <w:tcW w:w="1327" w:type="dxa"/>
                  <w:vMerge w:val="continue"/>
                  <w:vAlign w:val="center"/>
                </w:tcPr>
                <w:p w14:paraId="4DC3E6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p>
              </w:tc>
              <w:tc>
                <w:tcPr>
                  <w:tcW w:w="1327" w:type="dxa"/>
                  <w:vMerge w:val="restart"/>
                  <w:vAlign w:val="center"/>
                </w:tcPr>
                <w:p w14:paraId="69C750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外购玻璃纤维毡</w:t>
                  </w:r>
                </w:p>
              </w:tc>
              <w:tc>
                <w:tcPr>
                  <w:tcW w:w="1768" w:type="dxa"/>
                  <w:vMerge w:val="restart"/>
                  <w:vAlign w:val="center"/>
                </w:tcPr>
                <w:p w14:paraId="6258F7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515.3</w:t>
                  </w:r>
                </w:p>
              </w:tc>
              <w:tc>
                <w:tcPr>
                  <w:tcW w:w="1193" w:type="dxa"/>
                  <w:shd w:val="clear" w:color="auto" w:fill="auto"/>
                  <w:vAlign w:val="center"/>
                </w:tcPr>
                <w:p w14:paraId="47CB45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边角料</w:t>
                  </w:r>
                </w:p>
              </w:tc>
              <w:tc>
                <w:tcPr>
                  <w:tcW w:w="1342" w:type="dxa"/>
                  <w:vAlign w:val="center"/>
                </w:tcPr>
                <w:p w14:paraId="10E3F2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15.15</w:t>
                  </w:r>
                </w:p>
              </w:tc>
            </w:tr>
            <w:tr w14:paraId="3EF76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3" w:type="dxa"/>
                  <w:vMerge w:val="continue"/>
                  <w:vAlign w:val="center"/>
                </w:tcPr>
                <w:p w14:paraId="06AA83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p>
              </w:tc>
              <w:tc>
                <w:tcPr>
                  <w:tcW w:w="1327" w:type="dxa"/>
                  <w:vMerge w:val="continue"/>
                  <w:vAlign w:val="center"/>
                </w:tcPr>
                <w:p w14:paraId="6B32C1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p>
              </w:tc>
              <w:tc>
                <w:tcPr>
                  <w:tcW w:w="1327" w:type="dxa"/>
                  <w:vMerge w:val="continue"/>
                  <w:vAlign w:val="center"/>
                </w:tcPr>
                <w:p w14:paraId="75EBFF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p>
              </w:tc>
              <w:tc>
                <w:tcPr>
                  <w:tcW w:w="1768" w:type="dxa"/>
                  <w:vMerge w:val="continue"/>
                  <w:vAlign w:val="center"/>
                </w:tcPr>
                <w:p w14:paraId="4E412A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p>
              </w:tc>
              <w:tc>
                <w:tcPr>
                  <w:tcW w:w="1193" w:type="dxa"/>
                  <w:shd w:val="clear" w:color="auto" w:fill="auto"/>
                  <w:vAlign w:val="center"/>
                </w:tcPr>
                <w:p w14:paraId="15DB91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粉尘</w:t>
                  </w:r>
                </w:p>
              </w:tc>
              <w:tc>
                <w:tcPr>
                  <w:tcW w:w="1342" w:type="dxa"/>
                  <w:vAlign w:val="center"/>
                </w:tcPr>
                <w:p w14:paraId="0080C3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0.15</w:t>
                  </w:r>
                </w:p>
              </w:tc>
            </w:tr>
            <w:tr w14:paraId="015F0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57" w:type="dxa"/>
                  <w:gridSpan w:val="3"/>
                  <w:vAlign w:val="center"/>
                </w:tcPr>
                <w:p w14:paraId="27868E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小计</w:t>
                  </w:r>
                </w:p>
              </w:tc>
              <w:tc>
                <w:tcPr>
                  <w:tcW w:w="1768" w:type="dxa"/>
                  <w:vAlign w:val="center"/>
                </w:tcPr>
                <w:p w14:paraId="3DB5FB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1515.3</w:t>
                  </w:r>
                </w:p>
              </w:tc>
              <w:tc>
                <w:tcPr>
                  <w:tcW w:w="1193" w:type="dxa"/>
                  <w:shd w:val="clear" w:color="auto" w:fill="auto"/>
                  <w:vAlign w:val="center"/>
                </w:tcPr>
                <w:p w14:paraId="053F23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小计</w:t>
                  </w:r>
                </w:p>
              </w:tc>
              <w:tc>
                <w:tcPr>
                  <w:tcW w:w="1342" w:type="dxa"/>
                  <w:vAlign w:val="center"/>
                </w:tcPr>
                <w:p w14:paraId="35D8CE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1515.3</w:t>
                  </w:r>
                </w:p>
              </w:tc>
            </w:tr>
            <w:tr w14:paraId="12D6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3" w:type="dxa"/>
                  <w:vMerge w:val="restart"/>
                  <w:vAlign w:val="center"/>
                </w:tcPr>
                <w:p w14:paraId="110180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3</w:t>
                  </w:r>
                </w:p>
              </w:tc>
              <w:tc>
                <w:tcPr>
                  <w:tcW w:w="1327" w:type="dxa"/>
                  <w:vMerge w:val="restart"/>
                  <w:vAlign w:val="center"/>
                </w:tcPr>
                <w:p w14:paraId="54E934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lang w:val="en-US" w:eastAsia="zh-CN" w:bidi="ar-SA"/>
                    </w:rPr>
                    <w:t>车用消音隔热棉</w:t>
                  </w:r>
                </w:p>
              </w:tc>
              <w:tc>
                <w:tcPr>
                  <w:tcW w:w="1327" w:type="dxa"/>
                  <w:vAlign w:val="center"/>
                </w:tcPr>
                <w:p w14:paraId="251E56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网袋纱</w:t>
                  </w:r>
                </w:p>
              </w:tc>
              <w:tc>
                <w:tcPr>
                  <w:tcW w:w="1768" w:type="dxa"/>
                  <w:vAlign w:val="center"/>
                </w:tcPr>
                <w:p w14:paraId="3BF592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449.45</w:t>
                  </w:r>
                </w:p>
              </w:tc>
              <w:tc>
                <w:tcPr>
                  <w:tcW w:w="1193" w:type="dxa"/>
                  <w:vAlign w:val="center"/>
                </w:tcPr>
                <w:p w14:paraId="1A6AFF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lang w:val="en-US" w:eastAsia="zh-CN" w:bidi="ar-SA"/>
                    </w:rPr>
                    <w:t>车用消音隔热棉</w:t>
                  </w:r>
                </w:p>
              </w:tc>
              <w:tc>
                <w:tcPr>
                  <w:tcW w:w="1342" w:type="dxa"/>
                  <w:vAlign w:val="center"/>
                </w:tcPr>
                <w:p w14:paraId="2B82F9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1500</w:t>
                  </w:r>
                </w:p>
              </w:tc>
            </w:tr>
            <w:tr w14:paraId="25BFD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3" w:type="dxa"/>
                  <w:vMerge w:val="continue"/>
                  <w:vAlign w:val="center"/>
                </w:tcPr>
                <w:p w14:paraId="793882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heme="minorBidi"/>
                      <w:bCs/>
                      <w:color w:val="auto"/>
                      <w:kern w:val="2"/>
                      <w:sz w:val="22"/>
                      <w:szCs w:val="22"/>
                      <w:vertAlign w:val="baseline"/>
                      <w:lang w:val="en-US" w:eastAsia="zh-CN" w:bidi="ar-SA"/>
                    </w:rPr>
                  </w:pPr>
                </w:p>
              </w:tc>
              <w:tc>
                <w:tcPr>
                  <w:tcW w:w="1327" w:type="dxa"/>
                  <w:vMerge w:val="continue"/>
                  <w:vAlign w:val="center"/>
                </w:tcPr>
                <w:p w14:paraId="384637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heme="minorBidi"/>
                      <w:bCs/>
                      <w:color w:val="auto"/>
                      <w:kern w:val="2"/>
                      <w:sz w:val="22"/>
                      <w:szCs w:val="22"/>
                      <w:lang w:val="en-US" w:eastAsia="zh-CN" w:bidi="ar-SA"/>
                    </w:rPr>
                  </w:pPr>
                </w:p>
              </w:tc>
              <w:tc>
                <w:tcPr>
                  <w:tcW w:w="1327" w:type="dxa"/>
                  <w:vAlign w:val="center"/>
                </w:tcPr>
                <w:p w14:paraId="59FD9D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膨化纱</w:t>
                  </w:r>
                </w:p>
              </w:tc>
              <w:tc>
                <w:tcPr>
                  <w:tcW w:w="1768" w:type="dxa"/>
                  <w:vAlign w:val="center"/>
                </w:tcPr>
                <w:p w14:paraId="522DD4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1048.72</w:t>
                  </w:r>
                </w:p>
              </w:tc>
              <w:tc>
                <w:tcPr>
                  <w:tcW w:w="1193" w:type="dxa"/>
                  <w:vAlign w:val="center"/>
                </w:tcPr>
                <w:p w14:paraId="26E006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粉尘</w:t>
                  </w:r>
                </w:p>
              </w:tc>
              <w:tc>
                <w:tcPr>
                  <w:tcW w:w="1342" w:type="dxa"/>
                  <w:vAlign w:val="center"/>
                </w:tcPr>
                <w:p w14:paraId="5635A3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0.15</w:t>
                  </w:r>
                </w:p>
              </w:tc>
            </w:tr>
            <w:tr w14:paraId="4C337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3" w:type="dxa"/>
                  <w:vMerge w:val="continue"/>
                  <w:vAlign w:val="center"/>
                </w:tcPr>
                <w:p w14:paraId="2926BC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heme="minorBidi"/>
                      <w:bCs/>
                      <w:color w:val="auto"/>
                      <w:kern w:val="2"/>
                      <w:sz w:val="22"/>
                      <w:szCs w:val="22"/>
                      <w:vertAlign w:val="baseline"/>
                      <w:lang w:val="en-US" w:eastAsia="zh-CN" w:bidi="ar-SA"/>
                    </w:rPr>
                  </w:pPr>
                </w:p>
              </w:tc>
              <w:tc>
                <w:tcPr>
                  <w:tcW w:w="1327" w:type="dxa"/>
                  <w:vMerge w:val="continue"/>
                  <w:vAlign w:val="center"/>
                </w:tcPr>
                <w:p w14:paraId="51E739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heme="minorBidi"/>
                      <w:bCs/>
                      <w:color w:val="auto"/>
                      <w:kern w:val="2"/>
                      <w:sz w:val="22"/>
                      <w:szCs w:val="22"/>
                      <w:lang w:val="en-US" w:eastAsia="zh-CN" w:bidi="ar-SA"/>
                    </w:rPr>
                  </w:pPr>
                </w:p>
              </w:tc>
              <w:tc>
                <w:tcPr>
                  <w:tcW w:w="1327" w:type="dxa"/>
                  <w:vAlign w:val="center"/>
                </w:tcPr>
                <w:p w14:paraId="5E4EED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PE袋</w:t>
                  </w:r>
                </w:p>
              </w:tc>
              <w:tc>
                <w:tcPr>
                  <w:tcW w:w="1768" w:type="dxa"/>
                  <w:vAlign w:val="center"/>
                </w:tcPr>
                <w:p w14:paraId="2EA081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2</w:t>
                  </w:r>
                </w:p>
              </w:tc>
              <w:tc>
                <w:tcPr>
                  <w:tcW w:w="1193" w:type="dxa"/>
                  <w:vAlign w:val="center"/>
                </w:tcPr>
                <w:p w14:paraId="5F5F37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废包装袋</w:t>
                  </w:r>
                </w:p>
              </w:tc>
              <w:tc>
                <w:tcPr>
                  <w:tcW w:w="1342" w:type="dxa"/>
                  <w:vAlign w:val="center"/>
                </w:tcPr>
                <w:p w14:paraId="3BCAC7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0.02</w:t>
                  </w:r>
                </w:p>
              </w:tc>
            </w:tr>
            <w:tr w14:paraId="5463A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57" w:type="dxa"/>
                  <w:gridSpan w:val="3"/>
                  <w:vAlign w:val="center"/>
                </w:tcPr>
                <w:p w14:paraId="2FEFBB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小计</w:t>
                  </w:r>
                </w:p>
              </w:tc>
              <w:tc>
                <w:tcPr>
                  <w:tcW w:w="1768" w:type="dxa"/>
                  <w:vAlign w:val="center"/>
                </w:tcPr>
                <w:p w14:paraId="2E100A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1500.17</w:t>
                  </w:r>
                </w:p>
              </w:tc>
              <w:tc>
                <w:tcPr>
                  <w:tcW w:w="1193" w:type="dxa"/>
                  <w:vAlign w:val="center"/>
                </w:tcPr>
                <w:p w14:paraId="523F54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小计</w:t>
                  </w:r>
                </w:p>
              </w:tc>
              <w:tc>
                <w:tcPr>
                  <w:tcW w:w="1342" w:type="dxa"/>
                  <w:vAlign w:val="center"/>
                </w:tcPr>
                <w:p w14:paraId="4F1660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Cs/>
                      <w:color w:val="auto"/>
                      <w:kern w:val="2"/>
                      <w:sz w:val="22"/>
                      <w:szCs w:val="22"/>
                      <w:vertAlign w:val="baseline"/>
                      <w:lang w:val="en-US" w:eastAsia="zh-CN" w:bidi="ar-SA"/>
                    </w:rPr>
                  </w:pPr>
                  <w:r>
                    <w:rPr>
                      <w:rFonts w:hint="eastAsia" w:cstheme="minorBidi"/>
                      <w:bCs/>
                      <w:color w:val="auto"/>
                      <w:kern w:val="2"/>
                      <w:sz w:val="22"/>
                      <w:szCs w:val="22"/>
                      <w:vertAlign w:val="baseline"/>
                      <w:lang w:val="en-US" w:eastAsia="zh-CN" w:bidi="ar-SA"/>
                    </w:rPr>
                    <w:t>1500.17</w:t>
                  </w:r>
                </w:p>
              </w:tc>
            </w:tr>
          </w:tbl>
          <w:p w14:paraId="3B22A050">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default" w:cstheme="minorBidi"/>
                <w:bCs/>
                <w:color w:val="auto"/>
                <w:kern w:val="2"/>
                <w:sz w:val="26"/>
                <w:szCs w:val="26"/>
                <w:highlight w:val="yellow"/>
                <w:lang w:val="en-US" w:eastAsia="zh-CN" w:bidi="ar-SA"/>
              </w:rPr>
            </w:pPr>
          </w:p>
          <w:p w14:paraId="6733BCDE">
            <w:pPr>
              <w:pStyle w:val="4"/>
              <w:pageBreakBefore w:val="0"/>
              <w:widowControl w:val="0"/>
              <w:kinsoku/>
              <w:wordWrap/>
              <w:overflowPunct/>
              <w:topLinePunct w:val="0"/>
              <w:autoSpaceDE/>
              <w:autoSpaceDN/>
              <w:bidi w:val="0"/>
              <w:adjustRightInd/>
              <w:snapToGrid/>
              <w:spacing w:beforeLines="0" w:afterLines="0" w:line="460" w:lineRule="exact"/>
              <w:textAlignment w:val="auto"/>
              <w:rPr>
                <w:rFonts w:hint="eastAsia"/>
                <w:color w:val="auto"/>
                <w:sz w:val="26"/>
                <w:szCs w:val="26"/>
                <w:lang w:val="en-US" w:eastAsia="zh-CN"/>
              </w:rPr>
            </w:pPr>
            <w:r>
              <w:rPr>
                <w:rFonts w:hint="eastAsia"/>
                <w:color w:val="auto"/>
                <w:sz w:val="26"/>
                <w:szCs w:val="26"/>
                <w:lang w:val="en-US" w:eastAsia="zh-CN"/>
              </w:rPr>
              <w:t>2.1.9平面布置</w:t>
            </w:r>
          </w:p>
          <w:p w14:paraId="05D08AE1">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color w:val="auto"/>
                <w:sz w:val="26"/>
                <w:szCs w:val="26"/>
                <w:lang w:val="en-US" w:eastAsia="zh-CN"/>
              </w:rPr>
            </w:pPr>
            <w:r>
              <w:rPr>
                <w:rFonts w:hint="eastAsia"/>
                <w:color w:val="auto"/>
                <w:sz w:val="26"/>
                <w:szCs w:val="26"/>
                <w:lang w:val="en-US" w:eastAsia="zh-CN"/>
              </w:rPr>
              <w:t>本项目租赁博盟汽车科技（重庆）有限公司新建3号厂房的一层西侧区域。本项目中心区域用于布置车用消音隔热棉生产线和车用纤维隔热片，东侧设置玻璃纤维毡生产线，西北侧区域设置为辅材料区，东侧设置一处原材料区，西侧设置一处成品区，车间西侧设置为办公区。</w:t>
            </w:r>
          </w:p>
          <w:p w14:paraId="73E8651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sz w:val="26"/>
                <w:szCs w:val="26"/>
                <w:highlight w:val="none"/>
              </w:rPr>
            </w:pPr>
            <w:r>
              <w:rPr>
                <w:rFonts w:hint="default" w:ascii="Times New Roman" w:hAnsi="Times New Roman" w:eastAsia="宋体" w:cs="Times New Roman"/>
                <w:color w:val="auto"/>
                <w:sz w:val="26"/>
                <w:szCs w:val="26"/>
                <w:highlight w:val="none"/>
              </w:rPr>
              <w:t>从总体上看，整个厂区总平面布置工艺流向顺畅，功能分区明确，布局紧凑、可实现各生产区之间的合理衔接，管线和物料运送顺畅，减少占地和管线交叉。从环保、安全角度考虑，布置是合理的。</w:t>
            </w:r>
            <w:r>
              <w:rPr>
                <w:rFonts w:hint="eastAsia" w:ascii="Times New Roman" w:hAnsi="Times New Roman" w:eastAsia="宋体" w:cs="Times New Roman"/>
                <w:color w:val="auto"/>
                <w:sz w:val="26"/>
                <w:szCs w:val="26"/>
                <w:highlight w:val="none"/>
                <w:lang w:val="en-US" w:eastAsia="zh-CN"/>
              </w:rPr>
              <w:t>项目厂区</w:t>
            </w:r>
            <w:r>
              <w:rPr>
                <w:rFonts w:hint="default" w:ascii="Times New Roman" w:hAnsi="Times New Roman" w:eastAsia="宋体" w:cs="Times New Roman"/>
                <w:color w:val="auto"/>
                <w:sz w:val="26"/>
                <w:szCs w:val="26"/>
                <w:highlight w:val="none"/>
              </w:rPr>
              <w:t>平面布置见附图</w:t>
            </w:r>
            <w:r>
              <w:rPr>
                <w:rFonts w:hint="eastAsia" w:cs="Times New Roman"/>
                <w:color w:val="auto"/>
                <w:sz w:val="26"/>
                <w:szCs w:val="26"/>
                <w:highlight w:val="none"/>
                <w:lang w:val="en-US" w:eastAsia="zh-CN"/>
              </w:rPr>
              <w:t>3</w:t>
            </w:r>
            <w:r>
              <w:rPr>
                <w:rFonts w:hint="default" w:ascii="Times New Roman" w:hAnsi="Times New Roman" w:eastAsia="宋体" w:cs="Times New Roman"/>
                <w:color w:val="auto"/>
                <w:sz w:val="26"/>
                <w:szCs w:val="26"/>
                <w:highlight w:val="none"/>
              </w:rPr>
              <w:t>。</w:t>
            </w:r>
          </w:p>
          <w:p w14:paraId="4FC675CB">
            <w:pPr>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rFonts w:hint="eastAsia" w:cs="Times New Roman"/>
                <w:b/>
                <w:bCs/>
                <w:color w:val="auto"/>
                <w:sz w:val="26"/>
                <w:szCs w:val="26"/>
                <w:highlight w:val="none"/>
                <w:lang w:val="en-US" w:eastAsia="zh-CN"/>
              </w:rPr>
            </w:pPr>
            <w:r>
              <w:rPr>
                <w:rFonts w:hint="eastAsia" w:cs="Times New Roman"/>
                <w:b/>
                <w:bCs/>
                <w:color w:val="auto"/>
                <w:sz w:val="26"/>
                <w:szCs w:val="26"/>
                <w:highlight w:val="none"/>
                <w:lang w:val="en-US" w:eastAsia="zh-CN"/>
              </w:rPr>
              <w:t>2.1.10主要技术经济指标</w:t>
            </w:r>
          </w:p>
          <w:p w14:paraId="7877545E">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textAlignment w:val="auto"/>
              <w:rPr>
                <w:rFonts w:hint="eastAsia" w:cs="Times New Roman"/>
                <w:b w:val="0"/>
                <w:bCs w:val="0"/>
                <w:color w:val="auto"/>
                <w:sz w:val="26"/>
                <w:szCs w:val="26"/>
                <w:highlight w:val="none"/>
                <w:lang w:val="en-US" w:eastAsia="zh-CN"/>
              </w:rPr>
            </w:pPr>
            <w:r>
              <w:rPr>
                <w:rFonts w:hint="eastAsia" w:cs="Times New Roman"/>
                <w:b w:val="0"/>
                <w:bCs w:val="0"/>
                <w:color w:val="auto"/>
                <w:sz w:val="26"/>
                <w:szCs w:val="26"/>
                <w:highlight w:val="none"/>
                <w:lang w:val="en-US" w:eastAsia="zh-CN"/>
              </w:rPr>
              <w:t>本项目主要技术经济指标详见下表。</w:t>
            </w:r>
          </w:p>
          <w:p w14:paraId="52CD990A">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textAlignment w:val="auto"/>
              <w:rPr>
                <w:rFonts w:hint="eastAsia" w:cs="Times New Roman"/>
                <w:b w:val="0"/>
                <w:bCs w:val="0"/>
                <w:color w:val="auto"/>
                <w:sz w:val="26"/>
                <w:szCs w:val="26"/>
                <w:highlight w:val="none"/>
                <w:lang w:val="en-US" w:eastAsia="zh-CN"/>
              </w:rPr>
            </w:pPr>
            <w:r>
              <w:rPr>
                <w:rFonts w:hint="eastAsia" w:cs="Times New Roman"/>
                <w:b w:val="0"/>
                <w:bCs w:val="0"/>
                <w:color w:val="auto"/>
                <w:sz w:val="26"/>
                <w:szCs w:val="26"/>
                <w:highlight w:val="none"/>
                <w:lang w:val="en-US" w:eastAsia="zh-CN"/>
              </w:rPr>
              <w:t>表2.1-7               本项目主要技术经济</w:t>
            </w:r>
          </w:p>
          <w:tbl>
            <w:tblPr>
              <w:tblStyle w:val="17"/>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574"/>
              <w:gridCol w:w="1868"/>
              <w:gridCol w:w="1019"/>
              <w:gridCol w:w="1240"/>
              <w:gridCol w:w="2501"/>
            </w:tblGrid>
            <w:tr w14:paraId="32C16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58" w:type="dxa"/>
                  <w:noWrap w:val="0"/>
                  <w:vAlign w:val="center"/>
                </w:tcPr>
                <w:p w14:paraId="68AE632A">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2"/>
                      <w:szCs w:val="22"/>
                    </w:rPr>
                  </w:pPr>
                  <w:r>
                    <w:rPr>
                      <w:color w:val="auto"/>
                      <w:sz w:val="22"/>
                      <w:szCs w:val="22"/>
                    </w:rPr>
                    <w:t>序号</w:t>
                  </w:r>
                </w:p>
              </w:tc>
              <w:tc>
                <w:tcPr>
                  <w:tcW w:w="2442" w:type="dxa"/>
                  <w:gridSpan w:val="2"/>
                  <w:noWrap w:val="0"/>
                  <w:vAlign w:val="center"/>
                </w:tcPr>
                <w:p w14:paraId="77364D2B">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2"/>
                      <w:szCs w:val="22"/>
                    </w:rPr>
                  </w:pPr>
                  <w:r>
                    <w:rPr>
                      <w:color w:val="auto"/>
                      <w:sz w:val="22"/>
                      <w:szCs w:val="22"/>
                    </w:rPr>
                    <w:t>名称</w:t>
                  </w:r>
                </w:p>
              </w:tc>
              <w:tc>
                <w:tcPr>
                  <w:tcW w:w="1019" w:type="dxa"/>
                  <w:noWrap w:val="0"/>
                  <w:vAlign w:val="center"/>
                </w:tcPr>
                <w:p w14:paraId="20889674">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2"/>
                      <w:szCs w:val="22"/>
                    </w:rPr>
                  </w:pPr>
                  <w:r>
                    <w:rPr>
                      <w:color w:val="auto"/>
                      <w:sz w:val="22"/>
                      <w:szCs w:val="22"/>
                    </w:rPr>
                    <w:t>单位</w:t>
                  </w:r>
                </w:p>
              </w:tc>
              <w:tc>
                <w:tcPr>
                  <w:tcW w:w="1240" w:type="dxa"/>
                  <w:noWrap w:val="0"/>
                  <w:vAlign w:val="center"/>
                </w:tcPr>
                <w:p w14:paraId="7AB6DE91">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olor w:val="auto"/>
                      <w:sz w:val="22"/>
                      <w:szCs w:val="22"/>
                    </w:rPr>
                  </w:pPr>
                  <w:r>
                    <w:rPr>
                      <w:rFonts w:hint="eastAsia"/>
                      <w:color w:val="auto"/>
                      <w:sz w:val="22"/>
                      <w:szCs w:val="22"/>
                    </w:rPr>
                    <w:t>指标</w:t>
                  </w:r>
                </w:p>
              </w:tc>
              <w:tc>
                <w:tcPr>
                  <w:tcW w:w="2501" w:type="dxa"/>
                  <w:noWrap w:val="0"/>
                  <w:vAlign w:val="center"/>
                </w:tcPr>
                <w:p w14:paraId="0574A5C3">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2"/>
                      <w:szCs w:val="22"/>
                    </w:rPr>
                  </w:pPr>
                  <w:r>
                    <w:rPr>
                      <w:color w:val="auto"/>
                      <w:sz w:val="22"/>
                      <w:szCs w:val="22"/>
                    </w:rPr>
                    <w:t>备注</w:t>
                  </w:r>
                </w:p>
              </w:tc>
            </w:tr>
            <w:tr w14:paraId="57C96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8" w:type="dxa"/>
                  <w:noWrap w:val="0"/>
                  <w:vAlign w:val="center"/>
                </w:tcPr>
                <w:p w14:paraId="1A49E3AA">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2"/>
                      <w:szCs w:val="22"/>
                    </w:rPr>
                  </w:pPr>
                  <w:r>
                    <w:rPr>
                      <w:color w:val="auto"/>
                      <w:sz w:val="22"/>
                      <w:szCs w:val="22"/>
                    </w:rPr>
                    <w:t>1</w:t>
                  </w:r>
                </w:p>
              </w:tc>
              <w:tc>
                <w:tcPr>
                  <w:tcW w:w="2442" w:type="dxa"/>
                  <w:gridSpan w:val="2"/>
                  <w:noWrap w:val="0"/>
                  <w:vAlign w:val="center"/>
                </w:tcPr>
                <w:p w14:paraId="46D49AA2">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2"/>
                      <w:szCs w:val="22"/>
                    </w:rPr>
                  </w:pPr>
                  <w:r>
                    <w:rPr>
                      <w:rFonts w:hint="eastAsia"/>
                      <w:color w:val="auto"/>
                      <w:sz w:val="22"/>
                      <w:szCs w:val="22"/>
                      <w:lang w:val="en-US" w:eastAsia="zh-CN"/>
                    </w:rPr>
                    <w:t>租赁</w:t>
                  </w:r>
                  <w:r>
                    <w:rPr>
                      <w:color w:val="auto"/>
                      <w:sz w:val="22"/>
                      <w:szCs w:val="22"/>
                    </w:rPr>
                    <w:t>面积</w:t>
                  </w:r>
                </w:p>
              </w:tc>
              <w:tc>
                <w:tcPr>
                  <w:tcW w:w="1019" w:type="dxa"/>
                  <w:noWrap w:val="0"/>
                  <w:vAlign w:val="center"/>
                </w:tcPr>
                <w:p w14:paraId="3397363D">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2"/>
                      <w:szCs w:val="22"/>
                    </w:rPr>
                  </w:pPr>
                  <w:r>
                    <w:rPr>
                      <w:color w:val="auto"/>
                      <w:sz w:val="22"/>
                      <w:szCs w:val="22"/>
                    </w:rPr>
                    <w:t>m</w:t>
                  </w:r>
                  <w:r>
                    <w:rPr>
                      <w:color w:val="auto"/>
                      <w:sz w:val="22"/>
                      <w:szCs w:val="22"/>
                      <w:vertAlign w:val="superscript"/>
                    </w:rPr>
                    <w:t>2</w:t>
                  </w:r>
                </w:p>
              </w:tc>
              <w:tc>
                <w:tcPr>
                  <w:tcW w:w="1240" w:type="dxa"/>
                  <w:noWrap w:val="0"/>
                  <w:vAlign w:val="center"/>
                </w:tcPr>
                <w:p w14:paraId="1A13E43D">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eastAsia="宋体"/>
                      <w:color w:val="auto"/>
                      <w:sz w:val="22"/>
                      <w:szCs w:val="22"/>
                      <w:lang w:val="en-US" w:eastAsia="zh-CN"/>
                    </w:rPr>
                  </w:pPr>
                  <w:r>
                    <w:rPr>
                      <w:rFonts w:hint="default" w:eastAsia="宋体"/>
                      <w:color w:val="auto"/>
                      <w:sz w:val="22"/>
                      <w:szCs w:val="22"/>
                      <w:lang w:val="en-US" w:eastAsia="zh-CN"/>
                    </w:rPr>
                    <w:t>1965.71</w:t>
                  </w:r>
                </w:p>
              </w:tc>
              <w:tc>
                <w:tcPr>
                  <w:tcW w:w="2501" w:type="dxa"/>
                  <w:noWrap w:val="0"/>
                  <w:vAlign w:val="center"/>
                </w:tcPr>
                <w:p w14:paraId="30E38A71">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eastAsia="宋体"/>
                      <w:color w:val="auto"/>
                      <w:sz w:val="22"/>
                      <w:szCs w:val="22"/>
                      <w:lang w:val="en-US" w:eastAsia="zh-CN"/>
                    </w:rPr>
                  </w:pPr>
                  <w:r>
                    <w:rPr>
                      <w:rFonts w:hint="eastAsia"/>
                      <w:color w:val="auto"/>
                      <w:sz w:val="22"/>
                      <w:szCs w:val="22"/>
                    </w:rPr>
                    <w:t>博盟汽车科技</w:t>
                  </w:r>
                  <w:r>
                    <w:rPr>
                      <w:rFonts w:hint="eastAsia"/>
                      <w:color w:val="auto"/>
                      <w:sz w:val="22"/>
                      <w:szCs w:val="22"/>
                      <w:lang w:eastAsia="zh-CN"/>
                    </w:rPr>
                    <w:t>（</w:t>
                  </w:r>
                  <w:r>
                    <w:rPr>
                      <w:rFonts w:hint="eastAsia"/>
                      <w:color w:val="auto"/>
                      <w:sz w:val="22"/>
                      <w:szCs w:val="22"/>
                    </w:rPr>
                    <w:t>重庆</w:t>
                  </w:r>
                  <w:r>
                    <w:rPr>
                      <w:rFonts w:hint="eastAsia"/>
                      <w:color w:val="auto"/>
                      <w:sz w:val="22"/>
                      <w:szCs w:val="22"/>
                      <w:lang w:eastAsia="zh-CN"/>
                    </w:rPr>
                    <w:t>）</w:t>
                  </w:r>
                  <w:r>
                    <w:rPr>
                      <w:rFonts w:hint="eastAsia"/>
                      <w:color w:val="auto"/>
                      <w:sz w:val="22"/>
                      <w:szCs w:val="22"/>
                    </w:rPr>
                    <w:t>有限公司新建3号厂房</w:t>
                  </w:r>
                  <w:r>
                    <w:rPr>
                      <w:rFonts w:hint="eastAsia"/>
                      <w:color w:val="auto"/>
                      <w:sz w:val="22"/>
                      <w:szCs w:val="22"/>
                      <w:lang w:val="en-US" w:eastAsia="zh-CN"/>
                    </w:rPr>
                    <w:t>一层西侧部分区域</w:t>
                  </w:r>
                </w:p>
              </w:tc>
            </w:tr>
            <w:tr w14:paraId="4101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8" w:type="dxa"/>
                  <w:vMerge w:val="restart"/>
                  <w:noWrap w:val="0"/>
                  <w:vAlign w:val="center"/>
                </w:tcPr>
                <w:p w14:paraId="2643DB90">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eastAsia="宋体"/>
                      <w:color w:val="auto"/>
                      <w:sz w:val="22"/>
                      <w:szCs w:val="22"/>
                      <w:lang w:val="en-US" w:eastAsia="zh-CN"/>
                    </w:rPr>
                  </w:pPr>
                  <w:r>
                    <w:rPr>
                      <w:rFonts w:hint="eastAsia"/>
                      <w:color w:val="auto"/>
                      <w:sz w:val="22"/>
                      <w:szCs w:val="22"/>
                      <w:lang w:val="en-US" w:eastAsia="zh-CN"/>
                    </w:rPr>
                    <w:t>2</w:t>
                  </w:r>
                </w:p>
              </w:tc>
              <w:tc>
                <w:tcPr>
                  <w:tcW w:w="574" w:type="dxa"/>
                  <w:vMerge w:val="restart"/>
                  <w:noWrap w:val="0"/>
                  <w:vAlign w:val="center"/>
                </w:tcPr>
                <w:p w14:paraId="1E1A22E2">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2"/>
                      <w:szCs w:val="22"/>
                    </w:rPr>
                  </w:pPr>
                  <w:r>
                    <w:rPr>
                      <w:color w:val="auto"/>
                      <w:sz w:val="22"/>
                      <w:szCs w:val="22"/>
                    </w:rPr>
                    <w:t>产品</w:t>
                  </w:r>
                </w:p>
              </w:tc>
              <w:tc>
                <w:tcPr>
                  <w:tcW w:w="1868" w:type="dxa"/>
                  <w:shd w:val="clear" w:color="auto" w:fill="auto"/>
                  <w:noWrap w:val="0"/>
                  <w:vAlign w:val="center"/>
                </w:tcPr>
                <w:p w14:paraId="60C319A0">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eastAsia" w:cs="Times New Roman"/>
                      <w:color w:val="auto"/>
                      <w:sz w:val="22"/>
                      <w:szCs w:val="22"/>
                      <w:lang w:val="en-US" w:eastAsia="zh-CN"/>
                    </w:rPr>
                    <w:t>玻璃纤维毡</w:t>
                  </w:r>
                </w:p>
              </w:tc>
              <w:tc>
                <w:tcPr>
                  <w:tcW w:w="1019" w:type="dxa"/>
                  <w:noWrap w:val="0"/>
                  <w:vAlign w:val="center"/>
                </w:tcPr>
                <w:p w14:paraId="7295135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ascii="Times New Roman" w:hAnsi="Times New Roman" w:cs="Times New Roman"/>
                      <w:color w:val="auto"/>
                      <w:sz w:val="22"/>
                      <w:szCs w:val="22"/>
                    </w:rPr>
                    <w:t>t/a</w:t>
                  </w:r>
                </w:p>
              </w:tc>
              <w:tc>
                <w:tcPr>
                  <w:tcW w:w="1240" w:type="dxa"/>
                  <w:noWrap w:val="0"/>
                  <w:vAlign w:val="center"/>
                </w:tcPr>
                <w:p w14:paraId="6C20084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22"/>
                      <w:szCs w:val="22"/>
                      <w:lang w:val="en-US" w:eastAsia="zh-CN"/>
                    </w:rPr>
                  </w:pPr>
                  <w:r>
                    <w:rPr>
                      <w:rFonts w:hint="eastAsia" w:ascii="Times New Roman" w:hAnsi="Times New Roman"/>
                      <w:color w:val="auto"/>
                      <w:sz w:val="22"/>
                      <w:szCs w:val="22"/>
                      <w:lang w:val="en-US" w:eastAsia="zh-CN"/>
                    </w:rPr>
                    <w:t>2000</w:t>
                  </w:r>
                </w:p>
              </w:tc>
              <w:tc>
                <w:tcPr>
                  <w:tcW w:w="2501" w:type="dxa"/>
                  <w:noWrap w:val="0"/>
                  <w:vAlign w:val="center"/>
                </w:tcPr>
                <w:p w14:paraId="29342A5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olor w:val="auto"/>
                      <w:sz w:val="22"/>
                      <w:szCs w:val="22"/>
                      <w:lang w:val="en-US" w:eastAsia="zh-CN"/>
                    </w:rPr>
                  </w:pPr>
                  <w:r>
                    <w:rPr>
                      <w:rFonts w:hint="eastAsia" w:ascii="Times New Roman" w:hAnsi="Times New Roman"/>
                      <w:color w:val="auto"/>
                      <w:sz w:val="22"/>
                      <w:szCs w:val="22"/>
                      <w:lang w:val="en-US" w:eastAsia="zh-CN"/>
                    </w:rPr>
                    <w:t>/</w:t>
                  </w:r>
                </w:p>
              </w:tc>
            </w:tr>
            <w:tr w14:paraId="4C91B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8" w:type="dxa"/>
                  <w:vMerge w:val="continue"/>
                  <w:noWrap w:val="0"/>
                  <w:vAlign w:val="center"/>
                </w:tcPr>
                <w:p w14:paraId="60851938">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2"/>
                      <w:szCs w:val="22"/>
                    </w:rPr>
                  </w:pPr>
                </w:p>
              </w:tc>
              <w:tc>
                <w:tcPr>
                  <w:tcW w:w="574" w:type="dxa"/>
                  <w:vMerge w:val="continue"/>
                  <w:noWrap w:val="0"/>
                  <w:vAlign w:val="center"/>
                </w:tcPr>
                <w:p w14:paraId="4EE8DA48">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2"/>
                      <w:szCs w:val="22"/>
                    </w:rPr>
                  </w:pPr>
                </w:p>
              </w:tc>
              <w:tc>
                <w:tcPr>
                  <w:tcW w:w="1868" w:type="dxa"/>
                  <w:shd w:val="clear" w:color="auto" w:fill="auto"/>
                  <w:noWrap w:val="0"/>
                  <w:vAlign w:val="center"/>
                </w:tcPr>
                <w:p w14:paraId="77CAFE36">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2"/>
                      <w:szCs w:val="22"/>
                      <w:lang w:val="en-US" w:eastAsia="zh-CN" w:bidi="ar-SA"/>
                    </w:rPr>
                  </w:pPr>
                  <w:r>
                    <w:rPr>
                      <w:rFonts w:hint="eastAsia" w:ascii="Times New Roman" w:hAnsi="Times New Roman" w:cs="Times New Roman"/>
                      <w:color w:val="auto"/>
                      <w:sz w:val="22"/>
                      <w:szCs w:val="22"/>
                      <w:lang w:val="en-US" w:eastAsia="zh-CN"/>
                    </w:rPr>
                    <w:t>车用纤维隔热片</w:t>
                  </w:r>
                </w:p>
              </w:tc>
              <w:tc>
                <w:tcPr>
                  <w:tcW w:w="1019" w:type="dxa"/>
                  <w:noWrap w:val="0"/>
                  <w:vAlign w:val="center"/>
                </w:tcPr>
                <w:p w14:paraId="21840E1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ascii="Times New Roman" w:hAnsi="Times New Roman" w:cs="Times New Roman"/>
                      <w:color w:val="auto"/>
                      <w:sz w:val="22"/>
                      <w:szCs w:val="22"/>
                    </w:rPr>
                    <w:t>t/a</w:t>
                  </w:r>
                </w:p>
              </w:tc>
              <w:tc>
                <w:tcPr>
                  <w:tcW w:w="1240" w:type="dxa"/>
                  <w:noWrap w:val="0"/>
                  <w:vAlign w:val="center"/>
                </w:tcPr>
                <w:p w14:paraId="1E0BF6B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22"/>
                      <w:szCs w:val="22"/>
                      <w:lang w:val="en-US" w:eastAsia="zh-CN"/>
                    </w:rPr>
                  </w:pPr>
                  <w:r>
                    <w:rPr>
                      <w:rFonts w:hint="eastAsia" w:ascii="Times New Roman" w:hAnsi="Times New Roman"/>
                      <w:color w:val="auto"/>
                      <w:sz w:val="22"/>
                      <w:szCs w:val="22"/>
                      <w:lang w:val="en-US" w:eastAsia="zh-CN"/>
                    </w:rPr>
                    <w:t>1500</w:t>
                  </w:r>
                </w:p>
              </w:tc>
              <w:tc>
                <w:tcPr>
                  <w:tcW w:w="2501" w:type="dxa"/>
                  <w:noWrap w:val="0"/>
                  <w:vAlign w:val="center"/>
                </w:tcPr>
                <w:p w14:paraId="324F4E4A">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olor w:val="auto"/>
                      <w:sz w:val="22"/>
                      <w:szCs w:val="22"/>
                      <w:lang w:val="en-US" w:eastAsia="zh-CN"/>
                    </w:rPr>
                  </w:pPr>
                  <w:r>
                    <w:rPr>
                      <w:rFonts w:hint="eastAsia" w:ascii="Times New Roman" w:hAnsi="Times New Roman"/>
                      <w:color w:val="auto"/>
                      <w:sz w:val="22"/>
                      <w:szCs w:val="22"/>
                      <w:lang w:val="en-US" w:eastAsia="zh-CN"/>
                    </w:rPr>
                    <w:t>/</w:t>
                  </w:r>
                </w:p>
              </w:tc>
            </w:tr>
            <w:tr w14:paraId="4E185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8" w:type="dxa"/>
                  <w:vMerge w:val="continue"/>
                  <w:noWrap w:val="0"/>
                  <w:vAlign w:val="center"/>
                </w:tcPr>
                <w:p w14:paraId="7E25024A">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2"/>
                      <w:szCs w:val="22"/>
                    </w:rPr>
                  </w:pPr>
                </w:p>
              </w:tc>
              <w:tc>
                <w:tcPr>
                  <w:tcW w:w="574" w:type="dxa"/>
                  <w:vMerge w:val="continue"/>
                  <w:noWrap w:val="0"/>
                  <w:vAlign w:val="center"/>
                </w:tcPr>
                <w:p w14:paraId="65DDB03C">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2"/>
                      <w:szCs w:val="22"/>
                    </w:rPr>
                  </w:pPr>
                </w:p>
              </w:tc>
              <w:tc>
                <w:tcPr>
                  <w:tcW w:w="1868" w:type="dxa"/>
                  <w:shd w:val="clear" w:color="auto" w:fill="auto"/>
                  <w:noWrap w:val="0"/>
                  <w:vAlign w:val="center"/>
                </w:tcPr>
                <w:p w14:paraId="06C01818">
                  <w:pPr>
                    <w:keepNext w:val="0"/>
                    <w:keepLines w:val="0"/>
                    <w:pageBreakBefore w:val="0"/>
                    <w:widowControl w:val="0"/>
                    <w:kinsoku w:val="0"/>
                    <w:wordWrap/>
                    <w:overflowPunct w:val="0"/>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2"/>
                      <w:szCs w:val="22"/>
                      <w:lang w:val="en-US" w:eastAsia="zh-CN" w:bidi="ar-SA"/>
                    </w:rPr>
                  </w:pPr>
                  <w:r>
                    <w:rPr>
                      <w:rFonts w:hint="eastAsia" w:ascii="Times New Roman" w:hAnsi="Times New Roman" w:cs="Times New Roman"/>
                      <w:color w:val="auto"/>
                      <w:sz w:val="22"/>
                      <w:szCs w:val="22"/>
                      <w:lang w:val="en-US" w:eastAsia="zh-CN"/>
                    </w:rPr>
                    <w:t>车用消音</w:t>
                  </w:r>
                  <w:r>
                    <w:rPr>
                      <w:rFonts w:hint="eastAsia" w:cs="Times New Roman"/>
                      <w:color w:val="auto"/>
                      <w:sz w:val="22"/>
                      <w:szCs w:val="22"/>
                      <w:lang w:val="en-US" w:eastAsia="zh-CN"/>
                    </w:rPr>
                    <w:t>隔热</w:t>
                  </w:r>
                  <w:r>
                    <w:rPr>
                      <w:rFonts w:hint="eastAsia" w:ascii="Times New Roman" w:hAnsi="Times New Roman" w:cs="Times New Roman"/>
                      <w:color w:val="auto"/>
                      <w:sz w:val="22"/>
                      <w:szCs w:val="22"/>
                      <w:lang w:val="en-US" w:eastAsia="zh-CN"/>
                    </w:rPr>
                    <w:t>棉</w:t>
                  </w:r>
                </w:p>
              </w:tc>
              <w:tc>
                <w:tcPr>
                  <w:tcW w:w="1019" w:type="dxa"/>
                  <w:noWrap w:val="0"/>
                  <w:vAlign w:val="center"/>
                </w:tcPr>
                <w:p w14:paraId="1EDA3DD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2"/>
                      <w:szCs w:val="22"/>
                    </w:rPr>
                  </w:pPr>
                  <w:r>
                    <w:rPr>
                      <w:rFonts w:ascii="Times New Roman" w:hAnsi="Times New Roman" w:cs="Times New Roman"/>
                      <w:color w:val="auto"/>
                      <w:sz w:val="22"/>
                      <w:szCs w:val="22"/>
                    </w:rPr>
                    <w:t>t/a</w:t>
                  </w:r>
                </w:p>
              </w:tc>
              <w:tc>
                <w:tcPr>
                  <w:tcW w:w="1240" w:type="dxa"/>
                  <w:noWrap w:val="0"/>
                  <w:vAlign w:val="center"/>
                </w:tcPr>
                <w:p w14:paraId="6F729E3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22"/>
                      <w:szCs w:val="22"/>
                      <w:lang w:val="en-US" w:eastAsia="zh-CN"/>
                    </w:rPr>
                  </w:pPr>
                  <w:r>
                    <w:rPr>
                      <w:rFonts w:hint="eastAsia" w:ascii="Times New Roman" w:hAnsi="Times New Roman"/>
                      <w:color w:val="auto"/>
                      <w:sz w:val="22"/>
                      <w:szCs w:val="22"/>
                      <w:lang w:val="en-US" w:eastAsia="zh-CN"/>
                    </w:rPr>
                    <w:t>1500</w:t>
                  </w:r>
                </w:p>
              </w:tc>
              <w:tc>
                <w:tcPr>
                  <w:tcW w:w="2501" w:type="dxa"/>
                  <w:noWrap w:val="0"/>
                  <w:vAlign w:val="center"/>
                </w:tcPr>
                <w:p w14:paraId="4092743B">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olor w:val="auto"/>
                      <w:sz w:val="22"/>
                      <w:szCs w:val="22"/>
                      <w:lang w:val="en-US" w:eastAsia="zh-CN"/>
                    </w:rPr>
                  </w:pPr>
                  <w:r>
                    <w:rPr>
                      <w:rFonts w:hint="eastAsia" w:ascii="Times New Roman" w:hAnsi="Times New Roman"/>
                      <w:color w:val="auto"/>
                      <w:sz w:val="22"/>
                      <w:szCs w:val="22"/>
                      <w:lang w:val="en-US" w:eastAsia="zh-CN"/>
                    </w:rPr>
                    <w:t>/</w:t>
                  </w:r>
                </w:p>
              </w:tc>
            </w:tr>
            <w:tr w14:paraId="47B3E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8" w:type="dxa"/>
                  <w:noWrap w:val="0"/>
                  <w:vAlign w:val="center"/>
                </w:tcPr>
                <w:p w14:paraId="788398E3">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eastAsia="宋体"/>
                      <w:color w:val="auto"/>
                      <w:sz w:val="22"/>
                      <w:szCs w:val="22"/>
                      <w:lang w:val="en-US" w:eastAsia="zh-CN"/>
                    </w:rPr>
                  </w:pPr>
                  <w:r>
                    <w:rPr>
                      <w:rFonts w:hint="eastAsia"/>
                      <w:color w:val="auto"/>
                      <w:sz w:val="22"/>
                      <w:szCs w:val="22"/>
                      <w:lang w:val="en-US" w:eastAsia="zh-CN"/>
                    </w:rPr>
                    <w:t>3</w:t>
                  </w:r>
                </w:p>
              </w:tc>
              <w:tc>
                <w:tcPr>
                  <w:tcW w:w="2442" w:type="dxa"/>
                  <w:gridSpan w:val="2"/>
                  <w:noWrap w:val="0"/>
                  <w:vAlign w:val="center"/>
                </w:tcPr>
                <w:p w14:paraId="7AC1D3F6">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2"/>
                      <w:szCs w:val="22"/>
                    </w:rPr>
                  </w:pPr>
                  <w:r>
                    <w:rPr>
                      <w:color w:val="auto"/>
                      <w:sz w:val="22"/>
                      <w:szCs w:val="22"/>
                    </w:rPr>
                    <w:t>劳动定员</w:t>
                  </w:r>
                </w:p>
              </w:tc>
              <w:tc>
                <w:tcPr>
                  <w:tcW w:w="1019" w:type="dxa"/>
                  <w:noWrap w:val="0"/>
                  <w:vAlign w:val="center"/>
                </w:tcPr>
                <w:p w14:paraId="7E72FA58">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2"/>
                      <w:szCs w:val="22"/>
                    </w:rPr>
                  </w:pPr>
                  <w:r>
                    <w:rPr>
                      <w:color w:val="auto"/>
                      <w:sz w:val="22"/>
                      <w:szCs w:val="22"/>
                    </w:rPr>
                    <w:t>人</w:t>
                  </w:r>
                </w:p>
              </w:tc>
              <w:tc>
                <w:tcPr>
                  <w:tcW w:w="1240" w:type="dxa"/>
                  <w:noWrap w:val="0"/>
                  <w:vAlign w:val="center"/>
                </w:tcPr>
                <w:p w14:paraId="1ABDBB8C">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eastAsia="宋体"/>
                      <w:color w:val="auto"/>
                      <w:sz w:val="22"/>
                      <w:szCs w:val="22"/>
                      <w:lang w:val="en-US" w:eastAsia="zh-CN"/>
                    </w:rPr>
                  </w:pPr>
                  <w:r>
                    <w:rPr>
                      <w:rFonts w:hint="eastAsia"/>
                      <w:color w:val="auto"/>
                      <w:sz w:val="22"/>
                      <w:szCs w:val="22"/>
                      <w:lang w:val="en-US" w:eastAsia="zh-CN"/>
                    </w:rPr>
                    <w:t>20</w:t>
                  </w:r>
                </w:p>
              </w:tc>
              <w:tc>
                <w:tcPr>
                  <w:tcW w:w="2501" w:type="dxa"/>
                  <w:noWrap w:val="0"/>
                  <w:vAlign w:val="center"/>
                </w:tcPr>
                <w:p w14:paraId="0B09D6E7">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eastAsia="宋体"/>
                      <w:color w:val="auto"/>
                      <w:sz w:val="22"/>
                      <w:szCs w:val="22"/>
                      <w:lang w:val="en-US" w:eastAsia="zh-CN"/>
                    </w:rPr>
                  </w:pPr>
                  <w:r>
                    <w:rPr>
                      <w:rFonts w:hint="eastAsia"/>
                      <w:color w:val="auto"/>
                      <w:sz w:val="22"/>
                      <w:szCs w:val="22"/>
                      <w:lang w:val="en-US" w:eastAsia="zh-CN"/>
                    </w:rPr>
                    <w:t>不提供食宿</w:t>
                  </w:r>
                </w:p>
              </w:tc>
            </w:tr>
            <w:tr w14:paraId="04CE5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8" w:type="dxa"/>
                  <w:noWrap w:val="0"/>
                  <w:vAlign w:val="center"/>
                </w:tcPr>
                <w:p w14:paraId="401CD12F">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eastAsia="宋体"/>
                      <w:color w:val="auto"/>
                      <w:sz w:val="22"/>
                      <w:szCs w:val="22"/>
                      <w:lang w:val="en-US" w:eastAsia="zh-CN"/>
                    </w:rPr>
                  </w:pPr>
                  <w:r>
                    <w:rPr>
                      <w:rFonts w:hint="eastAsia"/>
                      <w:color w:val="auto"/>
                      <w:sz w:val="22"/>
                      <w:szCs w:val="22"/>
                      <w:lang w:val="en-US" w:eastAsia="zh-CN"/>
                    </w:rPr>
                    <w:t>4</w:t>
                  </w:r>
                </w:p>
              </w:tc>
              <w:tc>
                <w:tcPr>
                  <w:tcW w:w="2442" w:type="dxa"/>
                  <w:gridSpan w:val="2"/>
                  <w:noWrap w:val="0"/>
                  <w:vAlign w:val="center"/>
                </w:tcPr>
                <w:p w14:paraId="516BBEAA">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2"/>
                      <w:szCs w:val="22"/>
                    </w:rPr>
                  </w:pPr>
                  <w:r>
                    <w:rPr>
                      <w:color w:val="auto"/>
                      <w:sz w:val="22"/>
                      <w:szCs w:val="22"/>
                    </w:rPr>
                    <w:t>工作时间</w:t>
                  </w:r>
                </w:p>
              </w:tc>
              <w:tc>
                <w:tcPr>
                  <w:tcW w:w="1019" w:type="dxa"/>
                  <w:noWrap w:val="0"/>
                  <w:vAlign w:val="center"/>
                </w:tcPr>
                <w:p w14:paraId="37D25CF0">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2"/>
                      <w:szCs w:val="22"/>
                    </w:rPr>
                  </w:pPr>
                  <w:r>
                    <w:rPr>
                      <w:color w:val="auto"/>
                      <w:sz w:val="22"/>
                      <w:szCs w:val="22"/>
                    </w:rPr>
                    <w:t>天</w:t>
                  </w:r>
                </w:p>
              </w:tc>
              <w:tc>
                <w:tcPr>
                  <w:tcW w:w="1240" w:type="dxa"/>
                  <w:noWrap w:val="0"/>
                  <w:vAlign w:val="center"/>
                </w:tcPr>
                <w:p w14:paraId="4EC4729A">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eastAsia="宋体"/>
                      <w:color w:val="auto"/>
                      <w:sz w:val="22"/>
                      <w:szCs w:val="22"/>
                      <w:lang w:val="en-US" w:eastAsia="zh-CN"/>
                    </w:rPr>
                  </w:pPr>
                  <w:r>
                    <w:rPr>
                      <w:rFonts w:hint="eastAsia"/>
                      <w:color w:val="auto"/>
                      <w:sz w:val="22"/>
                      <w:szCs w:val="22"/>
                      <w:lang w:val="en-US" w:eastAsia="zh-CN"/>
                    </w:rPr>
                    <w:t>300</w:t>
                  </w:r>
                </w:p>
              </w:tc>
              <w:tc>
                <w:tcPr>
                  <w:tcW w:w="2501" w:type="dxa"/>
                  <w:noWrap w:val="0"/>
                  <w:vAlign w:val="center"/>
                </w:tcPr>
                <w:p w14:paraId="0EC87D56">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eastAsia="宋体"/>
                      <w:color w:val="auto"/>
                      <w:sz w:val="22"/>
                      <w:szCs w:val="22"/>
                      <w:lang w:val="en-US" w:eastAsia="zh-CN"/>
                    </w:rPr>
                  </w:pPr>
                  <w:r>
                    <w:rPr>
                      <w:rFonts w:hint="eastAsia"/>
                      <w:color w:val="auto"/>
                      <w:sz w:val="22"/>
                      <w:szCs w:val="22"/>
                      <w:lang w:val="en-US" w:eastAsia="zh-CN"/>
                    </w:rPr>
                    <w:t>两班制，8h/班</w:t>
                  </w:r>
                </w:p>
              </w:tc>
            </w:tr>
            <w:tr w14:paraId="4BFBB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8" w:type="dxa"/>
                  <w:noWrap w:val="0"/>
                  <w:vAlign w:val="center"/>
                </w:tcPr>
                <w:p w14:paraId="7F38337C">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eastAsia="宋体"/>
                      <w:color w:val="auto"/>
                      <w:sz w:val="22"/>
                      <w:szCs w:val="22"/>
                      <w:lang w:val="en-US" w:eastAsia="zh-CN"/>
                    </w:rPr>
                  </w:pPr>
                  <w:r>
                    <w:rPr>
                      <w:rFonts w:hint="eastAsia"/>
                      <w:color w:val="auto"/>
                      <w:sz w:val="22"/>
                      <w:szCs w:val="22"/>
                      <w:lang w:val="en-US" w:eastAsia="zh-CN"/>
                    </w:rPr>
                    <w:t>5</w:t>
                  </w:r>
                </w:p>
              </w:tc>
              <w:tc>
                <w:tcPr>
                  <w:tcW w:w="2442" w:type="dxa"/>
                  <w:gridSpan w:val="2"/>
                  <w:noWrap w:val="0"/>
                  <w:vAlign w:val="center"/>
                </w:tcPr>
                <w:p w14:paraId="469963B4">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2"/>
                      <w:szCs w:val="22"/>
                    </w:rPr>
                  </w:pPr>
                  <w:r>
                    <w:rPr>
                      <w:color w:val="auto"/>
                      <w:sz w:val="22"/>
                      <w:szCs w:val="22"/>
                    </w:rPr>
                    <w:t>总投资</w:t>
                  </w:r>
                </w:p>
              </w:tc>
              <w:tc>
                <w:tcPr>
                  <w:tcW w:w="1019" w:type="dxa"/>
                  <w:noWrap w:val="0"/>
                  <w:vAlign w:val="center"/>
                </w:tcPr>
                <w:p w14:paraId="300EC06C">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2"/>
                      <w:szCs w:val="22"/>
                    </w:rPr>
                  </w:pPr>
                  <w:r>
                    <w:rPr>
                      <w:color w:val="auto"/>
                      <w:sz w:val="22"/>
                      <w:szCs w:val="22"/>
                    </w:rPr>
                    <w:t>万元</w:t>
                  </w:r>
                </w:p>
              </w:tc>
              <w:tc>
                <w:tcPr>
                  <w:tcW w:w="1240" w:type="dxa"/>
                  <w:noWrap w:val="0"/>
                  <w:vAlign w:val="center"/>
                </w:tcPr>
                <w:p w14:paraId="38276F8B">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2"/>
                      <w:szCs w:val="22"/>
                    </w:rPr>
                  </w:pPr>
                  <w:r>
                    <w:rPr>
                      <w:rFonts w:hint="eastAsia"/>
                      <w:color w:val="auto"/>
                      <w:sz w:val="22"/>
                      <w:szCs w:val="22"/>
                      <w:lang w:val="en-US" w:eastAsia="zh-CN"/>
                    </w:rPr>
                    <w:t>5</w:t>
                  </w:r>
                  <w:r>
                    <w:rPr>
                      <w:rFonts w:hint="eastAsia"/>
                      <w:color w:val="auto"/>
                      <w:sz w:val="22"/>
                      <w:szCs w:val="22"/>
                    </w:rPr>
                    <w:t>00</w:t>
                  </w:r>
                </w:p>
              </w:tc>
              <w:tc>
                <w:tcPr>
                  <w:tcW w:w="2501" w:type="dxa"/>
                  <w:noWrap w:val="0"/>
                  <w:vAlign w:val="center"/>
                </w:tcPr>
                <w:p w14:paraId="380EA542">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2"/>
                      <w:szCs w:val="22"/>
                    </w:rPr>
                  </w:pPr>
                  <w:r>
                    <w:rPr>
                      <w:color w:val="auto"/>
                      <w:sz w:val="22"/>
                      <w:szCs w:val="22"/>
                      <w:highlight w:val="none"/>
                    </w:rPr>
                    <w:t>其中环保投资</w:t>
                  </w:r>
                  <w:r>
                    <w:rPr>
                      <w:rFonts w:hint="eastAsia"/>
                      <w:color w:val="auto"/>
                      <w:sz w:val="22"/>
                      <w:szCs w:val="22"/>
                      <w:highlight w:val="none"/>
                      <w:lang w:val="en-US" w:eastAsia="zh-CN"/>
                    </w:rPr>
                    <w:t>10万元</w:t>
                  </w:r>
                </w:p>
              </w:tc>
            </w:tr>
          </w:tbl>
          <w:p w14:paraId="2937D686">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rFonts w:hint="default" w:cs="Times New Roman"/>
                <w:b w:val="0"/>
                <w:bCs w:val="0"/>
                <w:color w:val="auto"/>
                <w:sz w:val="26"/>
                <w:szCs w:val="26"/>
                <w:highlight w:val="none"/>
                <w:lang w:val="en-US" w:eastAsia="zh-CN"/>
              </w:rPr>
            </w:pPr>
          </w:p>
        </w:tc>
      </w:tr>
      <w:tr w14:paraId="79834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399" w:type="dxa"/>
            <w:vAlign w:val="center"/>
          </w:tcPr>
          <w:p w14:paraId="649AC2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lang w:val="en-US" w:eastAsia="zh-CN"/>
              </w:rPr>
            </w:pPr>
            <w:r>
              <w:rPr>
                <w:rFonts w:hint="eastAsia"/>
                <w:color w:val="auto"/>
                <w:lang w:val="en-US" w:eastAsia="zh-CN"/>
              </w:rPr>
              <w:t>工艺流程和产排污环节</w:t>
            </w:r>
          </w:p>
        </w:tc>
        <w:tc>
          <w:tcPr>
            <w:tcW w:w="8123" w:type="dxa"/>
            <w:vAlign w:val="top"/>
          </w:tcPr>
          <w:p w14:paraId="34F634BB">
            <w:pPr>
              <w:pStyle w:val="3"/>
              <w:keepNext/>
              <w:keepLines/>
              <w:pageBreakBefore w:val="0"/>
              <w:widowControl w:val="0"/>
              <w:kinsoku/>
              <w:wordWrap/>
              <w:overflowPunct/>
              <w:topLinePunct w:val="0"/>
              <w:autoSpaceDE/>
              <w:autoSpaceDN/>
              <w:bidi w:val="0"/>
              <w:adjustRightInd/>
              <w:snapToGrid/>
              <w:spacing w:beforeLines="0" w:afterLines="0" w:line="460" w:lineRule="exact"/>
              <w:textAlignment w:val="auto"/>
              <w:rPr>
                <w:rFonts w:hint="eastAsia"/>
                <w:color w:val="auto"/>
                <w:sz w:val="26"/>
                <w:szCs w:val="26"/>
                <w:lang w:val="en-US" w:eastAsia="zh-CN"/>
              </w:rPr>
            </w:pPr>
            <w:r>
              <w:rPr>
                <w:rFonts w:hint="eastAsia"/>
                <w:color w:val="auto"/>
                <w:sz w:val="26"/>
                <w:szCs w:val="26"/>
                <w:lang w:val="en-US" w:eastAsia="zh-CN"/>
              </w:rPr>
              <w:t>2.2工艺流程和产排污环节</w:t>
            </w:r>
          </w:p>
          <w:p w14:paraId="1BFF42D9">
            <w:pPr>
              <w:pStyle w:val="4"/>
              <w:keepNext/>
              <w:keepLines/>
              <w:pageBreakBefore w:val="0"/>
              <w:widowControl w:val="0"/>
              <w:kinsoku/>
              <w:wordWrap/>
              <w:overflowPunct/>
              <w:topLinePunct w:val="0"/>
              <w:autoSpaceDE/>
              <w:autoSpaceDN/>
              <w:bidi w:val="0"/>
              <w:adjustRightInd/>
              <w:snapToGrid/>
              <w:spacing w:beforeLines="0" w:afterLines="0" w:line="460" w:lineRule="exact"/>
              <w:textAlignment w:val="auto"/>
              <w:rPr>
                <w:rFonts w:hint="eastAsia"/>
                <w:color w:val="auto"/>
                <w:sz w:val="26"/>
                <w:szCs w:val="26"/>
                <w:lang w:val="en-US" w:eastAsia="zh-CN"/>
              </w:rPr>
            </w:pPr>
            <w:r>
              <w:rPr>
                <w:rFonts w:hint="eastAsia"/>
                <w:color w:val="auto"/>
                <w:sz w:val="26"/>
                <w:szCs w:val="26"/>
                <w:lang w:val="en-US" w:eastAsia="zh-CN"/>
              </w:rPr>
              <w:t>2.2.1施工期</w:t>
            </w:r>
          </w:p>
          <w:p w14:paraId="6CCA4B09">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本项目新建厂区，施工内容主要包括</w:t>
            </w:r>
            <w:r>
              <w:rPr>
                <w:rFonts w:hint="eastAsia" w:cs="Times New Roman"/>
                <w:color w:val="auto"/>
                <w:sz w:val="26"/>
                <w:szCs w:val="26"/>
                <w:lang w:val="en-US" w:eastAsia="zh-CN"/>
              </w:rPr>
              <w:t>装修和</w:t>
            </w:r>
            <w:r>
              <w:rPr>
                <w:rFonts w:hint="eastAsia" w:ascii="Times New Roman" w:hAnsi="Times New Roman" w:eastAsia="宋体" w:cs="Times New Roman"/>
                <w:color w:val="auto"/>
                <w:sz w:val="26"/>
                <w:szCs w:val="26"/>
                <w:lang w:val="en-US" w:eastAsia="zh-CN"/>
              </w:rPr>
              <w:t>设备安装</w:t>
            </w:r>
            <w:r>
              <w:rPr>
                <w:rFonts w:hint="eastAsia" w:cs="Times New Roman"/>
                <w:color w:val="auto"/>
                <w:sz w:val="26"/>
                <w:szCs w:val="26"/>
                <w:lang w:val="en-US" w:eastAsia="zh-CN"/>
              </w:rPr>
              <w:t>，</w:t>
            </w:r>
            <w:r>
              <w:rPr>
                <w:rFonts w:hint="eastAsia" w:ascii="Times New Roman" w:hAnsi="Times New Roman" w:eastAsia="宋体" w:cs="Times New Roman"/>
                <w:color w:val="auto"/>
                <w:sz w:val="26"/>
                <w:szCs w:val="26"/>
                <w:lang w:val="en-US" w:eastAsia="zh-CN"/>
              </w:rPr>
              <w:t>主要施工工序及产污环节示意图</w:t>
            </w:r>
            <w:r>
              <w:rPr>
                <w:rFonts w:hint="eastAsia" w:cs="Times New Roman"/>
                <w:color w:val="auto"/>
                <w:sz w:val="26"/>
                <w:szCs w:val="26"/>
                <w:lang w:val="en-US" w:eastAsia="zh-CN"/>
              </w:rPr>
              <w:t>2.2</w:t>
            </w:r>
            <w:r>
              <w:rPr>
                <w:rFonts w:hint="eastAsia" w:ascii="Times New Roman" w:hAnsi="Times New Roman" w:eastAsia="宋体" w:cs="Times New Roman"/>
                <w:color w:val="auto"/>
                <w:sz w:val="26"/>
                <w:szCs w:val="26"/>
                <w:lang w:val="en-US" w:eastAsia="zh-CN"/>
              </w:rPr>
              <w:t>-1。</w:t>
            </w:r>
          </w:p>
          <w:p w14:paraId="37D1F922">
            <w:pPr>
              <w:pStyle w:val="27"/>
              <w:bidi w:val="0"/>
              <w:rPr>
                <w:rFonts w:hint="eastAsia" w:ascii="Times New Roman" w:hAnsi="Times New Roman" w:eastAsia="宋体" w:cs="Times New Roman"/>
                <w:color w:val="auto"/>
                <w:kern w:val="2"/>
                <w:sz w:val="26"/>
                <w:szCs w:val="26"/>
                <w:lang w:val="en-US" w:eastAsia="zh-CN" w:bidi="ar-SA"/>
              </w:rPr>
            </w:pPr>
            <w:r>
              <w:rPr>
                <w:rFonts w:hint="default" w:ascii="Times New Roman" w:hAnsi="Times New Roman" w:eastAsia="宋体" w:cs="Times New Roman"/>
                <w:color w:val="auto"/>
                <w:kern w:val="2"/>
                <w:sz w:val="26"/>
                <w:szCs w:val="26"/>
                <w:lang w:val="en-US" w:eastAsia="zh-CN" w:bidi="ar-SA"/>
              </w:rPr>
              <mc:AlternateContent>
                <mc:Choice Requires="wpg">
                  <w:drawing>
                    <wp:anchor distT="0" distB="0" distL="114300" distR="114300" simplePos="0" relativeHeight="251660288" behindDoc="0" locked="0" layoutInCell="1" allowOverlap="1">
                      <wp:simplePos x="0" y="0"/>
                      <wp:positionH relativeFrom="column">
                        <wp:posOffset>452755</wp:posOffset>
                      </wp:positionH>
                      <wp:positionV relativeFrom="paragraph">
                        <wp:posOffset>98425</wp:posOffset>
                      </wp:positionV>
                      <wp:extent cx="4014470" cy="1289685"/>
                      <wp:effectExtent l="0" t="0" r="5080" b="0"/>
                      <wp:wrapTopAndBottom/>
                      <wp:docPr id="1" name="组合 1"/>
                      <wp:cNvGraphicFramePr/>
                      <a:graphic xmlns:a="http://schemas.openxmlformats.org/drawingml/2006/main">
                        <a:graphicData uri="http://schemas.microsoft.com/office/word/2010/wordprocessingGroup">
                          <wpg:wgp>
                            <wpg:cNvGrpSpPr/>
                            <wpg:grpSpPr>
                              <a:xfrm>
                                <a:off x="0" y="0"/>
                                <a:ext cx="4014470" cy="1289387"/>
                                <a:chOff x="8364" y="29097"/>
                                <a:chExt cx="5299" cy="2280"/>
                              </a:xfrm>
                            </wpg:grpSpPr>
                            <wps:wsp>
                              <wps:cNvPr id="6" name="文本框 117"/>
                              <wps:cNvSpPr txBox="1"/>
                              <wps:spPr>
                                <a:xfrm>
                                  <a:off x="12219" y="29919"/>
                                  <a:ext cx="1444" cy="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20BAE44">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竣工验收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文本框 118"/>
                              <wps:cNvSpPr txBox="1"/>
                              <wps:spPr>
                                <a:xfrm>
                                  <a:off x="10320" y="29916"/>
                                  <a:ext cx="1444" cy="50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3F75731">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设备安装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 name="文本框 119"/>
                              <wps:cNvSpPr txBox="1"/>
                              <wps:spPr>
                                <a:xfrm>
                                  <a:off x="8459" y="29930"/>
                                  <a:ext cx="1445" cy="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1CE9B49">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装修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 name="文本框 122"/>
                              <wps:cNvSpPr txBox="1"/>
                              <wps:spPr>
                                <a:xfrm>
                                  <a:off x="10381" y="29121"/>
                                  <a:ext cx="1296" cy="48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A9CD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文本框 123"/>
                              <wps:cNvSpPr txBox="1"/>
                              <wps:spPr>
                                <a:xfrm>
                                  <a:off x="8364" y="29097"/>
                                  <a:ext cx="1631" cy="50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89E0D2">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cs="Times New Roman" w:eastAsiaTheme="minorEastAsia"/>
                                        <w:lang w:val="en-US" w:eastAsia="zh-CN"/>
                                      </w:rPr>
                                    </w:pPr>
                                    <w:r>
                                      <w:rPr>
                                        <w:rFonts w:hint="eastAsia" w:ascii="Times New Roman" w:hAnsi="Times New Roman" w:cs="Times New Roman"/>
                                        <w:sz w:val="21"/>
                                        <w:szCs w:val="21"/>
                                        <w:lang w:val="en-US" w:eastAsia="zh-CN"/>
                                      </w:rPr>
                                      <w:t>噪声、废气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文本框 128"/>
                              <wps:cNvSpPr txBox="1"/>
                              <wps:spPr>
                                <a:xfrm>
                                  <a:off x="8471" y="30842"/>
                                  <a:ext cx="1445" cy="5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334A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直接箭头连接符 133"/>
                              <wps:cNvCnPr>
                                <a:stCxn id="119" idx="3"/>
                                <a:endCxn id="118" idx="1"/>
                              </wps:cNvCnPr>
                              <wps:spPr>
                                <a:xfrm>
                                  <a:off x="9903" y="30165"/>
                                  <a:ext cx="416" cy="3"/>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4" name="直接箭头连接符 134"/>
                              <wps:cNvCnPr>
                                <a:stCxn id="118" idx="3"/>
                                <a:endCxn id="117" idx="1"/>
                              </wps:cNvCnPr>
                              <wps:spPr>
                                <a:xfrm flipV="1">
                                  <a:off x="11764" y="30162"/>
                                  <a:ext cx="455" cy="6"/>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1" name="直接箭头连接符 141"/>
                              <wps:cNvCnPr>
                                <a:stCxn id="119" idx="2"/>
                                <a:endCxn id="128" idx="0"/>
                              </wps:cNvCnPr>
                              <wps:spPr>
                                <a:xfrm>
                                  <a:off x="9182" y="30380"/>
                                  <a:ext cx="12" cy="462"/>
                                </a:xfrm>
                                <a:prstGeom prst="straightConnector1">
                                  <a:avLst/>
                                </a:prstGeom>
                                <a:ln w="12700" cmpd="sng">
                                  <a:solidFill>
                                    <a:schemeClr val="tx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wps:wsp>
                              <wps:cNvPr id="32" name="直接箭头连接符 142"/>
                              <wps:cNvCnPr>
                                <a:stCxn id="119" idx="0"/>
                                <a:endCxn id="123" idx="2"/>
                              </wps:cNvCnPr>
                              <wps:spPr>
                                <a:xfrm flipH="1" flipV="1">
                                  <a:off x="9180" y="29606"/>
                                  <a:ext cx="1" cy="344"/>
                                </a:xfrm>
                                <a:prstGeom prst="straightConnector1">
                                  <a:avLst/>
                                </a:prstGeom>
                                <a:ln w="12700" cmpd="sng">
                                  <a:solidFill>
                                    <a:schemeClr val="tx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wps:wsp>
                              <wps:cNvPr id="33" name="直接箭头连接符 143"/>
                              <wps:cNvCnPr>
                                <a:stCxn id="7" idx="0"/>
                                <a:endCxn id="11" idx="2"/>
                              </wps:cNvCnPr>
                              <wps:spPr>
                                <a:xfrm flipH="1" flipV="1">
                                  <a:off x="11029" y="29602"/>
                                  <a:ext cx="12" cy="314"/>
                                </a:xfrm>
                                <a:prstGeom prst="straightConnector1">
                                  <a:avLst/>
                                </a:prstGeom>
                                <a:ln w="12700" cmpd="sng">
                                  <a:solidFill>
                                    <a:schemeClr val="tx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5.65pt;margin-top:7.75pt;height:101.55pt;width:316.1pt;mso-wrap-distance-bottom:0pt;mso-wrap-distance-top:0pt;z-index:251660288;mso-width-relative:page;mso-height-relative:page;" coordorigin="8364,29097" coordsize="5299,2280" o:gfxdata="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">
                      <o:lock v:ext="edit" aspectratio="f"/>
                      <v:shape id="文本框 117" o:spid="_x0000_s1026" o:spt="202" type="#_x0000_t202" style="position:absolute;left:12219;top:29919;height:485;width:1444;" fillcolor="#FFFFFF [3201]" filled="t" stroked="t" coordsize="21600,21600" o:gfxdata="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nLMBy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420BAE44">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竣工验收</w:t>
                              </w:r>
                            </w:p>
                          </w:txbxContent>
                        </v:textbox>
                      </v:shape>
                      <v:shape id="文本框 118" o:spid="_x0000_s1026" o:spt="202" type="#_x0000_t202" style="position:absolute;left:10320;top:29916;height:504;width:1444;" fillcolor="#FFFFFF [3201]" filled="t" stroked="t" coordsize="21600,21600" o:gfxdata="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aHlYe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53F75731">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设备安装</w:t>
                              </w:r>
                            </w:p>
                          </w:txbxContent>
                        </v:textbox>
                      </v:shape>
                      <v:shape id="文本框 119" o:spid="_x0000_s1026" o:spt="202" type="#_x0000_t202" style="position:absolute;left:8459;top:29930;height:450;width:1445;" fillcolor="#FFFFFF [3201]" filled="t" stroked="t" coordsize="21600,21600" o:gfxdata="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PcYAfWzAAAA2gAAAA8AAAAA&#10;AAAAAQAgAAAAIgAAAGRycy9kb3ducmV2LnhtbFBLAQIUABQAAAAIAIdO4kAzLwWeOwAAADkAAAAQ&#10;AAAAAAAAAAEAIAAAAAIBAABkcnMvc2hhcGV4bWwueG1sUEsFBgAAAAAGAAYAWwEAAKwDAAAAAA==&#10;">
                        <v:fill on="t" focussize="0,0"/>
                        <v:stroke weight="0.5pt" color="#000000 [3204]" joinstyle="round"/>
                        <v:imagedata o:title=""/>
                        <o:lock v:ext="edit" aspectratio="f"/>
                        <v:textbox>
                          <w:txbxContent>
                            <w:p w14:paraId="01CE9B49">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装修</w:t>
                              </w:r>
                            </w:p>
                          </w:txbxContent>
                        </v:textbox>
                      </v:shape>
                      <v:shape id="文本框 122" o:spid="_x0000_s1026" o:spt="202" type="#_x0000_t202" style="position:absolute;left:10381;top:29121;height:481;width:1296;" filled="f" stroked="f" coordsize="21600,21600" o:gfxdata="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Ow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4CA9CD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噪声</w:t>
                              </w:r>
                            </w:p>
                          </w:txbxContent>
                        </v:textbox>
                      </v:shape>
                      <v:shape id="文本框 123" o:spid="_x0000_s1026" o:spt="202" type="#_x0000_t202" style="position:absolute;left:8364;top:29097;height:508;width:1631;" filled="f" stroked="f" coordsize="21600,21600" o:gfxdata="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unJs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14:paraId="5E89E0D2">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cs="Times New Roman" w:eastAsiaTheme="minorEastAsia"/>
                                  <w:lang w:val="en-US" w:eastAsia="zh-CN"/>
                                </w:rPr>
                              </w:pPr>
                              <w:r>
                                <w:rPr>
                                  <w:rFonts w:hint="eastAsia" w:ascii="Times New Roman" w:hAnsi="Times New Roman" w:cs="Times New Roman"/>
                                  <w:sz w:val="21"/>
                                  <w:szCs w:val="21"/>
                                  <w:lang w:val="en-US" w:eastAsia="zh-CN"/>
                                </w:rPr>
                                <w:t>噪声、废气</w:t>
                              </w:r>
                            </w:p>
                          </w:txbxContent>
                        </v:textbox>
                      </v:shape>
                      <v:shape id="文本框 128" o:spid="_x0000_s1026" o:spt="202" type="#_x0000_t202" style="position:absolute;left:8471;top:30842;height:535;width:1445;" filled="f" stroked="f" coordsize="21600,21600" o:gfxdata="UEsDBAoAAAAAAIdO4kAAAAAAAAAAAAAAAAAEAAAAZHJzL1BLAwQUAAAACACHTuJANVJFhr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sDK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SRY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10334A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废水</w:t>
                              </w:r>
                            </w:p>
                          </w:txbxContent>
                        </v:textbox>
                      </v:shape>
                      <v:shape id="直接箭头连接符 133" o:spid="_x0000_s1026" o:spt="32" type="#_x0000_t32" style="position:absolute;left:9903;top:30165;height:3;width:416;" filled="f" stroked="t" coordsize="21600,21600" o:gfxdata="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RCJK8AAAA&#10;2wAAAA8AAAAAAAAAAQAgAAAAIgAAAGRycy9kb3ducmV2LnhtbFBLAQIUABQAAAAIAIdO4kAzLwWe&#10;OwAAADkAAAAQAAAAAAAAAAEAIAAAAAsBAABkcnMvc2hhcGV4bWwueG1sUEsFBgAAAAAGAAYAWwEA&#10;ALUDAAAAAA==&#10;">
                        <v:fill on="f" focussize="0,0"/>
                        <v:stroke weight="1pt" color="#000000 [3200]" miterlimit="8" joinstyle="miter" endarrow="open"/>
                        <v:imagedata o:title=""/>
                        <o:lock v:ext="edit" aspectratio="f"/>
                      </v:shape>
                      <v:shape id="直接箭头连接符 134" o:spid="_x0000_s1026" o:spt="32" type="#_x0000_t32" style="position:absolute;left:11764;top:30162;flip:y;height:6;width:455;" filled="f" stroked="t" coordsize="21600,21600" o:gfxdata="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bhwm/&#10;AAAA2wAAAA8AAAAAAAAAAQAgAAAAIgAAAGRycy9kb3ducmV2LnhtbFBLAQIUABQAAAAIAIdO4kAz&#10;LwWeOwAAADkAAAAQAAAAAAAAAAEAIAAAAA4BAABkcnMvc2hhcGV4bWwueG1sUEsFBgAAAAAGAAYA&#10;WwEAALgDAAAAAA==&#10;">
                        <v:fill on="f" focussize="0,0"/>
                        <v:stroke weight="1pt" color="#000000 [3200]" miterlimit="8" joinstyle="miter" endarrow="open"/>
                        <v:imagedata o:title=""/>
                        <o:lock v:ext="edit" aspectratio="f"/>
                      </v:shape>
                      <v:shape id="直接箭头连接符 141" o:spid="_x0000_s1026" o:spt="32" type="#_x0000_t32" style="position:absolute;left:9182;top:30380;height:462;width:12;" filled="f" stroked="t" coordsize="21600,21600" o:gfxdata="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hNQ6/&#10;AAAA2wAAAA8AAAAAAAAAAQAgAAAAIgAAAGRycy9kb3ducmV2LnhtbFBLAQIUABQAAAAIAIdO4kAz&#10;LwWeOwAAADkAAAAQAAAAAAAAAAEAIAAAAA4BAABkcnMvc2hhcGV4bWwueG1sUEsFBgAAAAAGAAYA&#10;WwEAALgDAAAAAA==&#10;">
                        <v:fill on="f" focussize="0,0"/>
                        <v:stroke weight="1pt" color="#000000 [3213]" miterlimit="8" joinstyle="miter" dashstyle="dashDot" endarrow="open"/>
                        <v:imagedata o:title=""/>
                        <o:lock v:ext="edit" aspectratio="f"/>
                      </v:shape>
                      <v:shape id="直接箭头连接符 142" o:spid="_x0000_s1026" o:spt="32" type="#_x0000_t32" style="position:absolute;left:9180;top:29606;flip:x y;height:344;width:1;" filled="f" stroked="t" coordsize="21600,21600" o:gfxdata="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yz3L4A&#10;AADbAAAADwAAAAAAAAABACAAAAAiAAAAZHJzL2Rvd25yZXYueG1sUEsBAhQAFAAAAAgAh07iQDMv&#10;BZ47AAAAOQAAABAAAAAAAAAAAQAgAAAADQEAAGRycy9zaGFwZXhtbC54bWxQSwUGAAAAAAYABgBb&#10;AQAAtwMAAAAA&#10;">
                        <v:fill on="f" focussize="0,0"/>
                        <v:stroke weight="1pt" color="#000000 [3213]" miterlimit="8" joinstyle="miter" dashstyle="dashDot" endarrow="open"/>
                        <v:imagedata o:title=""/>
                        <o:lock v:ext="edit" aspectratio="f"/>
                      </v:shape>
                      <v:shape id="直接箭头连接符 143" o:spid="_x0000_s1026" o:spt="32" type="#_x0000_t32" style="position:absolute;left:11029;top:29602;flip:x y;height:314;width:12;" filled="f" stroked="t" coordsize="21600,21600" o:gfxdata="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AWR74A&#10;AADbAAAADwAAAAAAAAABACAAAAAiAAAAZHJzL2Rvd25yZXYueG1sUEsBAhQAFAAAAAgAh07iQDMv&#10;BZ47AAAAOQAAABAAAAAAAAAAAQAgAAAADQEAAGRycy9zaGFwZXhtbC54bWxQSwUGAAAAAAYABgBb&#10;AQAAtwMAAAAA&#10;">
                        <v:fill on="f" focussize="0,0"/>
                        <v:stroke weight="1pt" color="#000000 [3213]" miterlimit="8" joinstyle="miter" dashstyle="dashDot" endarrow="open"/>
                        <v:imagedata o:title=""/>
                        <o:lock v:ext="edit" aspectratio="f"/>
                      </v:shape>
                      <w10:wrap type="topAndBottom"/>
                    </v:group>
                  </w:pict>
                </mc:Fallback>
              </mc:AlternateContent>
            </w:r>
            <w:r>
              <w:rPr>
                <w:rFonts w:hint="default" w:ascii="Times New Roman" w:hAnsi="Times New Roman" w:eastAsia="宋体" w:cs="Times New Roman"/>
                <w:color w:val="auto"/>
                <w:kern w:val="2"/>
                <w:sz w:val="26"/>
                <w:szCs w:val="26"/>
                <w:lang w:val="en-US" w:eastAsia="zh-CN" w:bidi="ar-SA"/>
              </w:rPr>
              <w:t>图</w:t>
            </w:r>
            <w:r>
              <w:rPr>
                <w:rFonts w:hint="eastAsia" w:ascii="Times New Roman" w:hAnsi="Times New Roman" w:eastAsia="宋体" w:cs="Times New Roman"/>
                <w:color w:val="auto"/>
                <w:kern w:val="2"/>
                <w:sz w:val="26"/>
                <w:szCs w:val="26"/>
                <w:lang w:val="en-US" w:eastAsia="zh-CN" w:bidi="ar-SA"/>
              </w:rPr>
              <w:t>2</w:t>
            </w:r>
            <w:r>
              <w:rPr>
                <w:rFonts w:hint="default" w:ascii="Times New Roman" w:hAnsi="Times New Roman" w:eastAsia="宋体" w:cs="Times New Roman"/>
                <w:color w:val="auto"/>
                <w:kern w:val="2"/>
                <w:sz w:val="26"/>
                <w:szCs w:val="26"/>
                <w:lang w:val="en-US" w:eastAsia="zh-CN" w:bidi="ar-SA"/>
              </w:rPr>
              <w:t>.</w:t>
            </w:r>
            <w:r>
              <w:rPr>
                <w:rFonts w:hint="eastAsia" w:ascii="Times New Roman" w:hAnsi="Times New Roman" w:eastAsia="宋体" w:cs="Times New Roman"/>
                <w:color w:val="auto"/>
                <w:kern w:val="2"/>
                <w:sz w:val="26"/>
                <w:szCs w:val="26"/>
                <w:lang w:val="en-US" w:eastAsia="zh-CN" w:bidi="ar-SA"/>
              </w:rPr>
              <w:t>2</w:t>
            </w:r>
            <w:r>
              <w:rPr>
                <w:rFonts w:hint="default" w:ascii="Times New Roman" w:hAnsi="Times New Roman" w:eastAsia="宋体" w:cs="Times New Roman"/>
                <w:color w:val="auto"/>
                <w:kern w:val="2"/>
                <w:sz w:val="26"/>
                <w:szCs w:val="26"/>
                <w:lang w:val="en-US" w:eastAsia="zh-CN" w:bidi="ar-SA"/>
              </w:rPr>
              <w:t>-1 施工工序及产污环节示意</w:t>
            </w:r>
            <w:r>
              <w:rPr>
                <w:rFonts w:hint="eastAsia" w:ascii="Times New Roman" w:hAnsi="Times New Roman" w:eastAsia="宋体" w:cs="Times New Roman"/>
                <w:color w:val="auto"/>
                <w:kern w:val="2"/>
                <w:sz w:val="26"/>
                <w:szCs w:val="26"/>
                <w:lang w:val="en-US" w:eastAsia="zh-CN" w:bidi="ar-SA"/>
              </w:rPr>
              <w:t>图</w:t>
            </w:r>
          </w:p>
          <w:p w14:paraId="1137AE1B">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Times New Roman" w:hAnsi="Times New Roman" w:eastAsia="宋体" w:cs="Times New Roman"/>
                <w:color w:val="auto"/>
                <w:sz w:val="26"/>
                <w:szCs w:val="26"/>
                <w:lang w:val="en-US" w:eastAsia="zh-CN"/>
              </w:rPr>
            </w:pPr>
            <w:r>
              <w:rPr>
                <w:rFonts w:hint="eastAsia" w:cs="Times New Roman"/>
                <w:color w:val="auto"/>
                <w:sz w:val="26"/>
                <w:szCs w:val="26"/>
                <w:lang w:val="en-US" w:eastAsia="zh-CN"/>
              </w:rPr>
              <w:t>本项目施工期主要产生生活污水、施工噪声、噪声以及装修过程中产生的少量垃圾。</w:t>
            </w:r>
            <w:r>
              <w:rPr>
                <w:rFonts w:hint="default" w:ascii="Times New Roman" w:hAnsi="Times New Roman" w:eastAsia="宋体" w:cs="Times New Roman"/>
                <w:color w:val="auto"/>
                <w:sz w:val="26"/>
                <w:szCs w:val="26"/>
                <w:lang w:val="en-US" w:eastAsia="zh-CN"/>
              </w:rPr>
              <w:t>项目施工期废水包括施工生产废水及施工人员生活污水</w:t>
            </w:r>
            <w:r>
              <w:rPr>
                <w:rFonts w:hint="eastAsia" w:cs="Times New Roman"/>
                <w:color w:val="auto"/>
                <w:sz w:val="26"/>
                <w:szCs w:val="26"/>
                <w:lang w:val="en-US" w:eastAsia="zh-CN"/>
              </w:rPr>
              <w:t>。</w:t>
            </w:r>
            <w:r>
              <w:rPr>
                <w:rFonts w:hint="default" w:ascii="Times New Roman" w:hAnsi="Times New Roman" w:eastAsia="宋体" w:cs="Times New Roman"/>
                <w:color w:val="auto"/>
                <w:sz w:val="26"/>
                <w:szCs w:val="26"/>
                <w:lang w:val="en-US" w:eastAsia="zh-CN"/>
              </w:rPr>
              <w:t>施工期大气污染物主要为少量</w:t>
            </w:r>
            <w:r>
              <w:rPr>
                <w:rFonts w:hint="eastAsia" w:ascii="Times New Roman" w:hAnsi="Times New Roman" w:eastAsia="宋体" w:cs="Times New Roman"/>
                <w:color w:val="auto"/>
                <w:sz w:val="26"/>
                <w:szCs w:val="26"/>
                <w:lang w:val="en-US" w:eastAsia="zh-CN"/>
              </w:rPr>
              <w:t>机械</w:t>
            </w:r>
            <w:r>
              <w:rPr>
                <w:rFonts w:hint="default" w:ascii="Times New Roman" w:hAnsi="Times New Roman" w:eastAsia="宋体" w:cs="Times New Roman"/>
                <w:color w:val="auto"/>
                <w:sz w:val="26"/>
                <w:szCs w:val="26"/>
                <w:lang w:val="en-US" w:eastAsia="zh-CN"/>
              </w:rPr>
              <w:t>尾气。项目施工期间的噪声主要</w:t>
            </w:r>
            <w:r>
              <w:rPr>
                <w:rFonts w:hint="eastAsia" w:ascii="Times New Roman" w:hAnsi="Times New Roman" w:eastAsia="宋体" w:cs="Times New Roman"/>
                <w:color w:val="auto"/>
                <w:sz w:val="26"/>
                <w:szCs w:val="26"/>
                <w:lang w:val="en-US" w:eastAsia="zh-CN"/>
              </w:rPr>
              <w:t>为</w:t>
            </w:r>
            <w:r>
              <w:rPr>
                <w:rFonts w:hint="default" w:ascii="Times New Roman" w:hAnsi="Times New Roman" w:eastAsia="宋体" w:cs="Times New Roman"/>
                <w:color w:val="auto"/>
                <w:sz w:val="26"/>
                <w:szCs w:val="26"/>
                <w:lang w:val="en-US" w:eastAsia="zh-CN"/>
              </w:rPr>
              <w:t>施工机械噪声、施工作业噪声</w:t>
            </w:r>
            <w:r>
              <w:rPr>
                <w:rFonts w:hint="eastAsia" w:cs="Times New Roman"/>
                <w:color w:val="auto"/>
                <w:sz w:val="26"/>
                <w:szCs w:val="26"/>
                <w:lang w:val="en-US" w:eastAsia="zh-CN"/>
              </w:rPr>
              <w:t>，</w:t>
            </w:r>
            <w:r>
              <w:rPr>
                <w:rFonts w:hint="eastAsia" w:ascii="Times New Roman" w:hAnsi="Times New Roman" w:eastAsia="宋体" w:cs="Times New Roman"/>
                <w:color w:val="auto"/>
                <w:sz w:val="26"/>
                <w:szCs w:val="26"/>
                <w:lang w:val="en-US" w:eastAsia="zh-CN"/>
              </w:rPr>
              <w:t>以上噪声均随着施工期的结束而消失。</w:t>
            </w:r>
          </w:p>
          <w:p w14:paraId="6DBED37E">
            <w:pPr>
              <w:pStyle w:val="4"/>
              <w:pageBreakBefore w:val="0"/>
              <w:widowControl w:val="0"/>
              <w:kinsoku/>
              <w:wordWrap/>
              <w:overflowPunct/>
              <w:topLinePunct w:val="0"/>
              <w:autoSpaceDE/>
              <w:autoSpaceDN/>
              <w:bidi w:val="0"/>
              <w:adjustRightInd/>
              <w:snapToGrid/>
              <w:spacing w:beforeLines="0" w:afterLines="0" w:line="460" w:lineRule="exact"/>
              <w:ind w:leftChars="0"/>
              <w:textAlignment w:val="auto"/>
              <w:rPr>
                <w:rFonts w:hint="eastAsia"/>
                <w:color w:val="auto"/>
                <w:sz w:val="26"/>
                <w:szCs w:val="26"/>
                <w:lang w:val="en-US" w:eastAsia="zh-CN"/>
              </w:rPr>
            </w:pPr>
            <w:r>
              <w:rPr>
                <w:rFonts w:hint="eastAsia"/>
                <w:color w:val="auto"/>
                <w:sz w:val="26"/>
                <w:szCs w:val="26"/>
                <w:lang w:val="en-US" w:eastAsia="zh-CN"/>
              </w:rPr>
              <w:t>2.2.2营运期</w:t>
            </w:r>
          </w:p>
          <w:p w14:paraId="54193967">
            <w:pPr>
              <w:keepNext w:val="0"/>
              <w:keepLines w:val="0"/>
              <w:pageBreakBefore w:val="0"/>
              <w:widowControl w:val="0"/>
              <w:numPr>
                <w:ilvl w:val="-1"/>
                <w:numId w:val="0"/>
              </w:numPr>
              <w:kinsoku/>
              <w:wordWrap/>
              <w:overflowPunct/>
              <w:topLinePunct w:val="0"/>
              <w:autoSpaceDE/>
              <w:autoSpaceDN/>
              <w:bidi w:val="0"/>
              <w:adjustRightInd/>
              <w:snapToGrid/>
              <w:spacing w:line="460" w:lineRule="exact"/>
              <w:ind w:leftChars="0" w:firstLine="480"/>
              <w:textAlignment w:val="auto"/>
              <w:rPr>
                <w:rFonts w:hint="default" w:ascii="Times New Roman" w:hAnsi="Times New Roman" w:eastAsia="宋体" w:cstheme="minorBidi"/>
                <w:color w:val="auto"/>
                <w:kern w:val="2"/>
                <w:sz w:val="26"/>
                <w:szCs w:val="26"/>
                <w:lang w:val="en-US" w:eastAsia="zh-CN" w:bidi="ar-SA"/>
              </w:rPr>
            </w:pPr>
            <w:r>
              <w:rPr>
                <w:rFonts w:hint="eastAsia" w:cstheme="minorBidi"/>
                <w:color w:val="auto"/>
                <w:kern w:val="2"/>
                <w:sz w:val="26"/>
                <w:szCs w:val="26"/>
                <w:lang w:val="en-US" w:eastAsia="zh-CN" w:bidi="ar-SA"/>
              </w:rPr>
              <w:t>本项目主要产品为</w:t>
            </w:r>
            <w:r>
              <w:rPr>
                <w:rFonts w:hint="eastAsia" w:cs="Times New Roman"/>
                <w:color w:val="auto"/>
                <w:sz w:val="26"/>
                <w:szCs w:val="26"/>
                <w:lang w:val="en-US" w:eastAsia="zh-CN"/>
              </w:rPr>
              <w:t>玻璃纤维毡、车用纤维隔热片以及车用消音隔热棉</w:t>
            </w:r>
            <w:r>
              <w:rPr>
                <w:rFonts w:hint="eastAsia" w:cstheme="minorBidi"/>
                <w:color w:val="auto"/>
                <w:kern w:val="2"/>
                <w:sz w:val="26"/>
                <w:szCs w:val="26"/>
                <w:lang w:val="en-US" w:eastAsia="zh-CN" w:bidi="ar-SA"/>
              </w:rPr>
              <w:t>，其中部分自产的玻璃纤维毡（耐温性能为750~1050</w:t>
            </w:r>
            <w:r>
              <w:rPr>
                <w:rFonts w:hint="default" w:ascii="Times New Roman" w:hAnsi="Times New Roman" w:cs="Times New Roman"/>
                <w:color w:val="auto"/>
                <w:kern w:val="2"/>
                <w:sz w:val="26"/>
                <w:szCs w:val="26"/>
                <w:lang w:val="en-US" w:eastAsia="zh-CN" w:bidi="ar-SA"/>
              </w:rPr>
              <w:t>℃</w:t>
            </w:r>
            <w:r>
              <w:rPr>
                <w:rFonts w:hint="eastAsia" w:cstheme="minorBidi"/>
                <w:color w:val="auto"/>
                <w:kern w:val="2"/>
                <w:sz w:val="26"/>
                <w:szCs w:val="26"/>
                <w:lang w:val="en-US" w:eastAsia="zh-CN" w:bidi="ar-SA"/>
              </w:rPr>
              <w:t>）以及外购的玻璃纤维毡（耐温性能为650</w:t>
            </w:r>
            <w:r>
              <w:rPr>
                <w:rFonts w:hint="default" w:ascii="Times New Roman" w:hAnsi="Times New Roman" w:cs="Times New Roman"/>
                <w:color w:val="auto"/>
                <w:kern w:val="2"/>
                <w:sz w:val="26"/>
                <w:szCs w:val="26"/>
                <w:lang w:val="en-US" w:eastAsia="zh-CN" w:bidi="ar-SA"/>
              </w:rPr>
              <w:t>℃</w:t>
            </w:r>
            <w:r>
              <w:rPr>
                <w:rFonts w:hint="eastAsia" w:cstheme="minorBidi"/>
                <w:color w:val="auto"/>
                <w:kern w:val="2"/>
                <w:sz w:val="26"/>
                <w:szCs w:val="26"/>
                <w:lang w:val="en-US" w:eastAsia="zh-CN" w:bidi="ar-SA"/>
              </w:rPr>
              <w:t>）用于车用纤维隔热片的生产，剩余自产的玻璃纤维毡（耐温性能为750~1050</w:t>
            </w:r>
            <w:r>
              <w:rPr>
                <w:rFonts w:hint="default" w:ascii="Times New Roman" w:hAnsi="Times New Roman" w:cs="Times New Roman"/>
                <w:color w:val="auto"/>
                <w:kern w:val="2"/>
                <w:sz w:val="26"/>
                <w:szCs w:val="26"/>
                <w:lang w:val="en-US" w:eastAsia="zh-CN" w:bidi="ar-SA"/>
              </w:rPr>
              <w:t>℃</w:t>
            </w:r>
            <w:r>
              <w:rPr>
                <w:rFonts w:hint="eastAsia" w:cstheme="minorBidi"/>
                <w:color w:val="auto"/>
                <w:kern w:val="2"/>
                <w:sz w:val="26"/>
                <w:szCs w:val="26"/>
                <w:lang w:val="en-US" w:eastAsia="zh-CN" w:bidi="ar-SA"/>
              </w:rPr>
              <w:t>）作为产品外售。本项目设置有</w:t>
            </w:r>
            <w:r>
              <w:rPr>
                <w:rFonts w:hint="eastAsia" w:cstheme="minorBidi"/>
                <w:bCs/>
                <w:color w:val="auto"/>
                <w:kern w:val="2"/>
                <w:sz w:val="26"/>
                <w:szCs w:val="26"/>
                <w:lang w:val="en-US" w:eastAsia="zh-CN" w:bidi="ar-SA"/>
              </w:rPr>
              <w:t>一条产能为2000t/a玻璃纤维毡、一条产能为1500t/a车用消音隔热棉、一条产能为1500t/a车用纤维隔热片生产线。具体工艺流程及产物分析详见下图。</w:t>
            </w:r>
          </w:p>
          <w:p w14:paraId="79FD9262">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default"/>
                <w:b/>
                <w:bCs/>
                <w:color w:val="auto"/>
                <w:sz w:val="26"/>
                <w:szCs w:val="26"/>
                <w:lang w:val="en-US" w:eastAsia="zh-CN"/>
              </w:rPr>
            </w:pPr>
            <w:r>
              <w:rPr>
                <w:rFonts w:hint="default" w:ascii="Times New Roman" w:hAnsi="Times New Roman" w:eastAsia="宋体" w:cstheme="minorBidi"/>
                <w:b/>
                <w:bCs/>
                <w:color w:val="auto"/>
                <w:kern w:val="2"/>
                <w:sz w:val="26"/>
                <w:szCs w:val="26"/>
                <w:lang w:val="en-US" w:eastAsia="zh-CN" w:bidi="ar-SA"/>
              </w:rPr>
              <w:t>（1）</w:t>
            </w:r>
            <w:r>
              <w:rPr>
                <w:rFonts w:hint="eastAsia" w:cstheme="minorBidi"/>
                <w:b/>
                <w:bCs/>
                <w:color w:val="auto"/>
                <w:kern w:val="2"/>
                <w:sz w:val="26"/>
                <w:szCs w:val="26"/>
                <w:lang w:val="en-US" w:eastAsia="zh-CN" w:bidi="ar-SA"/>
              </w:rPr>
              <w:t>玻璃纤维毡及车用纤维隔热片生产</w:t>
            </w:r>
            <w:r>
              <w:rPr>
                <w:rFonts w:hint="eastAsia"/>
                <w:b/>
                <w:bCs/>
                <w:color w:val="auto"/>
                <w:sz w:val="26"/>
                <w:szCs w:val="26"/>
                <w:lang w:val="en-US" w:eastAsia="zh-CN"/>
              </w:rPr>
              <w:t>工序及产排污环节</w:t>
            </w:r>
          </w:p>
          <w:p w14:paraId="27B948FB">
            <w:pPr>
              <w:bidi w:val="0"/>
              <w:jc w:val="center"/>
              <w:rPr>
                <w:rFonts w:hint="default"/>
                <w:color w:val="auto"/>
                <w:lang w:val="en-US" w:eastAsia="zh-CN"/>
              </w:rPr>
            </w:pPr>
            <w:r>
              <w:rPr>
                <w:rFonts w:hint="eastAsia"/>
                <w:color w:val="auto"/>
                <w:lang w:val="en-US" w:eastAsia="zh-CN"/>
              </w:rPr>
              <w:drawing>
                <wp:anchor distT="0" distB="0" distL="114300" distR="114300" simplePos="0" relativeHeight="251662336" behindDoc="0" locked="0" layoutInCell="1" allowOverlap="1">
                  <wp:simplePos x="0" y="0"/>
                  <wp:positionH relativeFrom="column">
                    <wp:posOffset>-48260</wp:posOffset>
                  </wp:positionH>
                  <wp:positionV relativeFrom="paragraph">
                    <wp:posOffset>12700</wp:posOffset>
                  </wp:positionV>
                  <wp:extent cx="5163820" cy="1905000"/>
                  <wp:effectExtent l="0" t="0" r="0" b="0"/>
                  <wp:wrapNone/>
                  <wp:docPr id="35" name="ECB019B1-382A-4266-B25C-5B523AA43C14-2" descr="C:/Users/SSS/AppData/Local/Temp/wps.aciFP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CB019B1-382A-4266-B25C-5B523AA43C14-2" descr="C:/Users/SSS/AppData/Local/Temp/wps.aciFPrwps"/>
                          <pic:cNvPicPr>
                            <a:picLocks noChangeAspect="1"/>
                          </pic:cNvPicPr>
                        </pic:nvPicPr>
                        <pic:blipFill>
                          <a:blip r:embed="rId11"/>
                          <a:stretch>
                            <a:fillRect/>
                          </a:stretch>
                        </pic:blipFill>
                        <pic:spPr>
                          <a:xfrm>
                            <a:off x="0" y="0"/>
                            <a:ext cx="5163820" cy="1905000"/>
                          </a:xfrm>
                          <a:prstGeom prst="rect">
                            <a:avLst/>
                          </a:prstGeom>
                        </pic:spPr>
                      </pic:pic>
                    </a:graphicData>
                  </a:graphic>
                </wp:anchor>
              </w:drawing>
            </w:r>
          </w:p>
          <w:p w14:paraId="45C41BC1">
            <w:pPr>
              <w:bidi w:val="0"/>
              <w:jc w:val="center"/>
              <w:rPr>
                <w:rFonts w:hint="default"/>
                <w:color w:val="auto"/>
                <w:lang w:val="en-US" w:eastAsia="zh-CN"/>
              </w:rPr>
            </w:pPr>
          </w:p>
          <w:p w14:paraId="702F1701">
            <w:pPr>
              <w:bidi w:val="0"/>
              <w:jc w:val="center"/>
              <w:rPr>
                <w:rFonts w:hint="default"/>
                <w:color w:val="auto"/>
                <w:lang w:val="en-US" w:eastAsia="zh-CN"/>
              </w:rPr>
            </w:pPr>
          </w:p>
          <w:p w14:paraId="201C7720">
            <w:pPr>
              <w:bidi w:val="0"/>
              <w:jc w:val="center"/>
              <w:rPr>
                <w:rFonts w:hint="eastAsia"/>
                <w:color w:val="auto"/>
                <w:lang w:val="en-US" w:eastAsia="zh-CN"/>
              </w:rPr>
            </w:pPr>
          </w:p>
          <w:p w14:paraId="73E2BC11">
            <w:pPr>
              <w:bidi w:val="0"/>
              <w:jc w:val="center"/>
              <w:rPr>
                <w:rFonts w:hint="eastAsia"/>
                <w:color w:val="auto"/>
                <w:lang w:val="en-US" w:eastAsia="zh-CN"/>
              </w:rPr>
            </w:pPr>
          </w:p>
          <w:p w14:paraId="0CCAF5B4">
            <w:pPr>
              <w:pStyle w:val="27"/>
              <w:bidi w:val="0"/>
              <w:rPr>
                <w:rFonts w:hint="eastAsia" w:ascii="Times New Roman" w:hAnsi="Times New Roman" w:eastAsia="宋体" w:cs="Times New Roman"/>
                <w:color w:val="auto"/>
                <w:kern w:val="2"/>
                <w:sz w:val="26"/>
                <w:szCs w:val="26"/>
                <w:lang w:val="en-US" w:eastAsia="zh-CN" w:bidi="ar-SA"/>
              </w:rPr>
            </w:pPr>
            <w:r>
              <w:rPr>
                <w:rFonts w:hint="eastAsia" w:ascii="Times New Roman" w:hAnsi="Times New Roman" w:eastAsia="宋体" w:cs="Times New Roman"/>
                <w:color w:val="auto"/>
                <w:kern w:val="2"/>
                <w:sz w:val="26"/>
                <w:szCs w:val="26"/>
                <w:lang w:val="en-US" w:eastAsia="zh-CN" w:bidi="ar-SA"/>
              </w:rPr>
              <w:t>图2.2-2  玻璃纤维毡及车用纤维隔热片</w:t>
            </w:r>
            <w:r>
              <w:rPr>
                <w:rFonts w:hint="eastAsia" w:eastAsia="宋体" w:cs="Times New Roman"/>
                <w:color w:val="auto"/>
                <w:kern w:val="2"/>
                <w:sz w:val="26"/>
                <w:szCs w:val="26"/>
                <w:lang w:val="en-US" w:eastAsia="zh-CN" w:bidi="ar-SA"/>
              </w:rPr>
              <w:t>生产</w:t>
            </w:r>
            <w:r>
              <w:rPr>
                <w:rFonts w:hint="eastAsia" w:ascii="Times New Roman" w:hAnsi="Times New Roman" w:eastAsia="宋体" w:cs="Times New Roman"/>
                <w:color w:val="auto"/>
                <w:kern w:val="2"/>
                <w:sz w:val="26"/>
                <w:szCs w:val="26"/>
                <w:lang w:val="en-US" w:eastAsia="zh-CN" w:bidi="ar-SA"/>
              </w:rPr>
              <w:t>工艺流程图</w:t>
            </w:r>
          </w:p>
          <w:p w14:paraId="720DC46C">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200"/>
              <w:textAlignment w:val="auto"/>
              <w:rPr>
                <w:rFonts w:hint="default"/>
                <w:color w:val="auto"/>
                <w:sz w:val="26"/>
                <w:szCs w:val="26"/>
                <w:lang w:val="en-US" w:eastAsia="zh-CN"/>
              </w:rPr>
            </w:pPr>
            <w:r>
              <w:rPr>
                <w:rFonts w:hint="eastAsia"/>
                <w:color w:val="auto"/>
                <w:sz w:val="26"/>
                <w:szCs w:val="26"/>
                <w:lang w:val="en-US" w:eastAsia="zh-CN"/>
              </w:rPr>
              <w:t>工艺流程简述：</w:t>
            </w:r>
          </w:p>
          <w:p w14:paraId="445991BF">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color w:val="auto"/>
                <w:sz w:val="26"/>
                <w:szCs w:val="26"/>
                <w:lang w:val="en-US" w:eastAsia="zh-CN"/>
              </w:rPr>
            </w:pPr>
            <w:r>
              <w:rPr>
                <w:rFonts w:hint="eastAsia"/>
                <w:color w:val="auto"/>
                <w:sz w:val="26"/>
                <w:szCs w:val="26"/>
                <w:lang w:val="en-US" w:eastAsia="zh-CN"/>
              </w:rPr>
              <w:t>以玻璃纤维短切纱作为原材料，通过简单的加工工序后，得到耐温为750~10</w:t>
            </w:r>
            <w:r>
              <w:rPr>
                <w:rFonts w:hint="default" w:ascii="Times New Roman" w:hAnsi="Times New Roman" w:cs="Times New Roman"/>
                <w:color w:val="auto"/>
                <w:sz w:val="26"/>
                <w:szCs w:val="26"/>
                <w:lang w:val="en-US" w:eastAsia="zh-CN"/>
              </w:rPr>
              <w:t>50℃的</w:t>
            </w:r>
            <w:r>
              <w:rPr>
                <w:rFonts w:hint="eastAsia"/>
                <w:color w:val="auto"/>
                <w:sz w:val="26"/>
                <w:szCs w:val="26"/>
                <w:lang w:val="en-US" w:eastAsia="zh-CN"/>
              </w:rPr>
              <w:t>玻璃纤维毡产品，部分进行外售，部分自产的耐温为750~10</w:t>
            </w:r>
            <w:r>
              <w:rPr>
                <w:rFonts w:hint="default" w:ascii="Times New Roman" w:hAnsi="Times New Roman" w:cs="Times New Roman"/>
                <w:color w:val="auto"/>
                <w:sz w:val="26"/>
                <w:szCs w:val="26"/>
                <w:lang w:val="en-US" w:eastAsia="zh-CN"/>
              </w:rPr>
              <w:t>50℃的</w:t>
            </w:r>
            <w:r>
              <w:rPr>
                <w:rFonts w:hint="eastAsia"/>
                <w:color w:val="auto"/>
                <w:sz w:val="26"/>
                <w:szCs w:val="26"/>
                <w:lang w:val="en-US" w:eastAsia="zh-CN"/>
              </w:rPr>
              <w:t>玻璃纤维毡以及外购耐温为650</w:t>
            </w:r>
            <w:r>
              <w:rPr>
                <w:rFonts w:hint="default" w:ascii="Times New Roman" w:hAnsi="Times New Roman" w:cs="Times New Roman"/>
                <w:color w:val="auto"/>
                <w:sz w:val="26"/>
                <w:szCs w:val="26"/>
                <w:lang w:val="en-US" w:eastAsia="zh-CN"/>
              </w:rPr>
              <w:t>℃的</w:t>
            </w:r>
            <w:r>
              <w:rPr>
                <w:rFonts w:hint="eastAsia"/>
                <w:color w:val="auto"/>
                <w:sz w:val="26"/>
                <w:szCs w:val="26"/>
                <w:lang w:val="en-US" w:eastAsia="zh-CN"/>
              </w:rPr>
              <w:t>玻璃纤维毡作为原材料，进一步进行裁切制得具有不同隔热性能的车用纤维隔热片。</w:t>
            </w:r>
          </w:p>
          <w:p w14:paraId="54DC0B26">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color w:val="auto"/>
                <w:sz w:val="26"/>
                <w:szCs w:val="26"/>
                <w:lang w:val="en-US" w:eastAsia="zh-CN"/>
              </w:rPr>
            </w:pPr>
            <w:r>
              <w:rPr>
                <w:rFonts w:hint="eastAsia"/>
                <w:color w:val="auto"/>
                <w:sz w:val="26"/>
                <w:szCs w:val="26"/>
                <w:lang w:val="en-US" w:eastAsia="zh-CN"/>
              </w:rPr>
              <w:t>①</w:t>
            </w:r>
            <w:r>
              <w:rPr>
                <w:rFonts w:hint="default"/>
                <w:color w:val="auto"/>
                <w:sz w:val="26"/>
                <w:szCs w:val="26"/>
                <w:lang w:val="en-US" w:eastAsia="zh-CN"/>
              </w:rPr>
              <w:t>开包</w:t>
            </w:r>
          </w:p>
          <w:p w14:paraId="475DD542">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color w:val="auto"/>
                <w:sz w:val="26"/>
                <w:szCs w:val="26"/>
                <w:lang w:val="en-US" w:eastAsia="zh-CN"/>
              </w:rPr>
            </w:pPr>
            <w:r>
              <w:rPr>
                <w:rFonts w:hint="default"/>
                <w:color w:val="auto"/>
                <w:sz w:val="26"/>
                <w:szCs w:val="26"/>
                <w:lang w:val="en-US" w:eastAsia="zh-CN"/>
              </w:rPr>
              <w:t>人工将袋装的</w:t>
            </w:r>
            <w:r>
              <w:rPr>
                <w:rFonts w:hint="eastAsia"/>
                <w:color w:val="auto"/>
                <w:sz w:val="26"/>
                <w:szCs w:val="26"/>
                <w:lang w:val="en-US" w:eastAsia="zh-CN"/>
              </w:rPr>
              <w:t>玻璃纤维</w:t>
            </w:r>
            <w:r>
              <w:rPr>
                <w:rFonts w:hint="default"/>
                <w:color w:val="auto"/>
                <w:sz w:val="26"/>
                <w:szCs w:val="26"/>
                <w:lang w:val="en-US" w:eastAsia="zh-CN"/>
              </w:rPr>
              <w:t>短切纱</w:t>
            </w:r>
            <w:r>
              <w:rPr>
                <w:rFonts w:hint="eastAsia"/>
                <w:color w:val="auto"/>
                <w:sz w:val="26"/>
                <w:szCs w:val="26"/>
                <w:lang w:val="en-US" w:eastAsia="zh-CN"/>
              </w:rPr>
              <w:t>通过人工和自动开包机相结合的方式进行开包，</w:t>
            </w:r>
            <w:r>
              <w:rPr>
                <w:rFonts w:hint="default"/>
                <w:color w:val="auto"/>
                <w:sz w:val="26"/>
                <w:szCs w:val="26"/>
                <w:lang w:val="en-US" w:eastAsia="zh-CN"/>
              </w:rPr>
              <w:t>达到短切纱初步散开。此过程产生玻璃纤维粉尘G1，产生废袋</w:t>
            </w:r>
            <w:r>
              <w:rPr>
                <w:rFonts w:hint="eastAsia"/>
                <w:color w:val="auto"/>
                <w:sz w:val="26"/>
                <w:szCs w:val="26"/>
                <w:lang w:val="en-US" w:eastAsia="zh-CN"/>
              </w:rPr>
              <w:t>S1</w:t>
            </w:r>
            <w:r>
              <w:rPr>
                <w:rFonts w:hint="default"/>
                <w:color w:val="auto"/>
                <w:sz w:val="26"/>
                <w:szCs w:val="26"/>
                <w:lang w:val="en-US" w:eastAsia="zh-CN"/>
              </w:rPr>
              <w:t>循环周转使用。</w:t>
            </w:r>
          </w:p>
          <w:p w14:paraId="3251B5C6">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color w:val="auto"/>
                <w:sz w:val="26"/>
                <w:szCs w:val="26"/>
                <w:lang w:val="en-US" w:eastAsia="zh-CN"/>
              </w:rPr>
            </w:pPr>
            <w:r>
              <w:rPr>
                <w:rFonts w:hint="eastAsia"/>
                <w:color w:val="auto"/>
                <w:sz w:val="26"/>
                <w:szCs w:val="26"/>
                <w:lang w:val="en-US" w:eastAsia="zh-CN"/>
              </w:rPr>
              <w:t>②</w:t>
            </w:r>
            <w:r>
              <w:rPr>
                <w:rFonts w:hint="default"/>
                <w:color w:val="auto"/>
                <w:sz w:val="26"/>
                <w:szCs w:val="26"/>
                <w:lang w:val="en-US" w:eastAsia="zh-CN"/>
              </w:rPr>
              <w:t>开松</w:t>
            </w:r>
          </w:p>
          <w:p w14:paraId="6C0D4CE5">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color w:val="auto"/>
                <w:sz w:val="26"/>
                <w:szCs w:val="26"/>
                <w:lang w:val="en-US" w:eastAsia="zh-CN"/>
              </w:rPr>
            </w:pPr>
            <w:r>
              <w:rPr>
                <w:rFonts w:hint="eastAsia"/>
                <w:color w:val="auto"/>
                <w:sz w:val="26"/>
                <w:szCs w:val="26"/>
                <w:lang w:val="en-US" w:eastAsia="zh-CN"/>
              </w:rPr>
              <w:t>开包后的玻璃纤维</w:t>
            </w:r>
            <w:r>
              <w:rPr>
                <w:rFonts w:hint="default"/>
                <w:color w:val="auto"/>
                <w:sz w:val="26"/>
                <w:szCs w:val="26"/>
                <w:lang w:val="en-US" w:eastAsia="zh-CN"/>
              </w:rPr>
              <w:t>短切纱由传送带输送进入</w:t>
            </w:r>
            <w:r>
              <w:rPr>
                <w:rFonts w:hint="eastAsia"/>
                <w:color w:val="auto"/>
                <w:sz w:val="26"/>
                <w:szCs w:val="26"/>
                <w:lang w:val="en-US" w:eastAsia="zh-CN"/>
              </w:rPr>
              <w:t>卧式</w:t>
            </w:r>
            <w:r>
              <w:rPr>
                <w:rFonts w:hint="default"/>
                <w:color w:val="auto"/>
                <w:sz w:val="26"/>
                <w:szCs w:val="26"/>
                <w:lang w:val="en-US" w:eastAsia="zh-CN"/>
              </w:rPr>
              <w:t>开松机，通过机器内部</w:t>
            </w:r>
            <w:r>
              <w:rPr>
                <w:rFonts w:hint="eastAsia"/>
                <w:color w:val="auto"/>
                <w:sz w:val="26"/>
                <w:szCs w:val="26"/>
                <w:lang w:val="en-US" w:eastAsia="zh-CN"/>
              </w:rPr>
              <w:t>滚筒</w:t>
            </w:r>
            <w:r>
              <w:rPr>
                <w:rFonts w:hint="default"/>
                <w:color w:val="auto"/>
                <w:sz w:val="26"/>
                <w:szCs w:val="26"/>
                <w:lang w:val="en-US" w:eastAsia="zh-CN"/>
              </w:rPr>
              <w:t>上角钉和针齿机件的相对运动，对纤维块进行撕扯，从而达到再次开松的目的。开</w:t>
            </w:r>
            <w:r>
              <w:rPr>
                <w:rFonts w:hint="eastAsia"/>
                <w:color w:val="auto"/>
                <w:sz w:val="26"/>
                <w:szCs w:val="26"/>
                <w:lang w:val="en-US" w:eastAsia="zh-CN"/>
              </w:rPr>
              <w:t>松</w:t>
            </w:r>
            <w:r>
              <w:rPr>
                <w:rFonts w:hint="default"/>
                <w:color w:val="auto"/>
                <w:sz w:val="26"/>
                <w:szCs w:val="26"/>
                <w:lang w:val="en-US" w:eastAsia="zh-CN"/>
              </w:rPr>
              <w:t>机开松过程主要在</w:t>
            </w:r>
            <w:r>
              <w:rPr>
                <w:rFonts w:hint="eastAsia"/>
                <w:color w:val="auto"/>
                <w:sz w:val="26"/>
                <w:szCs w:val="26"/>
                <w:lang w:val="en-US" w:eastAsia="zh-CN"/>
              </w:rPr>
              <w:t>卧式</w:t>
            </w:r>
            <w:r>
              <w:rPr>
                <w:rFonts w:hint="default"/>
                <w:color w:val="auto"/>
                <w:sz w:val="26"/>
                <w:szCs w:val="26"/>
                <w:lang w:val="en-US" w:eastAsia="zh-CN"/>
              </w:rPr>
              <w:t>开松机设备内部进行，</w:t>
            </w:r>
            <w:r>
              <w:rPr>
                <w:rFonts w:hint="eastAsia"/>
                <w:color w:val="auto"/>
                <w:sz w:val="26"/>
                <w:szCs w:val="26"/>
                <w:lang w:val="en-US" w:eastAsia="zh-CN"/>
              </w:rPr>
              <w:t>该过程产生少量</w:t>
            </w:r>
            <w:r>
              <w:rPr>
                <w:rFonts w:hint="default"/>
                <w:color w:val="auto"/>
                <w:sz w:val="26"/>
                <w:szCs w:val="26"/>
                <w:lang w:val="en-US" w:eastAsia="zh-CN"/>
              </w:rPr>
              <w:t>逸出的玻璃纤维粉尘</w:t>
            </w:r>
            <w:r>
              <w:rPr>
                <w:rFonts w:hint="eastAsia"/>
                <w:color w:val="auto"/>
                <w:sz w:val="26"/>
                <w:szCs w:val="26"/>
                <w:lang w:val="en-US" w:eastAsia="zh-CN"/>
              </w:rPr>
              <w:t>G2</w:t>
            </w:r>
            <w:r>
              <w:rPr>
                <w:rFonts w:hint="default"/>
                <w:color w:val="auto"/>
                <w:sz w:val="26"/>
                <w:szCs w:val="26"/>
                <w:lang w:val="en-US" w:eastAsia="zh-CN"/>
              </w:rPr>
              <w:t>。</w:t>
            </w:r>
          </w:p>
          <w:p w14:paraId="1F153FF1">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color w:val="auto"/>
                <w:sz w:val="26"/>
                <w:szCs w:val="26"/>
                <w:lang w:val="en-US" w:eastAsia="zh-CN"/>
              </w:rPr>
            </w:pPr>
            <w:r>
              <w:rPr>
                <w:rFonts w:hint="eastAsia"/>
                <w:color w:val="auto"/>
                <w:sz w:val="26"/>
                <w:szCs w:val="26"/>
                <w:lang w:val="en-US" w:eastAsia="zh-CN"/>
              </w:rPr>
              <w:t>③</w:t>
            </w:r>
            <w:r>
              <w:rPr>
                <w:rFonts w:hint="default"/>
                <w:color w:val="auto"/>
                <w:sz w:val="26"/>
                <w:szCs w:val="26"/>
                <w:lang w:val="en-US" w:eastAsia="zh-CN"/>
              </w:rPr>
              <w:t>混棉</w:t>
            </w:r>
          </w:p>
          <w:p w14:paraId="1ED8D7A0">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color w:val="auto"/>
                <w:sz w:val="26"/>
                <w:szCs w:val="26"/>
                <w:lang w:val="en-US" w:eastAsia="zh-CN"/>
              </w:rPr>
            </w:pPr>
            <w:r>
              <w:rPr>
                <w:rFonts w:hint="default"/>
                <w:color w:val="auto"/>
                <w:sz w:val="26"/>
                <w:szCs w:val="26"/>
                <w:lang w:val="en-US" w:eastAsia="zh-CN"/>
              </w:rPr>
              <w:t>开松后的</w:t>
            </w:r>
            <w:r>
              <w:rPr>
                <w:rFonts w:hint="eastAsia"/>
                <w:color w:val="auto"/>
                <w:sz w:val="26"/>
                <w:szCs w:val="26"/>
                <w:lang w:val="en-US" w:eastAsia="zh-CN"/>
              </w:rPr>
              <w:t>玻璃纤维</w:t>
            </w:r>
            <w:r>
              <w:rPr>
                <w:rFonts w:hint="default"/>
                <w:color w:val="auto"/>
                <w:sz w:val="26"/>
                <w:szCs w:val="26"/>
                <w:lang w:val="en-US" w:eastAsia="zh-CN"/>
              </w:rPr>
              <w:t>短切纱通过风机抽取进入</w:t>
            </w:r>
            <w:r>
              <w:rPr>
                <w:rFonts w:hint="eastAsia"/>
                <w:color w:val="auto"/>
                <w:sz w:val="26"/>
                <w:szCs w:val="26"/>
                <w:lang w:val="en-US" w:eastAsia="zh-CN"/>
              </w:rPr>
              <w:t>大仓混棉机</w:t>
            </w:r>
            <w:r>
              <w:rPr>
                <w:rFonts w:hint="default"/>
                <w:color w:val="auto"/>
                <w:sz w:val="26"/>
                <w:szCs w:val="26"/>
                <w:lang w:val="en-US" w:eastAsia="zh-CN"/>
              </w:rPr>
              <w:t>，使纤维纱混合均匀，同时，混棉机内部的角钉帘子等部件的高速抓取、撕扯对短切纱起到进一步的开松、混匀作用。</w:t>
            </w:r>
            <w:r>
              <w:rPr>
                <w:rFonts w:hint="eastAsia"/>
                <w:color w:val="auto"/>
                <w:sz w:val="26"/>
                <w:szCs w:val="26"/>
                <w:lang w:val="en-US" w:eastAsia="zh-CN"/>
              </w:rPr>
              <w:t>该过程在封闭设备内操作，不涉及玻璃纤维粉尘的产生</w:t>
            </w:r>
            <w:r>
              <w:rPr>
                <w:rFonts w:hint="default"/>
                <w:color w:val="auto"/>
                <w:sz w:val="26"/>
                <w:szCs w:val="26"/>
                <w:lang w:val="en-US" w:eastAsia="zh-CN"/>
              </w:rPr>
              <w:t>。</w:t>
            </w:r>
          </w:p>
          <w:p w14:paraId="056F0E22">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color w:val="auto"/>
                <w:sz w:val="26"/>
                <w:szCs w:val="26"/>
                <w:lang w:val="en-US" w:eastAsia="zh-CN"/>
              </w:rPr>
            </w:pPr>
            <w:r>
              <w:rPr>
                <w:rFonts w:hint="eastAsia"/>
                <w:color w:val="auto"/>
                <w:sz w:val="26"/>
                <w:szCs w:val="26"/>
                <w:lang w:val="en-US" w:eastAsia="zh-CN"/>
              </w:rPr>
              <w:t>④</w:t>
            </w:r>
            <w:r>
              <w:rPr>
                <w:rFonts w:hint="default"/>
                <w:color w:val="auto"/>
                <w:sz w:val="26"/>
                <w:szCs w:val="26"/>
                <w:lang w:val="en-US" w:eastAsia="zh-CN"/>
              </w:rPr>
              <w:t>给棉</w:t>
            </w:r>
          </w:p>
          <w:p w14:paraId="7703BFE6">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color w:val="auto"/>
                <w:sz w:val="26"/>
                <w:szCs w:val="26"/>
                <w:lang w:val="en-US" w:eastAsia="zh-CN"/>
              </w:rPr>
            </w:pPr>
            <w:r>
              <w:rPr>
                <w:rFonts w:hint="default"/>
                <w:color w:val="auto"/>
                <w:sz w:val="26"/>
                <w:szCs w:val="26"/>
                <w:lang w:val="en-US" w:eastAsia="zh-CN"/>
              </w:rPr>
              <w:t>混匀后的</w:t>
            </w:r>
            <w:r>
              <w:rPr>
                <w:rFonts w:hint="eastAsia"/>
                <w:color w:val="auto"/>
                <w:sz w:val="26"/>
                <w:szCs w:val="26"/>
                <w:lang w:val="en-US" w:eastAsia="zh-CN"/>
              </w:rPr>
              <w:t>玻璃纤维</w:t>
            </w:r>
            <w:r>
              <w:rPr>
                <w:rFonts w:hint="default"/>
                <w:color w:val="auto"/>
                <w:sz w:val="26"/>
                <w:szCs w:val="26"/>
                <w:lang w:val="en-US" w:eastAsia="zh-CN"/>
              </w:rPr>
              <w:t>短切纱通过风机</w:t>
            </w:r>
            <w:r>
              <w:rPr>
                <w:rFonts w:hint="eastAsia"/>
                <w:color w:val="auto"/>
                <w:sz w:val="26"/>
                <w:szCs w:val="26"/>
                <w:lang w:val="en-US" w:eastAsia="zh-CN"/>
              </w:rPr>
              <w:t>密封</w:t>
            </w:r>
            <w:r>
              <w:rPr>
                <w:rFonts w:hint="default"/>
                <w:color w:val="auto"/>
                <w:sz w:val="26"/>
                <w:szCs w:val="26"/>
                <w:lang w:val="en-US" w:eastAsia="zh-CN"/>
              </w:rPr>
              <w:t>抽入</w:t>
            </w:r>
            <w:r>
              <w:rPr>
                <w:rFonts w:hint="eastAsia"/>
                <w:color w:val="auto"/>
                <w:sz w:val="26"/>
                <w:szCs w:val="26"/>
                <w:lang w:val="en-US" w:eastAsia="zh-CN"/>
              </w:rPr>
              <w:t>振动</w:t>
            </w:r>
            <w:r>
              <w:rPr>
                <w:rFonts w:hint="default"/>
                <w:color w:val="auto"/>
                <w:sz w:val="26"/>
                <w:szCs w:val="26"/>
                <w:lang w:val="en-US" w:eastAsia="zh-CN"/>
              </w:rPr>
              <w:t>给棉机，</w:t>
            </w:r>
            <w:r>
              <w:rPr>
                <w:rFonts w:hint="eastAsia"/>
                <w:color w:val="auto"/>
                <w:sz w:val="26"/>
                <w:szCs w:val="26"/>
                <w:lang w:val="en-US" w:eastAsia="zh-CN"/>
              </w:rPr>
              <w:t>该过程通过振动使玻璃纤维网短切纱均匀地堆放在传输带上，并通过</w:t>
            </w:r>
            <w:r>
              <w:rPr>
                <w:rFonts w:hint="default"/>
                <w:color w:val="auto"/>
                <w:sz w:val="26"/>
                <w:szCs w:val="26"/>
                <w:lang w:val="en-US" w:eastAsia="zh-CN"/>
              </w:rPr>
              <w:t>自调匀整仪控制给棉量</w:t>
            </w:r>
            <w:r>
              <w:rPr>
                <w:rFonts w:hint="eastAsia"/>
                <w:color w:val="auto"/>
                <w:sz w:val="26"/>
                <w:szCs w:val="26"/>
                <w:lang w:val="en-US" w:eastAsia="zh-CN"/>
              </w:rPr>
              <w:t>，</w:t>
            </w:r>
            <w:r>
              <w:rPr>
                <w:rFonts w:hint="default"/>
                <w:color w:val="auto"/>
                <w:sz w:val="26"/>
                <w:szCs w:val="26"/>
                <w:lang w:val="en-US" w:eastAsia="zh-CN"/>
              </w:rPr>
              <w:t>按预定重量送入梳理机，该过程</w:t>
            </w:r>
            <w:r>
              <w:rPr>
                <w:rFonts w:hint="eastAsia"/>
                <w:color w:val="auto"/>
                <w:sz w:val="26"/>
                <w:szCs w:val="26"/>
                <w:lang w:val="en-US" w:eastAsia="zh-CN"/>
              </w:rPr>
              <w:t>在密闭设备中进行，不涉及废气的产生</w:t>
            </w:r>
            <w:r>
              <w:rPr>
                <w:rFonts w:hint="default"/>
                <w:color w:val="auto"/>
                <w:sz w:val="26"/>
                <w:szCs w:val="26"/>
                <w:lang w:val="en-US" w:eastAsia="zh-CN"/>
              </w:rPr>
              <w:t>。</w:t>
            </w:r>
          </w:p>
          <w:p w14:paraId="743962B0">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color w:val="auto"/>
                <w:sz w:val="26"/>
                <w:szCs w:val="26"/>
                <w:lang w:val="en-US" w:eastAsia="zh-CN"/>
              </w:rPr>
            </w:pPr>
            <w:r>
              <w:rPr>
                <w:rFonts w:hint="eastAsia"/>
                <w:color w:val="auto"/>
                <w:sz w:val="26"/>
                <w:szCs w:val="26"/>
                <w:lang w:val="en-US" w:eastAsia="zh-CN"/>
              </w:rPr>
              <w:t>⑤</w:t>
            </w:r>
            <w:r>
              <w:rPr>
                <w:rFonts w:hint="default"/>
                <w:color w:val="auto"/>
                <w:sz w:val="26"/>
                <w:szCs w:val="26"/>
                <w:lang w:val="en-US" w:eastAsia="zh-CN"/>
              </w:rPr>
              <w:t>梳理</w:t>
            </w:r>
          </w:p>
          <w:p w14:paraId="1AAED9EF">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color w:val="auto"/>
                <w:sz w:val="26"/>
                <w:szCs w:val="26"/>
                <w:lang w:val="en-US" w:eastAsia="zh-CN"/>
              </w:rPr>
            </w:pPr>
            <w:r>
              <w:rPr>
                <w:rFonts w:hint="eastAsia"/>
                <w:color w:val="auto"/>
                <w:sz w:val="26"/>
                <w:szCs w:val="26"/>
                <w:lang w:val="en-US" w:eastAsia="zh-CN"/>
              </w:rPr>
              <w:t>振动</w:t>
            </w:r>
            <w:r>
              <w:rPr>
                <w:rFonts w:hint="default"/>
                <w:color w:val="auto"/>
                <w:sz w:val="26"/>
                <w:szCs w:val="26"/>
                <w:lang w:val="en-US" w:eastAsia="zh-CN"/>
              </w:rPr>
              <w:t>给棉机按一定标准由传送带将物料输送至单锡林双道夫梳理机，通过单锡林双道夫梳理机滚筒前端的梳理辊将短切纱梳理成根根单丝形成薄毡网后，通过滚筒的转动输出至下一传送带。此过程</w:t>
            </w:r>
            <w:r>
              <w:rPr>
                <w:rFonts w:hint="eastAsia"/>
                <w:color w:val="auto"/>
                <w:sz w:val="26"/>
                <w:szCs w:val="26"/>
                <w:lang w:val="en-US" w:eastAsia="zh-CN"/>
              </w:rPr>
              <w:t>在密闭设备中进行且全自动化，不涉及玻璃纤维粉尘的产生</w:t>
            </w:r>
            <w:r>
              <w:rPr>
                <w:rFonts w:hint="default"/>
                <w:color w:val="auto"/>
                <w:sz w:val="26"/>
                <w:szCs w:val="26"/>
                <w:lang w:val="en-US" w:eastAsia="zh-CN"/>
              </w:rPr>
              <w:t>。</w:t>
            </w:r>
          </w:p>
          <w:p w14:paraId="1DFF7F80">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color w:val="auto"/>
                <w:sz w:val="26"/>
                <w:szCs w:val="26"/>
                <w:lang w:val="en-US" w:eastAsia="zh-CN"/>
              </w:rPr>
            </w:pPr>
            <w:r>
              <w:rPr>
                <w:rFonts w:hint="eastAsia"/>
                <w:color w:val="auto"/>
                <w:sz w:val="26"/>
                <w:szCs w:val="26"/>
                <w:lang w:val="en-US" w:eastAsia="zh-CN"/>
              </w:rPr>
              <w:t>⑥</w:t>
            </w:r>
            <w:r>
              <w:rPr>
                <w:rFonts w:hint="default"/>
                <w:color w:val="auto"/>
                <w:sz w:val="26"/>
                <w:szCs w:val="26"/>
                <w:lang w:val="en-US" w:eastAsia="zh-CN"/>
              </w:rPr>
              <w:t>铺网</w:t>
            </w:r>
          </w:p>
          <w:p w14:paraId="02F6E641">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color w:val="auto"/>
                <w:sz w:val="26"/>
                <w:szCs w:val="26"/>
                <w:lang w:val="en-US" w:eastAsia="zh-CN"/>
              </w:rPr>
            </w:pPr>
            <w:r>
              <w:rPr>
                <w:rFonts w:hint="default"/>
                <w:color w:val="auto"/>
                <w:sz w:val="26"/>
                <w:szCs w:val="26"/>
                <w:lang w:val="en-US" w:eastAsia="zh-CN"/>
              </w:rPr>
              <w:t>经梳理大致形成的薄毡网通过输送带进入铺网机，铺网机上的辊轴往复移动将薄毡网层层铺叠至预定厚度后输出。</w:t>
            </w:r>
            <w:r>
              <w:rPr>
                <w:rFonts w:hint="eastAsia"/>
                <w:color w:val="auto"/>
                <w:sz w:val="26"/>
                <w:szCs w:val="26"/>
                <w:lang w:val="en-US" w:eastAsia="zh-CN"/>
              </w:rPr>
              <w:t>针对密度较大的</w:t>
            </w:r>
            <w:r>
              <w:rPr>
                <w:rFonts w:hint="default"/>
                <w:color w:val="auto"/>
                <w:sz w:val="26"/>
                <w:szCs w:val="26"/>
                <w:lang w:val="en-US" w:eastAsia="zh-CN"/>
              </w:rPr>
              <w:t>毡网</w:t>
            </w:r>
            <w:r>
              <w:rPr>
                <w:rFonts w:hint="eastAsia"/>
                <w:color w:val="auto"/>
                <w:sz w:val="26"/>
                <w:szCs w:val="26"/>
                <w:lang w:val="en-US" w:eastAsia="zh-CN"/>
              </w:rPr>
              <w:t>，则通过夹帘</w:t>
            </w:r>
            <w:r>
              <w:rPr>
                <w:rFonts w:hint="default"/>
                <w:color w:val="auto"/>
                <w:sz w:val="26"/>
                <w:szCs w:val="26"/>
                <w:lang w:val="en-US" w:eastAsia="zh-CN"/>
              </w:rPr>
              <w:t>喂入机</w:t>
            </w:r>
            <w:r>
              <w:rPr>
                <w:rFonts w:hint="eastAsia"/>
                <w:color w:val="auto"/>
                <w:sz w:val="26"/>
                <w:szCs w:val="26"/>
                <w:lang w:val="en-US" w:eastAsia="zh-CN"/>
              </w:rPr>
              <w:t>将其运输至下一工序</w:t>
            </w:r>
            <w:r>
              <w:rPr>
                <w:rFonts w:hint="default"/>
                <w:color w:val="auto"/>
                <w:sz w:val="26"/>
                <w:szCs w:val="26"/>
                <w:lang w:val="en-US" w:eastAsia="zh-CN"/>
              </w:rPr>
              <w:t>。</w:t>
            </w:r>
            <w:r>
              <w:rPr>
                <w:rFonts w:hint="eastAsia"/>
                <w:color w:val="auto"/>
                <w:sz w:val="26"/>
                <w:szCs w:val="26"/>
                <w:lang w:val="en-US" w:eastAsia="zh-CN"/>
              </w:rPr>
              <w:t>该过程涉及玻璃纤维粉尘G3的产生。</w:t>
            </w:r>
          </w:p>
          <w:p w14:paraId="32A9D077">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color w:val="auto"/>
                <w:sz w:val="26"/>
                <w:szCs w:val="26"/>
                <w:lang w:val="en-US" w:eastAsia="zh-CN"/>
              </w:rPr>
            </w:pPr>
            <w:r>
              <w:rPr>
                <w:rFonts w:hint="eastAsia"/>
                <w:color w:val="auto"/>
                <w:sz w:val="26"/>
                <w:szCs w:val="26"/>
                <w:lang w:val="en-US" w:eastAsia="zh-CN"/>
              </w:rPr>
              <w:t>⑦</w:t>
            </w:r>
            <w:r>
              <w:rPr>
                <w:rFonts w:hint="default"/>
                <w:color w:val="auto"/>
                <w:sz w:val="26"/>
                <w:szCs w:val="26"/>
                <w:lang w:val="en-US" w:eastAsia="zh-CN"/>
              </w:rPr>
              <w:t>预刺、下刺</w:t>
            </w:r>
          </w:p>
          <w:p w14:paraId="583CFD13">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color w:val="auto"/>
                <w:sz w:val="26"/>
                <w:szCs w:val="26"/>
                <w:lang w:val="en-US" w:eastAsia="zh-CN"/>
              </w:rPr>
            </w:pPr>
            <w:r>
              <w:rPr>
                <w:rFonts w:hint="default"/>
                <w:color w:val="auto"/>
                <w:sz w:val="26"/>
                <w:szCs w:val="26"/>
                <w:lang w:val="en-US" w:eastAsia="zh-CN"/>
              </w:rPr>
              <w:t>采用针刺机多次对毡网进行针刺，使纤维互相联结，成为具有一定强度的玻璃纤维针刺毡。</w:t>
            </w:r>
            <w:r>
              <w:rPr>
                <w:rFonts w:hint="eastAsia"/>
                <w:color w:val="auto"/>
                <w:sz w:val="26"/>
                <w:szCs w:val="26"/>
                <w:lang w:val="en-US" w:eastAsia="zh-CN"/>
              </w:rPr>
              <w:t>通过中速预刺机</w:t>
            </w:r>
            <w:r>
              <w:rPr>
                <w:rFonts w:hint="default"/>
                <w:color w:val="auto"/>
                <w:sz w:val="26"/>
                <w:szCs w:val="26"/>
                <w:lang w:val="en-US" w:eastAsia="zh-CN"/>
              </w:rPr>
              <w:t>将毡网进行针刺固定，</w:t>
            </w:r>
            <w:r>
              <w:rPr>
                <w:rFonts w:hint="eastAsia"/>
                <w:color w:val="auto"/>
                <w:sz w:val="26"/>
                <w:szCs w:val="26"/>
                <w:lang w:val="en-US" w:eastAsia="zh-CN"/>
              </w:rPr>
              <w:t>通过中速下刺机</w:t>
            </w:r>
            <w:r>
              <w:rPr>
                <w:rFonts w:hint="default"/>
                <w:color w:val="auto"/>
                <w:sz w:val="26"/>
                <w:szCs w:val="26"/>
                <w:lang w:val="en-US" w:eastAsia="zh-CN"/>
              </w:rPr>
              <w:t>从下往上进行针刺</w:t>
            </w:r>
            <w:r>
              <w:rPr>
                <w:rFonts w:hint="eastAsia"/>
                <w:color w:val="auto"/>
                <w:sz w:val="26"/>
                <w:szCs w:val="26"/>
                <w:lang w:val="en-US" w:eastAsia="zh-CN"/>
              </w:rPr>
              <w:t>定形</w:t>
            </w:r>
            <w:r>
              <w:rPr>
                <w:rFonts w:hint="default"/>
                <w:color w:val="auto"/>
                <w:sz w:val="26"/>
                <w:szCs w:val="26"/>
                <w:lang w:val="en-US" w:eastAsia="zh-CN"/>
              </w:rPr>
              <w:t>。预刺的针刺方向为从上至下，下刺则为从下往上针刺。</w:t>
            </w:r>
          </w:p>
          <w:p w14:paraId="5067C3C0">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color w:val="auto"/>
                <w:sz w:val="26"/>
                <w:szCs w:val="26"/>
                <w:lang w:val="en-US" w:eastAsia="zh-CN"/>
              </w:rPr>
            </w:pPr>
            <w:r>
              <w:rPr>
                <w:rFonts w:hint="eastAsia"/>
                <w:color w:val="auto"/>
                <w:sz w:val="26"/>
                <w:szCs w:val="26"/>
                <w:lang w:val="en-US" w:eastAsia="zh-CN"/>
              </w:rPr>
              <w:t>⑧</w:t>
            </w:r>
            <w:r>
              <w:rPr>
                <w:rFonts w:hint="default"/>
                <w:color w:val="auto"/>
                <w:sz w:val="26"/>
                <w:szCs w:val="26"/>
                <w:lang w:val="en-US" w:eastAsia="zh-CN"/>
              </w:rPr>
              <w:t>切边、收卷</w:t>
            </w:r>
          </w:p>
          <w:p w14:paraId="6FB83150">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color w:val="auto"/>
                <w:sz w:val="26"/>
                <w:szCs w:val="26"/>
                <w:lang w:val="en-US" w:eastAsia="zh-CN"/>
              </w:rPr>
            </w:pPr>
            <w:r>
              <w:rPr>
                <w:rFonts w:hint="default"/>
                <w:color w:val="auto"/>
                <w:sz w:val="26"/>
                <w:szCs w:val="26"/>
                <w:lang w:val="en-US" w:eastAsia="zh-CN"/>
              </w:rPr>
              <w:t>针刺后的毡网进入</w:t>
            </w:r>
            <w:r>
              <w:rPr>
                <w:rFonts w:hint="eastAsia"/>
                <w:color w:val="auto"/>
                <w:sz w:val="26"/>
                <w:szCs w:val="26"/>
                <w:lang w:val="en-US" w:eastAsia="zh-CN"/>
              </w:rPr>
              <w:t>横切收卷</w:t>
            </w:r>
            <w:r>
              <w:rPr>
                <w:rFonts w:hint="default"/>
                <w:color w:val="auto"/>
                <w:sz w:val="26"/>
                <w:szCs w:val="26"/>
                <w:lang w:val="en-US" w:eastAsia="zh-CN"/>
              </w:rPr>
              <w:t>机，通过成卷机两端的滚刀将毡网两侧的毛边去掉，然后收卷成型，收卷至一定规格后由成卷机上的刀片切断。切边过程产生边角料S2</w:t>
            </w:r>
            <w:r>
              <w:rPr>
                <w:rFonts w:hint="eastAsia"/>
                <w:color w:val="auto"/>
                <w:sz w:val="26"/>
                <w:szCs w:val="26"/>
                <w:lang w:val="en-US" w:eastAsia="zh-CN"/>
              </w:rPr>
              <w:t>以及玻璃纤维粉尘G4</w:t>
            </w:r>
            <w:r>
              <w:rPr>
                <w:rFonts w:hint="default"/>
                <w:color w:val="auto"/>
                <w:sz w:val="26"/>
                <w:szCs w:val="26"/>
                <w:lang w:val="en-US" w:eastAsia="zh-CN"/>
              </w:rPr>
              <w:t>。</w:t>
            </w:r>
          </w:p>
          <w:p w14:paraId="49167C6A">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color w:val="auto"/>
                <w:sz w:val="26"/>
                <w:szCs w:val="26"/>
                <w:lang w:val="en-US" w:eastAsia="zh-CN"/>
              </w:rPr>
            </w:pPr>
            <w:r>
              <w:rPr>
                <w:rFonts w:hint="eastAsia"/>
                <w:color w:val="auto"/>
                <w:sz w:val="26"/>
                <w:szCs w:val="26"/>
                <w:lang w:val="en-US" w:eastAsia="zh-CN"/>
              </w:rPr>
              <w:t>⑨</w:t>
            </w:r>
            <w:r>
              <w:rPr>
                <w:rFonts w:hint="default"/>
                <w:color w:val="auto"/>
                <w:sz w:val="26"/>
                <w:szCs w:val="26"/>
                <w:lang w:val="en-US" w:eastAsia="zh-CN"/>
              </w:rPr>
              <w:t>包装</w:t>
            </w:r>
          </w:p>
          <w:p w14:paraId="5999575B">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color w:val="auto"/>
                <w:sz w:val="26"/>
                <w:szCs w:val="26"/>
                <w:lang w:val="en-US" w:eastAsia="zh-CN"/>
              </w:rPr>
            </w:pPr>
            <w:r>
              <w:rPr>
                <w:rFonts w:hint="default"/>
                <w:color w:val="auto"/>
                <w:sz w:val="26"/>
                <w:szCs w:val="26"/>
                <w:lang w:val="en-US" w:eastAsia="zh-CN"/>
              </w:rPr>
              <w:t>采用外购的</w:t>
            </w:r>
            <w:r>
              <w:rPr>
                <w:rFonts w:hint="eastAsia"/>
                <w:color w:val="auto"/>
                <w:sz w:val="26"/>
                <w:szCs w:val="26"/>
                <w:lang w:val="en-US" w:eastAsia="zh-CN"/>
              </w:rPr>
              <w:t>缠绕</w:t>
            </w:r>
            <w:r>
              <w:rPr>
                <w:rFonts w:hint="default"/>
                <w:color w:val="auto"/>
                <w:sz w:val="26"/>
                <w:szCs w:val="26"/>
                <w:lang w:val="en-US" w:eastAsia="zh-CN"/>
              </w:rPr>
              <w:t>膜对成品进行包装。</w:t>
            </w:r>
          </w:p>
          <w:p w14:paraId="5EACF66C">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sz w:val="26"/>
                <w:szCs w:val="26"/>
                <w:lang w:val="en-US" w:eastAsia="zh-CN"/>
              </w:rPr>
            </w:pPr>
            <w:r>
              <w:rPr>
                <w:rFonts w:hint="eastAsia"/>
                <w:color w:val="auto"/>
                <w:sz w:val="26"/>
                <w:szCs w:val="26"/>
                <w:lang w:val="en-US" w:eastAsia="zh-CN"/>
              </w:rPr>
              <w:t>⑩裁切</w:t>
            </w:r>
          </w:p>
          <w:p w14:paraId="3EEDED23">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s="Times New Roman"/>
                <w:color w:val="auto"/>
                <w:kern w:val="2"/>
                <w:sz w:val="26"/>
                <w:szCs w:val="26"/>
                <w:lang w:val="en-US" w:eastAsia="zh-CN" w:bidi="ar-SA"/>
              </w:rPr>
            </w:pPr>
            <w:r>
              <w:rPr>
                <w:rFonts w:hint="eastAsia"/>
                <w:color w:val="auto"/>
                <w:sz w:val="26"/>
                <w:szCs w:val="26"/>
                <w:lang w:val="en-US" w:eastAsia="zh-CN"/>
              </w:rPr>
              <w:t>通过上述工艺制得的玻璃纤维毡，耐温性能为750~105</w:t>
            </w:r>
            <w:r>
              <w:rPr>
                <w:rFonts w:hint="default" w:ascii="Times New Roman" w:hAnsi="Times New Roman" w:cs="Times New Roman"/>
                <w:color w:val="auto"/>
                <w:sz w:val="26"/>
                <w:szCs w:val="26"/>
                <w:lang w:val="en-US" w:eastAsia="zh-CN"/>
              </w:rPr>
              <w:t>0℃</w:t>
            </w:r>
            <w:r>
              <w:rPr>
                <w:rFonts w:hint="eastAsia" w:ascii="Times New Roman" w:hAnsi="Times New Roman" w:cs="Times New Roman"/>
                <w:color w:val="auto"/>
                <w:sz w:val="26"/>
                <w:szCs w:val="26"/>
                <w:lang w:val="en-US" w:eastAsia="zh-CN"/>
              </w:rPr>
              <w:t>，部分自制玻璃纤维毡同外购的耐温性能为650℃的玻璃纤维毡</w:t>
            </w:r>
            <w:r>
              <w:rPr>
                <w:rFonts w:hint="eastAsia" w:cs="Times New Roman"/>
                <w:color w:val="auto"/>
                <w:sz w:val="26"/>
                <w:szCs w:val="26"/>
                <w:lang w:val="en-US" w:eastAsia="zh-CN"/>
              </w:rPr>
              <w:t>（</w:t>
            </w:r>
            <w:r>
              <w:rPr>
                <w:rFonts w:hint="eastAsia" w:cs="Times New Roman"/>
                <w:color w:val="auto"/>
                <w:kern w:val="2"/>
                <w:sz w:val="26"/>
                <w:szCs w:val="26"/>
                <w:lang w:val="en-US" w:eastAsia="zh-CN" w:bidi="ar-SA"/>
              </w:rPr>
              <w:t>外购的玻璃纤维毡由于受潮等因素，需在电热风循环烘箱内烘干，烘烤温度为200~300℃，烘烤时间为10～15min/次。玻璃纤维毡的主要成分为二氧化硅等无机物，由于烘烤温度较低，不涉及废气的产生</w:t>
            </w:r>
            <w:r>
              <w:rPr>
                <w:rFonts w:hint="eastAsia" w:cs="Times New Roman"/>
                <w:color w:val="auto"/>
                <w:sz w:val="26"/>
                <w:szCs w:val="26"/>
                <w:lang w:val="en-US" w:eastAsia="zh-CN"/>
              </w:rPr>
              <w:t>）</w:t>
            </w:r>
            <w:r>
              <w:rPr>
                <w:rFonts w:hint="eastAsia" w:ascii="Times New Roman" w:hAnsi="Times New Roman" w:cs="Times New Roman"/>
                <w:color w:val="auto"/>
                <w:sz w:val="26"/>
                <w:szCs w:val="26"/>
                <w:lang w:val="en-US" w:eastAsia="zh-CN"/>
              </w:rPr>
              <w:t>进一步通过整体皮带气动裁断机进行裁切，按照购买商需求裁剪为不同形状，从而得到不同隔热性能的</w:t>
            </w:r>
            <w:r>
              <w:rPr>
                <w:rFonts w:hint="eastAsia" w:ascii="Times New Roman" w:hAnsi="Times New Roman" w:eastAsia="宋体" w:cs="Times New Roman"/>
                <w:color w:val="auto"/>
                <w:kern w:val="2"/>
                <w:sz w:val="26"/>
                <w:szCs w:val="26"/>
                <w:lang w:val="en-US" w:eastAsia="zh-CN" w:bidi="ar-SA"/>
              </w:rPr>
              <w:t>车用纤维隔热片</w:t>
            </w:r>
            <w:r>
              <w:rPr>
                <w:rFonts w:hint="eastAsia" w:cs="Times New Roman"/>
                <w:color w:val="auto"/>
                <w:kern w:val="2"/>
                <w:sz w:val="26"/>
                <w:szCs w:val="26"/>
                <w:lang w:val="en-US" w:eastAsia="zh-CN" w:bidi="ar-SA"/>
              </w:rPr>
              <w:t>产品。该过程产生玻璃纤维粉尘G5以及边角料S3。</w:t>
            </w:r>
          </w:p>
          <w:p w14:paraId="7BD28630">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s="Times New Roman"/>
                <w:color w:val="auto"/>
                <w:kern w:val="2"/>
                <w:sz w:val="26"/>
                <w:szCs w:val="26"/>
                <w:lang w:val="en-US" w:eastAsia="zh-CN" w:bidi="ar-SA"/>
              </w:rPr>
            </w:pPr>
            <w:r>
              <w:rPr>
                <w:rFonts w:hint="eastAsia" w:ascii="微软雅黑" w:hAnsi="微软雅黑" w:eastAsia="微软雅黑" w:cs="微软雅黑"/>
                <w:color w:val="auto"/>
                <w:kern w:val="2"/>
                <w:sz w:val="26"/>
                <w:szCs w:val="26"/>
                <w:lang w:val="en-US" w:eastAsia="zh-CN" w:bidi="ar-SA"/>
              </w:rPr>
              <w:t>⑪</w:t>
            </w:r>
            <w:r>
              <w:rPr>
                <w:rFonts w:hint="eastAsia" w:cs="Times New Roman"/>
                <w:color w:val="auto"/>
                <w:kern w:val="2"/>
                <w:sz w:val="26"/>
                <w:szCs w:val="26"/>
                <w:lang w:val="en-US" w:eastAsia="zh-CN" w:bidi="ar-SA"/>
              </w:rPr>
              <w:t>包装</w:t>
            </w:r>
          </w:p>
          <w:p w14:paraId="2C08A9C1">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s="Times New Roman"/>
                <w:color w:val="auto"/>
                <w:kern w:val="2"/>
                <w:sz w:val="26"/>
                <w:szCs w:val="26"/>
                <w:lang w:val="en-US" w:eastAsia="zh-CN" w:bidi="ar-SA"/>
              </w:rPr>
            </w:pPr>
            <w:r>
              <w:rPr>
                <w:rFonts w:hint="eastAsia" w:cs="Times New Roman"/>
                <w:color w:val="auto"/>
                <w:kern w:val="2"/>
                <w:sz w:val="26"/>
                <w:szCs w:val="26"/>
                <w:lang w:val="en-US" w:eastAsia="zh-CN" w:bidi="ar-SA"/>
              </w:rPr>
              <w:t>烘烤后的产品冷却后使用纸箱进行包装，出库。</w:t>
            </w:r>
          </w:p>
          <w:p w14:paraId="5A20A22E">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firstLine="0" w:firstLineChars="0"/>
              <w:textAlignment w:val="auto"/>
              <w:rPr>
                <w:rFonts w:hint="eastAsia" w:cs="Times New Roman"/>
                <w:b/>
                <w:bCs/>
                <w:color w:val="auto"/>
                <w:kern w:val="2"/>
                <w:sz w:val="26"/>
                <w:szCs w:val="26"/>
                <w:lang w:val="en-US" w:eastAsia="zh-CN" w:bidi="ar-SA"/>
              </w:rPr>
            </w:pPr>
            <w:r>
              <w:rPr>
                <w:rFonts w:hint="eastAsia" w:ascii="Times New Roman" w:hAnsi="Times New Roman" w:eastAsia="宋体" w:cs="Times New Roman"/>
                <w:b/>
                <w:bCs/>
                <w:color w:val="auto"/>
                <w:kern w:val="2"/>
                <w:sz w:val="26"/>
                <w:szCs w:val="26"/>
                <w:lang w:val="en-US" w:eastAsia="zh-CN" w:bidi="ar-SA"/>
              </w:rPr>
              <w:t>（2）</w:t>
            </w:r>
            <w:r>
              <w:rPr>
                <w:rFonts w:hint="eastAsia" w:cs="Times New Roman"/>
                <w:b/>
                <w:bCs/>
                <w:color w:val="auto"/>
                <w:kern w:val="2"/>
                <w:sz w:val="26"/>
                <w:szCs w:val="26"/>
                <w:lang w:val="en-US" w:eastAsia="zh-CN" w:bidi="ar-SA"/>
              </w:rPr>
              <w:t>车用消音隔热棉生产工艺及产排污分析</w:t>
            </w:r>
          </w:p>
          <w:p w14:paraId="31BE7E49">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520" w:firstLineChars="200"/>
              <w:textAlignment w:val="auto"/>
              <w:rPr>
                <w:rFonts w:hint="eastAsia" w:cs="Times New Roman"/>
                <w:color w:val="auto"/>
                <w:kern w:val="2"/>
                <w:sz w:val="26"/>
                <w:szCs w:val="26"/>
                <w:lang w:val="en-US" w:eastAsia="zh-CN" w:bidi="ar-SA"/>
              </w:rPr>
            </w:pPr>
            <w:r>
              <w:rPr>
                <w:rFonts w:hint="eastAsia" w:cs="Times New Roman"/>
                <w:color w:val="auto"/>
                <w:kern w:val="2"/>
                <w:sz w:val="26"/>
                <w:szCs w:val="26"/>
                <w:lang w:val="en-US" w:eastAsia="zh-CN" w:bidi="ar-SA"/>
              </w:rPr>
              <w:t>工艺流程简述：</w:t>
            </w:r>
          </w:p>
          <w:p w14:paraId="7F607141">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520" w:firstLineChars="200"/>
              <w:textAlignment w:val="auto"/>
              <w:rPr>
                <w:rFonts w:hint="default" w:cs="Times New Roman"/>
                <w:color w:val="auto"/>
                <w:kern w:val="2"/>
                <w:sz w:val="26"/>
                <w:szCs w:val="26"/>
                <w:lang w:val="en-US" w:eastAsia="zh-CN" w:bidi="ar-SA"/>
              </w:rPr>
            </w:pPr>
            <w:r>
              <w:rPr>
                <w:rFonts w:hint="eastAsia" w:cs="Times New Roman"/>
                <w:color w:val="auto"/>
                <w:kern w:val="2"/>
                <w:sz w:val="26"/>
                <w:szCs w:val="26"/>
                <w:lang w:val="en-US" w:eastAsia="zh-CN" w:bidi="ar-SA"/>
              </w:rPr>
              <w:t>①</w:t>
            </w:r>
            <w:r>
              <w:rPr>
                <w:rFonts w:hint="default" w:cs="Times New Roman"/>
                <w:color w:val="auto"/>
                <w:kern w:val="2"/>
                <w:sz w:val="26"/>
                <w:szCs w:val="26"/>
                <w:lang w:val="en-US" w:eastAsia="zh-CN" w:bidi="ar-SA"/>
              </w:rPr>
              <w:t>织网</w:t>
            </w:r>
          </w:p>
          <w:p w14:paraId="1C6B731E">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520" w:firstLineChars="200"/>
              <w:textAlignment w:val="auto"/>
              <w:rPr>
                <w:rFonts w:hint="default" w:cs="Times New Roman"/>
                <w:color w:val="auto"/>
                <w:kern w:val="2"/>
                <w:sz w:val="26"/>
                <w:szCs w:val="26"/>
                <w:lang w:val="en-US" w:eastAsia="zh-CN" w:bidi="ar-SA"/>
              </w:rPr>
            </w:pPr>
            <w:r>
              <w:rPr>
                <w:rFonts w:hint="default" w:cs="Times New Roman"/>
                <w:color w:val="auto"/>
                <w:kern w:val="2"/>
                <w:sz w:val="26"/>
                <w:szCs w:val="26"/>
                <w:lang w:val="en-US" w:eastAsia="zh-CN" w:bidi="ar-SA"/>
              </w:rPr>
              <w:t>外购网袋纱经织网机进行织网</w:t>
            </w:r>
            <w:r>
              <w:rPr>
                <w:rFonts w:hint="eastAsia" w:cs="Times New Roman"/>
                <w:color w:val="auto"/>
                <w:kern w:val="2"/>
                <w:sz w:val="26"/>
                <w:szCs w:val="26"/>
                <w:lang w:val="en-US" w:eastAsia="zh-CN" w:bidi="ar-SA"/>
              </w:rPr>
              <w:t>，制得网袋</w:t>
            </w:r>
            <w:r>
              <w:rPr>
                <w:rFonts w:hint="default" w:cs="Times New Roman"/>
                <w:color w:val="auto"/>
                <w:kern w:val="2"/>
                <w:sz w:val="26"/>
                <w:szCs w:val="26"/>
                <w:lang w:val="en-US" w:eastAsia="zh-CN" w:bidi="ar-SA"/>
              </w:rPr>
              <w:t>备用。</w:t>
            </w:r>
          </w:p>
          <w:p w14:paraId="73C72C6F">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520" w:firstLineChars="200"/>
              <w:textAlignment w:val="auto"/>
              <w:rPr>
                <w:rFonts w:hint="default" w:cs="Times New Roman"/>
                <w:color w:val="auto"/>
                <w:kern w:val="2"/>
                <w:sz w:val="26"/>
                <w:szCs w:val="26"/>
                <w:lang w:val="en-US" w:eastAsia="zh-CN" w:bidi="ar-SA"/>
              </w:rPr>
            </w:pPr>
            <w:r>
              <w:rPr>
                <w:rFonts w:hint="eastAsia" w:cs="Times New Roman"/>
                <w:color w:val="auto"/>
                <w:kern w:val="2"/>
                <w:sz w:val="26"/>
                <w:szCs w:val="26"/>
                <w:lang w:val="en-US" w:eastAsia="zh-CN" w:bidi="ar-SA"/>
              </w:rPr>
              <w:t>②</w:t>
            </w:r>
            <w:r>
              <w:rPr>
                <w:rFonts w:hint="default" w:cs="Times New Roman"/>
                <w:color w:val="auto"/>
                <w:kern w:val="2"/>
                <w:sz w:val="26"/>
                <w:szCs w:val="26"/>
                <w:lang w:val="en-US" w:eastAsia="zh-CN" w:bidi="ar-SA"/>
              </w:rPr>
              <w:t>打结</w:t>
            </w:r>
          </w:p>
          <w:p w14:paraId="4539F60B">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520" w:firstLineChars="200"/>
              <w:textAlignment w:val="auto"/>
              <w:rPr>
                <w:rFonts w:hint="default" w:cs="Times New Roman"/>
                <w:color w:val="auto"/>
                <w:kern w:val="2"/>
                <w:sz w:val="26"/>
                <w:szCs w:val="26"/>
                <w:lang w:val="en-US" w:eastAsia="zh-CN" w:bidi="ar-SA"/>
              </w:rPr>
            </w:pPr>
            <w:r>
              <w:rPr>
                <w:rFonts w:hint="default" w:cs="Times New Roman"/>
                <w:color w:val="auto"/>
                <w:kern w:val="2"/>
                <w:sz w:val="26"/>
                <w:szCs w:val="26"/>
                <w:lang w:val="en-US" w:eastAsia="zh-CN" w:bidi="ar-SA"/>
              </w:rPr>
              <w:t>按需要的长度，人工将网袋进行打结处理。</w:t>
            </w:r>
          </w:p>
          <w:p w14:paraId="2531FD64">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520" w:firstLineChars="200"/>
              <w:textAlignment w:val="auto"/>
              <w:rPr>
                <w:rFonts w:hint="default" w:cs="Times New Roman"/>
                <w:color w:val="auto"/>
                <w:kern w:val="2"/>
                <w:sz w:val="26"/>
                <w:szCs w:val="26"/>
                <w:lang w:val="en-US" w:eastAsia="zh-CN" w:bidi="ar-SA"/>
              </w:rPr>
            </w:pPr>
            <w:r>
              <w:rPr>
                <w:rFonts w:hint="eastAsia" w:cs="Times New Roman"/>
                <w:color w:val="auto"/>
                <w:kern w:val="2"/>
                <w:sz w:val="26"/>
                <w:szCs w:val="26"/>
                <w:lang w:val="en-US" w:eastAsia="zh-CN" w:bidi="ar-SA"/>
              </w:rPr>
              <w:t>③</w:t>
            </w:r>
            <w:r>
              <w:rPr>
                <w:rFonts w:hint="default" w:cs="Times New Roman"/>
                <w:color w:val="auto"/>
                <w:kern w:val="2"/>
                <w:sz w:val="26"/>
                <w:szCs w:val="26"/>
                <w:lang w:val="en-US" w:eastAsia="zh-CN" w:bidi="ar-SA"/>
              </w:rPr>
              <w:t>膨化</w:t>
            </w:r>
          </w:p>
          <w:p w14:paraId="7AEEBC5C">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520" w:firstLineChars="200"/>
              <w:textAlignment w:val="auto"/>
              <w:rPr>
                <w:rFonts w:hint="default" w:cs="Times New Roman"/>
                <w:color w:val="auto"/>
                <w:kern w:val="2"/>
                <w:sz w:val="26"/>
                <w:szCs w:val="26"/>
                <w:lang w:val="en-US" w:eastAsia="zh-CN" w:bidi="ar-SA"/>
              </w:rPr>
            </w:pPr>
            <w:r>
              <w:rPr>
                <w:rFonts w:hint="default" w:cs="Times New Roman"/>
                <w:color w:val="auto"/>
                <w:kern w:val="2"/>
                <w:sz w:val="26"/>
                <w:szCs w:val="26"/>
                <w:lang w:val="en-US" w:eastAsia="zh-CN" w:bidi="ar-SA"/>
              </w:rPr>
              <w:t>将已打结好的网袋或</w:t>
            </w:r>
            <w:r>
              <w:rPr>
                <w:rFonts w:hint="eastAsia" w:cs="Times New Roman"/>
                <w:color w:val="auto"/>
                <w:kern w:val="2"/>
                <w:sz w:val="26"/>
                <w:szCs w:val="26"/>
                <w:lang w:val="en-US" w:eastAsia="zh-CN" w:bidi="ar-SA"/>
              </w:rPr>
              <w:t>外购的</w:t>
            </w:r>
            <w:r>
              <w:rPr>
                <w:rFonts w:hint="default" w:cs="Times New Roman"/>
                <w:color w:val="auto"/>
                <w:kern w:val="2"/>
                <w:sz w:val="26"/>
                <w:szCs w:val="26"/>
                <w:lang w:val="en-US" w:eastAsia="zh-CN" w:bidi="ar-SA"/>
              </w:rPr>
              <w:t>PE袋，通过</w:t>
            </w:r>
            <w:r>
              <w:rPr>
                <w:rFonts w:hint="eastAsia" w:cs="Times New Roman"/>
                <w:color w:val="auto"/>
                <w:kern w:val="2"/>
                <w:sz w:val="26"/>
                <w:szCs w:val="26"/>
                <w:lang w:val="en-US" w:eastAsia="zh-CN" w:bidi="ar-SA"/>
              </w:rPr>
              <w:t>玻璃纤维</w:t>
            </w:r>
            <w:r>
              <w:rPr>
                <w:rFonts w:hint="default" w:cs="Times New Roman"/>
                <w:color w:val="auto"/>
                <w:kern w:val="2"/>
                <w:sz w:val="26"/>
                <w:szCs w:val="26"/>
                <w:lang w:val="en-US" w:eastAsia="zh-CN" w:bidi="ar-SA"/>
              </w:rPr>
              <w:t>膨化机将外购膨化纱进行膨化处理，</w:t>
            </w:r>
            <w:r>
              <w:rPr>
                <w:rFonts w:hint="eastAsia" w:cs="Times New Roman"/>
                <w:color w:val="auto"/>
                <w:kern w:val="2"/>
                <w:sz w:val="26"/>
                <w:szCs w:val="26"/>
                <w:lang w:val="en-US" w:eastAsia="zh-CN" w:bidi="ar-SA"/>
              </w:rPr>
              <w:t>通过加压至0.5MPa将膨化纱均匀地充入</w:t>
            </w:r>
            <w:r>
              <w:rPr>
                <w:rFonts w:hint="default" w:cs="Times New Roman"/>
                <w:color w:val="auto"/>
                <w:kern w:val="2"/>
                <w:sz w:val="26"/>
                <w:szCs w:val="26"/>
                <w:lang w:val="en-US" w:eastAsia="zh-CN" w:bidi="ar-SA"/>
              </w:rPr>
              <w:t>网袋或PE袋内。此过程产生废品S</w:t>
            </w:r>
            <w:r>
              <w:rPr>
                <w:rFonts w:hint="eastAsia" w:cs="Times New Roman"/>
                <w:color w:val="auto"/>
                <w:kern w:val="2"/>
                <w:sz w:val="26"/>
                <w:szCs w:val="26"/>
                <w:lang w:val="en-US" w:eastAsia="zh-CN" w:bidi="ar-SA"/>
              </w:rPr>
              <w:t>4、玻璃纤维粉尘G6、噪声N</w:t>
            </w:r>
            <w:r>
              <w:rPr>
                <w:rFonts w:hint="default" w:cs="Times New Roman"/>
                <w:color w:val="auto"/>
                <w:kern w:val="2"/>
                <w:sz w:val="26"/>
                <w:szCs w:val="26"/>
                <w:lang w:val="en-US" w:eastAsia="zh-CN" w:bidi="ar-SA"/>
              </w:rPr>
              <w:t>。</w:t>
            </w:r>
          </w:p>
          <w:p w14:paraId="4F0069EB">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520" w:firstLineChars="200"/>
              <w:textAlignment w:val="auto"/>
              <w:rPr>
                <w:rFonts w:hint="default" w:cs="Times New Roman"/>
                <w:color w:val="auto"/>
                <w:kern w:val="2"/>
                <w:sz w:val="26"/>
                <w:szCs w:val="26"/>
                <w:lang w:val="en-US" w:eastAsia="zh-CN" w:bidi="ar-SA"/>
              </w:rPr>
            </w:pPr>
            <w:r>
              <w:rPr>
                <w:rFonts w:hint="eastAsia" w:cs="Times New Roman"/>
                <w:color w:val="auto"/>
                <w:kern w:val="2"/>
                <w:sz w:val="26"/>
                <w:szCs w:val="26"/>
                <w:lang w:val="en-US" w:eastAsia="zh-CN" w:bidi="ar-SA"/>
              </w:rPr>
              <w:t>⑤</w:t>
            </w:r>
            <w:r>
              <w:rPr>
                <w:rFonts w:hint="default" w:cs="Times New Roman"/>
                <w:color w:val="auto"/>
                <w:kern w:val="2"/>
                <w:sz w:val="26"/>
                <w:szCs w:val="26"/>
                <w:lang w:val="en-US" w:eastAsia="zh-CN" w:bidi="ar-SA"/>
              </w:rPr>
              <w:t>包装</w:t>
            </w:r>
          </w:p>
          <w:p w14:paraId="28B66D84">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520" w:firstLineChars="200"/>
              <w:textAlignment w:val="auto"/>
              <w:rPr>
                <w:rFonts w:hint="default" w:cs="Times New Roman"/>
                <w:color w:val="auto"/>
                <w:kern w:val="2"/>
                <w:sz w:val="26"/>
                <w:szCs w:val="26"/>
                <w:lang w:val="en-US" w:eastAsia="zh-CN" w:bidi="ar-SA"/>
              </w:rPr>
            </w:pPr>
            <w:r>
              <w:rPr>
                <w:rFonts w:hint="default" w:cs="Times New Roman"/>
                <w:color w:val="auto"/>
                <w:kern w:val="2"/>
                <w:sz w:val="26"/>
                <w:szCs w:val="26"/>
                <w:lang w:val="en-US" w:eastAsia="zh-CN" w:bidi="ar-SA"/>
              </w:rPr>
              <w:t>采用外购的编织袋进行包装，并置于木托盘上。</w:t>
            </w:r>
          </w:p>
          <w:p w14:paraId="20DEB6D4">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default" w:cs="Times New Roman"/>
                <w:color w:val="auto"/>
                <w:kern w:val="2"/>
                <w:sz w:val="26"/>
                <w:szCs w:val="26"/>
                <w:lang w:val="en-US" w:eastAsia="zh-CN" w:bidi="ar-SA"/>
              </w:rPr>
            </w:pPr>
            <w:r>
              <w:rPr>
                <w:rFonts w:hint="default" w:cs="Times New Roman"/>
                <w:color w:val="auto"/>
                <w:kern w:val="2"/>
                <w:sz w:val="26"/>
                <w:szCs w:val="26"/>
                <w:lang w:val="en-US" w:eastAsia="zh-CN" w:bidi="ar-SA"/>
              </w:rPr>
              <w:drawing>
                <wp:anchor distT="0" distB="0" distL="114300" distR="114300" simplePos="0" relativeHeight="251663360" behindDoc="0" locked="0" layoutInCell="1" allowOverlap="1">
                  <wp:simplePos x="0" y="0"/>
                  <wp:positionH relativeFrom="column">
                    <wp:posOffset>528320</wp:posOffset>
                  </wp:positionH>
                  <wp:positionV relativeFrom="paragraph">
                    <wp:posOffset>41275</wp:posOffset>
                  </wp:positionV>
                  <wp:extent cx="3230245" cy="2815590"/>
                  <wp:effectExtent l="0" t="0" r="0" b="0"/>
                  <wp:wrapNone/>
                  <wp:docPr id="54" name="ECB019B1-382A-4266-B25C-5B523AA43C14-3" descr="C:/Users/雷琴小宝贝儿/AppData/Local/Temp/wps.blGpq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CB019B1-382A-4266-B25C-5B523AA43C14-3" descr="C:/Users/雷琴小宝贝儿/AppData/Local/Temp/wps.blGpqrwps"/>
                          <pic:cNvPicPr>
                            <a:picLocks noChangeAspect="1"/>
                          </pic:cNvPicPr>
                        </pic:nvPicPr>
                        <pic:blipFill>
                          <a:blip r:embed="rId12"/>
                          <a:srcRect t="5146"/>
                          <a:stretch>
                            <a:fillRect/>
                          </a:stretch>
                        </pic:blipFill>
                        <pic:spPr>
                          <a:xfrm>
                            <a:off x="0" y="0"/>
                            <a:ext cx="3230245" cy="2815590"/>
                          </a:xfrm>
                          <a:prstGeom prst="rect">
                            <a:avLst/>
                          </a:prstGeom>
                        </pic:spPr>
                      </pic:pic>
                    </a:graphicData>
                  </a:graphic>
                </wp:anchor>
              </w:drawing>
            </w:r>
          </w:p>
          <w:p w14:paraId="3E5696B3">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default" w:cs="Times New Roman"/>
                <w:color w:val="auto"/>
                <w:kern w:val="2"/>
                <w:sz w:val="26"/>
                <w:szCs w:val="26"/>
                <w:lang w:val="en-US" w:eastAsia="zh-CN" w:bidi="ar-SA"/>
              </w:rPr>
            </w:pPr>
          </w:p>
          <w:p w14:paraId="67CAC276">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default" w:cs="Times New Roman"/>
                <w:color w:val="auto"/>
                <w:kern w:val="2"/>
                <w:sz w:val="26"/>
                <w:szCs w:val="26"/>
                <w:lang w:val="en-US" w:eastAsia="zh-CN" w:bidi="ar-SA"/>
              </w:rPr>
            </w:pPr>
          </w:p>
          <w:p w14:paraId="73B14BE2">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default" w:cs="Times New Roman"/>
                <w:color w:val="auto"/>
                <w:kern w:val="2"/>
                <w:sz w:val="26"/>
                <w:szCs w:val="26"/>
                <w:lang w:val="en-US" w:eastAsia="zh-CN" w:bidi="ar-SA"/>
              </w:rPr>
            </w:pPr>
          </w:p>
          <w:p w14:paraId="2E55B617">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default" w:cs="Times New Roman"/>
                <w:color w:val="auto"/>
                <w:kern w:val="2"/>
                <w:sz w:val="26"/>
                <w:szCs w:val="26"/>
                <w:lang w:val="en-US" w:eastAsia="zh-CN" w:bidi="ar-SA"/>
              </w:rPr>
            </w:pPr>
          </w:p>
          <w:p w14:paraId="18B8A576">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default" w:cs="Times New Roman"/>
                <w:color w:val="auto"/>
                <w:kern w:val="2"/>
                <w:sz w:val="26"/>
                <w:szCs w:val="26"/>
                <w:lang w:val="en-US" w:eastAsia="zh-CN" w:bidi="ar-SA"/>
              </w:rPr>
            </w:pPr>
          </w:p>
          <w:p w14:paraId="4E670FE1">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default" w:cs="Times New Roman"/>
                <w:color w:val="auto"/>
                <w:kern w:val="2"/>
                <w:sz w:val="26"/>
                <w:szCs w:val="26"/>
                <w:lang w:val="en-US" w:eastAsia="zh-CN" w:bidi="ar-SA"/>
              </w:rPr>
            </w:pPr>
          </w:p>
          <w:p w14:paraId="4D3D00BB">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default" w:cs="Times New Roman"/>
                <w:color w:val="auto"/>
                <w:kern w:val="2"/>
                <w:sz w:val="26"/>
                <w:szCs w:val="26"/>
                <w:lang w:val="en-US" w:eastAsia="zh-CN" w:bidi="ar-SA"/>
              </w:rPr>
            </w:pPr>
          </w:p>
          <w:p w14:paraId="2D3232A3">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default" w:cs="Times New Roman"/>
                <w:color w:val="auto"/>
                <w:kern w:val="2"/>
                <w:sz w:val="26"/>
                <w:szCs w:val="26"/>
                <w:lang w:val="en-US" w:eastAsia="zh-CN" w:bidi="ar-SA"/>
              </w:rPr>
            </w:pPr>
          </w:p>
          <w:p w14:paraId="0B43F084">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default" w:cs="Times New Roman"/>
                <w:color w:val="auto"/>
                <w:kern w:val="2"/>
                <w:sz w:val="26"/>
                <w:szCs w:val="26"/>
                <w:lang w:val="en-US" w:eastAsia="zh-CN" w:bidi="ar-SA"/>
              </w:rPr>
            </w:pPr>
          </w:p>
          <w:p w14:paraId="20B4C10D">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center"/>
              <w:textAlignment w:val="auto"/>
              <w:rPr>
                <w:rFonts w:hint="default" w:cs="Times New Roman"/>
                <w:color w:val="auto"/>
                <w:kern w:val="2"/>
                <w:sz w:val="26"/>
                <w:szCs w:val="26"/>
                <w:lang w:val="en-US" w:eastAsia="zh-CN" w:bidi="ar-SA"/>
              </w:rPr>
            </w:pPr>
            <w:r>
              <w:rPr>
                <w:rFonts w:hint="eastAsia" w:cs="Times New Roman"/>
                <w:color w:val="auto"/>
                <w:kern w:val="2"/>
                <w:sz w:val="26"/>
                <w:szCs w:val="26"/>
                <w:lang w:val="en-US" w:eastAsia="zh-CN" w:bidi="ar-SA"/>
              </w:rPr>
              <w:t>图2.2-3车用消音隔热棉生产工艺流程图</w:t>
            </w:r>
          </w:p>
          <w:p w14:paraId="43FE89EA">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520" w:firstLineChars="200"/>
              <w:textAlignment w:val="auto"/>
              <w:rPr>
                <w:rFonts w:hint="eastAsia" w:cs="Times New Roman"/>
                <w:color w:val="auto"/>
                <w:kern w:val="2"/>
                <w:sz w:val="26"/>
                <w:szCs w:val="26"/>
                <w:lang w:val="en-US" w:eastAsia="zh-CN" w:bidi="ar-SA"/>
              </w:rPr>
            </w:pPr>
          </w:p>
          <w:p w14:paraId="748D7546">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520" w:firstLineChars="200"/>
              <w:textAlignment w:val="auto"/>
              <w:rPr>
                <w:rFonts w:hint="eastAsia" w:cs="Times New Roman"/>
                <w:color w:val="auto"/>
                <w:kern w:val="2"/>
                <w:sz w:val="26"/>
                <w:szCs w:val="26"/>
                <w:lang w:val="en-US" w:eastAsia="zh-CN" w:bidi="ar-SA"/>
              </w:rPr>
            </w:pPr>
            <w:r>
              <w:rPr>
                <w:rFonts w:hint="eastAsia" w:cs="Times New Roman"/>
                <w:color w:val="auto"/>
                <w:kern w:val="2"/>
                <w:sz w:val="26"/>
                <w:szCs w:val="26"/>
                <w:lang w:val="en-US" w:eastAsia="zh-CN" w:bidi="ar-SA"/>
              </w:rPr>
              <w:t>本项目主要污染工序见下表。</w:t>
            </w:r>
          </w:p>
          <w:p w14:paraId="2C8F0235">
            <w:pPr>
              <w:spacing w:line="460" w:lineRule="exact"/>
              <w:ind w:firstLine="520" w:firstLineChars="200"/>
              <w:jc w:val="left"/>
              <w:rPr>
                <w:rFonts w:ascii="Times New Roman" w:hAnsi="Times New Roman"/>
                <w:color w:val="auto"/>
                <w:sz w:val="26"/>
                <w:szCs w:val="26"/>
              </w:rPr>
            </w:pPr>
            <w:r>
              <w:rPr>
                <w:rFonts w:ascii="Times New Roman" w:hAnsi="Times New Roman"/>
                <w:color w:val="auto"/>
                <w:sz w:val="26"/>
                <w:szCs w:val="26"/>
              </w:rPr>
              <w:t>表</w:t>
            </w:r>
            <w:r>
              <w:rPr>
                <w:rFonts w:hint="eastAsia" w:ascii="Times New Roman" w:hAnsi="Times New Roman"/>
                <w:color w:val="auto"/>
                <w:sz w:val="26"/>
                <w:szCs w:val="26"/>
              </w:rPr>
              <w:t>2.</w:t>
            </w:r>
            <w:r>
              <w:rPr>
                <w:rFonts w:hint="eastAsia" w:ascii="Times New Roman" w:hAnsi="Times New Roman"/>
                <w:color w:val="auto"/>
                <w:sz w:val="26"/>
                <w:szCs w:val="26"/>
                <w:lang w:val="en-US" w:eastAsia="zh-CN"/>
              </w:rPr>
              <w:t>2</w:t>
            </w:r>
            <w:r>
              <w:rPr>
                <w:rFonts w:ascii="Times New Roman" w:hAnsi="Times New Roman"/>
                <w:color w:val="auto"/>
                <w:sz w:val="26"/>
                <w:szCs w:val="26"/>
              </w:rPr>
              <w:t xml:space="preserve">-1     </w:t>
            </w:r>
            <w:r>
              <w:rPr>
                <w:rFonts w:hint="eastAsia" w:ascii="Times New Roman" w:hAnsi="Times New Roman"/>
                <w:color w:val="auto"/>
                <w:sz w:val="26"/>
                <w:szCs w:val="26"/>
                <w:lang w:val="en-US" w:eastAsia="zh-CN"/>
              </w:rPr>
              <w:t xml:space="preserve">   </w:t>
            </w:r>
            <w:r>
              <w:rPr>
                <w:rFonts w:ascii="Times New Roman" w:hAnsi="Times New Roman"/>
                <w:color w:val="auto"/>
                <w:sz w:val="26"/>
                <w:szCs w:val="26"/>
              </w:rPr>
              <w:t xml:space="preserve"> 本项目主要污染工序一览表</w:t>
            </w:r>
          </w:p>
          <w:tbl>
            <w:tblPr>
              <w:tblStyle w:val="17"/>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716"/>
              <w:gridCol w:w="662"/>
              <w:gridCol w:w="2568"/>
              <w:gridCol w:w="1261"/>
              <w:gridCol w:w="919"/>
              <w:gridCol w:w="1060"/>
            </w:tblGrid>
            <w:tr w14:paraId="758CB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4" w:type="dxa"/>
                  <w:noWrap w:val="0"/>
                  <w:vAlign w:val="center"/>
                </w:tcPr>
                <w:p w14:paraId="385CC6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r>
                    <w:rPr>
                      <w:rFonts w:ascii="Times New Roman" w:hAnsi="Times New Roman" w:cs="Times New Roman"/>
                      <w:bCs/>
                      <w:color w:val="auto"/>
                      <w:sz w:val="22"/>
                      <w:szCs w:val="22"/>
                    </w:rPr>
                    <w:t>时段</w:t>
                  </w:r>
                </w:p>
              </w:tc>
              <w:tc>
                <w:tcPr>
                  <w:tcW w:w="716" w:type="dxa"/>
                  <w:noWrap w:val="0"/>
                  <w:vAlign w:val="center"/>
                </w:tcPr>
                <w:p w14:paraId="15EB27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r>
                    <w:rPr>
                      <w:rFonts w:ascii="Times New Roman" w:hAnsi="Times New Roman" w:cs="Times New Roman"/>
                      <w:bCs/>
                      <w:color w:val="auto"/>
                      <w:sz w:val="22"/>
                      <w:szCs w:val="22"/>
                    </w:rPr>
                    <w:t>污染因子</w:t>
                  </w:r>
                </w:p>
              </w:tc>
              <w:tc>
                <w:tcPr>
                  <w:tcW w:w="662" w:type="dxa"/>
                  <w:noWrap w:val="0"/>
                  <w:vAlign w:val="center"/>
                </w:tcPr>
                <w:p w14:paraId="6E12FA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r>
                    <w:rPr>
                      <w:rFonts w:ascii="Times New Roman" w:hAnsi="Times New Roman" w:cs="Times New Roman"/>
                      <w:bCs/>
                      <w:color w:val="auto"/>
                      <w:sz w:val="22"/>
                      <w:szCs w:val="22"/>
                    </w:rPr>
                    <w:t>编号</w:t>
                  </w:r>
                </w:p>
              </w:tc>
              <w:tc>
                <w:tcPr>
                  <w:tcW w:w="2568" w:type="dxa"/>
                  <w:noWrap w:val="0"/>
                  <w:vAlign w:val="center"/>
                </w:tcPr>
                <w:p w14:paraId="626F4F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r>
                    <w:rPr>
                      <w:rFonts w:ascii="Times New Roman" w:hAnsi="Times New Roman" w:cs="Times New Roman"/>
                      <w:bCs/>
                      <w:color w:val="auto"/>
                      <w:sz w:val="22"/>
                      <w:szCs w:val="22"/>
                    </w:rPr>
                    <w:t>名称</w:t>
                  </w:r>
                </w:p>
              </w:tc>
              <w:tc>
                <w:tcPr>
                  <w:tcW w:w="1261" w:type="dxa"/>
                  <w:noWrap w:val="0"/>
                  <w:vAlign w:val="center"/>
                </w:tcPr>
                <w:p w14:paraId="5B2581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r>
                    <w:rPr>
                      <w:rFonts w:ascii="Times New Roman" w:hAnsi="Times New Roman" w:cs="Times New Roman"/>
                      <w:bCs/>
                      <w:color w:val="auto"/>
                      <w:sz w:val="22"/>
                      <w:szCs w:val="22"/>
                    </w:rPr>
                    <w:t>污染物种类</w:t>
                  </w:r>
                </w:p>
              </w:tc>
              <w:tc>
                <w:tcPr>
                  <w:tcW w:w="919" w:type="dxa"/>
                  <w:noWrap w:val="0"/>
                  <w:vAlign w:val="center"/>
                </w:tcPr>
                <w:p w14:paraId="367F79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r>
                    <w:rPr>
                      <w:rFonts w:ascii="Times New Roman" w:hAnsi="Times New Roman" w:cs="Times New Roman"/>
                      <w:bCs/>
                      <w:color w:val="auto"/>
                      <w:sz w:val="22"/>
                      <w:szCs w:val="22"/>
                    </w:rPr>
                    <w:t>产生方式</w:t>
                  </w:r>
                </w:p>
              </w:tc>
              <w:tc>
                <w:tcPr>
                  <w:tcW w:w="1060" w:type="dxa"/>
                  <w:noWrap w:val="0"/>
                  <w:vAlign w:val="center"/>
                </w:tcPr>
                <w:p w14:paraId="2B2651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r>
                    <w:rPr>
                      <w:rFonts w:ascii="Times New Roman" w:hAnsi="Times New Roman" w:cs="Times New Roman"/>
                      <w:bCs/>
                      <w:color w:val="auto"/>
                      <w:sz w:val="22"/>
                      <w:szCs w:val="22"/>
                    </w:rPr>
                    <w:t>排放</w:t>
                  </w:r>
                </w:p>
                <w:p w14:paraId="117095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r>
                    <w:rPr>
                      <w:rFonts w:ascii="Times New Roman" w:hAnsi="Times New Roman" w:cs="Times New Roman"/>
                      <w:bCs/>
                      <w:color w:val="auto"/>
                      <w:sz w:val="22"/>
                      <w:szCs w:val="22"/>
                    </w:rPr>
                    <w:t>方式</w:t>
                  </w:r>
                </w:p>
              </w:tc>
            </w:tr>
            <w:tr w14:paraId="53410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4" w:type="dxa"/>
                  <w:vMerge w:val="restart"/>
                  <w:noWrap w:val="0"/>
                  <w:vAlign w:val="center"/>
                </w:tcPr>
                <w:p w14:paraId="5AFB46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r>
                    <w:rPr>
                      <w:rFonts w:ascii="Times New Roman" w:hAnsi="Times New Roman" w:cs="Times New Roman"/>
                      <w:bCs/>
                      <w:color w:val="auto"/>
                      <w:sz w:val="22"/>
                      <w:szCs w:val="22"/>
                    </w:rPr>
                    <w:t>营运期</w:t>
                  </w:r>
                </w:p>
              </w:tc>
              <w:tc>
                <w:tcPr>
                  <w:tcW w:w="716" w:type="dxa"/>
                  <w:vMerge w:val="restart"/>
                  <w:noWrap w:val="0"/>
                  <w:vAlign w:val="center"/>
                </w:tcPr>
                <w:p w14:paraId="13BAE1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r>
                    <w:rPr>
                      <w:rFonts w:ascii="Times New Roman" w:hAnsi="Times New Roman" w:cs="Times New Roman"/>
                      <w:bCs/>
                      <w:color w:val="auto"/>
                      <w:sz w:val="22"/>
                      <w:szCs w:val="22"/>
                    </w:rPr>
                    <w:t>废气</w:t>
                  </w:r>
                </w:p>
              </w:tc>
              <w:tc>
                <w:tcPr>
                  <w:tcW w:w="662" w:type="dxa"/>
                  <w:noWrap w:val="0"/>
                  <w:vAlign w:val="center"/>
                </w:tcPr>
                <w:p w14:paraId="44F56B5F">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2"/>
                      <w:szCs w:val="22"/>
                    </w:rPr>
                  </w:pPr>
                  <w:r>
                    <w:rPr>
                      <w:rFonts w:ascii="Times New Roman" w:hAnsi="Times New Roman" w:cs="Times New Roman"/>
                      <w:color w:val="auto"/>
                      <w:sz w:val="22"/>
                      <w:szCs w:val="22"/>
                    </w:rPr>
                    <w:t>G1</w:t>
                  </w:r>
                </w:p>
              </w:tc>
              <w:tc>
                <w:tcPr>
                  <w:tcW w:w="2568" w:type="dxa"/>
                  <w:noWrap w:val="0"/>
                  <w:vAlign w:val="center"/>
                </w:tcPr>
                <w:p w14:paraId="42AF03E4">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开包粉尘</w:t>
                  </w:r>
                </w:p>
              </w:tc>
              <w:tc>
                <w:tcPr>
                  <w:tcW w:w="1261" w:type="dxa"/>
                  <w:noWrap w:val="0"/>
                  <w:vAlign w:val="center"/>
                </w:tcPr>
                <w:p w14:paraId="1C1489B6">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颗粒物</w:t>
                  </w:r>
                </w:p>
              </w:tc>
              <w:tc>
                <w:tcPr>
                  <w:tcW w:w="919" w:type="dxa"/>
                  <w:noWrap w:val="0"/>
                  <w:vAlign w:val="center"/>
                </w:tcPr>
                <w:p w14:paraId="596EA1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r>
                    <w:rPr>
                      <w:rFonts w:ascii="Times New Roman" w:hAnsi="Times New Roman" w:cs="Times New Roman"/>
                      <w:bCs/>
                      <w:color w:val="auto"/>
                      <w:sz w:val="22"/>
                      <w:szCs w:val="22"/>
                    </w:rPr>
                    <w:t>连续</w:t>
                  </w:r>
                </w:p>
              </w:tc>
              <w:tc>
                <w:tcPr>
                  <w:tcW w:w="1060" w:type="dxa"/>
                  <w:noWrap w:val="0"/>
                  <w:vAlign w:val="center"/>
                </w:tcPr>
                <w:p w14:paraId="4ACF4D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eastAsia" w:ascii="Times New Roman" w:hAnsi="Times New Roman" w:eastAsia="宋体" w:cs="Times New Roman"/>
                      <w:bCs/>
                      <w:color w:val="auto"/>
                      <w:sz w:val="22"/>
                      <w:szCs w:val="22"/>
                      <w:lang w:val="en-US" w:eastAsia="zh-CN"/>
                    </w:rPr>
                  </w:pPr>
                  <w:r>
                    <w:rPr>
                      <w:rFonts w:hint="eastAsia" w:ascii="Times New Roman" w:hAnsi="Times New Roman" w:cs="Times New Roman"/>
                      <w:bCs/>
                      <w:color w:val="auto"/>
                      <w:sz w:val="22"/>
                      <w:szCs w:val="22"/>
                      <w:lang w:val="en-US" w:eastAsia="zh-CN"/>
                    </w:rPr>
                    <w:t>有组织</w:t>
                  </w:r>
                </w:p>
              </w:tc>
            </w:tr>
            <w:tr w14:paraId="4145F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4" w:type="dxa"/>
                  <w:vMerge w:val="continue"/>
                  <w:noWrap w:val="0"/>
                  <w:vAlign w:val="center"/>
                </w:tcPr>
                <w:p w14:paraId="11B6F4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p>
              </w:tc>
              <w:tc>
                <w:tcPr>
                  <w:tcW w:w="716" w:type="dxa"/>
                  <w:vMerge w:val="continue"/>
                  <w:noWrap w:val="0"/>
                  <w:vAlign w:val="center"/>
                </w:tcPr>
                <w:p w14:paraId="29AAB3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p>
              </w:tc>
              <w:tc>
                <w:tcPr>
                  <w:tcW w:w="662" w:type="dxa"/>
                  <w:noWrap w:val="0"/>
                  <w:vAlign w:val="center"/>
                </w:tcPr>
                <w:p w14:paraId="1775F561">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G2</w:t>
                  </w:r>
                </w:p>
              </w:tc>
              <w:tc>
                <w:tcPr>
                  <w:tcW w:w="2568" w:type="dxa"/>
                  <w:noWrap w:val="0"/>
                  <w:vAlign w:val="center"/>
                </w:tcPr>
                <w:p w14:paraId="753130F7">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开松粉尘</w:t>
                  </w:r>
                </w:p>
              </w:tc>
              <w:tc>
                <w:tcPr>
                  <w:tcW w:w="1261" w:type="dxa"/>
                  <w:noWrap w:val="0"/>
                  <w:vAlign w:val="center"/>
                </w:tcPr>
                <w:p w14:paraId="399B133F">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lang w:val="en-US" w:eastAsia="zh-CN"/>
                    </w:rPr>
                    <w:t>颗粒物</w:t>
                  </w:r>
                </w:p>
              </w:tc>
              <w:tc>
                <w:tcPr>
                  <w:tcW w:w="919" w:type="dxa"/>
                  <w:noWrap w:val="0"/>
                  <w:vAlign w:val="center"/>
                </w:tcPr>
                <w:p w14:paraId="3224DA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r>
                    <w:rPr>
                      <w:rFonts w:ascii="Times New Roman" w:hAnsi="Times New Roman" w:cs="Times New Roman"/>
                      <w:bCs/>
                      <w:color w:val="auto"/>
                      <w:sz w:val="22"/>
                      <w:szCs w:val="22"/>
                    </w:rPr>
                    <w:t>连续</w:t>
                  </w:r>
                </w:p>
              </w:tc>
              <w:tc>
                <w:tcPr>
                  <w:tcW w:w="1060" w:type="dxa"/>
                  <w:noWrap w:val="0"/>
                  <w:vAlign w:val="center"/>
                </w:tcPr>
                <w:p w14:paraId="2762E5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r>
                    <w:rPr>
                      <w:rFonts w:hint="eastAsia" w:ascii="Times New Roman" w:hAnsi="Times New Roman" w:cs="Times New Roman"/>
                      <w:bCs/>
                      <w:color w:val="auto"/>
                      <w:sz w:val="22"/>
                      <w:szCs w:val="22"/>
                      <w:lang w:val="en-US" w:eastAsia="zh-CN"/>
                    </w:rPr>
                    <w:t>有组织</w:t>
                  </w:r>
                </w:p>
              </w:tc>
            </w:tr>
            <w:tr w14:paraId="11515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4" w:type="dxa"/>
                  <w:vMerge w:val="continue"/>
                  <w:noWrap w:val="0"/>
                  <w:vAlign w:val="center"/>
                </w:tcPr>
                <w:p w14:paraId="43EEDC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p>
              </w:tc>
              <w:tc>
                <w:tcPr>
                  <w:tcW w:w="716" w:type="dxa"/>
                  <w:vMerge w:val="continue"/>
                  <w:noWrap w:val="0"/>
                  <w:vAlign w:val="center"/>
                </w:tcPr>
                <w:p w14:paraId="4C27BE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p>
              </w:tc>
              <w:tc>
                <w:tcPr>
                  <w:tcW w:w="662" w:type="dxa"/>
                  <w:noWrap w:val="0"/>
                  <w:vAlign w:val="center"/>
                </w:tcPr>
                <w:p w14:paraId="33400DDF">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G3</w:t>
                  </w:r>
                </w:p>
              </w:tc>
              <w:tc>
                <w:tcPr>
                  <w:tcW w:w="2568" w:type="dxa"/>
                  <w:noWrap w:val="0"/>
                  <w:vAlign w:val="center"/>
                </w:tcPr>
                <w:p w14:paraId="3FC917F2">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铺网粉尘</w:t>
                  </w:r>
                </w:p>
              </w:tc>
              <w:tc>
                <w:tcPr>
                  <w:tcW w:w="1261" w:type="dxa"/>
                  <w:noWrap w:val="0"/>
                  <w:vAlign w:val="center"/>
                </w:tcPr>
                <w:p w14:paraId="5E7DFED5">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lang w:val="en-US" w:eastAsia="zh-CN"/>
                    </w:rPr>
                    <w:t>颗粒物</w:t>
                  </w:r>
                </w:p>
              </w:tc>
              <w:tc>
                <w:tcPr>
                  <w:tcW w:w="919" w:type="dxa"/>
                  <w:noWrap w:val="0"/>
                  <w:vAlign w:val="center"/>
                </w:tcPr>
                <w:p w14:paraId="3AEC62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r>
                    <w:rPr>
                      <w:rFonts w:ascii="Times New Roman" w:hAnsi="Times New Roman" w:cs="Times New Roman"/>
                      <w:bCs/>
                      <w:color w:val="auto"/>
                      <w:sz w:val="22"/>
                      <w:szCs w:val="22"/>
                    </w:rPr>
                    <w:t>连续</w:t>
                  </w:r>
                </w:p>
              </w:tc>
              <w:tc>
                <w:tcPr>
                  <w:tcW w:w="1060" w:type="dxa"/>
                  <w:noWrap w:val="0"/>
                  <w:vAlign w:val="center"/>
                </w:tcPr>
                <w:p w14:paraId="65529D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r>
                    <w:rPr>
                      <w:rFonts w:hint="eastAsia" w:ascii="Times New Roman" w:hAnsi="Times New Roman" w:cs="Times New Roman"/>
                      <w:bCs/>
                      <w:color w:val="auto"/>
                      <w:sz w:val="22"/>
                      <w:szCs w:val="22"/>
                      <w:lang w:val="en-US" w:eastAsia="zh-CN"/>
                    </w:rPr>
                    <w:t>有组织</w:t>
                  </w:r>
                </w:p>
              </w:tc>
            </w:tr>
            <w:tr w14:paraId="67C02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4" w:type="dxa"/>
                  <w:vMerge w:val="continue"/>
                  <w:noWrap w:val="0"/>
                  <w:vAlign w:val="center"/>
                </w:tcPr>
                <w:p w14:paraId="1194A0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p>
              </w:tc>
              <w:tc>
                <w:tcPr>
                  <w:tcW w:w="716" w:type="dxa"/>
                  <w:vMerge w:val="continue"/>
                  <w:noWrap w:val="0"/>
                  <w:vAlign w:val="center"/>
                </w:tcPr>
                <w:p w14:paraId="76F4C2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p>
              </w:tc>
              <w:tc>
                <w:tcPr>
                  <w:tcW w:w="662" w:type="dxa"/>
                  <w:noWrap w:val="0"/>
                  <w:vAlign w:val="center"/>
                </w:tcPr>
                <w:p w14:paraId="72C081E2">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G4</w:t>
                  </w:r>
                </w:p>
              </w:tc>
              <w:tc>
                <w:tcPr>
                  <w:tcW w:w="2568" w:type="dxa"/>
                  <w:shd w:val="clear" w:color="auto" w:fill="auto"/>
                  <w:noWrap w:val="0"/>
                  <w:vAlign w:val="center"/>
                </w:tcPr>
                <w:p w14:paraId="3E983177">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cs="Times New Roman"/>
                      <w:color w:val="auto"/>
                      <w:sz w:val="22"/>
                      <w:szCs w:val="22"/>
                      <w:lang w:val="en-US" w:eastAsia="zh-CN"/>
                    </w:rPr>
                    <w:t>切边、收卷粉尘</w:t>
                  </w:r>
                </w:p>
              </w:tc>
              <w:tc>
                <w:tcPr>
                  <w:tcW w:w="1261" w:type="dxa"/>
                  <w:shd w:val="clear" w:color="auto" w:fill="auto"/>
                  <w:noWrap w:val="0"/>
                  <w:vAlign w:val="center"/>
                </w:tcPr>
                <w:p w14:paraId="063B8E96">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eastAsia="宋体" w:cs="Times New Roman"/>
                      <w:color w:val="auto"/>
                      <w:kern w:val="2"/>
                      <w:sz w:val="22"/>
                      <w:szCs w:val="22"/>
                      <w:lang w:val="en-US" w:eastAsia="zh-CN" w:bidi="ar-SA"/>
                    </w:rPr>
                  </w:pPr>
                  <w:r>
                    <w:rPr>
                      <w:rFonts w:hint="eastAsia" w:ascii="Times New Roman" w:hAnsi="Times New Roman" w:cs="Times New Roman"/>
                      <w:color w:val="auto"/>
                      <w:sz w:val="22"/>
                      <w:szCs w:val="22"/>
                      <w:lang w:val="en-US" w:eastAsia="zh-CN"/>
                    </w:rPr>
                    <w:t>颗粒物</w:t>
                  </w:r>
                </w:p>
              </w:tc>
              <w:tc>
                <w:tcPr>
                  <w:tcW w:w="919" w:type="dxa"/>
                  <w:shd w:val="clear" w:color="auto" w:fill="auto"/>
                  <w:noWrap w:val="0"/>
                  <w:vAlign w:val="center"/>
                </w:tcPr>
                <w:p w14:paraId="433EBE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eastAsia="宋体" w:cs="Times New Roman"/>
                      <w:bCs/>
                      <w:color w:val="auto"/>
                      <w:kern w:val="2"/>
                      <w:sz w:val="22"/>
                      <w:szCs w:val="22"/>
                      <w:lang w:val="en-US" w:eastAsia="zh-CN" w:bidi="ar-SA"/>
                    </w:rPr>
                  </w:pPr>
                  <w:r>
                    <w:rPr>
                      <w:rFonts w:ascii="Times New Roman" w:hAnsi="Times New Roman" w:cs="Times New Roman"/>
                      <w:bCs/>
                      <w:color w:val="auto"/>
                      <w:sz w:val="22"/>
                      <w:szCs w:val="22"/>
                    </w:rPr>
                    <w:t>连续</w:t>
                  </w:r>
                </w:p>
              </w:tc>
              <w:tc>
                <w:tcPr>
                  <w:tcW w:w="1060" w:type="dxa"/>
                  <w:shd w:val="clear" w:color="auto" w:fill="auto"/>
                  <w:noWrap w:val="0"/>
                  <w:vAlign w:val="center"/>
                </w:tcPr>
                <w:p w14:paraId="5C6CDF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eastAsia="宋体" w:cs="Times New Roman"/>
                      <w:bCs/>
                      <w:color w:val="auto"/>
                      <w:kern w:val="2"/>
                      <w:sz w:val="22"/>
                      <w:szCs w:val="22"/>
                      <w:lang w:val="en-US" w:eastAsia="zh-CN" w:bidi="ar-SA"/>
                    </w:rPr>
                  </w:pPr>
                  <w:r>
                    <w:rPr>
                      <w:rFonts w:hint="eastAsia" w:ascii="Times New Roman" w:hAnsi="Times New Roman" w:cs="Times New Roman"/>
                      <w:bCs/>
                      <w:color w:val="auto"/>
                      <w:sz w:val="22"/>
                      <w:szCs w:val="22"/>
                      <w:lang w:val="en-US" w:eastAsia="zh-CN"/>
                    </w:rPr>
                    <w:t>有组织</w:t>
                  </w:r>
                </w:p>
              </w:tc>
            </w:tr>
            <w:tr w14:paraId="05BE8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4" w:type="dxa"/>
                  <w:vMerge w:val="continue"/>
                  <w:noWrap w:val="0"/>
                  <w:vAlign w:val="center"/>
                </w:tcPr>
                <w:p w14:paraId="268E87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p>
              </w:tc>
              <w:tc>
                <w:tcPr>
                  <w:tcW w:w="716" w:type="dxa"/>
                  <w:vMerge w:val="continue"/>
                  <w:noWrap w:val="0"/>
                  <w:vAlign w:val="center"/>
                </w:tcPr>
                <w:p w14:paraId="2FDCC3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p>
              </w:tc>
              <w:tc>
                <w:tcPr>
                  <w:tcW w:w="662" w:type="dxa"/>
                  <w:noWrap w:val="0"/>
                  <w:vAlign w:val="center"/>
                </w:tcPr>
                <w:p w14:paraId="6EF6CCAB">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G5</w:t>
                  </w:r>
                </w:p>
              </w:tc>
              <w:tc>
                <w:tcPr>
                  <w:tcW w:w="2568" w:type="dxa"/>
                  <w:shd w:val="clear" w:color="auto" w:fill="auto"/>
                  <w:noWrap w:val="0"/>
                  <w:vAlign w:val="center"/>
                </w:tcPr>
                <w:p w14:paraId="7DB3BC7E">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cs="Times New Roman"/>
                      <w:color w:val="auto"/>
                      <w:sz w:val="22"/>
                      <w:szCs w:val="22"/>
                      <w:lang w:val="en-US" w:eastAsia="zh-CN"/>
                    </w:rPr>
                    <w:t>裁切粉尘</w:t>
                  </w:r>
                </w:p>
              </w:tc>
              <w:tc>
                <w:tcPr>
                  <w:tcW w:w="1261" w:type="dxa"/>
                  <w:shd w:val="clear" w:color="auto" w:fill="auto"/>
                  <w:noWrap w:val="0"/>
                  <w:vAlign w:val="center"/>
                </w:tcPr>
                <w:p w14:paraId="16504226">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2"/>
                      <w:szCs w:val="22"/>
                      <w:lang w:val="en-US" w:eastAsia="zh-CN" w:bidi="ar-SA"/>
                    </w:rPr>
                  </w:pPr>
                  <w:r>
                    <w:rPr>
                      <w:rFonts w:hint="eastAsia" w:ascii="Times New Roman" w:hAnsi="Times New Roman" w:cs="Times New Roman"/>
                      <w:color w:val="auto"/>
                      <w:sz w:val="22"/>
                      <w:szCs w:val="22"/>
                      <w:lang w:val="en-US" w:eastAsia="zh-CN"/>
                    </w:rPr>
                    <w:t>颗粒物</w:t>
                  </w:r>
                </w:p>
              </w:tc>
              <w:tc>
                <w:tcPr>
                  <w:tcW w:w="919" w:type="dxa"/>
                  <w:shd w:val="clear" w:color="auto" w:fill="auto"/>
                  <w:noWrap w:val="0"/>
                  <w:vAlign w:val="center"/>
                </w:tcPr>
                <w:p w14:paraId="750244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eastAsia" w:ascii="Times New Roman" w:hAnsi="Times New Roman" w:eastAsia="宋体" w:cs="Times New Roman"/>
                      <w:bCs/>
                      <w:color w:val="auto"/>
                      <w:kern w:val="2"/>
                      <w:sz w:val="22"/>
                      <w:szCs w:val="22"/>
                      <w:lang w:val="en-US" w:eastAsia="zh-CN" w:bidi="ar-SA"/>
                    </w:rPr>
                  </w:pPr>
                  <w:r>
                    <w:rPr>
                      <w:rFonts w:ascii="Times New Roman" w:hAnsi="Times New Roman" w:cs="Times New Roman"/>
                      <w:bCs/>
                      <w:color w:val="auto"/>
                      <w:sz w:val="22"/>
                      <w:szCs w:val="22"/>
                    </w:rPr>
                    <w:t>连续</w:t>
                  </w:r>
                </w:p>
              </w:tc>
              <w:tc>
                <w:tcPr>
                  <w:tcW w:w="1060" w:type="dxa"/>
                  <w:shd w:val="clear" w:color="auto" w:fill="auto"/>
                  <w:noWrap w:val="0"/>
                  <w:vAlign w:val="center"/>
                </w:tcPr>
                <w:p w14:paraId="369B8F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eastAsia" w:ascii="Times New Roman" w:hAnsi="Times New Roman" w:eastAsia="宋体" w:cs="Times New Roman"/>
                      <w:bCs/>
                      <w:color w:val="auto"/>
                      <w:kern w:val="2"/>
                      <w:sz w:val="22"/>
                      <w:szCs w:val="22"/>
                      <w:lang w:val="en-US" w:eastAsia="zh-CN" w:bidi="ar-SA"/>
                    </w:rPr>
                  </w:pPr>
                  <w:r>
                    <w:rPr>
                      <w:rFonts w:hint="eastAsia" w:ascii="Times New Roman" w:hAnsi="Times New Roman" w:cs="Times New Roman"/>
                      <w:bCs/>
                      <w:color w:val="auto"/>
                      <w:sz w:val="22"/>
                      <w:szCs w:val="22"/>
                      <w:lang w:val="en-US" w:eastAsia="zh-CN"/>
                    </w:rPr>
                    <w:t>有组织</w:t>
                  </w:r>
                </w:p>
              </w:tc>
            </w:tr>
            <w:tr w14:paraId="334F1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4" w:type="dxa"/>
                  <w:vMerge w:val="continue"/>
                  <w:noWrap w:val="0"/>
                  <w:vAlign w:val="center"/>
                </w:tcPr>
                <w:p w14:paraId="7A1CEF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p>
              </w:tc>
              <w:tc>
                <w:tcPr>
                  <w:tcW w:w="716" w:type="dxa"/>
                  <w:vMerge w:val="continue"/>
                  <w:noWrap w:val="0"/>
                  <w:vAlign w:val="center"/>
                </w:tcPr>
                <w:p w14:paraId="44C249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p>
              </w:tc>
              <w:tc>
                <w:tcPr>
                  <w:tcW w:w="662" w:type="dxa"/>
                  <w:noWrap w:val="0"/>
                  <w:vAlign w:val="center"/>
                </w:tcPr>
                <w:p w14:paraId="5C9C1616">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G6</w:t>
                  </w:r>
                </w:p>
              </w:tc>
              <w:tc>
                <w:tcPr>
                  <w:tcW w:w="2568" w:type="dxa"/>
                  <w:shd w:val="clear" w:color="auto" w:fill="auto"/>
                  <w:noWrap w:val="0"/>
                  <w:vAlign w:val="center"/>
                </w:tcPr>
                <w:p w14:paraId="1155AA29">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cs="Times New Roman"/>
                      <w:color w:val="auto"/>
                      <w:sz w:val="22"/>
                      <w:szCs w:val="22"/>
                      <w:lang w:val="en-US" w:eastAsia="zh-CN"/>
                    </w:rPr>
                    <w:t>膨化粉尘</w:t>
                  </w:r>
                </w:p>
              </w:tc>
              <w:tc>
                <w:tcPr>
                  <w:tcW w:w="1261" w:type="dxa"/>
                  <w:shd w:val="clear" w:color="auto" w:fill="auto"/>
                  <w:noWrap w:val="0"/>
                  <w:vAlign w:val="center"/>
                </w:tcPr>
                <w:p w14:paraId="361F6987">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2"/>
                      <w:szCs w:val="22"/>
                      <w:lang w:val="en-US" w:eastAsia="zh-CN" w:bidi="ar-SA"/>
                    </w:rPr>
                  </w:pPr>
                  <w:r>
                    <w:rPr>
                      <w:rFonts w:hint="eastAsia" w:ascii="Times New Roman" w:hAnsi="Times New Roman" w:cs="Times New Roman"/>
                      <w:color w:val="auto"/>
                      <w:sz w:val="22"/>
                      <w:szCs w:val="22"/>
                      <w:lang w:val="en-US" w:eastAsia="zh-CN"/>
                    </w:rPr>
                    <w:t>颗粒物</w:t>
                  </w:r>
                </w:p>
              </w:tc>
              <w:tc>
                <w:tcPr>
                  <w:tcW w:w="919" w:type="dxa"/>
                  <w:shd w:val="clear" w:color="auto" w:fill="auto"/>
                  <w:noWrap w:val="0"/>
                  <w:vAlign w:val="center"/>
                </w:tcPr>
                <w:p w14:paraId="524FAD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eastAsia" w:ascii="Times New Roman" w:hAnsi="Times New Roman" w:eastAsia="宋体" w:cs="Times New Roman"/>
                      <w:bCs/>
                      <w:color w:val="auto"/>
                      <w:kern w:val="2"/>
                      <w:sz w:val="22"/>
                      <w:szCs w:val="22"/>
                      <w:lang w:val="en-US" w:eastAsia="zh-CN" w:bidi="ar-SA"/>
                    </w:rPr>
                  </w:pPr>
                  <w:r>
                    <w:rPr>
                      <w:rFonts w:ascii="Times New Roman" w:hAnsi="Times New Roman" w:cs="Times New Roman"/>
                      <w:bCs/>
                      <w:color w:val="auto"/>
                      <w:sz w:val="22"/>
                      <w:szCs w:val="22"/>
                    </w:rPr>
                    <w:t>连续</w:t>
                  </w:r>
                </w:p>
              </w:tc>
              <w:tc>
                <w:tcPr>
                  <w:tcW w:w="1060" w:type="dxa"/>
                  <w:shd w:val="clear" w:color="auto" w:fill="auto"/>
                  <w:noWrap w:val="0"/>
                  <w:vAlign w:val="center"/>
                </w:tcPr>
                <w:p w14:paraId="2DBD93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eastAsia" w:ascii="Times New Roman" w:hAnsi="Times New Roman" w:eastAsia="宋体" w:cs="Times New Roman"/>
                      <w:bCs/>
                      <w:color w:val="auto"/>
                      <w:kern w:val="2"/>
                      <w:sz w:val="22"/>
                      <w:szCs w:val="22"/>
                      <w:lang w:val="en-US" w:eastAsia="zh-CN" w:bidi="ar-SA"/>
                    </w:rPr>
                  </w:pPr>
                  <w:r>
                    <w:rPr>
                      <w:rFonts w:hint="eastAsia" w:ascii="Times New Roman" w:hAnsi="Times New Roman" w:cs="Times New Roman"/>
                      <w:bCs/>
                      <w:color w:val="auto"/>
                      <w:sz w:val="22"/>
                      <w:szCs w:val="22"/>
                      <w:lang w:val="en-US" w:eastAsia="zh-CN"/>
                    </w:rPr>
                    <w:t>有组织</w:t>
                  </w:r>
                </w:p>
              </w:tc>
            </w:tr>
            <w:tr w14:paraId="2C26F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4" w:type="dxa"/>
                  <w:vMerge w:val="continue"/>
                  <w:noWrap w:val="0"/>
                  <w:vAlign w:val="center"/>
                </w:tcPr>
                <w:p w14:paraId="0D6400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p>
              </w:tc>
              <w:tc>
                <w:tcPr>
                  <w:tcW w:w="716" w:type="dxa"/>
                  <w:noWrap w:val="0"/>
                  <w:vAlign w:val="center"/>
                </w:tcPr>
                <w:p w14:paraId="0C2398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r>
                    <w:rPr>
                      <w:rFonts w:hint="eastAsia" w:ascii="Times New Roman" w:hAnsi="Times New Roman" w:cs="Times New Roman"/>
                      <w:bCs/>
                      <w:color w:val="auto"/>
                      <w:sz w:val="22"/>
                      <w:szCs w:val="22"/>
                    </w:rPr>
                    <w:t>废水</w:t>
                  </w:r>
                </w:p>
              </w:tc>
              <w:tc>
                <w:tcPr>
                  <w:tcW w:w="662" w:type="dxa"/>
                  <w:noWrap w:val="0"/>
                  <w:vAlign w:val="center"/>
                </w:tcPr>
                <w:p w14:paraId="43908A86">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W1</w:t>
                  </w:r>
                </w:p>
              </w:tc>
              <w:tc>
                <w:tcPr>
                  <w:tcW w:w="2568" w:type="dxa"/>
                  <w:noWrap w:val="0"/>
                  <w:vAlign w:val="center"/>
                </w:tcPr>
                <w:p w14:paraId="1F38B0CF">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生活污水</w:t>
                  </w:r>
                </w:p>
              </w:tc>
              <w:tc>
                <w:tcPr>
                  <w:tcW w:w="1261" w:type="dxa"/>
                  <w:noWrap w:val="0"/>
                  <w:vAlign w:val="center"/>
                </w:tcPr>
                <w:p w14:paraId="4C0A8CEC">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2"/>
                      <w:szCs w:val="22"/>
                    </w:rPr>
                  </w:pPr>
                  <w:r>
                    <w:rPr>
                      <w:rFonts w:hint="eastAsia" w:ascii="Times New Roman" w:hAnsi="Times New Roman" w:cs="Times New Roman"/>
                      <w:color w:val="auto"/>
                      <w:sz w:val="22"/>
                      <w:szCs w:val="22"/>
                    </w:rPr>
                    <w:t>COD、SS</w:t>
                  </w:r>
                  <w:r>
                    <w:rPr>
                      <w:rFonts w:hint="eastAsia" w:ascii="Times New Roman" w:hAnsi="Times New Roman" w:cs="Times New Roman"/>
                      <w:color w:val="auto"/>
                      <w:sz w:val="22"/>
                      <w:szCs w:val="22"/>
                      <w:lang w:eastAsia="zh-CN"/>
                    </w:rPr>
                    <w:t>、</w:t>
                  </w:r>
                  <w:r>
                    <w:rPr>
                      <w:rFonts w:hint="eastAsia" w:ascii="Times New Roman" w:hAnsi="Times New Roman" w:cs="Times New Roman"/>
                      <w:color w:val="auto"/>
                      <w:sz w:val="22"/>
                      <w:szCs w:val="22"/>
                      <w:lang w:val="en-US" w:eastAsia="zh-CN"/>
                    </w:rPr>
                    <w:t>氨氮</w:t>
                  </w:r>
                  <w:r>
                    <w:rPr>
                      <w:rFonts w:hint="eastAsia" w:ascii="Times New Roman" w:hAnsi="Times New Roman" w:cs="Times New Roman"/>
                      <w:color w:val="auto"/>
                      <w:sz w:val="22"/>
                      <w:szCs w:val="22"/>
                    </w:rPr>
                    <w:t>等</w:t>
                  </w:r>
                </w:p>
              </w:tc>
              <w:tc>
                <w:tcPr>
                  <w:tcW w:w="919" w:type="dxa"/>
                  <w:noWrap w:val="0"/>
                  <w:vAlign w:val="center"/>
                </w:tcPr>
                <w:p w14:paraId="67CD2F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r>
                    <w:rPr>
                      <w:rFonts w:hint="eastAsia" w:ascii="Times New Roman" w:hAnsi="Times New Roman" w:cs="Times New Roman"/>
                      <w:bCs/>
                      <w:color w:val="auto"/>
                      <w:sz w:val="22"/>
                      <w:szCs w:val="22"/>
                    </w:rPr>
                    <w:t>连续</w:t>
                  </w:r>
                </w:p>
              </w:tc>
              <w:tc>
                <w:tcPr>
                  <w:tcW w:w="1060" w:type="dxa"/>
                  <w:noWrap w:val="0"/>
                  <w:vAlign w:val="center"/>
                </w:tcPr>
                <w:p w14:paraId="66294B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r>
                    <w:rPr>
                      <w:rFonts w:hint="eastAsia" w:ascii="Times New Roman" w:hAnsi="Times New Roman" w:cs="Times New Roman"/>
                      <w:bCs/>
                      <w:color w:val="auto"/>
                      <w:sz w:val="22"/>
                      <w:szCs w:val="22"/>
                    </w:rPr>
                    <w:t>/</w:t>
                  </w:r>
                </w:p>
              </w:tc>
            </w:tr>
            <w:tr w14:paraId="0F698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4" w:type="dxa"/>
                  <w:vMerge w:val="continue"/>
                  <w:noWrap w:val="0"/>
                  <w:vAlign w:val="center"/>
                </w:tcPr>
                <w:p w14:paraId="1118D7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p>
              </w:tc>
              <w:tc>
                <w:tcPr>
                  <w:tcW w:w="716" w:type="dxa"/>
                  <w:noWrap w:val="0"/>
                  <w:vAlign w:val="center"/>
                </w:tcPr>
                <w:p w14:paraId="09FD8D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r>
                    <w:rPr>
                      <w:rFonts w:ascii="Times New Roman" w:hAnsi="Times New Roman" w:cs="Times New Roman"/>
                      <w:bCs/>
                      <w:color w:val="auto"/>
                      <w:sz w:val="22"/>
                      <w:szCs w:val="22"/>
                    </w:rPr>
                    <w:t>噪声</w:t>
                  </w:r>
                </w:p>
              </w:tc>
              <w:tc>
                <w:tcPr>
                  <w:tcW w:w="662" w:type="dxa"/>
                  <w:noWrap w:val="0"/>
                  <w:vAlign w:val="center"/>
                </w:tcPr>
                <w:p w14:paraId="7DA843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r>
                    <w:rPr>
                      <w:rFonts w:ascii="Times New Roman" w:hAnsi="Times New Roman" w:cs="Times New Roman"/>
                      <w:bCs/>
                      <w:color w:val="auto"/>
                      <w:sz w:val="22"/>
                      <w:szCs w:val="22"/>
                    </w:rPr>
                    <w:t>N</w:t>
                  </w:r>
                </w:p>
              </w:tc>
              <w:tc>
                <w:tcPr>
                  <w:tcW w:w="2568" w:type="dxa"/>
                  <w:noWrap w:val="0"/>
                  <w:vAlign w:val="center"/>
                </w:tcPr>
                <w:p w14:paraId="00FDAE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eastAsia" w:ascii="Times New Roman" w:hAnsi="Times New Roman" w:cs="Times New Roman"/>
                      <w:bCs/>
                      <w:color w:val="auto"/>
                      <w:sz w:val="22"/>
                      <w:szCs w:val="22"/>
                    </w:rPr>
                  </w:pPr>
                  <w:r>
                    <w:rPr>
                      <w:rFonts w:hint="eastAsia" w:ascii="Times New Roman" w:hAnsi="Times New Roman" w:cs="Times New Roman"/>
                      <w:bCs/>
                      <w:color w:val="auto"/>
                      <w:sz w:val="22"/>
                      <w:szCs w:val="22"/>
                    </w:rPr>
                    <w:t>生产设备</w:t>
                  </w:r>
                </w:p>
              </w:tc>
              <w:tc>
                <w:tcPr>
                  <w:tcW w:w="1261" w:type="dxa"/>
                  <w:noWrap w:val="0"/>
                  <w:vAlign w:val="center"/>
                </w:tcPr>
                <w:p w14:paraId="50A667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r>
                    <w:rPr>
                      <w:rFonts w:ascii="Times New Roman" w:hAnsi="Times New Roman" w:cs="Times New Roman"/>
                      <w:bCs/>
                      <w:color w:val="auto"/>
                      <w:sz w:val="22"/>
                      <w:szCs w:val="22"/>
                    </w:rPr>
                    <w:t>机械噪声</w:t>
                  </w:r>
                </w:p>
              </w:tc>
              <w:tc>
                <w:tcPr>
                  <w:tcW w:w="919" w:type="dxa"/>
                  <w:noWrap w:val="0"/>
                  <w:vAlign w:val="center"/>
                </w:tcPr>
                <w:p w14:paraId="250204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r>
                    <w:rPr>
                      <w:rFonts w:ascii="Times New Roman" w:hAnsi="Times New Roman" w:cs="Times New Roman"/>
                      <w:bCs/>
                      <w:color w:val="auto"/>
                      <w:sz w:val="22"/>
                      <w:szCs w:val="22"/>
                    </w:rPr>
                    <w:t>连续</w:t>
                  </w:r>
                </w:p>
              </w:tc>
              <w:tc>
                <w:tcPr>
                  <w:tcW w:w="1060" w:type="dxa"/>
                  <w:noWrap w:val="0"/>
                  <w:vAlign w:val="center"/>
                </w:tcPr>
                <w:p w14:paraId="7F8BFE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r>
                    <w:rPr>
                      <w:rFonts w:ascii="Times New Roman" w:hAnsi="Times New Roman" w:cs="Times New Roman"/>
                      <w:bCs/>
                      <w:color w:val="auto"/>
                      <w:sz w:val="22"/>
                      <w:szCs w:val="22"/>
                    </w:rPr>
                    <w:t>/</w:t>
                  </w:r>
                </w:p>
              </w:tc>
            </w:tr>
            <w:tr w14:paraId="46EEB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4" w:type="dxa"/>
                  <w:vMerge w:val="continue"/>
                  <w:noWrap w:val="0"/>
                  <w:vAlign w:val="center"/>
                </w:tcPr>
                <w:p w14:paraId="401444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p>
              </w:tc>
              <w:tc>
                <w:tcPr>
                  <w:tcW w:w="716" w:type="dxa"/>
                  <w:vMerge w:val="restart"/>
                  <w:noWrap w:val="0"/>
                  <w:vAlign w:val="center"/>
                </w:tcPr>
                <w:p w14:paraId="3A71E6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r>
                    <w:rPr>
                      <w:rFonts w:ascii="Times New Roman" w:hAnsi="Times New Roman" w:cs="Times New Roman"/>
                      <w:bCs/>
                      <w:color w:val="auto"/>
                      <w:sz w:val="22"/>
                      <w:szCs w:val="22"/>
                    </w:rPr>
                    <w:t>固体废物</w:t>
                  </w:r>
                </w:p>
              </w:tc>
              <w:tc>
                <w:tcPr>
                  <w:tcW w:w="662" w:type="dxa"/>
                  <w:noWrap w:val="0"/>
                  <w:vAlign w:val="center"/>
                </w:tcPr>
                <w:p w14:paraId="79C2F1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bCs/>
                      <w:color w:val="auto"/>
                      <w:sz w:val="22"/>
                      <w:szCs w:val="22"/>
                    </w:rPr>
                  </w:pPr>
                  <w:r>
                    <w:rPr>
                      <w:rFonts w:hint="eastAsia" w:ascii="Times New Roman" w:hAnsi="Times New Roman" w:cs="Times New Roman"/>
                      <w:bCs/>
                      <w:color w:val="auto"/>
                      <w:sz w:val="22"/>
                      <w:szCs w:val="22"/>
                    </w:rPr>
                    <w:t>S1</w:t>
                  </w:r>
                </w:p>
              </w:tc>
              <w:tc>
                <w:tcPr>
                  <w:tcW w:w="2568" w:type="dxa"/>
                  <w:noWrap w:val="0"/>
                  <w:vAlign w:val="center"/>
                </w:tcPr>
                <w:p w14:paraId="11F5EF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废包装袋</w:t>
                  </w:r>
                </w:p>
              </w:tc>
              <w:tc>
                <w:tcPr>
                  <w:tcW w:w="1261" w:type="dxa"/>
                  <w:vMerge w:val="restart"/>
                  <w:noWrap w:val="0"/>
                  <w:vAlign w:val="center"/>
                </w:tcPr>
                <w:p w14:paraId="564B6A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一般工业固废</w:t>
                  </w:r>
                </w:p>
              </w:tc>
              <w:tc>
                <w:tcPr>
                  <w:tcW w:w="919" w:type="dxa"/>
                  <w:noWrap w:val="0"/>
                  <w:vAlign w:val="center"/>
                </w:tcPr>
                <w:p w14:paraId="5B14A9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eastAsia" w:ascii="Times New Roman" w:hAnsi="Times New Roman" w:eastAsia="宋体" w:cs="Times New Roman"/>
                      <w:bCs/>
                      <w:color w:val="auto"/>
                      <w:sz w:val="22"/>
                      <w:szCs w:val="22"/>
                      <w:lang w:val="en-US" w:eastAsia="zh-CN"/>
                    </w:rPr>
                  </w:pPr>
                  <w:r>
                    <w:rPr>
                      <w:rFonts w:hint="eastAsia" w:ascii="Times New Roman" w:hAnsi="Times New Roman" w:cs="Times New Roman"/>
                      <w:bCs/>
                      <w:color w:val="auto"/>
                      <w:sz w:val="22"/>
                      <w:szCs w:val="22"/>
                      <w:lang w:val="en-US" w:eastAsia="zh-CN"/>
                    </w:rPr>
                    <w:t>连续</w:t>
                  </w:r>
                </w:p>
              </w:tc>
              <w:tc>
                <w:tcPr>
                  <w:tcW w:w="1060" w:type="dxa"/>
                  <w:noWrap w:val="0"/>
                  <w:vAlign w:val="center"/>
                </w:tcPr>
                <w:p w14:paraId="5926AB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eastAsia" w:ascii="Times New Roman" w:hAnsi="Times New Roman" w:eastAsia="宋体" w:cs="Times New Roman"/>
                      <w:bCs/>
                      <w:color w:val="auto"/>
                      <w:sz w:val="22"/>
                      <w:szCs w:val="22"/>
                      <w:lang w:val="en-US" w:eastAsia="zh-CN"/>
                    </w:rPr>
                  </w:pPr>
                  <w:r>
                    <w:rPr>
                      <w:rFonts w:hint="eastAsia" w:ascii="Times New Roman" w:hAnsi="Times New Roman" w:cs="Times New Roman"/>
                      <w:bCs/>
                      <w:color w:val="auto"/>
                      <w:sz w:val="22"/>
                      <w:szCs w:val="22"/>
                      <w:lang w:val="en-US" w:eastAsia="zh-CN"/>
                    </w:rPr>
                    <w:t>回用</w:t>
                  </w:r>
                </w:p>
              </w:tc>
            </w:tr>
            <w:tr w14:paraId="4FE71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4" w:type="dxa"/>
                  <w:vMerge w:val="continue"/>
                  <w:noWrap w:val="0"/>
                  <w:vAlign w:val="center"/>
                </w:tcPr>
                <w:p w14:paraId="0B14E4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p>
              </w:tc>
              <w:tc>
                <w:tcPr>
                  <w:tcW w:w="716" w:type="dxa"/>
                  <w:vMerge w:val="continue"/>
                  <w:noWrap w:val="0"/>
                  <w:vAlign w:val="center"/>
                </w:tcPr>
                <w:p w14:paraId="12AADA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p>
              </w:tc>
              <w:tc>
                <w:tcPr>
                  <w:tcW w:w="662" w:type="dxa"/>
                  <w:noWrap w:val="0"/>
                  <w:vAlign w:val="center"/>
                </w:tcPr>
                <w:p w14:paraId="24BD14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2"/>
                      <w:szCs w:val="22"/>
                    </w:rPr>
                  </w:pPr>
                  <w:r>
                    <w:rPr>
                      <w:rFonts w:ascii="Times New Roman" w:hAnsi="Times New Roman" w:cs="Times New Roman"/>
                      <w:color w:val="auto"/>
                      <w:sz w:val="22"/>
                      <w:szCs w:val="22"/>
                    </w:rPr>
                    <w:t>S</w:t>
                  </w:r>
                  <w:r>
                    <w:rPr>
                      <w:rFonts w:hint="eastAsia" w:ascii="Times New Roman" w:hAnsi="Times New Roman" w:cs="Times New Roman"/>
                      <w:color w:val="auto"/>
                      <w:sz w:val="22"/>
                      <w:szCs w:val="22"/>
                    </w:rPr>
                    <w:t>2</w:t>
                  </w:r>
                </w:p>
              </w:tc>
              <w:tc>
                <w:tcPr>
                  <w:tcW w:w="2568" w:type="dxa"/>
                  <w:noWrap w:val="0"/>
                  <w:vAlign w:val="center"/>
                </w:tcPr>
                <w:p w14:paraId="71021C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废玻璃纤维</w:t>
                  </w:r>
                </w:p>
              </w:tc>
              <w:tc>
                <w:tcPr>
                  <w:tcW w:w="1261" w:type="dxa"/>
                  <w:vMerge w:val="continue"/>
                  <w:noWrap w:val="0"/>
                  <w:vAlign w:val="center"/>
                </w:tcPr>
                <w:p w14:paraId="161729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2"/>
                      <w:szCs w:val="22"/>
                    </w:rPr>
                  </w:pPr>
                </w:p>
              </w:tc>
              <w:tc>
                <w:tcPr>
                  <w:tcW w:w="919" w:type="dxa"/>
                  <w:shd w:val="clear" w:color="auto" w:fill="auto"/>
                  <w:noWrap w:val="0"/>
                  <w:vAlign w:val="center"/>
                </w:tcPr>
                <w:p w14:paraId="5C480D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eastAsia="宋体" w:cs="Times New Roman"/>
                      <w:bCs/>
                      <w:color w:val="auto"/>
                      <w:kern w:val="2"/>
                      <w:sz w:val="22"/>
                      <w:szCs w:val="22"/>
                      <w:lang w:val="en-US" w:eastAsia="zh-CN" w:bidi="ar-SA"/>
                    </w:rPr>
                  </w:pPr>
                  <w:r>
                    <w:rPr>
                      <w:rFonts w:ascii="Times New Roman" w:hAnsi="Times New Roman" w:cs="Times New Roman"/>
                      <w:bCs/>
                      <w:color w:val="auto"/>
                      <w:sz w:val="22"/>
                      <w:szCs w:val="22"/>
                    </w:rPr>
                    <w:t>连续</w:t>
                  </w:r>
                </w:p>
              </w:tc>
              <w:tc>
                <w:tcPr>
                  <w:tcW w:w="1060" w:type="dxa"/>
                  <w:noWrap w:val="0"/>
                  <w:vAlign w:val="center"/>
                </w:tcPr>
                <w:p w14:paraId="7CFDBB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宋体" w:cs="Times New Roman"/>
                      <w:bCs/>
                      <w:color w:val="auto"/>
                      <w:sz w:val="22"/>
                      <w:szCs w:val="22"/>
                      <w:lang w:val="en-US" w:eastAsia="zh-CN"/>
                    </w:rPr>
                  </w:pPr>
                  <w:r>
                    <w:rPr>
                      <w:rFonts w:hint="eastAsia" w:ascii="Times New Roman" w:hAnsi="Times New Roman" w:cs="Times New Roman"/>
                      <w:bCs/>
                      <w:color w:val="auto"/>
                      <w:sz w:val="22"/>
                      <w:szCs w:val="22"/>
                      <w:lang w:val="en-US" w:eastAsia="zh-CN"/>
                    </w:rPr>
                    <w:t>不外排</w:t>
                  </w:r>
                </w:p>
              </w:tc>
            </w:tr>
            <w:tr w14:paraId="423F9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4" w:type="dxa"/>
                  <w:vMerge w:val="continue"/>
                  <w:noWrap w:val="0"/>
                  <w:vAlign w:val="center"/>
                </w:tcPr>
                <w:p w14:paraId="1AD607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p>
              </w:tc>
              <w:tc>
                <w:tcPr>
                  <w:tcW w:w="716" w:type="dxa"/>
                  <w:vMerge w:val="continue"/>
                  <w:noWrap w:val="0"/>
                  <w:vAlign w:val="center"/>
                </w:tcPr>
                <w:p w14:paraId="1EA64C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p>
              </w:tc>
              <w:tc>
                <w:tcPr>
                  <w:tcW w:w="662" w:type="dxa"/>
                  <w:noWrap w:val="0"/>
                  <w:vAlign w:val="center"/>
                </w:tcPr>
                <w:p w14:paraId="0C6D86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2"/>
                      <w:szCs w:val="22"/>
                    </w:rPr>
                  </w:pPr>
                  <w:r>
                    <w:rPr>
                      <w:rFonts w:ascii="Times New Roman" w:hAnsi="Times New Roman" w:cs="Times New Roman"/>
                      <w:color w:val="auto"/>
                      <w:sz w:val="22"/>
                      <w:szCs w:val="22"/>
                    </w:rPr>
                    <w:t>S</w:t>
                  </w:r>
                  <w:r>
                    <w:rPr>
                      <w:rFonts w:hint="eastAsia" w:ascii="Times New Roman" w:hAnsi="Times New Roman" w:cs="Times New Roman"/>
                      <w:color w:val="auto"/>
                      <w:sz w:val="22"/>
                      <w:szCs w:val="22"/>
                    </w:rPr>
                    <w:t>3</w:t>
                  </w:r>
                </w:p>
              </w:tc>
              <w:tc>
                <w:tcPr>
                  <w:tcW w:w="2568" w:type="dxa"/>
                  <w:noWrap w:val="0"/>
                  <w:vAlign w:val="center"/>
                </w:tcPr>
                <w:p w14:paraId="005730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废边角料</w:t>
                  </w:r>
                </w:p>
              </w:tc>
              <w:tc>
                <w:tcPr>
                  <w:tcW w:w="1261" w:type="dxa"/>
                  <w:vMerge w:val="continue"/>
                  <w:noWrap w:val="0"/>
                  <w:vAlign w:val="center"/>
                </w:tcPr>
                <w:p w14:paraId="3759FD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2"/>
                      <w:szCs w:val="22"/>
                    </w:rPr>
                  </w:pPr>
                </w:p>
              </w:tc>
              <w:tc>
                <w:tcPr>
                  <w:tcW w:w="919" w:type="dxa"/>
                  <w:shd w:val="clear" w:color="auto" w:fill="auto"/>
                  <w:noWrap w:val="0"/>
                  <w:vAlign w:val="center"/>
                </w:tcPr>
                <w:p w14:paraId="1864C0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eastAsia" w:ascii="Times New Roman" w:hAnsi="Times New Roman" w:eastAsia="宋体" w:cs="Times New Roman"/>
                      <w:bCs/>
                      <w:color w:val="auto"/>
                      <w:kern w:val="2"/>
                      <w:sz w:val="22"/>
                      <w:szCs w:val="22"/>
                      <w:lang w:val="en-US" w:eastAsia="zh-CN" w:bidi="ar-SA"/>
                    </w:rPr>
                  </w:pPr>
                  <w:r>
                    <w:rPr>
                      <w:rFonts w:hint="eastAsia" w:ascii="Times New Roman" w:hAnsi="Times New Roman" w:cs="Times New Roman"/>
                      <w:bCs/>
                      <w:color w:val="auto"/>
                      <w:sz w:val="22"/>
                      <w:szCs w:val="22"/>
                      <w:lang w:val="en-US" w:eastAsia="zh-CN"/>
                    </w:rPr>
                    <w:t>连续</w:t>
                  </w:r>
                </w:p>
              </w:tc>
              <w:tc>
                <w:tcPr>
                  <w:tcW w:w="1060" w:type="dxa"/>
                  <w:noWrap w:val="0"/>
                  <w:vAlign w:val="center"/>
                </w:tcPr>
                <w:p w14:paraId="01EAB3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eastAsia" w:ascii="Times New Roman" w:hAnsi="Times New Roman" w:eastAsia="宋体" w:cs="Times New Roman"/>
                      <w:bCs/>
                      <w:color w:val="auto"/>
                      <w:sz w:val="22"/>
                      <w:szCs w:val="22"/>
                      <w:lang w:val="en-US" w:eastAsia="zh-CN"/>
                    </w:rPr>
                  </w:pPr>
                  <w:r>
                    <w:rPr>
                      <w:rFonts w:hint="eastAsia" w:ascii="Times New Roman" w:hAnsi="Times New Roman" w:cs="Times New Roman"/>
                      <w:bCs/>
                      <w:color w:val="auto"/>
                      <w:sz w:val="22"/>
                      <w:szCs w:val="22"/>
                      <w:lang w:val="en-US" w:eastAsia="zh-CN"/>
                    </w:rPr>
                    <w:t>不外排</w:t>
                  </w:r>
                </w:p>
              </w:tc>
            </w:tr>
            <w:tr w14:paraId="55BB3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4" w:type="dxa"/>
                  <w:vMerge w:val="continue"/>
                  <w:noWrap w:val="0"/>
                  <w:vAlign w:val="center"/>
                </w:tcPr>
                <w:p w14:paraId="34439E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p>
              </w:tc>
              <w:tc>
                <w:tcPr>
                  <w:tcW w:w="716" w:type="dxa"/>
                  <w:vMerge w:val="continue"/>
                  <w:noWrap w:val="0"/>
                  <w:vAlign w:val="center"/>
                </w:tcPr>
                <w:p w14:paraId="09CF6A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p>
              </w:tc>
              <w:tc>
                <w:tcPr>
                  <w:tcW w:w="662" w:type="dxa"/>
                  <w:noWrap w:val="0"/>
                  <w:vAlign w:val="center"/>
                </w:tcPr>
                <w:p w14:paraId="3AA6DB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auto"/>
                      <w:sz w:val="22"/>
                      <w:szCs w:val="22"/>
                      <w:lang w:eastAsia="zh-CN"/>
                    </w:rPr>
                  </w:pPr>
                  <w:r>
                    <w:rPr>
                      <w:rFonts w:hint="eastAsia" w:ascii="Times New Roman" w:hAnsi="Times New Roman" w:cs="Times New Roman"/>
                      <w:color w:val="auto"/>
                      <w:sz w:val="22"/>
                      <w:szCs w:val="22"/>
                    </w:rPr>
                    <w:t>S</w:t>
                  </w:r>
                  <w:r>
                    <w:rPr>
                      <w:rFonts w:hint="eastAsia" w:ascii="Times New Roman" w:hAnsi="Times New Roman" w:cs="Times New Roman"/>
                      <w:color w:val="auto"/>
                      <w:sz w:val="22"/>
                      <w:szCs w:val="22"/>
                      <w:lang w:val="en-US" w:eastAsia="zh-CN"/>
                    </w:rPr>
                    <w:t>4</w:t>
                  </w:r>
                </w:p>
              </w:tc>
              <w:tc>
                <w:tcPr>
                  <w:tcW w:w="2568" w:type="dxa"/>
                  <w:shd w:val="clear" w:color="auto" w:fill="auto"/>
                  <w:noWrap w:val="0"/>
                  <w:vAlign w:val="center"/>
                </w:tcPr>
                <w:p w14:paraId="4D4AA5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2"/>
                      <w:szCs w:val="22"/>
                      <w:lang w:val="en-US" w:eastAsia="zh-CN" w:bidi="ar-SA"/>
                    </w:rPr>
                  </w:pPr>
                  <w:r>
                    <w:rPr>
                      <w:rFonts w:hint="eastAsia" w:ascii="Times New Roman" w:hAnsi="Times New Roman" w:cs="Times New Roman"/>
                      <w:color w:val="auto"/>
                      <w:sz w:val="22"/>
                      <w:szCs w:val="22"/>
                      <w:lang w:val="en-US" w:eastAsia="zh-CN"/>
                    </w:rPr>
                    <w:t>废包装袋</w:t>
                  </w:r>
                </w:p>
              </w:tc>
              <w:tc>
                <w:tcPr>
                  <w:tcW w:w="1261" w:type="dxa"/>
                  <w:vMerge w:val="continue"/>
                  <w:noWrap w:val="0"/>
                  <w:vAlign w:val="center"/>
                </w:tcPr>
                <w:p w14:paraId="5F4C04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2"/>
                      <w:szCs w:val="22"/>
                    </w:rPr>
                  </w:pPr>
                </w:p>
              </w:tc>
              <w:tc>
                <w:tcPr>
                  <w:tcW w:w="919" w:type="dxa"/>
                  <w:noWrap w:val="0"/>
                  <w:vAlign w:val="center"/>
                </w:tcPr>
                <w:p w14:paraId="60E08E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r>
                    <w:rPr>
                      <w:rFonts w:ascii="Times New Roman" w:hAnsi="Times New Roman" w:cs="Times New Roman"/>
                      <w:bCs/>
                      <w:color w:val="auto"/>
                      <w:sz w:val="22"/>
                      <w:szCs w:val="22"/>
                    </w:rPr>
                    <w:t>间断</w:t>
                  </w:r>
                </w:p>
              </w:tc>
              <w:tc>
                <w:tcPr>
                  <w:tcW w:w="1060" w:type="dxa"/>
                  <w:noWrap w:val="0"/>
                  <w:vAlign w:val="center"/>
                </w:tcPr>
                <w:p w14:paraId="62F018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r>
                    <w:rPr>
                      <w:rFonts w:ascii="Times New Roman" w:hAnsi="Times New Roman" w:cs="Times New Roman"/>
                      <w:bCs/>
                      <w:color w:val="auto"/>
                      <w:sz w:val="22"/>
                      <w:szCs w:val="22"/>
                    </w:rPr>
                    <w:t>不外排</w:t>
                  </w:r>
                </w:p>
              </w:tc>
            </w:tr>
            <w:tr w14:paraId="669C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4" w:type="dxa"/>
                  <w:vMerge w:val="continue"/>
                  <w:noWrap w:val="0"/>
                  <w:vAlign w:val="center"/>
                </w:tcPr>
                <w:p w14:paraId="312573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p>
              </w:tc>
              <w:tc>
                <w:tcPr>
                  <w:tcW w:w="716" w:type="dxa"/>
                  <w:vMerge w:val="continue"/>
                  <w:noWrap w:val="0"/>
                  <w:vAlign w:val="center"/>
                </w:tcPr>
                <w:p w14:paraId="5B7F36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cs="Times New Roman"/>
                      <w:bCs/>
                      <w:color w:val="auto"/>
                      <w:sz w:val="22"/>
                      <w:szCs w:val="22"/>
                    </w:rPr>
                  </w:pPr>
                </w:p>
              </w:tc>
              <w:tc>
                <w:tcPr>
                  <w:tcW w:w="662" w:type="dxa"/>
                  <w:noWrap w:val="0"/>
                  <w:vAlign w:val="center"/>
                </w:tcPr>
                <w:p w14:paraId="2A4874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S5</w:t>
                  </w:r>
                </w:p>
              </w:tc>
              <w:tc>
                <w:tcPr>
                  <w:tcW w:w="2568" w:type="dxa"/>
                  <w:shd w:val="clear" w:color="auto" w:fill="auto"/>
                  <w:noWrap w:val="0"/>
                  <w:vAlign w:val="center"/>
                </w:tcPr>
                <w:p w14:paraId="76AE50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2"/>
                      <w:szCs w:val="22"/>
                      <w:lang w:val="en-US" w:eastAsia="zh-CN"/>
                    </w:rPr>
                  </w:pPr>
                  <w:r>
                    <w:rPr>
                      <w:rFonts w:hint="eastAsia" w:cs="Times New Roman"/>
                      <w:color w:val="auto"/>
                      <w:sz w:val="22"/>
                      <w:szCs w:val="22"/>
                      <w:lang w:val="en-US" w:eastAsia="zh-CN"/>
                    </w:rPr>
                    <w:t>维修废油</w:t>
                  </w:r>
                </w:p>
              </w:tc>
              <w:tc>
                <w:tcPr>
                  <w:tcW w:w="1261" w:type="dxa"/>
                  <w:noWrap w:val="0"/>
                  <w:vAlign w:val="center"/>
                </w:tcPr>
                <w:p w14:paraId="754794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危险废物</w:t>
                  </w:r>
                </w:p>
              </w:tc>
              <w:tc>
                <w:tcPr>
                  <w:tcW w:w="919" w:type="dxa"/>
                  <w:shd w:val="clear" w:color="auto" w:fill="auto"/>
                  <w:noWrap w:val="0"/>
                  <w:vAlign w:val="center"/>
                </w:tcPr>
                <w:p w14:paraId="63D2E3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Times New Roman" w:hAnsi="Times New Roman" w:eastAsia="宋体" w:cs="Times New Roman"/>
                      <w:bCs/>
                      <w:color w:val="auto"/>
                      <w:kern w:val="2"/>
                      <w:sz w:val="22"/>
                      <w:szCs w:val="22"/>
                      <w:lang w:val="en-US" w:eastAsia="zh-CN" w:bidi="ar-SA"/>
                    </w:rPr>
                  </w:pPr>
                  <w:r>
                    <w:rPr>
                      <w:rFonts w:ascii="Times New Roman" w:hAnsi="Times New Roman" w:cs="Times New Roman"/>
                      <w:bCs/>
                      <w:color w:val="auto"/>
                      <w:sz w:val="22"/>
                      <w:szCs w:val="22"/>
                    </w:rPr>
                    <w:t>间断</w:t>
                  </w:r>
                </w:p>
              </w:tc>
              <w:tc>
                <w:tcPr>
                  <w:tcW w:w="1060" w:type="dxa"/>
                  <w:shd w:val="clear" w:color="auto" w:fill="auto"/>
                  <w:noWrap w:val="0"/>
                  <w:vAlign w:val="center"/>
                </w:tcPr>
                <w:p w14:paraId="38C9CF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宋体" w:cs="Times New Roman"/>
                      <w:bCs/>
                      <w:color w:val="auto"/>
                      <w:kern w:val="2"/>
                      <w:sz w:val="22"/>
                      <w:szCs w:val="22"/>
                      <w:lang w:val="en-US" w:eastAsia="zh-CN" w:bidi="ar-SA"/>
                    </w:rPr>
                  </w:pPr>
                  <w:r>
                    <w:rPr>
                      <w:rFonts w:hint="eastAsia" w:cs="Times New Roman"/>
                      <w:bCs/>
                      <w:color w:val="auto"/>
                      <w:kern w:val="2"/>
                      <w:sz w:val="22"/>
                      <w:szCs w:val="22"/>
                      <w:lang w:val="en-US" w:eastAsia="zh-CN" w:bidi="ar-SA"/>
                    </w:rPr>
                    <w:t>委托资质单位处置</w:t>
                  </w:r>
                </w:p>
              </w:tc>
            </w:tr>
          </w:tbl>
          <w:p w14:paraId="325E39AB">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default" w:cs="Times New Roman"/>
                <w:color w:val="auto"/>
                <w:kern w:val="2"/>
                <w:sz w:val="26"/>
                <w:szCs w:val="26"/>
                <w:lang w:val="en-US" w:eastAsia="zh-CN" w:bidi="ar-SA"/>
              </w:rPr>
            </w:pPr>
          </w:p>
        </w:tc>
      </w:tr>
      <w:tr w14:paraId="7CABF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5" w:hRule="atLeast"/>
        </w:trPr>
        <w:tc>
          <w:tcPr>
            <w:tcW w:w="399" w:type="dxa"/>
            <w:vAlign w:val="center"/>
          </w:tcPr>
          <w:p w14:paraId="5594517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lang w:val="en-US" w:eastAsia="zh-CN"/>
              </w:rPr>
            </w:pPr>
            <w:r>
              <w:rPr>
                <w:rFonts w:hint="default" w:ascii="Times New Roman" w:hAnsi="Times New Roman" w:cs="Times New Roman"/>
                <w:bCs/>
                <w:color w:val="auto"/>
                <w:kern w:val="2"/>
                <w:sz w:val="26"/>
                <w:szCs w:val="26"/>
              </w:rPr>
              <w:t>与项目有关的原有环境污染问题</w:t>
            </w:r>
          </w:p>
        </w:tc>
        <w:tc>
          <w:tcPr>
            <w:tcW w:w="8123" w:type="dxa"/>
            <w:vAlign w:val="top"/>
          </w:tcPr>
          <w:p w14:paraId="103FE94A">
            <w:pPr>
              <w:pStyle w:val="3"/>
              <w:pageBreakBefore w:val="0"/>
              <w:widowControl w:val="0"/>
              <w:kinsoku/>
              <w:wordWrap/>
              <w:overflowPunct/>
              <w:topLinePunct w:val="0"/>
              <w:autoSpaceDE/>
              <w:autoSpaceDN/>
              <w:bidi w:val="0"/>
              <w:adjustRightInd/>
              <w:snapToGrid/>
              <w:spacing w:beforeLines="0" w:afterLines="0" w:line="460" w:lineRule="exact"/>
              <w:jc w:val="both"/>
              <w:textAlignment w:val="auto"/>
              <w:rPr>
                <w:rFonts w:hint="eastAsia"/>
                <w:color w:val="auto"/>
                <w:sz w:val="26"/>
                <w:szCs w:val="26"/>
                <w:lang w:val="en-US" w:eastAsia="zh-CN"/>
              </w:rPr>
            </w:pPr>
            <w:r>
              <w:rPr>
                <w:rFonts w:hint="eastAsia"/>
                <w:color w:val="auto"/>
                <w:sz w:val="26"/>
                <w:szCs w:val="26"/>
                <w:lang w:val="en-US" w:eastAsia="zh-CN"/>
              </w:rPr>
              <w:t>2.3与项目有关的原有环境影响问题</w:t>
            </w:r>
          </w:p>
          <w:p w14:paraId="0E38C6D4">
            <w:pPr>
              <w:pStyle w:val="8"/>
              <w:pageBreakBefore w:val="0"/>
              <w:widowControl w:val="0"/>
              <w:kinsoku/>
              <w:wordWrap/>
              <w:overflowPunct/>
              <w:topLinePunct w:val="0"/>
              <w:autoSpaceDE/>
              <w:autoSpaceDN/>
              <w:bidi w:val="0"/>
              <w:adjustRightInd/>
              <w:snapToGrid/>
              <w:spacing w:line="460" w:lineRule="exact"/>
              <w:jc w:val="both"/>
              <w:textAlignment w:val="auto"/>
              <w:rPr>
                <w:rFonts w:hint="default"/>
                <w:color w:val="auto"/>
                <w:sz w:val="26"/>
                <w:szCs w:val="26"/>
                <w:lang w:val="en-US" w:eastAsia="zh-CN"/>
              </w:rPr>
            </w:pPr>
            <w:r>
              <w:rPr>
                <w:rFonts w:hint="eastAsia"/>
                <w:color w:val="auto"/>
                <w:sz w:val="26"/>
                <w:szCs w:val="26"/>
                <w:lang w:val="en-US" w:eastAsia="zh-CN"/>
              </w:rPr>
              <w:t>本项目租赁博盟汽车科技（重庆）有限公司3号厂房西侧部分区域用于生产线布置。本项目位于重庆市合川区草街街道农创路205号，属于南溪组团B区</w:t>
            </w:r>
            <w:r>
              <w:rPr>
                <w:rFonts w:hint="eastAsia"/>
                <w:color w:val="auto"/>
                <w:sz w:val="26"/>
                <w:szCs w:val="26"/>
                <w:highlight w:val="none"/>
                <w:lang w:val="en-US" w:eastAsia="zh-CN"/>
              </w:rPr>
              <w:t>。本项目租赁博盟汽车科技（重庆）有限公司闲置厂房进行生产线建设</w:t>
            </w:r>
            <w:r>
              <w:rPr>
                <w:rFonts w:hint="eastAsia"/>
                <w:color w:val="auto"/>
                <w:sz w:val="26"/>
                <w:szCs w:val="26"/>
                <w:lang w:val="en-US" w:eastAsia="zh-CN"/>
              </w:rPr>
              <w:t>，综上本项目建设符合园区规划要求。</w:t>
            </w:r>
          </w:p>
          <w:p w14:paraId="77D051D8">
            <w:pPr>
              <w:pageBreakBefore w:val="0"/>
              <w:widowControl w:val="0"/>
              <w:kinsoku/>
              <w:wordWrap/>
              <w:overflowPunct/>
              <w:topLinePunct w:val="0"/>
              <w:autoSpaceDE/>
              <w:autoSpaceDN/>
              <w:bidi w:val="0"/>
              <w:adjustRightInd/>
              <w:snapToGrid/>
              <w:spacing w:line="460" w:lineRule="exact"/>
              <w:jc w:val="both"/>
              <w:textAlignment w:val="auto"/>
              <w:rPr>
                <w:rFonts w:hint="eastAsia"/>
                <w:color w:val="auto"/>
                <w:sz w:val="26"/>
                <w:szCs w:val="26"/>
                <w:lang w:val="en-US" w:eastAsia="zh-CN"/>
              </w:rPr>
            </w:pPr>
            <w:r>
              <w:rPr>
                <w:rFonts w:hint="eastAsia"/>
                <w:color w:val="auto"/>
                <w:sz w:val="26"/>
                <w:szCs w:val="26"/>
                <w:lang w:val="en-US" w:eastAsia="zh-CN"/>
              </w:rPr>
              <w:t>本项目所租赁的3号厂房为新建厂房，目前处于闲置状态。根据现场调查，本项目不存在原有环境影响问题。</w:t>
            </w:r>
          </w:p>
          <w:p w14:paraId="06B5D318">
            <w:pPr>
              <w:ind w:left="0" w:leftChars="0" w:firstLine="0" w:firstLineChars="0"/>
              <w:rPr>
                <w:rFonts w:hint="default"/>
                <w:color w:val="auto"/>
                <w:lang w:val="en-US" w:eastAsia="zh-CN"/>
              </w:rPr>
            </w:pPr>
          </w:p>
          <w:p w14:paraId="2CBAFAE1">
            <w:pPr>
              <w:ind w:left="0" w:leftChars="0" w:firstLine="0" w:firstLineChars="0"/>
              <w:rPr>
                <w:rFonts w:hint="default"/>
                <w:color w:val="auto"/>
                <w:lang w:val="en-US" w:eastAsia="zh-CN"/>
              </w:rPr>
            </w:pPr>
          </w:p>
          <w:p w14:paraId="2DBD62A7">
            <w:pPr>
              <w:ind w:left="0" w:leftChars="0" w:firstLine="0" w:firstLineChars="0"/>
              <w:rPr>
                <w:rFonts w:hint="default"/>
                <w:color w:val="auto"/>
                <w:lang w:val="en-US" w:eastAsia="zh-CN"/>
              </w:rPr>
            </w:pPr>
          </w:p>
          <w:p w14:paraId="28BF9A4F">
            <w:pPr>
              <w:ind w:left="0" w:leftChars="0" w:firstLine="0" w:firstLineChars="0"/>
              <w:rPr>
                <w:rFonts w:hint="default"/>
                <w:color w:val="auto"/>
                <w:lang w:val="en-US" w:eastAsia="zh-CN"/>
              </w:rPr>
            </w:pPr>
          </w:p>
        </w:tc>
      </w:tr>
    </w:tbl>
    <w:p w14:paraId="793E600B">
      <w:pPr>
        <w:pStyle w:val="2"/>
        <w:numPr>
          <w:ilvl w:val="0"/>
          <w:numId w:val="2"/>
        </w:numPr>
        <w:bidi w:val="0"/>
        <w:ind w:left="0" w:leftChars="0" w:firstLine="0" w:firstLineChars="0"/>
        <w:rPr>
          <w:rFonts w:hint="eastAsia"/>
          <w:color w:val="auto"/>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p>
    <w:p w14:paraId="454D4CAA">
      <w:pPr>
        <w:pStyle w:val="2"/>
        <w:numPr>
          <w:ilvl w:val="0"/>
          <w:numId w:val="0"/>
        </w:numPr>
        <w:bidi w:val="0"/>
        <w:ind w:left="0" w:leftChars="0" w:firstLine="0" w:firstLineChars="0"/>
        <w:rPr>
          <w:rFonts w:hint="eastAsia"/>
          <w:color w:val="auto"/>
          <w:lang w:val="en-US" w:eastAsia="zh-CN"/>
        </w:rPr>
      </w:pPr>
      <w:r>
        <w:rPr>
          <w:rFonts w:hint="eastAsia" w:ascii="Times New Roman" w:hAnsi="Times New Roman" w:eastAsia="黑体" w:cstheme="minorBidi"/>
          <w:color w:val="auto"/>
          <w:kern w:val="44"/>
          <w:sz w:val="30"/>
          <w:szCs w:val="24"/>
          <w:lang w:val="en-US" w:eastAsia="zh-CN" w:bidi="ar-SA"/>
        </w:rPr>
        <w:t>三、</w:t>
      </w:r>
      <w:r>
        <w:rPr>
          <w:rFonts w:hint="eastAsia"/>
          <w:color w:val="auto"/>
          <w:lang w:val="en-US" w:eastAsia="zh-CN"/>
        </w:rPr>
        <w:t>区域环境质量现状、环境保护目标及评价标准</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049"/>
      </w:tblGrid>
      <w:tr w14:paraId="317C6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2" w:hRule="atLeast"/>
        </w:trPr>
        <w:tc>
          <w:tcPr>
            <w:tcW w:w="456" w:type="dxa"/>
            <w:vAlign w:val="center"/>
          </w:tcPr>
          <w:p w14:paraId="5747BFC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vertAlign w:val="baseline"/>
                <w:lang w:val="en-US" w:eastAsia="zh-CN"/>
              </w:rPr>
            </w:pPr>
            <w:r>
              <w:rPr>
                <w:rFonts w:hint="eastAsia"/>
                <w:color w:val="auto"/>
                <w:lang w:val="en-US" w:eastAsia="zh-CN"/>
              </w:rPr>
              <w:t>区域环境质量现状</w:t>
            </w:r>
          </w:p>
        </w:tc>
        <w:tc>
          <w:tcPr>
            <w:tcW w:w="8049" w:type="dxa"/>
            <w:vAlign w:val="center"/>
          </w:tcPr>
          <w:p w14:paraId="1E762849">
            <w:pPr>
              <w:pStyle w:val="3"/>
              <w:pageBreakBefore w:val="0"/>
              <w:widowControl w:val="0"/>
              <w:kinsoku/>
              <w:wordWrap/>
              <w:overflowPunct/>
              <w:topLinePunct w:val="0"/>
              <w:autoSpaceDE/>
              <w:autoSpaceDN/>
              <w:bidi w:val="0"/>
              <w:adjustRightInd/>
              <w:snapToGrid/>
              <w:spacing w:beforeLines="0" w:afterLines="0" w:line="460" w:lineRule="exact"/>
              <w:textAlignment w:val="auto"/>
              <w:rPr>
                <w:rFonts w:hint="eastAsia"/>
                <w:color w:val="auto"/>
                <w:sz w:val="26"/>
                <w:szCs w:val="26"/>
                <w:lang w:val="en-US" w:eastAsia="zh-CN"/>
              </w:rPr>
            </w:pPr>
            <w:r>
              <w:rPr>
                <w:rFonts w:hint="eastAsia"/>
                <w:color w:val="auto"/>
                <w:sz w:val="26"/>
                <w:szCs w:val="26"/>
                <w:lang w:val="en-US" w:eastAsia="zh-CN"/>
              </w:rPr>
              <w:t>3.1区域环境质量现状</w:t>
            </w:r>
          </w:p>
          <w:p w14:paraId="584A0F19">
            <w:pPr>
              <w:pStyle w:val="4"/>
              <w:pageBreakBefore w:val="0"/>
              <w:widowControl w:val="0"/>
              <w:kinsoku/>
              <w:wordWrap/>
              <w:overflowPunct/>
              <w:topLinePunct w:val="0"/>
              <w:autoSpaceDE/>
              <w:autoSpaceDN/>
              <w:bidi w:val="0"/>
              <w:adjustRightInd/>
              <w:snapToGrid/>
              <w:spacing w:beforeLines="0" w:afterLines="0" w:line="460" w:lineRule="exact"/>
              <w:textAlignment w:val="auto"/>
              <w:rPr>
                <w:rFonts w:hint="eastAsia"/>
                <w:color w:val="auto"/>
                <w:sz w:val="26"/>
                <w:szCs w:val="26"/>
                <w:lang w:val="en-US" w:eastAsia="zh-CN"/>
              </w:rPr>
            </w:pPr>
            <w:r>
              <w:rPr>
                <w:rFonts w:hint="eastAsia"/>
                <w:color w:val="auto"/>
                <w:sz w:val="26"/>
                <w:szCs w:val="26"/>
                <w:lang w:val="en-US" w:eastAsia="zh-CN"/>
              </w:rPr>
              <w:t>3.1.1大气环境</w:t>
            </w:r>
          </w:p>
          <w:p w14:paraId="421A86A3">
            <w:pPr>
              <w:pageBreakBefore w:val="0"/>
              <w:widowControl w:val="0"/>
              <w:kinsoku/>
              <w:wordWrap/>
              <w:overflowPunct/>
              <w:topLinePunct w:val="0"/>
              <w:autoSpaceDE/>
              <w:autoSpaceDN/>
              <w:bidi w:val="0"/>
              <w:adjustRightInd/>
              <w:snapToGrid/>
              <w:spacing w:line="460" w:lineRule="exact"/>
              <w:textAlignment w:val="auto"/>
              <w:rPr>
                <w:rFonts w:hint="default"/>
                <w:color w:val="auto"/>
                <w:sz w:val="26"/>
                <w:szCs w:val="26"/>
                <w:lang w:val="en-US" w:eastAsia="zh-CN"/>
              </w:rPr>
            </w:pPr>
            <w:r>
              <w:rPr>
                <w:rFonts w:hint="default"/>
                <w:color w:val="auto"/>
                <w:sz w:val="26"/>
                <w:szCs w:val="26"/>
                <w:lang w:val="en-US" w:eastAsia="zh-CN"/>
              </w:rPr>
              <w:t>（1）</w:t>
            </w:r>
            <w:r>
              <w:rPr>
                <w:rFonts w:hint="eastAsia"/>
                <w:color w:val="auto"/>
                <w:sz w:val="26"/>
                <w:szCs w:val="26"/>
                <w:lang w:val="en-US" w:eastAsia="zh-CN"/>
              </w:rPr>
              <w:t>基本污染物环境空气质量现状</w:t>
            </w:r>
          </w:p>
          <w:p w14:paraId="6FBAF528">
            <w:pPr>
              <w:pageBreakBefore w:val="0"/>
              <w:widowControl w:val="0"/>
              <w:kinsoku/>
              <w:wordWrap/>
              <w:overflowPunct/>
              <w:topLinePunct w:val="0"/>
              <w:autoSpaceDE/>
              <w:autoSpaceDN/>
              <w:bidi w:val="0"/>
              <w:adjustRightInd/>
              <w:snapToGrid/>
              <w:spacing w:line="460" w:lineRule="exact"/>
              <w:textAlignment w:val="auto"/>
              <w:rPr>
                <w:rFonts w:hint="default"/>
                <w:color w:val="auto"/>
                <w:sz w:val="26"/>
                <w:szCs w:val="26"/>
                <w:lang w:val="en-US" w:eastAsia="zh-CN"/>
              </w:rPr>
            </w:pPr>
            <w:r>
              <w:rPr>
                <w:rFonts w:hint="default"/>
                <w:color w:val="auto"/>
                <w:sz w:val="26"/>
                <w:szCs w:val="26"/>
                <w:lang w:val="en-US" w:eastAsia="zh-CN"/>
              </w:rPr>
              <w:t>根据重庆市人民政府渝府发〔2016〕19号文，拟建项目所在区域属环境空气质量二类功能</w:t>
            </w:r>
            <w:r>
              <w:rPr>
                <w:rFonts w:hint="eastAsia"/>
                <w:color w:val="auto"/>
                <w:sz w:val="26"/>
                <w:szCs w:val="26"/>
                <w:lang w:val="en-US" w:eastAsia="zh-CN"/>
              </w:rPr>
              <w:t>。根据重庆市生态环境局发布的</w:t>
            </w:r>
            <w:r>
              <w:rPr>
                <w:rFonts w:hint="default"/>
                <w:color w:val="auto"/>
                <w:sz w:val="26"/>
                <w:szCs w:val="26"/>
                <w:lang w:val="en-US" w:eastAsia="zh-CN"/>
              </w:rPr>
              <w:t>《202</w:t>
            </w:r>
            <w:r>
              <w:rPr>
                <w:rFonts w:hint="eastAsia"/>
                <w:color w:val="auto"/>
                <w:sz w:val="26"/>
                <w:szCs w:val="26"/>
                <w:lang w:val="en-US" w:eastAsia="zh-CN"/>
              </w:rPr>
              <w:t>3</w:t>
            </w:r>
            <w:r>
              <w:rPr>
                <w:rFonts w:hint="default"/>
                <w:color w:val="auto"/>
                <w:sz w:val="26"/>
                <w:szCs w:val="26"/>
                <w:lang w:val="en-US" w:eastAsia="zh-CN"/>
              </w:rPr>
              <w:t>年重庆市生态环境状况公报》中的</w:t>
            </w:r>
            <w:r>
              <w:rPr>
                <w:rFonts w:hint="eastAsia"/>
                <w:color w:val="auto"/>
                <w:sz w:val="26"/>
                <w:szCs w:val="26"/>
                <w:lang w:val="en-US" w:eastAsia="zh-CN"/>
              </w:rPr>
              <w:t>合川</w:t>
            </w:r>
            <w:r>
              <w:rPr>
                <w:rFonts w:hint="default"/>
                <w:color w:val="auto"/>
                <w:sz w:val="26"/>
                <w:szCs w:val="26"/>
                <w:lang w:val="en-US" w:eastAsia="zh-CN"/>
              </w:rPr>
              <w:t>区环境空气质量现状数据；区域空气质量现状评价见表3.1-1。</w:t>
            </w:r>
          </w:p>
          <w:p w14:paraId="2812507D">
            <w:pPr>
              <w:pageBreakBefore w:val="0"/>
              <w:widowControl w:val="0"/>
              <w:kinsoku/>
              <w:wordWrap/>
              <w:overflowPunct/>
              <w:topLinePunct w:val="0"/>
              <w:autoSpaceDE/>
              <w:autoSpaceDN/>
              <w:bidi w:val="0"/>
              <w:adjustRightInd/>
              <w:snapToGrid/>
              <w:spacing w:line="460" w:lineRule="exact"/>
              <w:textAlignment w:val="auto"/>
              <w:rPr>
                <w:rFonts w:hint="default"/>
                <w:color w:val="auto"/>
                <w:sz w:val="26"/>
                <w:szCs w:val="26"/>
                <w:lang w:val="en-US" w:eastAsia="zh-CN"/>
              </w:rPr>
            </w:pPr>
          </w:p>
          <w:p w14:paraId="05805F17">
            <w:pPr>
              <w:pStyle w:val="27"/>
              <w:bidi w:val="0"/>
              <w:ind w:firstLine="520" w:firstLineChars="200"/>
              <w:jc w:val="both"/>
              <w:rPr>
                <w:rFonts w:hint="default" w:ascii="Times New Roman" w:hAnsi="Times New Roman" w:eastAsia="宋体" w:cstheme="minorBidi"/>
                <w:color w:val="auto"/>
                <w:kern w:val="2"/>
                <w:sz w:val="26"/>
                <w:szCs w:val="26"/>
                <w:lang w:val="en-US" w:eastAsia="zh-CN" w:bidi="ar-SA"/>
              </w:rPr>
            </w:pPr>
            <w:r>
              <w:rPr>
                <w:rFonts w:hint="default" w:ascii="Times New Roman" w:hAnsi="Times New Roman" w:eastAsia="宋体" w:cstheme="minorBidi"/>
                <w:color w:val="auto"/>
                <w:kern w:val="2"/>
                <w:sz w:val="26"/>
                <w:szCs w:val="26"/>
                <w:lang w:val="en-US" w:eastAsia="zh-CN" w:bidi="ar-SA"/>
              </w:rPr>
              <w:t xml:space="preserve">表3.1-1  </w:t>
            </w:r>
            <w:r>
              <w:rPr>
                <w:rFonts w:hint="eastAsia" w:eastAsia="宋体" w:cstheme="minorBidi"/>
                <w:color w:val="auto"/>
                <w:kern w:val="2"/>
                <w:sz w:val="26"/>
                <w:szCs w:val="26"/>
                <w:lang w:val="en-US" w:eastAsia="zh-CN" w:bidi="ar-SA"/>
              </w:rPr>
              <w:t xml:space="preserve">         </w:t>
            </w:r>
            <w:r>
              <w:rPr>
                <w:rFonts w:hint="default" w:ascii="Times New Roman" w:hAnsi="Times New Roman" w:eastAsia="宋体" w:cstheme="minorBidi"/>
                <w:color w:val="auto"/>
                <w:kern w:val="2"/>
                <w:sz w:val="26"/>
                <w:szCs w:val="26"/>
                <w:lang w:val="en-US" w:eastAsia="zh-CN" w:bidi="ar-SA"/>
              </w:rPr>
              <w:t>202</w:t>
            </w:r>
            <w:r>
              <w:rPr>
                <w:rFonts w:hint="eastAsia" w:eastAsia="宋体" w:cstheme="minorBidi"/>
                <w:color w:val="auto"/>
                <w:kern w:val="2"/>
                <w:sz w:val="26"/>
                <w:szCs w:val="26"/>
                <w:lang w:val="en-US" w:eastAsia="zh-CN" w:bidi="ar-SA"/>
              </w:rPr>
              <w:t>3</w:t>
            </w:r>
            <w:r>
              <w:rPr>
                <w:rFonts w:hint="default" w:ascii="Times New Roman" w:hAnsi="Times New Roman" w:eastAsia="宋体" w:cstheme="minorBidi"/>
                <w:color w:val="auto"/>
                <w:kern w:val="2"/>
                <w:sz w:val="26"/>
                <w:szCs w:val="26"/>
                <w:lang w:val="en-US" w:eastAsia="zh-CN" w:bidi="ar-SA"/>
              </w:rPr>
              <w:t>年度区域空气质量现状</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1644"/>
              <w:gridCol w:w="1161"/>
              <w:gridCol w:w="1110"/>
              <w:gridCol w:w="1276"/>
              <w:gridCol w:w="1276"/>
            </w:tblGrid>
            <w:tr w14:paraId="254AD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noWrap w:val="0"/>
                  <w:vAlign w:val="center"/>
                </w:tcPr>
                <w:p w14:paraId="2F3F08F9">
                  <w:pPr>
                    <w:pStyle w:val="26"/>
                    <w:bidi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污染物</w:t>
                  </w:r>
                </w:p>
              </w:tc>
              <w:tc>
                <w:tcPr>
                  <w:tcW w:w="1051" w:type="pct"/>
                  <w:noWrap w:val="0"/>
                  <w:vAlign w:val="center"/>
                </w:tcPr>
                <w:p w14:paraId="540759A6">
                  <w:pPr>
                    <w:pStyle w:val="26"/>
                    <w:bidi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年评价指标</w:t>
                  </w:r>
                </w:p>
              </w:tc>
              <w:tc>
                <w:tcPr>
                  <w:tcW w:w="742" w:type="pct"/>
                  <w:noWrap w:val="0"/>
                  <w:vAlign w:val="center"/>
                </w:tcPr>
                <w:p w14:paraId="602641AB">
                  <w:pPr>
                    <w:pStyle w:val="26"/>
                    <w:bidi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现状浓度</w:t>
                  </w:r>
                </w:p>
                <w:p w14:paraId="5CB1EA26">
                  <w:pPr>
                    <w:pStyle w:val="26"/>
                    <w:bidi w:val="0"/>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w:t>
                  </w:r>
                  <w:r>
                    <w:rPr>
                      <w:rFonts w:hint="default" w:ascii="Times New Roman" w:hAnsi="Times New Roman" w:eastAsia="宋体" w:cs="Times New Roman"/>
                      <w:color w:val="auto"/>
                      <w:sz w:val="22"/>
                      <w:szCs w:val="22"/>
                      <w:lang w:val="en-US" w:eastAsia="zh-CN"/>
                    </w:rPr>
                    <w:t>μg/m</w:t>
                  </w:r>
                  <w:r>
                    <w:rPr>
                      <w:rFonts w:hint="default" w:ascii="Times New Roman" w:hAnsi="Times New Roman" w:eastAsia="宋体" w:cs="Times New Roman"/>
                      <w:color w:val="auto"/>
                      <w:sz w:val="22"/>
                      <w:szCs w:val="22"/>
                      <w:vertAlign w:val="superscript"/>
                      <w:lang w:val="en-US" w:eastAsia="zh-CN"/>
                    </w:rPr>
                    <w:t>3</w:t>
                  </w:r>
                  <w:r>
                    <w:rPr>
                      <w:rFonts w:hint="eastAsia" w:cs="Times New Roman"/>
                      <w:color w:val="auto"/>
                      <w:sz w:val="22"/>
                      <w:szCs w:val="22"/>
                      <w:vertAlign w:val="baseline"/>
                      <w:lang w:val="en-US" w:eastAsia="zh-CN"/>
                    </w:rPr>
                    <w:t>)</w:t>
                  </w:r>
                </w:p>
              </w:tc>
              <w:tc>
                <w:tcPr>
                  <w:tcW w:w="709" w:type="pct"/>
                  <w:noWrap w:val="0"/>
                  <w:vAlign w:val="center"/>
                </w:tcPr>
                <w:p w14:paraId="53D51B15">
                  <w:pPr>
                    <w:pStyle w:val="26"/>
                    <w:bidi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标准值</w:t>
                  </w:r>
                </w:p>
                <w:p w14:paraId="7C8369DA">
                  <w:pPr>
                    <w:pStyle w:val="26"/>
                    <w:bidi w:val="0"/>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w:t>
                  </w:r>
                  <w:r>
                    <w:rPr>
                      <w:rFonts w:hint="default" w:ascii="Times New Roman" w:hAnsi="Times New Roman" w:eastAsia="宋体" w:cs="Times New Roman"/>
                      <w:color w:val="auto"/>
                      <w:sz w:val="22"/>
                      <w:szCs w:val="22"/>
                      <w:lang w:val="en-US" w:eastAsia="zh-CN"/>
                    </w:rPr>
                    <w:t>μg/m</w:t>
                  </w:r>
                  <w:r>
                    <w:rPr>
                      <w:rFonts w:hint="default" w:ascii="Times New Roman" w:hAnsi="Times New Roman" w:eastAsia="宋体" w:cs="Times New Roman"/>
                      <w:color w:val="auto"/>
                      <w:sz w:val="22"/>
                      <w:szCs w:val="22"/>
                      <w:vertAlign w:val="superscript"/>
                      <w:lang w:val="en-US" w:eastAsia="zh-CN"/>
                    </w:rPr>
                    <w:t>3</w:t>
                  </w:r>
                  <w:r>
                    <w:rPr>
                      <w:rFonts w:hint="eastAsia" w:cs="Times New Roman"/>
                      <w:color w:val="auto"/>
                      <w:sz w:val="22"/>
                      <w:szCs w:val="22"/>
                      <w:vertAlign w:val="baseline"/>
                      <w:lang w:val="en-US" w:eastAsia="zh-CN"/>
                    </w:rPr>
                    <w:t>)</w:t>
                  </w:r>
                </w:p>
              </w:tc>
              <w:tc>
                <w:tcPr>
                  <w:tcW w:w="815" w:type="pct"/>
                  <w:noWrap w:val="0"/>
                  <w:vAlign w:val="center"/>
                </w:tcPr>
                <w:p w14:paraId="18FFDBBD">
                  <w:pPr>
                    <w:pStyle w:val="26"/>
                    <w:bidi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占标率%</w:t>
                  </w:r>
                </w:p>
              </w:tc>
              <w:tc>
                <w:tcPr>
                  <w:tcW w:w="815" w:type="pct"/>
                  <w:noWrap w:val="0"/>
                  <w:vAlign w:val="center"/>
                </w:tcPr>
                <w:p w14:paraId="7EF7AE85">
                  <w:pPr>
                    <w:pStyle w:val="26"/>
                    <w:bidi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达标情况</w:t>
                  </w:r>
                </w:p>
              </w:tc>
            </w:tr>
            <w:tr w14:paraId="2484A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65" w:type="pct"/>
                  <w:noWrap w:val="0"/>
                  <w:vAlign w:val="center"/>
                </w:tcPr>
                <w:p w14:paraId="627AB487">
                  <w:pPr>
                    <w:pStyle w:val="26"/>
                    <w:bidi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PM</w:t>
                  </w:r>
                  <w:r>
                    <w:rPr>
                      <w:rFonts w:hint="default" w:ascii="Times New Roman" w:hAnsi="Times New Roman" w:eastAsia="宋体" w:cs="Times New Roman"/>
                      <w:color w:val="auto"/>
                      <w:sz w:val="22"/>
                      <w:szCs w:val="22"/>
                      <w:vertAlign w:val="subscript"/>
                      <w:lang w:val="en-US" w:eastAsia="zh-CN"/>
                    </w:rPr>
                    <w:t>10</w:t>
                  </w:r>
                </w:p>
              </w:tc>
              <w:tc>
                <w:tcPr>
                  <w:tcW w:w="1051" w:type="pct"/>
                  <w:vMerge w:val="restart"/>
                  <w:noWrap w:val="0"/>
                  <w:vAlign w:val="center"/>
                </w:tcPr>
                <w:p w14:paraId="665CD06E">
                  <w:pPr>
                    <w:pStyle w:val="26"/>
                    <w:bidi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年平均质量浓度</w:t>
                  </w:r>
                </w:p>
              </w:tc>
              <w:tc>
                <w:tcPr>
                  <w:tcW w:w="742" w:type="pct"/>
                  <w:noWrap w:val="0"/>
                  <w:vAlign w:val="center"/>
                </w:tcPr>
                <w:p w14:paraId="591B5A2A">
                  <w:pPr>
                    <w:pStyle w:val="26"/>
                    <w:bidi w:val="0"/>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58</w:t>
                  </w:r>
                </w:p>
              </w:tc>
              <w:tc>
                <w:tcPr>
                  <w:tcW w:w="709" w:type="pct"/>
                  <w:noWrap w:val="0"/>
                  <w:vAlign w:val="center"/>
                </w:tcPr>
                <w:p w14:paraId="442031B4">
                  <w:pPr>
                    <w:pStyle w:val="26"/>
                    <w:bidi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70</w:t>
                  </w:r>
                </w:p>
              </w:tc>
              <w:tc>
                <w:tcPr>
                  <w:tcW w:w="815" w:type="pct"/>
                  <w:noWrap w:val="0"/>
                  <w:vAlign w:val="center"/>
                </w:tcPr>
                <w:p w14:paraId="08DA7B70">
                  <w:pPr>
                    <w:pStyle w:val="26"/>
                    <w:bidi w:val="0"/>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82.9</w:t>
                  </w:r>
                </w:p>
              </w:tc>
              <w:tc>
                <w:tcPr>
                  <w:tcW w:w="815" w:type="pct"/>
                  <w:noWrap w:val="0"/>
                  <w:vAlign w:val="center"/>
                </w:tcPr>
                <w:p w14:paraId="17F43888">
                  <w:pPr>
                    <w:pStyle w:val="26"/>
                    <w:bidi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达标</w:t>
                  </w:r>
                </w:p>
              </w:tc>
            </w:tr>
            <w:tr w14:paraId="4AC7E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65" w:type="pct"/>
                  <w:noWrap w:val="0"/>
                  <w:vAlign w:val="center"/>
                </w:tcPr>
                <w:p w14:paraId="277D4A47">
                  <w:pPr>
                    <w:pStyle w:val="26"/>
                    <w:bidi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PM</w:t>
                  </w:r>
                  <w:r>
                    <w:rPr>
                      <w:rFonts w:hint="default" w:ascii="Times New Roman" w:hAnsi="Times New Roman" w:eastAsia="宋体" w:cs="Times New Roman"/>
                      <w:color w:val="auto"/>
                      <w:sz w:val="22"/>
                      <w:szCs w:val="22"/>
                      <w:vertAlign w:val="subscript"/>
                      <w:lang w:val="en-US" w:eastAsia="zh-CN"/>
                    </w:rPr>
                    <w:t>2.5</w:t>
                  </w:r>
                </w:p>
              </w:tc>
              <w:tc>
                <w:tcPr>
                  <w:tcW w:w="1051" w:type="pct"/>
                  <w:vMerge w:val="continue"/>
                  <w:noWrap w:val="0"/>
                  <w:vAlign w:val="center"/>
                </w:tcPr>
                <w:p w14:paraId="0C078E95">
                  <w:pPr>
                    <w:pStyle w:val="26"/>
                    <w:bidi w:val="0"/>
                    <w:jc w:val="center"/>
                    <w:rPr>
                      <w:rFonts w:hint="default" w:ascii="Times New Roman" w:hAnsi="Times New Roman" w:eastAsia="宋体" w:cs="Times New Roman"/>
                      <w:color w:val="auto"/>
                      <w:sz w:val="22"/>
                      <w:szCs w:val="22"/>
                      <w:lang w:val="en-US" w:eastAsia="zh-CN"/>
                    </w:rPr>
                  </w:pPr>
                </w:p>
              </w:tc>
              <w:tc>
                <w:tcPr>
                  <w:tcW w:w="742" w:type="pct"/>
                  <w:noWrap w:val="0"/>
                  <w:vAlign w:val="center"/>
                </w:tcPr>
                <w:p w14:paraId="0096B3CB">
                  <w:pPr>
                    <w:pStyle w:val="26"/>
                    <w:bidi w:val="0"/>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47</w:t>
                  </w:r>
                </w:p>
              </w:tc>
              <w:tc>
                <w:tcPr>
                  <w:tcW w:w="709" w:type="pct"/>
                  <w:noWrap w:val="0"/>
                  <w:vAlign w:val="center"/>
                </w:tcPr>
                <w:p w14:paraId="3EA2D63B">
                  <w:pPr>
                    <w:pStyle w:val="26"/>
                    <w:bidi w:val="0"/>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35</w:t>
                  </w:r>
                </w:p>
              </w:tc>
              <w:tc>
                <w:tcPr>
                  <w:tcW w:w="815" w:type="pct"/>
                  <w:noWrap w:val="0"/>
                  <w:vAlign w:val="center"/>
                </w:tcPr>
                <w:p w14:paraId="39BCA8EE">
                  <w:pPr>
                    <w:pStyle w:val="26"/>
                    <w:bidi w:val="0"/>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134.3</w:t>
                  </w:r>
                </w:p>
              </w:tc>
              <w:tc>
                <w:tcPr>
                  <w:tcW w:w="815" w:type="pct"/>
                  <w:noWrap w:val="0"/>
                  <w:vAlign w:val="center"/>
                </w:tcPr>
                <w:p w14:paraId="4BFEAE5B">
                  <w:pPr>
                    <w:pStyle w:val="26"/>
                    <w:bidi w:val="0"/>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不</w:t>
                  </w:r>
                  <w:r>
                    <w:rPr>
                      <w:rFonts w:hint="default" w:ascii="Times New Roman" w:hAnsi="Times New Roman" w:eastAsia="宋体" w:cs="Times New Roman"/>
                      <w:color w:val="auto"/>
                      <w:sz w:val="22"/>
                      <w:szCs w:val="22"/>
                      <w:lang w:val="en-US" w:eastAsia="zh-CN"/>
                    </w:rPr>
                    <w:t>达标</w:t>
                  </w:r>
                </w:p>
              </w:tc>
            </w:tr>
            <w:tr w14:paraId="3CA30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65" w:type="pct"/>
                  <w:noWrap w:val="0"/>
                  <w:vAlign w:val="center"/>
                </w:tcPr>
                <w:p w14:paraId="1B89FC17">
                  <w:pPr>
                    <w:pStyle w:val="26"/>
                    <w:bidi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SO</w:t>
                  </w:r>
                  <w:r>
                    <w:rPr>
                      <w:rFonts w:hint="default" w:ascii="Times New Roman" w:hAnsi="Times New Roman" w:eastAsia="宋体" w:cs="Times New Roman"/>
                      <w:color w:val="auto"/>
                      <w:sz w:val="22"/>
                      <w:szCs w:val="22"/>
                      <w:vertAlign w:val="subscript"/>
                      <w:lang w:val="en-US" w:eastAsia="zh-CN"/>
                    </w:rPr>
                    <w:t>2</w:t>
                  </w:r>
                </w:p>
              </w:tc>
              <w:tc>
                <w:tcPr>
                  <w:tcW w:w="1051" w:type="pct"/>
                  <w:vMerge w:val="continue"/>
                  <w:noWrap w:val="0"/>
                  <w:vAlign w:val="center"/>
                </w:tcPr>
                <w:p w14:paraId="4D49993D">
                  <w:pPr>
                    <w:pStyle w:val="26"/>
                    <w:bidi w:val="0"/>
                    <w:jc w:val="center"/>
                    <w:rPr>
                      <w:rFonts w:hint="default" w:ascii="Times New Roman" w:hAnsi="Times New Roman" w:eastAsia="宋体" w:cs="Times New Roman"/>
                      <w:color w:val="auto"/>
                      <w:sz w:val="22"/>
                      <w:szCs w:val="22"/>
                      <w:lang w:val="en-US" w:eastAsia="zh-CN"/>
                    </w:rPr>
                  </w:pPr>
                </w:p>
              </w:tc>
              <w:tc>
                <w:tcPr>
                  <w:tcW w:w="742" w:type="pct"/>
                  <w:noWrap w:val="0"/>
                  <w:vAlign w:val="center"/>
                </w:tcPr>
                <w:p w14:paraId="08072FF2">
                  <w:pPr>
                    <w:pStyle w:val="26"/>
                    <w:bidi w:val="0"/>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10</w:t>
                  </w:r>
                </w:p>
              </w:tc>
              <w:tc>
                <w:tcPr>
                  <w:tcW w:w="709" w:type="pct"/>
                  <w:noWrap w:val="0"/>
                  <w:vAlign w:val="center"/>
                </w:tcPr>
                <w:p w14:paraId="0C725EBE">
                  <w:pPr>
                    <w:pStyle w:val="26"/>
                    <w:bidi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60</w:t>
                  </w:r>
                </w:p>
              </w:tc>
              <w:tc>
                <w:tcPr>
                  <w:tcW w:w="815" w:type="pct"/>
                  <w:noWrap w:val="0"/>
                  <w:vAlign w:val="center"/>
                </w:tcPr>
                <w:p w14:paraId="4A777BEF">
                  <w:pPr>
                    <w:pStyle w:val="26"/>
                    <w:bidi w:val="0"/>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16.7</w:t>
                  </w:r>
                </w:p>
              </w:tc>
              <w:tc>
                <w:tcPr>
                  <w:tcW w:w="815" w:type="pct"/>
                  <w:noWrap w:val="0"/>
                  <w:vAlign w:val="center"/>
                </w:tcPr>
                <w:p w14:paraId="33C2A4D9">
                  <w:pPr>
                    <w:pStyle w:val="26"/>
                    <w:bidi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达标</w:t>
                  </w:r>
                </w:p>
              </w:tc>
            </w:tr>
            <w:tr w14:paraId="01A92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65" w:type="pct"/>
                  <w:noWrap w:val="0"/>
                  <w:vAlign w:val="center"/>
                </w:tcPr>
                <w:p w14:paraId="27752101">
                  <w:pPr>
                    <w:pStyle w:val="26"/>
                    <w:bidi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NO</w:t>
                  </w:r>
                  <w:r>
                    <w:rPr>
                      <w:rFonts w:hint="eastAsia" w:ascii="Times New Roman" w:hAnsi="Times New Roman" w:eastAsia="宋体" w:cs="Times New Roman"/>
                      <w:color w:val="auto"/>
                      <w:sz w:val="22"/>
                      <w:szCs w:val="22"/>
                      <w:vertAlign w:val="subscript"/>
                      <w:lang w:val="en-US" w:eastAsia="zh-CN"/>
                    </w:rPr>
                    <w:t>2</w:t>
                  </w:r>
                </w:p>
              </w:tc>
              <w:tc>
                <w:tcPr>
                  <w:tcW w:w="1051" w:type="pct"/>
                  <w:vMerge w:val="continue"/>
                  <w:noWrap w:val="0"/>
                  <w:vAlign w:val="center"/>
                </w:tcPr>
                <w:p w14:paraId="1A471A2C">
                  <w:pPr>
                    <w:pStyle w:val="26"/>
                    <w:bidi w:val="0"/>
                    <w:jc w:val="center"/>
                    <w:rPr>
                      <w:rFonts w:hint="default" w:ascii="Times New Roman" w:hAnsi="Times New Roman" w:eastAsia="宋体" w:cs="Times New Roman"/>
                      <w:color w:val="auto"/>
                      <w:sz w:val="22"/>
                      <w:szCs w:val="22"/>
                      <w:lang w:val="en-US" w:eastAsia="zh-CN"/>
                    </w:rPr>
                  </w:pPr>
                </w:p>
              </w:tc>
              <w:tc>
                <w:tcPr>
                  <w:tcW w:w="742" w:type="pct"/>
                  <w:noWrap w:val="0"/>
                  <w:vAlign w:val="center"/>
                </w:tcPr>
                <w:p w14:paraId="772EEE88">
                  <w:pPr>
                    <w:pStyle w:val="26"/>
                    <w:bidi w:val="0"/>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26</w:t>
                  </w:r>
                </w:p>
              </w:tc>
              <w:tc>
                <w:tcPr>
                  <w:tcW w:w="709" w:type="pct"/>
                  <w:noWrap w:val="0"/>
                  <w:vAlign w:val="center"/>
                </w:tcPr>
                <w:p w14:paraId="61C0C7AF">
                  <w:pPr>
                    <w:pStyle w:val="26"/>
                    <w:bidi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40</w:t>
                  </w:r>
                </w:p>
              </w:tc>
              <w:tc>
                <w:tcPr>
                  <w:tcW w:w="815" w:type="pct"/>
                  <w:noWrap w:val="0"/>
                  <w:vAlign w:val="center"/>
                </w:tcPr>
                <w:p w14:paraId="3E797EA3">
                  <w:pPr>
                    <w:pStyle w:val="26"/>
                    <w:bidi w:val="0"/>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65</w:t>
                  </w:r>
                </w:p>
              </w:tc>
              <w:tc>
                <w:tcPr>
                  <w:tcW w:w="815" w:type="pct"/>
                  <w:noWrap w:val="0"/>
                  <w:vAlign w:val="center"/>
                </w:tcPr>
                <w:p w14:paraId="14786387">
                  <w:pPr>
                    <w:pStyle w:val="26"/>
                    <w:bidi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达标</w:t>
                  </w:r>
                </w:p>
              </w:tc>
            </w:tr>
            <w:tr w14:paraId="2E54E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noWrap w:val="0"/>
                  <w:vAlign w:val="center"/>
                </w:tcPr>
                <w:p w14:paraId="5CAB8530">
                  <w:pPr>
                    <w:pStyle w:val="26"/>
                    <w:bidi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O</w:t>
                  </w:r>
                  <w:r>
                    <w:rPr>
                      <w:rFonts w:hint="default" w:ascii="Times New Roman" w:hAnsi="Times New Roman" w:eastAsia="宋体" w:cs="Times New Roman"/>
                      <w:color w:val="auto"/>
                      <w:sz w:val="22"/>
                      <w:szCs w:val="22"/>
                      <w:vertAlign w:val="subscript"/>
                      <w:lang w:val="en-US" w:eastAsia="zh-CN"/>
                    </w:rPr>
                    <w:t>3</w:t>
                  </w:r>
                </w:p>
              </w:tc>
              <w:tc>
                <w:tcPr>
                  <w:tcW w:w="1051" w:type="pct"/>
                  <w:noWrap w:val="0"/>
                  <w:vAlign w:val="center"/>
                </w:tcPr>
                <w:p w14:paraId="7A5CA5B7">
                  <w:pPr>
                    <w:pStyle w:val="26"/>
                    <w:bidi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第90百分位数日最大8h平均浓度</w:t>
                  </w:r>
                </w:p>
              </w:tc>
              <w:tc>
                <w:tcPr>
                  <w:tcW w:w="742" w:type="pct"/>
                  <w:noWrap w:val="0"/>
                  <w:vAlign w:val="center"/>
                </w:tcPr>
                <w:p w14:paraId="1420BD0F">
                  <w:pPr>
                    <w:pStyle w:val="26"/>
                    <w:bidi w:val="0"/>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158</w:t>
                  </w:r>
                </w:p>
              </w:tc>
              <w:tc>
                <w:tcPr>
                  <w:tcW w:w="709" w:type="pct"/>
                  <w:noWrap w:val="0"/>
                  <w:vAlign w:val="center"/>
                </w:tcPr>
                <w:p w14:paraId="4C4A4A3B">
                  <w:pPr>
                    <w:pStyle w:val="26"/>
                    <w:bidi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160</w:t>
                  </w:r>
                </w:p>
              </w:tc>
              <w:tc>
                <w:tcPr>
                  <w:tcW w:w="815" w:type="pct"/>
                  <w:noWrap w:val="0"/>
                  <w:vAlign w:val="center"/>
                </w:tcPr>
                <w:p w14:paraId="7C515634">
                  <w:pPr>
                    <w:pStyle w:val="26"/>
                    <w:bidi w:val="0"/>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98.8</w:t>
                  </w:r>
                </w:p>
              </w:tc>
              <w:tc>
                <w:tcPr>
                  <w:tcW w:w="815" w:type="pct"/>
                  <w:noWrap w:val="0"/>
                  <w:vAlign w:val="center"/>
                </w:tcPr>
                <w:p w14:paraId="2E74B4C9">
                  <w:pPr>
                    <w:pStyle w:val="26"/>
                    <w:bidi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达标</w:t>
                  </w:r>
                </w:p>
              </w:tc>
            </w:tr>
            <w:tr w14:paraId="04353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noWrap w:val="0"/>
                  <w:vAlign w:val="center"/>
                </w:tcPr>
                <w:p w14:paraId="2DBEDEC5">
                  <w:pPr>
                    <w:pStyle w:val="26"/>
                    <w:bidi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CO</w:t>
                  </w:r>
                  <w:r>
                    <w:rPr>
                      <w:rFonts w:hint="eastAsia" w:cs="Times New Roman"/>
                      <w:color w:val="auto"/>
                      <w:sz w:val="22"/>
                      <w:szCs w:val="22"/>
                      <w:lang w:val="en-US" w:eastAsia="zh-CN"/>
                    </w:rPr>
                    <w:t>(</w:t>
                  </w:r>
                  <w:r>
                    <w:rPr>
                      <w:rFonts w:hint="default" w:ascii="Times New Roman" w:hAnsi="Times New Roman" w:eastAsia="宋体" w:cs="Times New Roman"/>
                      <w:color w:val="auto"/>
                      <w:sz w:val="22"/>
                      <w:szCs w:val="22"/>
                      <w:lang w:val="en-US" w:eastAsia="zh-CN"/>
                    </w:rPr>
                    <w:t>mg/m</w:t>
                  </w:r>
                  <w:r>
                    <w:rPr>
                      <w:rFonts w:hint="default" w:ascii="Times New Roman" w:hAnsi="Times New Roman" w:eastAsia="宋体" w:cs="Times New Roman"/>
                      <w:color w:val="auto"/>
                      <w:sz w:val="22"/>
                      <w:szCs w:val="22"/>
                      <w:vertAlign w:val="superscript"/>
                      <w:lang w:val="en-US" w:eastAsia="zh-CN"/>
                    </w:rPr>
                    <w:t>3</w:t>
                  </w:r>
                  <w:r>
                    <w:rPr>
                      <w:rFonts w:hint="eastAsia" w:cs="Times New Roman"/>
                      <w:color w:val="auto"/>
                      <w:sz w:val="22"/>
                      <w:szCs w:val="22"/>
                      <w:vertAlign w:val="baseline"/>
                      <w:lang w:val="en-US" w:eastAsia="zh-CN"/>
                    </w:rPr>
                    <w:t>)</w:t>
                  </w:r>
                </w:p>
              </w:tc>
              <w:tc>
                <w:tcPr>
                  <w:tcW w:w="1051" w:type="pct"/>
                  <w:noWrap w:val="0"/>
                  <w:vAlign w:val="center"/>
                </w:tcPr>
                <w:p w14:paraId="03F854F3">
                  <w:pPr>
                    <w:pStyle w:val="26"/>
                    <w:bidi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第95百分位数的日均浓度</w:t>
                  </w:r>
                </w:p>
              </w:tc>
              <w:tc>
                <w:tcPr>
                  <w:tcW w:w="742" w:type="pct"/>
                  <w:noWrap w:val="0"/>
                  <w:vAlign w:val="center"/>
                </w:tcPr>
                <w:p w14:paraId="02DCD8C1">
                  <w:pPr>
                    <w:pStyle w:val="26"/>
                    <w:bidi w:val="0"/>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1</w:t>
                  </w:r>
                </w:p>
              </w:tc>
              <w:tc>
                <w:tcPr>
                  <w:tcW w:w="709" w:type="pct"/>
                  <w:noWrap w:val="0"/>
                  <w:vAlign w:val="center"/>
                </w:tcPr>
                <w:p w14:paraId="1FE7C5C0">
                  <w:pPr>
                    <w:pStyle w:val="26"/>
                    <w:bidi w:val="0"/>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4</w:t>
                  </w:r>
                </w:p>
              </w:tc>
              <w:tc>
                <w:tcPr>
                  <w:tcW w:w="815" w:type="pct"/>
                  <w:noWrap w:val="0"/>
                  <w:vAlign w:val="center"/>
                </w:tcPr>
                <w:p w14:paraId="2E94B587">
                  <w:pPr>
                    <w:pStyle w:val="26"/>
                    <w:bidi w:val="0"/>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25</w:t>
                  </w:r>
                </w:p>
              </w:tc>
              <w:tc>
                <w:tcPr>
                  <w:tcW w:w="815" w:type="pct"/>
                  <w:noWrap w:val="0"/>
                  <w:vAlign w:val="center"/>
                </w:tcPr>
                <w:p w14:paraId="7D90DDF3">
                  <w:pPr>
                    <w:pStyle w:val="26"/>
                    <w:bidi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达标</w:t>
                  </w:r>
                </w:p>
              </w:tc>
            </w:tr>
          </w:tbl>
          <w:p w14:paraId="3C2EC3CE">
            <w:pPr>
              <w:bidi w:val="0"/>
              <w:rPr>
                <w:rFonts w:hint="eastAsia"/>
                <w:color w:val="auto"/>
                <w:lang w:val="en-US" w:eastAsia="zh-CN"/>
              </w:rPr>
            </w:pPr>
          </w:p>
          <w:p w14:paraId="2869CE02">
            <w:pPr>
              <w:pStyle w:val="8"/>
              <w:rPr>
                <w:rFonts w:hint="default"/>
                <w:color w:val="auto"/>
                <w:sz w:val="26"/>
                <w:szCs w:val="26"/>
                <w:lang w:val="en-US" w:eastAsia="zh-CN"/>
              </w:rPr>
            </w:pPr>
            <w:r>
              <w:rPr>
                <w:rFonts w:hint="eastAsia"/>
                <w:color w:val="auto"/>
                <w:sz w:val="26"/>
                <w:szCs w:val="26"/>
                <w:lang w:val="en-US" w:eastAsia="zh-CN"/>
              </w:rPr>
              <w:t>根据表3.1-1可知，区域</w:t>
            </w:r>
            <w:r>
              <w:rPr>
                <w:rFonts w:hint="default" w:ascii="Times New Roman" w:hAnsi="Times New Roman" w:eastAsia="宋体" w:cs="Times New Roman"/>
                <w:color w:val="auto"/>
                <w:sz w:val="26"/>
                <w:szCs w:val="26"/>
                <w:lang w:val="en-US" w:eastAsia="zh-CN"/>
              </w:rPr>
              <w:t>PM</w:t>
            </w:r>
            <w:r>
              <w:rPr>
                <w:rFonts w:hint="default" w:ascii="Times New Roman" w:hAnsi="Times New Roman" w:eastAsia="宋体" w:cs="Times New Roman"/>
                <w:color w:val="auto"/>
                <w:sz w:val="26"/>
                <w:szCs w:val="26"/>
                <w:vertAlign w:val="subscript"/>
                <w:lang w:val="en-US" w:eastAsia="zh-CN"/>
              </w:rPr>
              <w:t>2.5</w:t>
            </w:r>
            <w:r>
              <w:rPr>
                <w:rFonts w:hint="eastAsia" w:cs="Times New Roman"/>
                <w:color w:val="auto"/>
                <w:sz w:val="26"/>
                <w:szCs w:val="26"/>
                <w:vertAlign w:val="baseline"/>
                <w:lang w:val="en-US" w:eastAsia="zh-CN"/>
              </w:rPr>
              <w:t>不</w:t>
            </w:r>
            <w:r>
              <w:rPr>
                <w:rFonts w:hint="eastAsia"/>
                <w:color w:val="auto"/>
                <w:sz w:val="26"/>
                <w:szCs w:val="26"/>
                <w:lang w:val="en-US" w:eastAsia="zh-CN"/>
              </w:rPr>
              <w:t>满足环境空气质量标准，</w:t>
            </w:r>
            <w:r>
              <w:rPr>
                <w:rFonts w:hint="default"/>
                <w:color w:val="auto"/>
                <w:sz w:val="26"/>
                <w:szCs w:val="26"/>
                <w:lang w:val="en-US" w:eastAsia="zh-CN"/>
              </w:rPr>
              <w:t>其余因子均满足相应标准要求，</w:t>
            </w:r>
            <w:r>
              <w:rPr>
                <w:rFonts w:hint="eastAsia"/>
                <w:color w:val="auto"/>
                <w:sz w:val="26"/>
                <w:szCs w:val="26"/>
                <w:lang w:val="en-US" w:eastAsia="zh-CN"/>
              </w:rPr>
              <w:t>项目所在</w:t>
            </w:r>
            <w:r>
              <w:rPr>
                <w:rFonts w:hint="default"/>
                <w:color w:val="auto"/>
                <w:sz w:val="26"/>
                <w:szCs w:val="26"/>
                <w:lang w:val="en-US" w:eastAsia="zh-CN"/>
              </w:rPr>
              <w:t>区域</w:t>
            </w:r>
            <w:r>
              <w:rPr>
                <w:rFonts w:hint="eastAsia"/>
                <w:color w:val="auto"/>
                <w:sz w:val="26"/>
                <w:szCs w:val="26"/>
                <w:lang w:val="en-US" w:eastAsia="zh-CN"/>
              </w:rPr>
              <w:t>属</w:t>
            </w:r>
            <w:r>
              <w:rPr>
                <w:rFonts w:hint="default"/>
                <w:color w:val="auto"/>
                <w:sz w:val="26"/>
                <w:szCs w:val="26"/>
                <w:lang w:val="en-US" w:eastAsia="zh-CN"/>
              </w:rPr>
              <w:t>不达标</w:t>
            </w:r>
            <w:r>
              <w:rPr>
                <w:rFonts w:hint="eastAsia"/>
                <w:color w:val="auto"/>
                <w:sz w:val="26"/>
                <w:szCs w:val="26"/>
                <w:lang w:val="en-US" w:eastAsia="zh-CN"/>
              </w:rPr>
              <w:t>区</w:t>
            </w:r>
            <w:r>
              <w:rPr>
                <w:rFonts w:hint="default"/>
                <w:color w:val="auto"/>
                <w:sz w:val="26"/>
                <w:szCs w:val="26"/>
                <w:lang w:val="en-US" w:eastAsia="zh-CN"/>
              </w:rPr>
              <w:t>。</w:t>
            </w:r>
          </w:p>
          <w:p w14:paraId="21E23644">
            <w:pPr>
              <w:pageBreakBefore w:val="0"/>
              <w:widowControl w:val="0"/>
              <w:kinsoku/>
              <w:wordWrap/>
              <w:overflowPunct/>
              <w:topLinePunct w:val="0"/>
              <w:autoSpaceDE/>
              <w:autoSpaceDN/>
              <w:bidi w:val="0"/>
              <w:adjustRightInd/>
              <w:snapToGrid/>
              <w:spacing w:line="460" w:lineRule="exact"/>
              <w:textAlignment w:val="auto"/>
              <w:rPr>
                <w:rFonts w:hint="eastAsia"/>
                <w:color w:val="auto"/>
                <w:sz w:val="26"/>
                <w:szCs w:val="26"/>
                <w:lang w:val="en-US" w:eastAsia="zh-CN"/>
              </w:rPr>
            </w:pPr>
            <w:r>
              <w:rPr>
                <w:rFonts w:hint="default"/>
                <w:color w:val="auto"/>
                <w:sz w:val="26"/>
                <w:szCs w:val="26"/>
                <w:lang w:val="en-US" w:eastAsia="zh-CN"/>
              </w:rPr>
              <w:t>根据《合川区</w:t>
            </w:r>
            <w:r>
              <w:rPr>
                <w:rFonts w:hint="eastAsia"/>
                <w:color w:val="auto"/>
                <w:sz w:val="26"/>
                <w:szCs w:val="26"/>
                <w:lang w:val="en-US" w:eastAsia="zh-CN"/>
              </w:rPr>
              <w:t>生态环境保护“十四五”规划（2021—2025年）</w:t>
            </w:r>
            <w:r>
              <w:rPr>
                <w:rFonts w:hint="default"/>
                <w:color w:val="auto"/>
                <w:sz w:val="26"/>
                <w:szCs w:val="26"/>
                <w:lang w:val="en-US" w:eastAsia="zh-CN"/>
              </w:rPr>
              <w:t>》中</w:t>
            </w:r>
            <w:r>
              <w:rPr>
                <w:rFonts w:hint="eastAsia"/>
                <w:color w:val="auto"/>
                <w:sz w:val="26"/>
                <w:szCs w:val="26"/>
                <w:lang w:val="en-US" w:eastAsia="zh-CN"/>
              </w:rPr>
              <w:t>“五、深入打好污染防治攻坚战，实现生态环境质量持续改善（一）精准施策改善空气环境质量”</w:t>
            </w:r>
            <w:r>
              <w:rPr>
                <w:rFonts w:hint="default"/>
                <w:color w:val="auto"/>
                <w:sz w:val="26"/>
                <w:szCs w:val="26"/>
                <w:lang w:val="en-US" w:eastAsia="zh-CN"/>
              </w:rPr>
              <w:t>明确减缓的方案如下</w:t>
            </w:r>
            <w:r>
              <w:rPr>
                <w:rFonts w:hint="eastAsia"/>
                <w:color w:val="auto"/>
                <w:sz w:val="26"/>
                <w:szCs w:val="26"/>
                <w:lang w:val="en-US" w:eastAsia="zh-CN"/>
              </w:rPr>
              <w:t>：</w:t>
            </w:r>
          </w:p>
          <w:p w14:paraId="2BD68E03">
            <w:pPr>
              <w:pageBreakBefore w:val="0"/>
              <w:widowControl w:val="0"/>
              <w:kinsoku/>
              <w:wordWrap/>
              <w:overflowPunct/>
              <w:topLinePunct w:val="0"/>
              <w:autoSpaceDE/>
              <w:autoSpaceDN/>
              <w:bidi w:val="0"/>
              <w:adjustRightInd/>
              <w:snapToGrid/>
              <w:spacing w:line="460" w:lineRule="exact"/>
              <w:textAlignment w:val="auto"/>
              <w:rPr>
                <w:rFonts w:hint="default"/>
                <w:color w:val="auto"/>
                <w:sz w:val="26"/>
                <w:szCs w:val="26"/>
                <w:lang w:val="en-US" w:eastAsia="zh-CN"/>
              </w:rPr>
            </w:pPr>
            <w:r>
              <w:rPr>
                <w:rFonts w:hint="eastAsia"/>
                <w:color w:val="auto"/>
                <w:sz w:val="26"/>
                <w:szCs w:val="26"/>
                <w:lang w:val="en-US" w:eastAsia="zh-CN"/>
              </w:rPr>
              <w:t>①</w:t>
            </w:r>
            <w:r>
              <w:rPr>
                <w:rFonts w:hint="default"/>
                <w:color w:val="auto"/>
                <w:sz w:val="26"/>
                <w:szCs w:val="26"/>
                <w:lang w:val="en-US" w:eastAsia="zh-CN"/>
              </w:rPr>
              <w:t>强化大气环境空间管控和约束。按照《重庆市合川区人民政府关于印发合川区大气污染防治工作任务考核办法（试行）的通知》要求，结合“三线一单”和环境空气质量功能区划，将全区划分为大气污染防治重点控制区和一般控制区。重点控制区内的产业布局方案应根据大气环境承载力和输送规律合理制定，形成有利于大气污染物扩散的城市空间格局。</w:t>
            </w:r>
          </w:p>
          <w:p w14:paraId="6877BACB">
            <w:pPr>
              <w:pageBreakBefore w:val="0"/>
              <w:widowControl w:val="0"/>
              <w:kinsoku/>
              <w:wordWrap/>
              <w:overflowPunct/>
              <w:topLinePunct w:val="0"/>
              <w:autoSpaceDE/>
              <w:autoSpaceDN/>
              <w:bidi w:val="0"/>
              <w:adjustRightInd/>
              <w:snapToGrid/>
              <w:spacing w:line="460" w:lineRule="exact"/>
              <w:textAlignment w:val="auto"/>
              <w:rPr>
                <w:rFonts w:hint="eastAsia"/>
                <w:color w:val="auto"/>
                <w:sz w:val="26"/>
                <w:szCs w:val="26"/>
                <w:lang w:val="en-US" w:eastAsia="zh-CN"/>
              </w:rPr>
            </w:pPr>
            <w:r>
              <w:rPr>
                <w:rFonts w:hint="eastAsia"/>
                <w:color w:val="auto"/>
                <w:sz w:val="26"/>
                <w:szCs w:val="26"/>
                <w:lang w:val="en-US" w:eastAsia="zh-CN"/>
              </w:rPr>
              <w:t>②加大工业废气综合治理力度。严格执行大气污染物特别排放限值，全面开展挥发性有机物治理，深化重点行业挥发性有机物摸查，持续开展挥发性有机物排放企业专项整治，加大重点行业、重点企业VOCs全过程污染治理整治，鼓励区内挥发性有机物企业安装在线监测监控和工况监测设施，并接入环保物联网系统。严格落实VOCs含量限制标准，大力推进低（无）VOCs原辅材料替代，将生产和使用高VOCs含量产品的企业列入强制性清洁生产审核名单。化污染企业台账管理，台账保存期限不少于三年。加强污染源监督监测。</w:t>
            </w:r>
          </w:p>
          <w:p w14:paraId="51E3F61E">
            <w:pPr>
              <w:pageBreakBefore w:val="0"/>
              <w:widowControl w:val="0"/>
              <w:kinsoku/>
              <w:wordWrap/>
              <w:overflowPunct/>
              <w:topLinePunct w:val="0"/>
              <w:autoSpaceDE/>
              <w:autoSpaceDN/>
              <w:bidi w:val="0"/>
              <w:adjustRightInd/>
              <w:snapToGrid/>
              <w:spacing w:line="460" w:lineRule="exact"/>
              <w:textAlignment w:val="auto"/>
              <w:rPr>
                <w:rFonts w:hint="eastAsia"/>
                <w:color w:val="auto"/>
                <w:sz w:val="26"/>
                <w:szCs w:val="26"/>
                <w:lang w:val="en-US" w:eastAsia="zh-CN"/>
              </w:rPr>
            </w:pPr>
            <w:r>
              <w:rPr>
                <w:rFonts w:hint="eastAsia"/>
                <w:color w:val="auto"/>
                <w:sz w:val="26"/>
                <w:szCs w:val="26"/>
                <w:lang w:val="en-US" w:eastAsia="zh-CN"/>
              </w:rPr>
              <w:t>③全面控制交通污染。加快优化调整交通运输结构，构建以电气化铁路、清洁船舶为主的中长途客货运，以低排放车、新能源车为主的短途客货运体系。</w:t>
            </w:r>
          </w:p>
          <w:p w14:paraId="66AA82F1">
            <w:pPr>
              <w:pageBreakBefore w:val="0"/>
              <w:widowControl w:val="0"/>
              <w:kinsoku/>
              <w:wordWrap/>
              <w:overflowPunct/>
              <w:topLinePunct w:val="0"/>
              <w:autoSpaceDE/>
              <w:autoSpaceDN/>
              <w:bidi w:val="0"/>
              <w:adjustRightInd/>
              <w:snapToGrid/>
              <w:spacing w:line="460" w:lineRule="exact"/>
              <w:textAlignment w:val="auto"/>
              <w:rPr>
                <w:rFonts w:hint="eastAsia"/>
                <w:color w:val="auto"/>
                <w:sz w:val="26"/>
                <w:szCs w:val="26"/>
                <w:lang w:val="en-US" w:eastAsia="zh-CN"/>
              </w:rPr>
            </w:pPr>
            <w:r>
              <w:rPr>
                <w:rFonts w:hint="eastAsia"/>
                <w:color w:val="auto"/>
                <w:sz w:val="26"/>
                <w:szCs w:val="26"/>
                <w:lang w:val="en-US" w:eastAsia="zh-CN"/>
              </w:rPr>
              <w:t>④有效防治扬尘污染。严格施工扬尘管理，建筑面积8万平方米以上工地全部安装扬尘在线监测系统并联网，落实施工扬尘控制“十项规定”和“红黄绿”名单分级管理制度，开展扬尘控制示范工地和扬尘控制示范区建设和评比，力争每年创建（巩固）10个以上扬尘控制示范工地。</w:t>
            </w:r>
          </w:p>
          <w:p w14:paraId="6DEC7C4A">
            <w:pPr>
              <w:pageBreakBefore w:val="0"/>
              <w:widowControl w:val="0"/>
              <w:kinsoku/>
              <w:wordWrap/>
              <w:overflowPunct/>
              <w:topLinePunct w:val="0"/>
              <w:autoSpaceDE/>
              <w:autoSpaceDN/>
              <w:bidi w:val="0"/>
              <w:adjustRightInd/>
              <w:snapToGrid/>
              <w:spacing w:line="460" w:lineRule="exact"/>
              <w:textAlignment w:val="auto"/>
              <w:rPr>
                <w:rFonts w:hint="eastAsia"/>
                <w:color w:val="auto"/>
                <w:sz w:val="26"/>
                <w:szCs w:val="26"/>
                <w:lang w:val="en-US" w:eastAsia="zh-CN"/>
              </w:rPr>
            </w:pPr>
            <w:r>
              <w:rPr>
                <w:rFonts w:hint="eastAsia"/>
                <w:color w:val="auto"/>
                <w:sz w:val="26"/>
                <w:szCs w:val="26"/>
                <w:lang w:val="en-US" w:eastAsia="zh-CN"/>
              </w:rPr>
              <w:t>⑤深化生活污染治理。巩固扩大高污染燃料禁燃区，推进城市近郊区划入禁燃区，严格执行高污染燃料目录并定期组织开展联合执法，禁止燃烧高污染燃料。</w:t>
            </w:r>
          </w:p>
          <w:p w14:paraId="1E385CA7">
            <w:pPr>
              <w:pageBreakBefore w:val="0"/>
              <w:widowControl w:val="0"/>
              <w:kinsoku/>
              <w:wordWrap/>
              <w:overflowPunct/>
              <w:topLinePunct w:val="0"/>
              <w:autoSpaceDE/>
              <w:autoSpaceDN/>
              <w:bidi w:val="0"/>
              <w:adjustRightInd/>
              <w:snapToGrid/>
              <w:spacing w:line="460" w:lineRule="exact"/>
              <w:textAlignment w:val="auto"/>
              <w:rPr>
                <w:rFonts w:hint="eastAsia"/>
                <w:color w:val="auto"/>
                <w:sz w:val="26"/>
                <w:szCs w:val="26"/>
                <w:lang w:val="en-US" w:eastAsia="zh-CN"/>
              </w:rPr>
            </w:pPr>
            <w:r>
              <w:rPr>
                <w:rFonts w:hint="eastAsia"/>
                <w:color w:val="auto"/>
                <w:sz w:val="26"/>
                <w:szCs w:val="26"/>
                <w:lang w:val="en-US" w:eastAsia="zh-CN"/>
              </w:rPr>
              <w:t>⑥加强区域大气污染协作防治。深化开展部门联动、区域联动，建设合川区区级部门联动机制，深化与周边区县合作，形成区县之间、部门之间大气污染防治联防联控、重大项目会商、大气污染预警应急与联合执法、信息共享与交互等机制化常态化运行，协调共同解决颗粒物、臭氧污染等区域大气污染突出问题。</w:t>
            </w:r>
          </w:p>
          <w:p w14:paraId="2D04E92F">
            <w:pPr>
              <w:pageBreakBefore w:val="0"/>
              <w:widowControl w:val="0"/>
              <w:kinsoku/>
              <w:wordWrap/>
              <w:overflowPunct/>
              <w:topLinePunct w:val="0"/>
              <w:autoSpaceDE/>
              <w:autoSpaceDN/>
              <w:bidi w:val="0"/>
              <w:adjustRightInd/>
              <w:snapToGrid/>
              <w:spacing w:line="460" w:lineRule="exact"/>
              <w:textAlignment w:val="auto"/>
              <w:rPr>
                <w:rFonts w:hint="default"/>
                <w:color w:val="auto"/>
                <w:sz w:val="26"/>
                <w:szCs w:val="26"/>
                <w:lang w:val="en-US" w:eastAsia="zh-CN"/>
              </w:rPr>
            </w:pPr>
            <w:r>
              <w:rPr>
                <w:rFonts w:hint="default"/>
                <w:color w:val="auto"/>
                <w:sz w:val="26"/>
                <w:szCs w:val="26"/>
                <w:lang w:val="en-US" w:eastAsia="zh-CN"/>
              </w:rPr>
              <w:t>在</w:t>
            </w:r>
            <w:r>
              <w:rPr>
                <w:rFonts w:hint="eastAsia"/>
                <w:color w:val="auto"/>
                <w:sz w:val="26"/>
                <w:szCs w:val="26"/>
                <w:lang w:val="en-US" w:eastAsia="zh-CN"/>
              </w:rPr>
              <w:t>合川</w:t>
            </w:r>
            <w:r>
              <w:rPr>
                <w:rFonts w:hint="default"/>
                <w:color w:val="auto"/>
                <w:sz w:val="26"/>
                <w:szCs w:val="26"/>
                <w:lang w:val="en-US" w:eastAsia="zh-CN"/>
              </w:rPr>
              <w:t>区执行相应的整治措施后，可改善区域环境质量达标情况。</w:t>
            </w:r>
          </w:p>
          <w:p w14:paraId="1B5B0E7E">
            <w:pPr>
              <w:pStyle w:val="4"/>
              <w:pageBreakBefore w:val="0"/>
              <w:widowControl w:val="0"/>
              <w:kinsoku/>
              <w:wordWrap/>
              <w:overflowPunct/>
              <w:topLinePunct w:val="0"/>
              <w:autoSpaceDE/>
              <w:autoSpaceDN/>
              <w:bidi w:val="0"/>
              <w:adjustRightInd/>
              <w:snapToGrid/>
              <w:spacing w:beforeLines="0" w:afterLines="0" w:line="460" w:lineRule="exact"/>
              <w:textAlignment w:val="auto"/>
              <w:rPr>
                <w:rFonts w:hint="default"/>
                <w:color w:val="auto"/>
                <w:sz w:val="26"/>
                <w:szCs w:val="26"/>
                <w:lang w:val="en-US" w:eastAsia="zh-CN"/>
              </w:rPr>
            </w:pPr>
            <w:r>
              <w:rPr>
                <w:rFonts w:hint="default"/>
                <w:color w:val="auto"/>
                <w:sz w:val="26"/>
                <w:szCs w:val="26"/>
                <w:lang w:val="en-US" w:eastAsia="zh-CN"/>
              </w:rPr>
              <w:t>3.</w:t>
            </w:r>
            <w:r>
              <w:rPr>
                <w:rFonts w:hint="eastAsia"/>
                <w:color w:val="auto"/>
                <w:sz w:val="26"/>
                <w:szCs w:val="26"/>
                <w:lang w:val="en-US" w:eastAsia="zh-CN"/>
              </w:rPr>
              <w:t>1.2</w:t>
            </w:r>
            <w:r>
              <w:rPr>
                <w:rFonts w:hint="default"/>
                <w:color w:val="auto"/>
                <w:sz w:val="26"/>
                <w:szCs w:val="26"/>
                <w:lang w:val="en-US" w:eastAsia="zh-CN"/>
              </w:rPr>
              <w:t>地表水环境质量现状</w:t>
            </w:r>
          </w:p>
          <w:p w14:paraId="253AA097">
            <w:pPr>
              <w:pageBreakBefore w:val="0"/>
              <w:widowControl w:val="0"/>
              <w:kinsoku/>
              <w:wordWrap/>
              <w:overflowPunct/>
              <w:topLinePunct w:val="0"/>
              <w:autoSpaceDE/>
              <w:autoSpaceDN/>
              <w:bidi w:val="0"/>
              <w:adjustRightInd/>
              <w:snapToGrid/>
              <w:spacing w:line="460" w:lineRule="exact"/>
              <w:textAlignment w:val="auto"/>
              <w:rPr>
                <w:rFonts w:hint="default"/>
                <w:color w:val="auto"/>
                <w:sz w:val="26"/>
                <w:szCs w:val="26"/>
                <w:lang w:val="en-US" w:eastAsia="zh-CN"/>
              </w:rPr>
            </w:pPr>
            <w:r>
              <w:rPr>
                <w:rFonts w:hint="default"/>
                <w:color w:val="auto"/>
                <w:sz w:val="26"/>
                <w:szCs w:val="26"/>
                <w:lang w:val="en-US" w:eastAsia="zh-CN"/>
              </w:rPr>
              <w:t>本项目产生的</w:t>
            </w:r>
            <w:r>
              <w:rPr>
                <w:rFonts w:hint="eastAsia"/>
                <w:color w:val="auto"/>
                <w:sz w:val="26"/>
                <w:szCs w:val="26"/>
                <w:lang w:val="en-US" w:eastAsia="zh-CN"/>
              </w:rPr>
              <w:t>生活污水经处理</w:t>
            </w:r>
            <w:r>
              <w:rPr>
                <w:rFonts w:hint="default"/>
                <w:color w:val="auto"/>
                <w:sz w:val="26"/>
                <w:szCs w:val="26"/>
                <w:lang w:val="en-US" w:eastAsia="zh-CN"/>
              </w:rPr>
              <w:t>达《污水综合排放标准》（GB8978-1996）三级标准后排入</w:t>
            </w:r>
            <w:r>
              <w:rPr>
                <w:rFonts w:hint="eastAsia"/>
                <w:color w:val="auto"/>
                <w:sz w:val="26"/>
                <w:szCs w:val="26"/>
                <w:lang w:val="en-US" w:eastAsia="zh-CN"/>
              </w:rPr>
              <w:t>园区</w:t>
            </w:r>
            <w:r>
              <w:rPr>
                <w:rFonts w:hint="default"/>
                <w:color w:val="auto"/>
                <w:sz w:val="26"/>
                <w:szCs w:val="26"/>
                <w:lang w:val="en-US" w:eastAsia="zh-CN"/>
              </w:rPr>
              <w:t>市政污水管网，进入</w:t>
            </w:r>
            <w:r>
              <w:rPr>
                <w:rFonts w:hint="eastAsia"/>
                <w:color w:val="auto"/>
                <w:sz w:val="26"/>
                <w:szCs w:val="26"/>
                <w:lang w:val="en-US" w:eastAsia="zh-CN"/>
              </w:rPr>
              <w:t>农创园污水处理厂</w:t>
            </w:r>
            <w:r>
              <w:rPr>
                <w:rFonts w:hint="default"/>
                <w:color w:val="auto"/>
                <w:sz w:val="26"/>
                <w:szCs w:val="26"/>
                <w:lang w:val="en-US" w:eastAsia="zh-CN"/>
              </w:rPr>
              <w:t>处理达《城镇污水处理厂污染物排放标准》（GB18918-2002）一级B标准后排入嘉陵江。</w:t>
            </w:r>
          </w:p>
          <w:p w14:paraId="146C90B3">
            <w:pPr>
              <w:pageBreakBefore w:val="0"/>
              <w:widowControl w:val="0"/>
              <w:kinsoku/>
              <w:wordWrap/>
              <w:overflowPunct/>
              <w:topLinePunct w:val="0"/>
              <w:autoSpaceDE/>
              <w:autoSpaceDN/>
              <w:bidi w:val="0"/>
              <w:adjustRightInd/>
              <w:snapToGrid/>
              <w:spacing w:line="460" w:lineRule="exact"/>
              <w:textAlignment w:val="auto"/>
              <w:rPr>
                <w:rFonts w:hint="default"/>
                <w:color w:val="auto"/>
                <w:sz w:val="26"/>
                <w:szCs w:val="26"/>
                <w:lang w:val="en-US" w:eastAsia="zh-CN"/>
              </w:rPr>
            </w:pPr>
            <w:r>
              <w:rPr>
                <w:rFonts w:hint="default"/>
                <w:color w:val="auto"/>
                <w:sz w:val="26"/>
                <w:szCs w:val="26"/>
                <w:lang w:val="en-US" w:eastAsia="zh-CN"/>
              </w:rPr>
              <w:t>根据政府网站发布的</w:t>
            </w:r>
            <w:r>
              <w:rPr>
                <w:rFonts w:hint="eastAsia"/>
                <w:color w:val="auto"/>
                <w:sz w:val="26"/>
                <w:szCs w:val="26"/>
                <w:lang w:val="en-US" w:eastAsia="zh-CN"/>
              </w:rPr>
              <w:t>“</w:t>
            </w:r>
            <w:r>
              <w:rPr>
                <w:rFonts w:hint="default"/>
                <w:color w:val="auto"/>
                <w:sz w:val="26"/>
                <w:szCs w:val="26"/>
                <w:lang w:val="en-US" w:eastAsia="zh-CN"/>
              </w:rPr>
              <w:t>202</w:t>
            </w:r>
            <w:r>
              <w:rPr>
                <w:rFonts w:hint="eastAsia"/>
                <w:color w:val="auto"/>
                <w:sz w:val="26"/>
                <w:szCs w:val="26"/>
                <w:lang w:val="en-US" w:eastAsia="zh-CN"/>
              </w:rPr>
              <w:t>4</w:t>
            </w:r>
            <w:r>
              <w:rPr>
                <w:rFonts w:hint="default"/>
                <w:color w:val="auto"/>
                <w:sz w:val="26"/>
                <w:szCs w:val="26"/>
                <w:lang w:val="en-US" w:eastAsia="zh-CN"/>
              </w:rPr>
              <w:t>年</w:t>
            </w:r>
            <w:r>
              <w:rPr>
                <w:rFonts w:hint="eastAsia"/>
                <w:color w:val="auto"/>
                <w:sz w:val="26"/>
                <w:szCs w:val="26"/>
                <w:lang w:val="en-US" w:eastAsia="zh-CN"/>
              </w:rPr>
              <w:t>11</w:t>
            </w:r>
            <w:r>
              <w:rPr>
                <w:rFonts w:hint="default"/>
                <w:color w:val="auto"/>
                <w:sz w:val="26"/>
                <w:szCs w:val="26"/>
                <w:lang w:val="en-US" w:eastAsia="zh-CN"/>
              </w:rPr>
              <w:t>月合川区水环境质量状况</w:t>
            </w:r>
            <w:r>
              <w:rPr>
                <w:rFonts w:hint="eastAsia"/>
                <w:color w:val="auto"/>
                <w:sz w:val="26"/>
                <w:szCs w:val="26"/>
                <w:lang w:val="en-US" w:eastAsia="zh-CN"/>
              </w:rPr>
              <w:t>”</w:t>
            </w:r>
            <w:r>
              <w:rPr>
                <w:rFonts w:hint="default"/>
                <w:color w:val="auto"/>
                <w:sz w:val="26"/>
                <w:szCs w:val="26"/>
                <w:lang w:val="en-US" w:eastAsia="zh-CN"/>
              </w:rPr>
              <w:t>，嘉陵江金子断面水质状况达</w:t>
            </w:r>
            <w:r>
              <w:rPr>
                <w:rFonts w:hint="default" w:ascii="Times New Roman" w:hAnsi="Times New Roman" w:cs="Times New Roman"/>
                <w:color w:val="auto"/>
                <w:sz w:val="26"/>
                <w:szCs w:val="26"/>
                <w:lang w:val="en-US" w:eastAsia="zh-CN"/>
              </w:rPr>
              <w:t>到Ⅲ</w:t>
            </w:r>
            <w:r>
              <w:rPr>
                <w:rFonts w:hint="default"/>
                <w:color w:val="auto"/>
                <w:sz w:val="26"/>
                <w:szCs w:val="26"/>
                <w:lang w:val="en-US" w:eastAsia="zh-CN"/>
              </w:rPr>
              <w:t>类水质标准要求，表明区域地表水环境质量现状能满足相应的环境功能区划要求。</w:t>
            </w:r>
          </w:p>
          <w:p w14:paraId="3C9E26D3">
            <w:pPr>
              <w:pStyle w:val="4"/>
              <w:pageBreakBefore w:val="0"/>
              <w:widowControl w:val="0"/>
              <w:kinsoku/>
              <w:wordWrap/>
              <w:overflowPunct/>
              <w:topLinePunct w:val="0"/>
              <w:autoSpaceDE/>
              <w:autoSpaceDN/>
              <w:bidi w:val="0"/>
              <w:adjustRightInd/>
              <w:snapToGrid/>
              <w:spacing w:beforeLines="0" w:afterLines="0" w:line="460" w:lineRule="exact"/>
              <w:textAlignment w:val="auto"/>
              <w:rPr>
                <w:rFonts w:hint="default"/>
                <w:color w:val="auto"/>
                <w:sz w:val="26"/>
                <w:szCs w:val="26"/>
                <w:lang w:val="en-US" w:eastAsia="zh-CN"/>
              </w:rPr>
            </w:pPr>
            <w:r>
              <w:rPr>
                <w:rFonts w:hint="default"/>
                <w:color w:val="auto"/>
                <w:sz w:val="26"/>
                <w:szCs w:val="26"/>
                <w:lang w:val="en-US" w:eastAsia="zh-CN"/>
              </w:rPr>
              <w:t>3.</w:t>
            </w:r>
            <w:r>
              <w:rPr>
                <w:rFonts w:hint="eastAsia"/>
                <w:color w:val="auto"/>
                <w:sz w:val="26"/>
                <w:szCs w:val="26"/>
                <w:lang w:val="en-US" w:eastAsia="zh-CN"/>
              </w:rPr>
              <w:t>1.3</w:t>
            </w:r>
            <w:r>
              <w:rPr>
                <w:rFonts w:hint="default"/>
                <w:color w:val="auto"/>
                <w:sz w:val="26"/>
                <w:szCs w:val="26"/>
                <w:lang w:val="en-US" w:eastAsia="zh-CN"/>
              </w:rPr>
              <w:t>声环境质量现状</w:t>
            </w:r>
          </w:p>
          <w:p w14:paraId="3C4D1058">
            <w:pPr>
              <w:pageBreakBefore w:val="0"/>
              <w:widowControl w:val="0"/>
              <w:kinsoku/>
              <w:wordWrap/>
              <w:overflowPunct/>
              <w:topLinePunct w:val="0"/>
              <w:autoSpaceDE/>
              <w:autoSpaceDN/>
              <w:bidi w:val="0"/>
              <w:adjustRightInd/>
              <w:snapToGrid/>
              <w:spacing w:line="460" w:lineRule="exact"/>
              <w:textAlignment w:val="auto"/>
              <w:rPr>
                <w:rFonts w:hint="default"/>
                <w:color w:val="auto"/>
                <w:sz w:val="26"/>
                <w:szCs w:val="26"/>
                <w:lang w:val="en-US" w:eastAsia="zh-CN"/>
              </w:rPr>
            </w:pPr>
            <w:r>
              <w:rPr>
                <w:rFonts w:hint="eastAsia"/>
                <w:color w:val="auto"/>
                <w:sz w:val="26"/>
                <w:szCs w:val="26"/>
                <w:lang w:val="en-US" w:eastAsia="zh-CN"/>
              </w:rPr>
              <w:t>本</w:t>
            </w:r>
            <w:r>
              <w:rPr>
                <w:rFonts w:hint="default"/>
                <w:color w:val="auto"/>
                <w:sz w:val="26"/>
                <w:szCs w:val="26"/>
                <w:lang w:val="en-US" w:eastAsia="zh-CN"/>
              </w:rPr>
              <w:t>项目位于</w:t>
            </w:r>
            <w:r>
              <w:rPr>
                <w:rFonts w:hint="eastAsia"/>
                <w:color w:val="auto"/>
                <w:sz w:val="26"/>
                <w:szCs w:val="26"/>
                <w:lang w:val="en-US" w:eastAsia="zh-CN"/>
              </w:rPr>
              <w:t>重庆市合川区草街街道农创路205号，属于南溪组团B区，</w:t>
            </w:r>
            <w:r>
              <w:rPr>
                <w:rFonts w:hint="default"/>
                <w:color w:val="auto"/>
                <w:sz w:val="26"/>
                <w:szCs w:val="26"/>
                <w:lang w:val="en-US" w:eastAsia="zh-CN"/>
              </w:rPr>
              <w:t>根据《重庆市合川区人民政府办公室关于印发合川区声环境功能区划分调整方案的通知》（</w:t>
            </w:r>
            <w:r>
              <w:rPr>
                <w:rFonts w:hint="eastAsia"/>
                <w:color w:val="auto"/>
                <w:sz w:val="26"/>
                <w:szCs w:val="26"/>
                <w:lang w:val="en-US" w:eastAsia="zh-CN"/>
              </w:rPr>
              <w:t>合川府办发</w:t>
            </w:r>
            <w:r>
              <w:rPr>
                <w:rFonts w:hint="default"/>
                <w:color w:val="auto"/>
                <w:sz w:val="26"/>
                <w:szCs w:val="26"/>
                <w:lang w:val="en-US" w:eastAsia="zh-CN"/>
              </w:rPr>
              <w:t>〔2023〕56号），所在区域属于3类声环境功能区。项目周围50m范围内无声环境保护目标，根据《建设项目环境影响报告表编制技术指南（污染影响类）（试行）》，本次评价无需对区域声环境质量现状进行监测。</w:t>
            </w:r>
          </w:p>
          <w:p w14:paraId="5CE90452">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0" w:firstLineChars="0"/>
              <w:jc w:val="left"/>
              <w:textAlignment w:val="auto"/>
              <w:rPr>
                <w:rFonts w:hint="eastAsia"/>
                <w:color w:val="auto"/>
                <w:sz w:val="26"/>
                <w:szCs w:val="26"/>
                <w:lang w:val="en-US" w:eastAsia="zh-CN"/>
              </w:rPr>
            </w:pPr>
            <w:r>
              <w:rPr>
                <w:rFonts w:hint="eastAsia"/>
                <w:b/>
                <w:bCs/>
                <w:color w:val="auto"/>
                <w:sz w:val="26"/>
                <w:szCs w:val="26"/>
                <w:lang w:val="en-US" w:eastAsia="zh-CN"/>
              </w:rPr>
              <w:t>3.1.4地下水及土壤环境质量现状</w:t>
            </w:r>
          </w:p>
          <w:p w14:paraId="264B54DA">
            <w:pPr>
              <w:pStyle w:val="9"/>
              <w:keepNext w:val="0"/>
              <w:keepLines w:val="0"/>
              <w:pageBreakBefore w:val="0"/>
              <w:kinsoku/>
              <w:wordWrap/>
              <w:overflowPunct/>
              <w:topLinePunct w:val="0"/>
              <w:autoSpaceDE/>
              <w:autoSpaceDN/>
              <w:bidi w:val="0"/>
              <w:adjustRightInd w:val="0"/>
              <w:snapToGrid w:val="0"/>
              <w:spacing w:before="0" w:after="0" w:line="460" w:lineRule="exact"/>
              <w:ind w:right="0" w:firstLine="520" w:firstLineChars="200"/>
              <w:textAlignment w:val="auto"/>
              <w:rPr>
                <w:rFonts w:hint="eastAsia" w:ascii="Times New Roman" w:hAnsi="Times New Roman" w:eastAsia="宋体" w:cstheme="minorBidi"/>
                <w:color w:val="auto"/>
                <w:kern w:val="2"/>
                <w:sz w:val="26"/>
                <w:szCs w:val="26"/>
                <w:lang w:val="en-US" w:eastAsia="zh-CN" w:bidi="ar-SA"/>
              </w:rPr>
            </w:pPr>
            <w:r>
              <w:rPr>
                <w:rFonts w:hint="default" w:ascii="Times New Roman" w:hAnsi="Times New Roman" w:eastAsia="宋体" w:cstheme="minorBidi"/>
                <w:color w:val="auto"/>
                <w:kern w:val="2"/>
                <w:sz w:val="26"/>
                <w:szCs w:val="26"/>
                <w:lang w:val="en-US" w:eastAsia="zh-CN" w:bidi="ar-SA"/>
              </w:rPr>
              <w:t>根据调查，本项目位于合川工业园南溪组团B区，不涉及集中式饮用水水源和热水、矿泉水、温泉等特殊地下水资源保护区</w:t>
            </w:r>
            <w:r>
              <w:rPr>
                <w:rFonts w:hint="eastAsia" w:ascii="Times New Roman" w:hAnsi="Times New Roman" w:eastAsia="宋体" w:cstheme="minorBidi"/>
                <w:color w:val="auto"/>
                <w:kern w:val="2"/>
                <w:sz w:val="26"/>
                <w:szCs w:val="26"/>
                <w:lang w:val="en-US" w:eastAsia="zh-CN" w:bidi="ar-SA"/>
              </w:rPr>
              <w:t>。</w:t>
            </w:r>
          </w:p>
          <w:p w14:paraId="11920EC2">
            <w:pPr>
              <w:pStyle w:val="9"/>
              <w:keepNext w:val="0"/>
              <w:keepLines w:val="0"/>
              <w:pageBreakBefore w:val="0"/>
              <w:kinsoku/>
              <w:wordWrap/>
              <w:overflowPunct/>
              <w:topLinePunct w:val="0"/>
              <w:autoSpaceDE/>
              <w:autoSpaceDN/>
              <w:bidi w:val="0"/>
              <w:adjustRightInd w:val="0"/>
              <w:snapToGrid w:val="0"/>
              <w:spacing w:before="0" w:after="0" w:line="460" w:lineRule="exact"/>
              <w:ind w:right="0" w:firstLine="520" w:firstLineChars="200"/>
              <w:textAlignment w:val="auto"/>
              <w:rPr>
                <w:rFonts w:hint="eastAsia" w:ascii="Times New Roman" w:hAnsi="Times New Roman" w:eastAsia="宋体" w:cstheme="minorBidi"/>
                <w:color w:val="auto"/>
                <w:kern w:val="2"/>
                <w:sz w:val="26"/>
                <w:szCs w:val="26"/>
                <w:lang w:val="en-US" w:eastAsia="zh-CN" w:bidi="ar-SA"/>
              </w:rPr>
            </w:pPr>
            <w:r>
              <w:rPr>
                <w:rFonts w:hint="eastAsia" w:ascii="Times New Roman" w:hAnsi="Times New Roman" w:eastAsia="宋体" w:cstheme="minorBidi"/>
                <w:color w:val="auto"/>
                <w:kern w:val="2"/>
                <w:sz w:val="26"/>
                <w:szCs w:val="26"/>
                <w:lang w:val="en-US" w:eastAsia="zh-CN" w:bidi="ar-SA"/>
              </w:rPr>
              <w:t>周边均为已建工业企业或者规划工业用地，周边50m内无土壤敏感目标，土壤环境敏感程度为不敏感</w:t>
            </w:r>
            <w:r>
              <w:rPr>
                <w:rFonts w:hint="eastAsia" w:ascii="Times New Roman" w:hAnsi="Times New Roman" w:cstheme="minorBidi"/>
                <w:color w:val="auto"/>
                <w:kern w:val="2"/>
                <w:sz w:val="26"/>
                <w:szCs w:val="26"/>
                <w:lang w:val="en-US" w:eastAsia="zh-CN" w:bidi="ar-SA"/>
              </w:rPr>
              <w:t>。本项目危险废物贮存点采取重点防渗后无污染途径</w:t>
            </w:r>
            <w:r>
              <w:rPr>
                <w:rFonts w:hint="eastAsia" w:ascii="Times New Roman" w:hAnsi="Times New Roman" w:eastAsia="宋体" w:cstheme="minorBidi"/>
                <w:color w:val="auto"/>
                <w:kern w:val="2"/>
                <w:sz w:val="26"/>
                <w:szCs w:val="26"/>
                <w:lang w:val="en-US" w:eastAsia="zh-CN" w:bidi="ar-SA"/>
              </w:rPr>
              <w:t>，项目可不开展</w:t>
            </w:r>
            <w:r>
              <w:rPr>
                <w:rFonts w:hint="eastAsia" w:ascii="Times New Roman" w:hAnsi="Times New Roman" w:cstheme="minorBidi"/>
                <w:color w:val="auto"/>
                <w:kern w:val="2"/>
                <w:sz w:val="26"/>
                <w:szCs w:val="26"/>
                <w:lang w:val="en-US" w:eastAsia="zh-CN" w:bidi="ar-SA"/>
              </w:rPr>
              <w:t>地下水及</w:t>
            </w:r>
            <w:r>
              <w:rPr>
                <w:rFonts w:hint="eastAsia" w:ascii="Times New Roman" w:hAnsi="Times New Roman" w:eastAsia="宋体" w:cstheme="minorBidi"/>
                <w:color w:val="auto"/>
                <w:kern w:val="2"/>
                <w:sz w:val="26"/>
                <w:szCs w:val="26"/>
                <w:lang w:val="en-US" w:eastAsia="zh-CN" w:bidi="ar-SA"/>
              </w:rPr>
              <w:t>土壤环境影响评价工作。</w:t>
            </w:r>
          </w:p>
          <w:p w14:paraId="37D5187B">
            <w:pPr>
              <w:pStyle w:val="9"/>
              <w:keepNext w:val="0"/>
              <w:keepLines w:val="0"/>
              <w:pageBreakBefore w:val="0"/>
              <w:widowControl/>
              <w:kinsoku/>
              <w:wordWrap/>
              <w:overflowPunct/>
              <w:topLinePunct w:val="0"/>
              <w:autoSpaceDE/>
              <w:autoSpaceDN/>
              <w:bidi w:val="0"/>
              <w:adjustRightInd w:val="0"/>
              <w:snapToGrid w:val="0"/>
              <w:spacing w:before="0" w:after="0" w:line="460" w:lineRule="exact"/>
              <w:ind w:right="0" w:firstLine="0" w:firstLineChars="0"/>
              <w:textAlignment w:val="auto"/>
              <w:rPr>
                <w:rFonts w:hint="eastAsia" w:ascii="Times New Roman" w:hAnsi="Times New Roman" w:cstheme="minorBidi"/>
                <w:b/>
                <w:bCs/>
                <w:color w:val="auto"/>
                <w:kern w:val="2"/>
                <w:sz w:val="26"/>
                <w:szCs w:val="26"/>
                <w:lang w:val="en-US" w:eastAsia="zh-CN" w:bidi="ar-SA"/>
              </w:rPr>
            </w:pPr>
            <w:r>
              <w:rPr>
                <w:rFonts w:hint="eastAsia" w:ascii="Times New Roman" w:hAnsi="Times New Roman" w:cstheme="minorBidi"/>
                <w:b/>
                <w:bCs/>
                <w:color w:val="auto"/>
                <w:kern w:val="2"/>
                <w:sz w:val="26"/>
                <w:szCs w:val="26"/>
                <w:lang w:val="en-US" w:eastAsia="zh-CN" w:bidi="ar-SA"/>
              </w:rPr>
              <w:t>3.1.5电磁辐射环境现状</w:t>
            </w:r>
          </w:p>
          <w:p w14:paraId="36F3C1AE">
            <w:pPr>
              <w:pStyle w:val="9"/>
              <w:keepNext w:val="0"/>
              <w:keepLines w:val="0"/>
              <w:pageBreakBefore w:val="0"/>
              <w:widowControl/>
              <w:kinsoku/>
              <w:wordWrap/>
              <w:overflowPunct/>
              <w:topLinePunct w:val="0"/>
              <w:autoSpaceDE/>
              <w:autoSpaceDN/>
              <w:bidi w:val="0"/>
              <w:adjustRightInd w:val="0"/>
              <w:snapToGrid w:val="0"/>
              <w:spacing w:before="0" w:after="0" w:line="460" w:lineRule="exact"/>
              <w:ind w:right="0" w:firstLine="520" w:firstLineChars="200"/>
              <w:textAlignment w:val="auto"/>
              <w:rPr>
                <w:rFonts w:hint="default" w:ascii="Times New Roman" w:hAnsi="Times New Roman" w:cstheme="minorBidi"/>
                <w:color w:val="auto"/>
                <w:kern w:val="2"/>
                <w:sz w:val="26"/>
                <w:szCs w:val="26"/>
                <w:lang w:val="en-US" w:eastAsia="zh-CN" w:bidi="ar-SA"/>
              </w:rPr>
            </w:pPr>
            <w:r>
              <w:rPr>
                <w:rFonts w:hint="default" w:ascii="Times New Roman" w:hAnsi="Times New Roman" w:cstheme="minorBidi"/>
                <w:color w:val="auto"/>
                <w:kern w:val="2"/>
                <w:sz w:val="26"/>
                <w:szCs w:val="26"/>
                <w:lang w:val="en-US" w:eastAsia="zh-CN" w:bidi="ar-SA"/>
              </w:rPr>
              <w:t>本项目不属于电磁辐射类项目，故不开展电磁辐射现状监测与评价。</w:t>
            </w:r>
          </w:p>
        </w:tc>
      </w:tr>
      <w:tr w14:paraId="6F884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456" w:type="dxa"/>
            <w:vAlign w:val="center"/>
          </w:tcPr>
          <w:p w14:paraId="6BC2567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vertAlign w:val="baseline"/>
                <w:lang w:val="en-US" w:eastAsia="zh-CN"/>
              </w:rPr>
            </w:pPr>
            <w:r>
              <w:rPr>
                <w:rFonts w:hint="eastAsia"/>
                <w:color w:val="auto"/>
                <w:vertAlign w:val="baseline"/>
                <w:lang w:val="en-US" w:eastAsia="zh-CN"/>
              </w:rPr>
              <w:t>环境保护目标</w:t>
            </w:r>
          </w:p>
        </w:tc>
        <w:tc>
          <w:tcPr>
            <w:tcW w:w="8049" w:type="dxa"/>
            <w:vAlign w:val="top"/>
          </w:tcPr>
          <w:p w14:paraId="5433A84E">
            <w:pPr>
              <w:pStyle w:val="3"/>
              <w:pageBreakBefore w:val="0"/>
              <w:widowControl w:val="0"/>
              <w:kinsoku/>
              <w:wordWrap/>
              <w:overflowPunct/>
              <w:topLinePunct w:val="0"/>
              <w:autoSpaceDE/>
              <w:autoSpaceDN/>
              <w:bidi w:val="0"/>
              <w:snapToGrid/>
              <w:spacing w:beforeLines="0" w:afterLines="0" w:line="460" w:lineRule="exact"/>
              <w:jc w:val="both"/>
              <w:rPr>
                <w:rFonts w:hint="default" w:ascii="Times New Roman" w:hAnsi="Times New Roman" w:eastAsia="宋体" w:cs="Times New Roman"/>
                <w:b/>
                <w:bCs w:val="0"/>
                <w:color w:val="auto"/>
                <w:sz w:val="26"/>
                <w:szCs w:val="26"/>
                <w:lang w:val="en-US" w:eastAsia="zh-CN"/>
              </w:rPr>
            </w:pPr>
            <w:r>
              <w:rPr>
                <w:rFonts w:hint="default" w:ascii="Times New Roman" w:hAnsi="Times New Roman" w:eastAsia="宋体" w:cs="Times New Roman"/>
                <w:b/>
                <w:bCs w:val="0"/>
                <w:color w:val="auto"/>
                <w:sz w:val="26"/>
                <w:szCs w:val="26"/>
                <w:lang w:val="en-US" w:eastAsia="zh-CN"/>
              </w:rPr>
              <w:t>3.2环境保护目标</w:t>
            </w:r>
          </w:p>
          <w:p w14:paraId="279F6AB3">
            <w:pPr>
              <w:ind w:left="0" w:leftChars="0" w:firstLine="520" w:firstLineChars="200"/>
              <w:rPr>
                <w:rFonts w:hint="default" w:ascii="Times New Roman" w:hAnsi="Times New Roman" w:eastAsia="宋体" w:cs="Times New Roman"/>
                <w:b w:val="0"/>
                <w:bCs/>
                <w:color w:val="auto"/>
                <w:sz w:val="26"/>
                <w:szCs w:val="26"/>
                <w:lang w:val="en-US" w:eastAsia="zh-CN"/>
              </w:rPr>
            </w:pPr>
            <w:r>
              <w:rPr>
                <w:rFonts w:hint="default" w:ascii="Times New Roman" w:hAnsi="Times New Roman" w:eastAsia="宋体" w:cs="Times New Roman"/>
                <w:b w:val="0"/>
                <w:bCs/>
                <w:color w:val="auto"/>
                <w:sz w:val="26"/>
                <w:szCs w:val="26"/>
                <w:lang w:val="en-US" w:eastAsia="zh-CN"/>
              </w:rPr>
              <w:t>项目位于重庆市合川区草街街道农创路205号，</w:t>
            </w:r>
            <w:r>
              <w:rPr>
                <w:rFonts w:hint="eastAsia" w:cs="Times New Roman"/>
                <w:b w:val="0"/>
                <w:bCs/>
                <w:color w:val="auto"/>
                <w:sz w:val="26"/>
                <w:szCs w:val="26"/>
                <w:lang w:val="en-US" w:eastAsia="zh-CN"/>
              </w:rPr>
              <w:t>根据现场调查，本项目地块不涉及自然保护区、风景名胜区、水土流失重点防治区、森林公园、地质公园、世界遗产地、国家重点文物保护单位、历史文化保护地等敏感区域，本项目评价段无饮用水取水口，评价范围内目前未发现珍稀保护动植物。</w:t>
            </w:r>
          </w:p>
          <w:p w14:paraId="4EAC2524">
            <w:pPr>
              <w:ind w:left="0" w:leftChars="0" w:firstLine="0" w:firstLineChars="0"/>
              <w:rPr>
                <w:rFonts w:hint="default"/>
                <w:color w:val="auto"/>
                <w:lang w:val="en-US" w:eastAsia="zh-CN"/>
              </w:rPr>
            </w:pPr>
            <w:r>
              <w:rPr>
                <w:rFonts w:hint="eastAsia" w:ascii="Times New Roman" w:hAnsi="Times New Roman" w:eastAsia="宋体" w:cs="Times New Roman"/>
                <w:b/>
                <w:bCs w:val="0"/>
                <w:color w:val="auto"/>
                <w:sz w:val="26"/>
                <w:szCs w:val="26"/>
                <w:lang w:val="en-US" w:eastAsia="zh-CN"/>
              </w:rPr>
              <w:t>3.2.1大气环境</w:t>
            </w:r>
          </w:p>
          <w:p w14:paraId="5E221239">
            <w:pPr>
              <w:pageBreakBefore w:val="0"/>
              <w:widowControl w:val="0"/>
              <w:kinsoku/>
              <w:wordWrap/>
              <w:overflowPunct/>
              <w:topLinePunct w:val="0"/>
              <w:autoSpaceDE/>
              <w:autoSpaceDN/>
              <w:bidi w:val="0"/>
              <w:snapToGrid/>
              <w:spacing w:line="460" w:lineRule="exact"/>
              <w:ind w:firstLine="520" w:firstLineChars="200"/>
              <w:jc w:val="both"/>
              <w:rPr>
                <w:rFonts w:hint="default" w:ascii="Times New Roman" w:hAnsi="Times New Roman" w:eastAsia="宋体" w:cs="Times New Roman"/>
                <w:b w:val="0"/>
                <w:bCs/>
                <w:color w:val="auto"/>
                <w:sz w:val="26"/>
                <w:szCs w:val="26"/>
                <w:lang w:val="en-US" w:eastAsia="zh-CN"/>
              </w:rPr>
            </w:pPr>
            <w:r>
              <w:rPr>
                <w:rFonts w:hint="default" w:ascii="Times New Roman" w:hAnsi="Times New Roman" w:eastAsia="宋体" w:cs="Times New Roman"/>
                <w:b w:val="0"/>
                <w:bCs/>
                <w:color w:val="auto"/>
                <w:sz w:val="26"/>
                <w:szCs w:val="26"/>
                <w:lang w:val="en-US" w:eastAsia="zh-CN"/>
              </w:rPr>
              <w:t>根据现场调查，项目厂界外500m范围内的环境空气保护目标为</w:t>
            </w:r>
            <w:r>
              <w:rPr>
                <w:rFonts w:hint="eastAsia" w:ascii="Times New Roman" w:hAnsi="Times New Roman" w:eastAsia="宋体" w:cs="Times New Roman"/>
                <w:b w:val="0"/>
                <w:bCs/>
                <w:color w:val="auto"/>
                <w:sz w:val="26"/>
                <w:szCs w:val="26"/>
                <w:lang w:val="en-US" w:eastAsia="zh-CN"/>
              </w:rPr>
              <w:t>4处散居农户、1处规划居住用地以及1处居住区</w:t>
            </w:r>
            <w:r>
              <w:rPr>
                <w:rFonts w:hint="default" w:ascii="Times New Roman" w:hAnsi="Times New Roman" w:eastAsia="宋体" w:cs="Times New Roman"/>
                <w:b w:val="0"/>
                <w:bCs/>
                <w:color w:val="auto"/>
                <w:sz w:val="26"/>
                <w:szCs w:val="26"/>
                <w:lang w:val="en-US" w:eastAsia="zh-CN"/>
              </w:rPr>
              <w:t>，除此外无其他自然保护区、风景名胜区、文化区等特别需要保护的环境敏感目标。项目厂界外周边50m范围内不存在声环境保护目标。</w:t>
            </w:r>
          </w:p>
          <w:p w14:paraId="4DA31951">
            <w:pPr>
              <w:pageBreakBefore w:val="0"/>
              <w:widowControl w:val="0"/>
              <w:kinsoku/>
              <w:wordWrap/>
              <w:overflowPunct/>
              <w:topLinePunct w:val="0"/>
              <w:autoSpaceDE/>
              <w:autoSpaceDN/>
              <w:bidi w:val="0"/>
              <w:snapToGrid/>
              <w:spacing w:line="460" w:lineRule="exact"/>
              <w:ind w:firstLine="520" w:firstLineChars="200"/>
              <w:jc w:val="both"/>
              <w:rPr>
                <w:rFonts w:hint="default" w:ascii="Times New Roman" w:hAnsi="Times New Roman" w:eastAsia="宋体" w:cs="Times New Roman"/>
                <w:b w:val="0"/>
                <w:bCs/>
                <w:color w:val="auto"/>
                <w:sz w:val="26"/>
                <w:szCs w:val="26"/>
                <w:lang w:val="en-US" w:eastAsia="zh-CN"/>
              </w:rPr>
            </w:pPr>
            <w:r>
              <w:rPr>
                <w:rFonts w:hint="default" w:ascii="Times New Roman" w:hAnsi="Times New Roman" w:eastAsia="宋体" w:cs="Times New Roman"/>
                <w:b w:val="0"/>
                <w:bCs/>
                <w:color w:val="auto"/>
                <w:sz w:val="26"/>
                <w:szCs w:val="26"/>
                <w:lang w:val="en-US" w:eastAsia="zh-CN"/>
              </w:rPr>
              <w:t>本项目主要环境保护目标分布情况详见下表3.2-1，项目周边环境关系及敏感点分布见</w:t>
            </w:r>
            <w:r>
              <w:rPr>
                <w:rFonts w:hint="default" w:ascii="Times New Roman" w:hAnsi="Times New Roman" w:eastAsia="宋体" w:cs="Times New Roman"/>
                <w:b w:val="0"/>
                <w:bCs/>
                <w:color w:val="auto"/>
                <w:sz w:val="26"/>
                <w:szCs w:val="26"/>
                <w:highlight w:val="none"/>
                <w:lang w:val="en-US" w:eastAsia="zh-CN"/>
              </w:rPr>
              <w:t>附图</w:t>
            </w:r>
            <w:r>
              <w:rPr>
                <w:rFonts w:hint="eastAsia" w:ascii="Times New Roman" w:hAnsi="Times New Roman" w:eastAsia="宋体" w:cs="Times New Roman"/>
                <w:b w:val="0"/>
                <w:bCs/>
                <w:color w:val="auto"/>
                <w:sz w:val="26"/>
                <w:szCs w:val="26"/>
                <w:highlight w:val="none"/>
                <w:lang w:val="en-US" w:eastAsia="zh-CN"/>
              </w:rPr>
              <w:t>8</w:t>
            </w:r>
            <w:r>
              <w:rPr>
                <w:rFonts w:hint="default" w:ascii="Times New Roman" w:hAnsi="Times New Roman" w:eastAsia="宋体" w:cs="Times New Roman"/>
                <w:b w:val="0"/>
                <w:bCs/>
                <w:color w:val="auto"/>
                <w:sz w:val="26"/>
                <w:szCs w:val="26"/>
                <w:lang w:val="en-US" w:eastAsia="zh-CN"/>
              </w:rPr>
              <w:t>。</w:t>
            </w:r>
          </w:p>
          <w:p w14:paraId="65E23F4E">
            <w:pPr>
              <w:pageBreakBefore w:val="0"/>
              <w:widowControl w:val="0"/>
              <w:kinsoku/>
              <w:wordWrap/>
              <w:overflowPunct/>
              <w:topLinePunct w:val="0"/>
              <w:autoSpaceDE/>
              <w:autoSpaceDN/>
              <w:bidi w:val="0"/>
              <w:snapToGrid/>
              <w:spacing w:line="460" w:lineRule="exact"/>
              <w:ind w:firstLine="520" w:firstLineChars="200"/>
              <w:jc w:val="both"/>
              <w:rPr>
                <w:rFonts w:hint="default" w:ascii="Times New Roman" w:hAnsi="Times New Roman" w:eastAsia="宋体" w:cs="Times New Roman"/>
                <w:b w:val="0"/>
                <w:bCs/>
                <w:color w:val="auto"/>
                <w:sz w:val="26"/>
                <w:szCs w:val="26"/>
                <w:lang w:val="en-US" w:eastAsia="zh-CN"/>
              </w:rPr>
            </w:pPr>
          </w:p>
          <w:p w14:paraId="5149858C">
            <w:pPr>
              <w:pStyle w:val="27"/>
              <w:pageBreakBefore w:val="0"/>
              <w:widowControl w:val="0"/>
              <w:kinsoku/>
              <w:wordWrap/>
              <w:overflowPunct/>
              <w:topLinePunct w:val="0"/>
              <w:autoSpaceDE/>
              <w:autoSpaceDN/>
              <w:bidi w:val="0"/>
              <w:snapToGrid/>
              <w:spacing w:line="460" w:lineRule="exact"/>
              <w:ind w:firstLine="520" w:firstLineChars="200"/>
              <w:jc w:val="both"/>
              <w:rPr>
                <w:rFonts w:hint="default" w:ascii="Times New Roman" w:hAnsi="Times New Roman" w:eastAsia="宋体" w:cs="Times New Roman"/>
                <w:b w:val="0"/>
                <w:bCs/>
                <w:color w:val="auto"/>
                <w:sz w:val="26"/>
                <w:szCs w:val="26"/>
                <w:lang w:val="en-US" w:eastAsia="zh-CN"/>
              </w:rPr>
            </w:pPr>
            <w:r>
              <w:rPr>
                <w:rFonts w:hint="default" w:ascii="Times New Roman" w:hAnsi="Times New Roman" w:eastAsia="宋体" w:cs="Times New Roman"/>
                <w:b w:val="0"/>
                <w:bCs/>
                <w:color w:val="auto"/>
                <w:sz w:val="26"/>
                <w:szCs w:val="26"/>
                <w:lang w:val="en-US" w:eastAsia="zh-CN"/>
              </w:rPr>
              <w:t xml:space="preserve">表3.2-1  </w:t>
            </w:r>
            <w:r>
              <w:rPr>
                <w:rFonts w:hint="eastAsia" w:ascii="Times New Roman" w:hAnsi="Times New Roman" w:eastAsia="宋体" w:cs="Times New Roman"/>
                <w:b w:val="0"/>
                <w:bCs/>
                <w:color w:val="auto"/>
                <w:sz w:val="26"/>
                <w:szCs w:val="26"/>
                <w:lang w:val="en-US" w:eastAsia="zh-CN"/>
              </w:rPr>
              <w:t xml:space="preserve">    </w:t>
            </w:r>
            <w:r>
              <w:rPr>
                <w:rFonts w:hint="default" w:ascii="Times New Roman" w:hAnsi="Times New Roman" w:eastAsia="宋体" w:cs="Times New Roman"/>
                <w:b w:val="0"/>
                <w:bCs/>
                <w:color w:val="auto"/>
                <w:sz w:val="26"/>
                <w:szCs w:val="26"/>
                <w:lang w:val="en-US" w:eastAsia="zh-CN"/>
              </w:rPr>
              <w:t>项目主要环境保护目标分布一览表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
              <w:gridCol w:w="1012"/>
              <w:gridCol w:w="718"/>
              <w:gridCol w:w="686"/>
              <w:gridCol w:w="664"/>
              <w:gridCol w:w="968"/>
              <w:gridCol w:w="1408"/>
              <w:gridCol w:w="1838"/>
            </w:tblGrid>
            <w:tr w14:paraId="40C5E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529" w:type="dxa"/>
                  <w:vMerge w:val="restart"/>
                  <w:vAlign w:val="center"/>
                </w:tcPr>
                <w:p w14:paraId="02D65CAE">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序号</w:t>
                  </w:r>
                </w:p>
              </w:tc>
              <w:tc>
                <w:tcPr>
                  <w:tcW w:w="1012" w:type="dxa"/>
                  <w:vMerge w:val="restart"/>
                  <w:vAlign w:val="center"/>
                </w:tcPr>
                <w:p w14:paraId="19BB5066">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环境保护目标名称</w:t>
                  </w:r>
                </w:p>
              </w:tc>
              <w:tc>
                <w:tcPr>
                  <w:tcW w:w="1404" w:type="dxa"/>
                  <w:gridSpan w:val="2"/>
                  <w:vAlign w:val="center"/>
                </w:tcPr>
                <w:p w14:paraId="33C261DC">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坐标</w:t>
                  </w:r>
                </w:p>
              </w:tc>
              <w:tc>
                <w:tcPr>
                  <w:tcW w:w="664" w:type="dxa"/>
                  <w:vMerge w:val="restart"/>
                  <w:vAlign w:val="center"/>
                </w:tcPr>
                <w:p w14:paraId="5F0D17E1">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相对方位</w:t>
                  </w:r>
                </w:p>
              </w:tc>
              <w:tc>
                <w:tcPr>
                  <w:tcW w:w="968" w:type="dxa"/>
                  <w:vMerge w:val="restart"/>
                  <w:vAlign w:val="center"/>
                </w:tcPr>
                <w:p w14:paraId="593AE522">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与厂界最近距离（m）</w:t>
                  </w:r>
                </w:p>
              </w:tc>
              <w:tc>
                <w:tcPr>
                  <w:tcW w:w="1408" w:type="dxa"/>
                  <w:vMerge w:val="restart"/>
                  <w:vAlign w:val="center"/>
                </w:tcPr>
                <w:p w14:paraId="14316E3B">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环境保护目标特征</w:t>
                  </w:r>
                </w:p>
              </w:tc>
              <w:tc>
                <w:tcPr>
                  <w:tcW w:w="1838" w:type="dxa"/>
                  <w:vMerge w:val="restart"/>
                  <w:vAlign w:val="center"/>
                </w:tcPr>
                <w:p w14:paraId="650E239F">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环境要素及功能区划</w:t>
                  </w:r>
                </w:p>
              </w:tc>
            </w:tr>
            <w:tr w14:paraId="69998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29" w:type="dxa"/>
                  <w:vMerge w:val="continue"/>
                  <w:vAlign w:val="center"/>
                </w:tcPr>
                <w:p w14:paraId="030E67DA">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color w:val="auto"/>
                    </w:rPr>
                  </w:pPr>
                </w:p>
              </w:tc>
              <w:tc>
                <w:tcPr>
                  <w:tcW w:w="1012" w:type="dxa"/>
                  <w:vMerge w:val="continue"/>
                  <w:vAlign w:val="center"/>
                </w:tcPr>
                <w:p w14:paraId="1230F94E">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color w:val="auto"/>
                    </w:rPr>
                  </w:pPr>
                </w:p>
              </w:tc>
              <w:tc>
                <w:tcPr>
                  <w:tcW w:w="718" w:type="dxa"/>
                  <w:vAlign w:val="center"/>
                </w:tcPr>
                <w:p w14:paraId="00BE5016">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X</w:t>
                  </w:r>
                </w:p>
              </w:tc>
              <w:tc>
                <w:tcPr>
                  <w:tcW w:w="686" w:type="dxa"/>
                  <w:vAlign w:val="center"/>
                </w:tcPr>
                <w:p w14:paraId="55E57EC7">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Y</w:t>
                  </w:r>
                </w:p>
              </w:tc>
              <w:tc>
                <w:tcPr>
                  <w:tcW w:w="664" w:type="dxa"/>
                  <w:vMerge w:val="continue"/>
                  <w:vAlign w:val="center"/>
                </w:tcPr>
                <w:p w14:paraId="6A48014D">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p>
              </w:tc>
              <w:tc>
                <w:tcPr>
                  <w:tcW w:w="968" w:type="dxa"/>
                  <w:vMerge w:val="continue"/>
                  <w:vAlign w:val="center"/>
                </w:tcPr>
                <w:p w14:paraId="246B8F7F">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p>
              </w:tc>
              <w:tc>
                <w:tcPr>
                  <w:tcW w:w="1408" w:type="dxa"/>
                  <w:vMerge w:val="continue"/>
                  <w:vAlign w:val="center"/>
                </w:tcPr>
                <w:p w14:paraId="0B3FB5B2">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p>
              </w:tc>
              <w:tc>
                <w:tcPr>
                  <w:tcW w:w="1838" w:type="dxa"/>
                  <w:vMerge w:val="continue"/>
                  <w:vAlign w:val="center"/>
                </w:tcPr>
                <w:p w14:paraId="0FE98894">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p>
              </w:tc>
            </w:tr>
            <w:tr w14:paraId="65CC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29" w:type="dxa"/>
                  <w:vAlign w:val="center"/>
                </w:tcPr>
                <w:p w14:paraId="24D5352A">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1</w:t>
                  </w:r>
                </w:p>
              </w:tc>
              <w:tc>
                <w:tcPr>
                  <w:tcW w:w="1012" w:type="dxa"/>
                  <w:vAlign w:val="center"/>
                </w:tcPr>
                <w:p w14:paraId="63876C5A">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1#散居居民</w:t>
                  </w:r>
                </w:p>
              </w:tc>
              <w:tc>
                <w:tcPr>
                  <w:tcW w:w="718" w:type="dxa"/>
                  <w:vAlign w:val="center"/>
                </w:tcPr>
                <w:p w14:paraId="04B5F4D2">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155</w:t>
                  </w:r>
                </w:p>
              </w:tc>
              <w:tc>
                <w:tcPr>
                  <w:tcW w:w="686" w:type="dxa"/>
                  <w:vAlign w:val="center"/>
                </w:tcPr>
                <w:p w14:paraId="3E6A0CEE">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-17</w:t>
                  </w:r>
                </w:p>
              </w:tc>
              <w:tc>
                <w:tcPr>
                  <w:tcW w:w="664" w:type="dxa"/>
                  <w:vAlign w:val="center"/>
                </w:tcPr>
                <w:p w14:paraId="65955AE5">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东侧</w:t>
                  </w:r>
                </w:p>
              </w:tc>
              <w:tc>
                <w:tcPr>
                  <w:tcW w:w="968" w:type="dxa"/>
                  <w:vAlign w:val="center"/>
                </w:tcPr>
                <w:p w14:paraId="21B2078B">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120</w:t>
                  </w:r>
                </w:p>
              </w:tc>
              <w:tc>
                <w:tcPr>
                  <w:tcW w:w="1408" w:type="dxa"/>
                  <w:vAlign w:val="center"/>
                </w:tcPr>
                <w:p w14:paraId="43851EEC">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散居农户，共6户，约18人</w:t>
                  </w:r>
                </w:p>
              </w:tc>
              <w:tc>
                <w:tcPr>
                  <w:tcW w:w="1838" w:type="dxa"/>
                  <w:vMerge w:val="restart"/>
                  <w:vAlign w:val="center"/>
                </w:tcPr>
                <w:p w14:paraId="4DE26B86">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default"/>
                      <w:color w:val="auto"/>
                      <w:lang w:val="en-US" w:eastAsia="zh-CN"/>
                    </w:rPr>
                    <w:t>《环境空气质量标准》（GB3095-2012）二类区域</w:t>
                  </w:r>
                </w:p>
              </w:tc>
            </w:tr>
            <w:tr w14:paraId="6C0F0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29" w:type="dxa"/>
                  <w:vAlign w:val="center"/>
                </w:tcPr>
                <w:p w14:paraId="76ADDE5D">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2</w:t>
                  </w:r>
                </w:p>
              </w:tc>
              <w:tc>
                <w:tcPr>
                  <w:tcW w:w="1012" w:type="dxa"/>
                  <w:vAlign w:val="center"/>
                </w:tcPr>
                <w:p w14:paraId="3A50C5B0">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2#散居居民</w:t>
                  </w:r>
                </w:p>
              </w:tc>
              <w:tc>
                <w:tcPr>
                  <w:tcW w:w="718" w:type="dxa"/>
                  <w:vAlign w:val="center"/>
                </w:tcPr>
                <w:p w14:paraId="0E22F2D3">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456</w:t>
                  </w:r>
                </w:p>
              </w:tc>
              <w:tc>
                <w:tcPr>
                  <w:tcW w:w="686" w:type="dxa"/>
                  <w:vAlign w:val="center"/>
                </w:tcPr>
                <w:p w14:paraId="1CD59067">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15</w:t>
                  </w:r>
                </w:p>
              </w:tc>
              <w:tc>
                <w:tcPr>
                  <w:tcW w:w="664" w:type="dxa"/>
                  <w:vAlign w:val="center"/>
                </w:tcPr>
                <w:p w14:paraId="54D1D8FE">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东侧</w:t>
                  </w:r>
                </w:p>
              </w:tc>
              <w:tc>
                <w:tcPr>
                  <w:tcW w:w="968" w:type="dxa"/>
                  <w:vAlign w:val="center"/>
                </w:tcPr>
                <w:p w14:paraId="6D08382D">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415</w:t>
                  </w:r>
                </w:p>
              </w:tc>
              <w:tc>
                <w:tcPr>
                  <w:tcW w:w="1408" w:type="dxa"/>
                  <w:vAlign w:val="center"/>
                </w:tcPr>
                <w:p w14:paraId="633575BF">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散居农户，共4户，约12人</w:t>
                  </w:r>
                </w:p>
              </w:tc>
              <w:tc>
                <w:tcPr>
                  <w:tcW w:w="1838" w:type="dxa"/>
                  <w:vMerge w:val="continue"/>
                  <w:vAlign w:val="center"/>
                </w:tcPr>
                <w:p w14:paraId="34BADAF9">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p>
              </w:tc>
            </w:tr>
            <w:tr w14:paraId="2279A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29" w:type="dxa"/>
                  <w:vAlign w:val="center"/>
                </w:tcPr>
                <w:p w14:paraId="16C2A1B7">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3</w:t>
                  </w:r>
                </w:p>
              </w:tc>
              <w:tc>
                <w:tcPr>
                  <w:tcW w:w="1012" w:type="dxa"/>
                  <w:vAlign w:val="center"/>
                </w:tcPr>
                <w:p w14:paraId="1D631094">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eastAsia"/>
                      <w:color w:val="auto"/>
                      <w:lang w:val="en-US" w:eastAsia="zh-CN"/>
                    </w:rPr>
                  </w:pPr>
                  <w:r>
                    <w:rPr>
                      <w:rFonts w:hint="eastAsia"/>
                      <w:color w:val="auto"/>
                      <w:lang w:val="en-US" w:eastAsia="zh-CN"/>
                    </w:rPr>
                    <w:t>3#散居居民</w:t>
                  </w:r>
                </w:p>
              </w:tc>
              <w:tc>
                <w:tcPr>
                  <w:tcW w:w="718" w:type="dxa"/>
                  <w:vAlign w:val="center"/>
                </w:tcPr>
                <w:p w14:paraId="493EA30A">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338</w:t>
                  </w:r>
                </w:p>
              </w:tc>
              <w:tc>
                <w:tcPr>
                  <w:tcW w:w="686" w:type="dxa"/>
                  <w:vAlign w:val="center"/>
                </w:tcPr>
                <w:p w14:paraId="6F27F9A6">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-46</w:t>
                  </w:r>
                </w:p>
              </w:tc>
              <w:tc>
                <w:tcPr>
                  <w:tcW w:w="664" w:type="dxa"/>
                  <w:vAlign w:val="center"/>
                </w:tcPr>
                <w:p w14:paraId="50CDF920">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东侧</w:t>
                  </w:r>
                </w:p>
              </w:tc>
              <w:tc>
                <w:tcPr>
                  <w:tcW w:w="968" w:type="dxa"/>
                  <w:vAlign w:val="center"/>
                </w:tcPr>
                <w:p w14:paraId="052D9CEC">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eastAsia"/>
                      <w:color w:val="auto"/>
                      <w:lang w:val="en-US" w:eastAsia="zh-CN"/>
                    </w:rPr>
                  </w:pPr>
                  <w:r>
                    <w:rPr>
                      <w:rFonts w:hint="eastAsia"/>
                      <w:color w:val="auto"/>
                      <w:lang w:val="en-US" w:eastAsia="zh-CN"/>
                    </w:rPr>
                    <w:t>313</w:t>
                  </w:r>
                </w:p>
              </w:tc>
              <w:tc>
                <w:tcPr>
                  <w:tcW w:w="1408" w:type="dxa"/>
                  <w:vAlign w:val="center"/>
                </w:tcPr>
                <w:p w14:paraId="300A39B2">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eastAsia"/>
                      <w:color w:val="auto"/>
                      <w:lang w:val="en-US" w:eastAsia="zh-CN"/>
                    </w:rPr>
                  </w:pPr>
                  <w:r>
                    <w:rPr>
                      <w:rFonts w:hint="eastAsia"/>
                      <w:color w:val="auto"/>
                      <w:lang w:val="en-US" w:eastAsia="zh-CN"/>
                    </w:rPr>
                    <w:t>散居农户，共1户，约3人</w:t>
                  </w:r>
                </w:p>
              </w:tc>
              <w:tc>
                <w:tcPr>
                  <w:tcW w:w="1838" w:type="dxa"/>
                  <w:vMerge w:val="continue"/>
                  <w:vAlign w:val="center"/>
                </w:tcPr>
                <w:p w14:paraId="25D4C748">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p>
              </w:tc>
            </w:tr>
            <w:tr w14:paraId="0097B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29" w:type="dxa"/>
                  <w:vAlign w:val="center"/>
                </w:tcPr>
                <w:p w14:paraId="2C7796DF">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4</w:t>
                  </w:r>
                </w:p>
              </w:tc>
              <w:tc>
                <w:tcPr>
                  <w:tcW w:w="1012" w:type="dxa"/>
                  <w:vAlign w:val="center"/>
                </w:tcPr>
                <w:p w14:paraId="13310886">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eastAsia"/>
                      <w:color w:val="auto"/>
                      <w:lang w:val="en-US" w:eastAsia="zh-CN"/>
                    </w:rPr>
                  </w:pPr>
                  <w:r>
                    <w:rPr>
                      <w:rFonts w:hint="eastAsia"/>
                      <w:color w:val="auto"/>
                      <w:lang w:val="en-US" w:eastAsia="zh-CN"/>
                    </w:rPr>
                    <w:t>4#散居居民</w:t>
                  </w:r>
                </w:p>
              </w:tc>
              <w:tc>
                <w:tcPr>
                  <w:tcW w:w="718" w:type="dxa"/>
                  <w:vAlign w:val="center"/>
                </w:tcPr>
                <w:p w14:paraId="07EF2414">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279</w:t>
                  </w:r>
                </w:p>
              </w:tc>
              <w:tc>
                <w:tcPr>
                  <w:tcW w:w="686" w:type="dxa"/>
                  <w:vAlign w:val="center"/>
                </w:tcPr>
                <w:p w14:paraId="6AAA8AFB">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177</w:t>
                  </w:r>
                </w:p>
              </w:tc>
              <w:tc>
                <w:tcPr>
                  <w:tcW w:w="664" w:type="dxa"/>
                  <w:vAlign w:val="center"/>
                </w:tcPr>
                <w:p w14:paraId="56A9F123">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东北侧</w:t>
                  </w:r>
                </w:p>
              </w:tc>
              <w:tc>
                <w:tcPr>
                  <w:tcW w:w="968" w:type="dxa"/>
                  <w:vAlign w:val="center"/>
                </w:tcPr>
                <w:p w14:paraId="541DDDE4">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260</w:t>
                  </w:r>
                </w:p>
              </w:tc>
              <w:tc>
                <w:tcPr>
                  <w:tcW w:w="1408" w:type="dxa"/>
                  <w:vAlign w:val="center"/>
                </w:tcPr>
                <w:p w14:paraId="1A235990">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eastAsia"/>
                      <w:color w:val="auto"/>
                      <w:lang w:val="en-US" w:eastAsia="zh-CN"/>
                    </w:rPr>
                  </w:pPr>
                  <w:r>
                    <w:rPr>
                      <w:rFonts w:hint="eastAsia"/>
                      <w:color w:val="auto"/>
                      <w:lang w:val="en-US" w:eastAsia="zh-CN"/>
                    </w:rPr>
                    <w:t>散居农户，共2户，约5人</w:t>
                  </w:r>
                </w:p>
              </w:tc>
              <w:tc>
                <w:tcPr>
                  <w:tcW w:w="1838" w:type="dxa"/>
                  <w:vMerge w:val="continue"/>
                  <w:vAlign w:val="center"/>
                </w:tcPr>
                <w:p w14:paraId="6D6D1E65">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p>
              </w:tc>
            </w:tr>
            <w:tr w14:paraId="059CE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29" w:type="dxa"/>
                  <w:vAlign w:val="center"/>
                </w:tcPr>
                <w:p w14:paraId="64067396">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5</w:t>
                  </w:r>
                </w:p>
              </w:tc>
              <w:tc>
                <w:tcPr>
                  <w:tcW w:w="1012" w:type="dxa"/>
                  <w:vAlign w:val="center"/>
                </w:tcPr>
                <w:p w14:paraId="58616271">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5#规划居住用地</w:t>
                  </w:r>
                </w:p>
              </w:tc>
              <w:tc>
                <w:tcPr>
                  <w:tcW w:w="718" w:type="dxa"/>
                  <w:vAlign w:val="center"/>
                </w:tcPr>
                <w:p w14:paraId="712E6943">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-207</w:t>
                  </w:r>
                </w:p>
              </w:tc>
              <w:tc>
                <w:tcPr>
                  <w:tcW w:w="686" w:type="dxa"/>
                  <w:vAlign w:val="center"/>
                </w:tcPr>
                <w:p w14:paraId="594AFCA1">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410</w:t>
                  </w:r>
                </w:p>
              </w:tc>
              <w:tc>
                <w:tcPr>
                  <w:tcW w:w="664" w:type="dxa"/>
                  <w:vAlign w:val="center"/>
                </w:tcPr>
                <w:p w14:paraId="2B292824">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西北侧</w:t>
                  </w:r>
                </w:p>
              </w:tc>
              <w:tc>
                <w:tcPr>
                  <w:tcW w:w="968" w:type="dxa"/>
                  <w:vAlign w:val="center"/>
                </w:tcPr>
                <w:p w14:paraId="2A22D2DF">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417</w:t>
                  </w:r>
                </w:p>
              </w:tc>
              <w:tc>
                <w:tcPr>
                  <w:tcW w:w="1408" w:type="dxa"/>
                  <w:vAlign w:val="center"/>
                </w:tcPr>
                <w:p w14:paraId="7F34AB65">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规划居住用地</w:t>
                  </w:r>
                </w:p>
              </w:tc>
              <w:tc>
                <w:tcPr>
                  <w:tcW w:w="1838" w:type="dxa"/>
                  <w:vMerge w:val="continue"/>
                  <w:vAlign w:val="center"/>
                </w:tcPr>
                <w:p w14:paraId="7EE2F618">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p>
              </w:tc>
            </w:tr>
            <w:tr w14:paraId="4C3F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29" w:type="dxa"/>
                  <w:vAlign w:val="center"/>
                </w:tcPr>
                <w:p w14:paraId="593D93E3">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6</w:t>
                  </w:r>
                </w:p>
              </w:tc>
              <w:tc>
                <w:tcPr>
                  <w:tcW w:w="1012" w:type="dxa"/>
                  <w:vAlign w:val="center"/>
                </w:tcPr>
                <w:p w14:paraId="629B26ED">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玉龙佳苑B区</w:t>
                  </w:r>
                </w:p>
              </w:tc>
              <w:tc>
                <w:tcPr>
                  <w:tcW w:w="718" w:type="dxa"/>
                  <w:vAlign w:val="center"/>
                </w:tcPr>
                <w:p w14:paraId="785F8875">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-432</w:t>
                  </w:r>
                </w:p>
              </w:tc>
              <w:tc>
                <w:tcPr>
                  <w:tcW w:w="686" w:type="dxa"/>
                  <w:vAlign w:val="center"/>
                </w:tcPr>
                <w:p w14:paraId="3EE90873">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299</w:t>
                  </w:r>
                </w:p>
              </w:tc>
              <w:tc>
                <w:tcPr>
                  <w:tcW w:w="664" w:type="dxa"/>
                  <w:vAlign w:val="center"/>
                </w:tcPr>
                <w:p w14:paraId="2074EAE1">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西北侧</w:t>
                  </w:r>
                </w:p>
              </w:tc>
              <w:tc>
                <w:tcPr>
                  <w:tcW w:w="968" w:type="dxa"/>
                  <w:vAlign w:val="center"/>
                </w:tcPr>
                <w:p w14:paraId="027833F3">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460</w:t>
                  </w:r>
                </w:p>
              </w:tc>
              <w:tc>
                <w:tcPr>
                  <w:tcW w:w="1408" w:type="dxa"/>
                  <w:vAlign w:val="center"/>
                </w:tcPr>
                <w:p w14:paraId="1B06AF73">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r>
                    <w:rPr>
                      <w:rFonts w:hint="eastAsia"/>
                      <w:color w:val="auto"/>
                      <w:lang w:val="en-US" w:eastAsia="zh-CN"/>
                    </w:rPr>
                    <w:t>居住区，约1500人</w:t>
                  </w:r>
                </w:p>
              </w:tc>
              <w:tc>
                <w:tcPr>
                  <w:tcW w:w="1838" w:type="dxa"/>
                  <w:vMerge w:val="continue"/>
                  <w:vAlign w:val="center"/>
                </w:tcPr>
                <w:p w14:paraId="05594897">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lang w:val="en-US" w:eastAsia="zh-CN"/>
                    </w:rPr>
                  </w:pPr>
                </w:p>
              </w:tc>
            </w:tr>
            <w:tr w14:paraId="77BC2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823" w:type="dxa"/>
                  <w:gridSpan w:val="8"/>
                  <w:vAlign w:val="center"/>
                </w:tcPr>
                <w:p w14:paraId="322D887E">
                  <w:pPr>
                    <w:pStyle w:val="26"/>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color w:val="auto"/>
                      <w:lang w:val="en-US" w:eastAsia="zh-CN"/>
                    </w:rPr>
                  </w:pPr>
                  <w:r>
                    <w:rPr>
                      <w:rFonts w:hint="eastAsia"/>
                      <w:color w:val="auto"/>
                      <w:sz w:val="22"/>
                      <w:szCs w:val="22"/>
                      <w:lang w:val="en-US" w:eastAsia="zh-CN"/>
                    </w:rPr>
                    <w:t>注：坐标原点为厂区中心位置（106.396014682，29.997554727）</w:t>
                  </w:r>
                </w:p>
              </w:tc>
            </w:tr>
          </w:tbl>
          <w:p w14:paraId="46EE4E83">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rFonts w:hint="default" w:eastAsia="宋体"/>
                <w:b/>
                <w:bCs/>
                <w:color w:val="auto"/>
                <w:sz w:val="26"/>
                <w:szCs w:val="26"/>
                <w:lang w:val="en-US" w:eastAsia="zh-CN"/>
              </w:rPr>
            </w:pPr>
            <w:r>
              <w:rPr>
                <w:rFonts w:hint="eastAsia"/>
                <w:b/>
                <w:bCs/>
                <w:color w:val="auto"/>
                <w:sz w:val="26"/>
                <w:szCs w:val="26"/>
                <w:lang w:val="en-US" w:eastAsia="zh-CN"/>
              </w:rPr>
              <w:t>3.2.2地表水环境</w:t>
            </w:r>
          </w:p>
          <w:p w14:paraId="65E96081">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sz w:val="26"/>
                <w:szCs w:val="26"/>
                <w:lang w:val="en-US" w:eastAsia="zh-CN"/>
              </w:rPr>
            </w:pPr>
            <w:r>
              <w:rPr>
                <w:rFonts w:hint="eastAsia"/>
                <w:color w:val="auto"/>
                <w:sz w:val="26"/>
                <w:szCs w:val="26"/>
                <w:lang w:val="en-US" w:eastAsia="zh-CN"/>
              </w:rPr>
              <w:t>本项目仅涉生活污水，经收集后排入厂区生化池处理后通过市政管网排入农创园污水处理厂，尾水进入嘉陵江。</w:t>
            </w:r>
          </w:p>
          <w:p w14:paraId="0126ACE5">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color w:val="auto"/>
                <w:sz w:val="26"/>
                <w:szCs w:val="26"/>
                <w:lang w:val="en-US" w:eastAsia="zh-CN"/>
              </w:rPr>
            </w:pPr>
          </w:p>
          <w:p w14:paraId="03A17564">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sz w:val="26"/>
                <w:szCs w:val="26"/>
                <w:lang w:val="en-US" w:eastAsia="zh-CN"/>
              </w:rPr>
            </w:pPr>
            <w:r>
              <w:rPr>
                <w:rFonts w:hint="eastAsia"/>
                <w:color w:val="auto"/>
                <w:sz w:val="26"/>
                <w:szCs w:val="26"/>
                <w:lang w:val="en-US" w:eastAsia="zh-CN"/>
              </w:rPr>
              <w:t>表3.2-2  本项目主要环境敏感目标一览表。</w:t>
            </w:r>
          </w:p>
          <w:tbl>
            <w:tblPr>
              <w:tblStyle w:val="17"/>
              <w:tblW w:w="48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
            <w:tblGrid>
              <w:gridCol w:w="471"/>
              <w:gridCol w:w="918"/>
              <w:gridCol w:w="1922"/>
              <w:gridCol w:w="885"/>
              <w:gridCol w:w="1042"/>
              <w:gridCol w:w="1168"/>
              <w:gridCol w:w="1181"/>
            </w:tblGrid>
            <w:tr w14:paraId="6F810065">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369" w:hRule="atLeast"/>
              </w:trPr>
              <w:tc>
                <w:tcPr>
                  <w:tcW w:w="471" w:type="dxa"/>
                  <w:vMerge w:val="restart"/>
                  <w:noWrap w:val="0"/>
                  <w:vAlign w:val="center"/>
                </w:tcPr>
                <w:p w14:paraId="7977E64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2"/>
                      <w:szCs w:val="22"/>
                    </w:rPr>
                  </w:pPr>
                  <w:r>
                    <w:rPr>
                      <w:color w:val="auto"/>
                      <w:sz w:val="22"/>
                      <w:szCs w:val="22"/>
                    </w:rPr>
                    <w:t>序号</w:t>
                  </w:r>
                </w:p>
              </w:tc>
              <w:tc>
                <w:tcPr>
                  <w:tcW w:w="918" w:type="dxa"/>
                  <w:vMerge w:val="restart"/>
                  <w:noWrap w:val="0"/>
                  <w:vAlign w:val="center"/>
                </w:tcPr>
                <w:p w14:paraId="3B28D07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2"/>
                      <w:szCs w:val="22"/>
                    </w:rPr>
                  </w:pPr>
                  <w:r>
                    <w:rPr>
                      <w:color w:val="auto"/>
                      <w:sz w:val="22"/>
                      <w:szCs w:val="22"/>
                    </w:rPr>
                    <w:t>保护</w:t>
                  </w:r>
                </w:p>
                <w:p w14:paraId="2D5B14B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2"/>
                      <w:szCs w:val="22"/>
                    </w:rPr>
                  </w:pPr>
                  <w:r>
                    <w:rPr>
                      <w:color w:val="auto"/>
                      <w:sz w:val="22"/>
                      <w:szCs w:val="22"/>
                    </w:rPr>
                    <w:t>对象</w:t>
                  </w:r>
                </w:p>
              </w:tc>
              <w:tc>
                <w:tcPr>
                  <w:tcW w:w="1922" w:type="dxa"/>
                  <w:vMerge w:val="restart"/>
                  <w:noWrap w:val="0"/>
                  <w:vAlign w:val="center"/>
                </w:tcPr>
                <w:p w14:paraId="18121CF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2"/>
                      <w:szCs w:val="22"/>
                    </w:rPr>
                  </w:pPr>
                  <w:r>
                    <w:rPr>
                      <w:color w:val="auto"/>
                      <w:sz w:val="22"/>
                      <w:szCs w:val="22"/>
                    </w:rPr>
                    <w:t>保护对象特征</w:t>
                  </w:r>
                </w:p>
              </w:tc>
              <w:tc>
                <w:tcPr>
                  <w:tcW w:w="885" w:type="dxa"/>
                  <w:vMerge w:val="restart"/>
                  <w:noWrap w:val="0"/>
                  <w:vAlign w:val="center"/>
                </w:tcPr>
                <w:p w14:paraId="4F7254E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2"/>
                      <w:szCs w:val="22"/>
                    </w:rPr>
                  </w:pPr>
                  <w:r>
                    <w:rPr>
                      <w:color w:val="auto"/>
                      <w:sz w:val="22"/>
                      <w:szCs w:val="22"/>
                    </w:rPr>
                    <w:t>保护内容</w:t>
                  </w:r>
                </w:p>
              </w:tc>
              <w:tc>
                <w:tcPr>
                  <w:tcW w:w="1042" w:type="dxa"/>
                  <w:vMerge w:val="restart"/>
                  <w:noWrap w:val="0"/>
                  <w:vAlign w:val="center"/>
                </w:tcPr>
                <w:p w14:paraId="088CB94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2"/>
                      <w:szCs w:val="22"/>
                    </w:rPr>
                  </w:pPr>
                  <w:r>
                    <w:rPr>
                      <w:color w:val="auto"/>
                      <w:sz w:val="22"/>
                      <w:szCs w:val="22"/>
                    </w:rPr>
                    <w:t>相对厂址方向</w:t>
                  </w:r>
                </w:p>
              </w:tc>
              <w:tc>
                <w:tcPr>
                  <w:tcW w:w="1168" w:type="dxa"/>
                  <w:vMerge w:val="restart"/>
                  <w:noWrap w:val="0"/>
                  <w:vAlign w:val="center"/>
                </w:tcPr>
                <w:p w14:paraId="614EE31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2"/>
                      <w:szCs w:val="22"/>
                    </w:rPr>
                  </w:pPr>
                  <w:r>
                    <w:rPr>
                      <w:color w:val="auto"/>
                      <w:sz w:val="22"/>
                      <w:szCs w:val="22"/>
                    </w:rPr>
                    <w:t>相对厂界距离（</w:t>
                  </w:r>
                  <w:r>
                    <w:rPr>
                      <w:rFonts w:hint="eastAsia"/>
                      <w:color w:val="auto"/>
                      <w:sz w:val="22"/>
                      <w:szCs w:val="22"/>
                      <w:lang w:val="en-US" w:eastAsia="zh-CN"/>
                    </w:rPr>
                    <w:t>k</w:t>
                  </w:r>
                  <w:r>
                    <w:rPr>
                      <w:color w:val="auto"/>
                      <w:sz w:val="22"/>
                      <w:szCs w:val="22"/>
                    </w:rPr>
                    <w:t>m）</w:t>
                  </w:r>
                </w:p>
              </w:tc>
              <w:tc>
                <w:tcPr>
                  <w:tcW w:w="1181" w:type="dxa"/>
                  <w:vMerge w:val="restart"/>
                  <w:noWrap w:val="0"/>
                  <w:vAlign w:val="center"/>
                </w:tcPr>
                <w:p w14:paraId="105851D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2"/>
                      <w:szCs w:val="22"/>
                    </w:rPr>
                  </w:pPr>
                  <w:r>
                    <w:rPr>
                      <w:color w:val="auto"/>
                      <w:sz w:val="22"/>
                      <w:szCs w:val="22"/>
                    </w:rPr>
                    <w:t>环境功能分区</w:t>
                  </w:r>
                </w:p>
              </w:tc>
            </w:tr>
            <w:tr w14:paraId="7309348F">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369" w:hRule="atLeast"/>
              </w:trPr>
              <w:tc>
                <w:tcPr>
                  <w:tcW w:w="471" w:type="dxa"/>
                  <w:vMerge w:val="continue"/>
                  <w:noWrap w:val="0"/>
                  <w:vAlign w:val="center"/>
                </w:tcPr>
                <w:p w14:paraId="4ED6CD4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2"/>
                      <w:szCs w:val="22"/>
                    </w:rPr>
                  </w:pPr>
                </w:p>
              </w:tc>
              <w:tc>
                <w:tcPr>
                  <w:tcW w:w="918" w:type="dxa"/>
                  <w:vMerge w:val="continue"/>
                  <w:noWrap w:val="0"/>
                  <w:vAlign w:val="center"/>
                </w:tcPr>
                <w:p w14:paraId="69E9F0D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2"/>
                      <w:szCs w:val="22"/>
                    </w:rPr>
                  </w:pPr>
                </w:p>
              </w:tc>
              <w:tc>
                <w:tcPr>
                  <w:tcW w:w="1922" w:type="dxa"/>
                  <w:vMerge w:val="continue"/>
                  <w:noWrap w:val="0"/>
                  <w:vAlign w:val="center"/>
                </w:tcPr>
                <w:p w14:paraId="37F9D91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2"/>
                      <w:szCs w:val="22"/>
                    </w:rPr>
                  </w:pPr>
                </w:p>
              </w:tc>
              <w:tc>
                <w:tcPr>
                  <w:tcW w:w="885" w:type="dxa"/>
                  <w:vMerge w:val="continue"/>
                  <w:noWrap w:val="0"/>
                  <w:vAlign w:val="center"/>
                </w:tcPr>
                <w:p w14:paraId="5CC32BD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2"/>
                      <w:szCs w:val="22"/>
                    </w:rPr>
                  </w:pPr>
                </w:p>
              </w:tc>
              <w:tc>
                <w:tcPr>
                  <w:tcW w:w="1042" w:type="dxa"/>
                  <w:vMerge w:val="continue"/>
                  <w:noWrap w:val="0"/>
                  <w:vAlign w:val="center"/>
                </w:tcPr>
                <w:p w14:paraId="59614F8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2"/>
                      <w:szCs w:val="22"/>
                    </w:rPr>
                  </w:pPr>
                </w:p>
              </w:tc>
              <w:tc>
                <w:tcPr>
                  <w:tcW w:w="1168" w:type="dxa"/>
                  <w:vMerge w:val="continue"/>
                  <w:noWrap w:val="0"/>
                  <w:vAlign w:val="center"/>
                </w:tcPr>
                <w:p w14:paraId="0ED036B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2"/>
                      <w:szCs w:val="22"/>
                    </w:rPr>
                  </w:pPr>
                </w:p>
              </w:tc>
              <w:tc>
                <w:tcPr>
                  <w:tcW w:w="1181" w:type="dxa"/>
                  <w:vMerge w:val="continue"/>
                  <w:noWrap w:val="0"/>
                  <w:vAlign w:val="center"/>
                </w:tcPr>
                <w:p w14:paraId="6CAAA68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2"/>
                      <w:szCs w:val="22"/>
                    </w:rPr>
                  </w:pPr>
                </w:p>
              </w:tc>
            </w:tr>
            <w:tr w14:paraId="68F5014A">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369" w:hRule="atLeast"/>
              </w:trPr>
              <w:tc>
                <w:tcPr>
                  <w:tcW w:w="471" w:type="dxa"/>
                  <w:noWrap w:val="0"/>
                  <w:vAlign w:val="center"/>
                </w:tcPr>
                <w:p w14:paraId="27FE8ED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2"/>
                      <w:szCs w:val="22"/>
                    </w:rPr>
                  </w:pPr>
                  <w:r>
                    <w:rPr>
                      <w:rFonts w:hint="eastAsia"/>
                      <w:color w:val="auto"/>
                      <w:sz w:val="22"/>
                      <w:szCs w:val="22"/>
                    </w:rPr>
                    <w:t>1</w:t>
                  </w:r>
                </w:p>
              </w:tc>
              <w:tc>
                <w:tcPr>
                  <w:tcW w:w="918" w:type="dxa"/>
                  <w:noWrap w:val="0"/>
                  <w:vAlign w:val="center"/>
                </w:tcPr>
                <w:p w14:paraId="2BE9569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2"/>
                      <w:szCs w:val="22"/>
                      <w:lang w:val="en-US" w:eastAsia="zh-CN"/>
                    </w:rPr>
                  </w:pPr>
                  <w:r>
                    <w:rPr>
                      <w:rFonts w:hint="eastAsia"/>
                      <w:color w:val="auto"/>
                      <w:sz w:val="22"/>
                      <w:szCs w:val="22"/>
                      <w:lang w:val="en-US" w:eastAsia="zh-CN"/>
                    </w:rPr>
                    <w:t>嘉陵江</w:t>
                  </w:r>
                </w:p>
              </w:tc>
              <w:tc>
                <w:tcPr>
                  <w:tcW w:w="1922" w:type="dxa"/>
                  <w:noWrap w:val="0"/>
                  <w:vAlign w:val="center"/>
                </w:tcPr>
                <w:p w14:paraId="7BA0F14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2"/>
                      <w:szCs w:val="22"/>
                      <w:highlight w:val="none"/>
                    </w:rPr>
                  </w:pPr>
                  <w:r>
                    <w:rPr>
                      <w:rFonts w:hint="eastAsia"/>
                      <w:color w:val="auto"/>
                      <w:sz w:val="22"/>
                      <w:highlight w:val="none"/>
                      <w:lang w:eastAsia="zh-CN"/>
                    </w:rPr>
                    <w:t>Ⅲ</w:t>
                  </w:r>
                  <w:r>
                    <w:rPr>
                      <w:rFonts w:hint="eastAsia"/>
                      <w:color w:val="auto"/>
                      <w:sz w:val="22"/>
                      <w:szCs w:val="22"/>
                      <w:highlight w:val="none"/>
                    </w:rPr>
                    <w:t>类水域功能</w:t>
                  </w:r>
                </w:p>
              </w:tc>
              <w:tc>
                <w:tcPr>
                  <w:tcW w:w="885" w:type="dxa"/>
                  <w:noWrap w:val="0"/>
                  <w:vAlign w:val="center"/>
                </w:tcPr>
                <w:p w14:paraId="332FDF5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2"/>
                      <w:szCs w:val="22"/>
                      <w:highlight w:val="none"/>
                    </w:rPr>
                  </w:pPr>
                  <w:r>
                    <w:rPr>
                      <w:color w:val="auto"/>
                      <w:sz w:val="22"/>
                      <w:szCs w:val="22"/>
                      <w:highlight w:val="none"/>
                    </w:rPr>
                    <w:t>地表水</w:t>
                  </w:r>
                </w:p>
              </w:tc>
              <w:tc>
                <w:tcPr>
                  <w:tcW w:w="1042" w:type="dxa"/>
                  <w:noWrap w:val="0"/>
                  <w:vAlign w:val="center"/>
                </w:tcPr>
                <w:p w14:paraId="0B8CDF0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2"/>
                      <w:szCs w:val="22"/>
                      <w:lang w:eastAsia="zh-CN"/>
                    </w:rPr>
                  </w:pPr>
                  <w:r>
                    <w:rPr>
                      <w:rFonts w:hint="eastAsia"/>
                      <w:color w:val="auto"/>
                      <w:sz w:val="22"/>
                      <w:szCs w:val="22"/>
                      <w:lang w:val="en-US" w:eastAsia="zh-CN"/>
                    </w:rPr>
                    <w:t>西</w:t>
                  </w:r>
                </w:p>
              </w:tc>
              <w:tc>
                <w:tcPr>
                  <w:tcW w:w="1168" w:type="dxa"/>
                  <w:noWrap w:val="0"/>
                  <w:vAlign w:val="center"/>
                </w:tcPr>
                <w:p w14:paraId="6178341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2"/>
                      <w:szCs w:val="22"/>
                      <w:lang w:eastAsia="zh-CN"/>
                    </w:rPr>
                  </w:pPr>
                  <w:r>
                    <w:rPr>
                      <w:rFonts w:hint="eastAsia"/>
                      <w:color w:val="auto"/>
                      <w:sz w:val="22"/>
                      <w:szCs w:val="22"/>
                      <w:lang w:val="en-US" w:eastAsia="zh-CN"/>
                    </w:rPr>
                    <w:t>4</w:t>
                  </w:r>
                </w:p>
              </w:tc>
              <w:tc>
                <w:tcPr>
                  <w:tcW w:w="1181" w:type="dxa"/>
                  <w:noWrap w:val="0"/>
                  <w:vAlign w:val="center"/>
                </w:tcPr>
                <w:p w14:paraId="2470AEC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2"/>
                      <w:szCs w:val="22"/>
                    </w:rPr>
                  </w:pPr>
                  <w:r>
                    <w:rPr>
                      <w:rFonts w:hint="eastAsia"/>
                      <w:color w:val="auto"/>
                      <w:sz w:val="22"/>
                      <w:highlight w:val="none"/>
                      <w:lang w:eastAsia="zh-CN"/>
                    </w:rPr>
                    <w:t>Ⅲ</w:t>
                  </w:r>
                  <w:r>
                    <w:rPr>
                      <w:rFonts w:hint="eastAsia"/>
                      <w:color w:val="auto"/>
                      <w:sz w:val="22"/>
                      <w:szCs w:val="22"/>
                      <w:highlight w:val="none"/>
                    </w:rPr>
                    <w:t>类</w:t>
                  </w:r>
                </w:p>
              </w:tc>
            </w:tr>
          </w:tbl>
          <w:p w14:paraId="72472BDD">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rFonts w:hint="default"/>
                <w:b/>
                <w:bCs/>
                <w:color w:val="auto"/>
                <w:sz w:val="26"/>
                <w:szCs w:val="26"/>
                <w:lang w:val="en-US" w:eastAsia="zh-CN"/>
              </w:rPr>
            </w:pPr>
            <w:r>
              <w:rPr>
                <w:rFonts w:hint="eastAsia"/>
                <w:b/>
                <w:bCs/>
                <w:color w:val="auto"/>
                <w:sz w:val="26"/>
                <w:szCs w:val="26"/>
                <w:lang w:val="en-US" w:eastAsia="zh-CN"/>
              </w:rPr>
              <w:t>3.2.3声环境</w:t>
            </w:r>
          </w:p>
          <w:p w14:paraId="3CED4561">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textAlignment w:val="auto"/>
              <w:rPr>
                <w:rFonts w:hint="default"/>
                <w:color w:val="auto"/>
                <w:sz w:val="26"/>
                <w:szCs w:val="26"/>
                <w:lang w:val="en-US" w:eastAsia="zh-CN"/>
              </w:rPr>
            </w:pPr>
            <w:r>
              <w:rPr>
                <w:rFonts w:hint="default"/>
                <w:color w:val="auto"/>
                <w:sz w:val="26"/>
                <w:szCs w:val="26"/>
                <w:lang w:val="en-US" w:eastAsia="zh-CN"/>
              </w:rPr>
              <w:t>本项目厂界外50m范围内无声环境保护目标。</w:t>
            </w:r>
          </w:p>
          <w:p w14:paraId="206CC707">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rFonts w:hint="eastAsia"/>
                <w:b/>
                <w:bCs/>
                <w:color w:val="auto"/>
                <w:sz w:val="26"/>
                <w:szCs w:val="26"/>
                <w:lang w:val="en-US" w:eastAsia="zh-CN"/>
              </w:rPr>
            </w:pPr>
            <w:r>
              <w:rPr>
                <w:rFonts w:hint="eastAsia"/>
                <w:b/>
                <w:bCs/>
                <w:color w:val="auto"/>
                <w:sz w:val="26"/>
                <w:szCs w:val="26"/>
                <w:lang w:val="en-US" w:eastAsia="zh-CN"/>
              </w:rPr>
              <w:t>3.2.4地下水环境</w:t>
            </w:r>
          </w:p>
          <w:p w14:paraId="0F1EC257">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textAlignment w:val="auto"/>
              <w:rPr>
                <w:rFonts w:hint="default"/>
                <w:color w:val="auto"/>
                <w:sz w:val="26"/>
                <w:szCs w:val="26"/>
                <w:lang w:val="en-US" w:eastAsia="zh-CN"/>
              </w:rPr>
            </w:pPr>
            <w:r>
              <w:rPr>
                <w:rFonts w:hint="default"/>
                <w:color w:val="auto"/>
                <w:sz w:val="26"/>
                <w:szCs w:val="26"/>
                <w:lang w:val="en-US" w:eastAsia="zh-CN"/>
              </w:rPr>
              <w:t>厂界外500m范围内的无地下水集中式饮用水源和热水、矿泉水、温泉等特殊地下水资源。</w:t>
            </w:r>
          </w:p>
          <w:p w14:paraId="3FA85DB6">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rFonts w:hint="eastAsia"/>
                <w:b/>
                <w:bCs/>
                <w:color w:val="auto"/>
                <w:sz w:val="26"/>
                <w:szCs w:val="26"/>
                <w:lang w:val="en-US" w:eastAsia="zh-CN"/>
              </w:rPr>
            </w:pPr>
            <w:r>
              <w:rPr>
                <w:rFonts w:hint="eastAsia"/>
                <w:b/>
                <w:bCs/>
                <w:color w:val="auto"/>
                <w:sz w:val="26"/>
                <w:szCs w:val="26"/>
                <w:lang w:val="en-US" w:eastAsia="zh-CN"/>
              </w:rPr>
              <w:t>3.2.5生态环境</w:t>
            </w:r>
          </w:p>
          <w:p w14:paraId="3BAEF516">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textAlignment w:val="auto"/>
              <w:rPr>
                <w:rFonts w:hint="default"/>
                <w:color w:val="auto"/>
                <w:sz w:val="26"/>
                <w:szCs w:val="26"/>
                <w:lang w:val="en-US" w:eastAsia="zh-CN"/>
              </w:rPr>
            </w:pPr>
            <w:r>
              <w:rPr>
                <w:rFonts w:hint="eastAsia"/>
                <w:color w:val="auto"/>
                <w:sz w:val="26"/>
                <w:szCs w:val="26"/>
                <w:lang w:val="en-US" w:eastAsia="zh-CN"/>
              </w:rPr>
              <w:t>本项目租赁博盟汽车科技（重庆）有限公司3号厂房一层西侧部分区域，不涉及新增用地，无需进行生态环境保护目标评价。</w:t>
            </w:r>
          </w:p>
        </w:tc>
      </w:tr>
      <w:tr w14:paraId="77AD0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456" w:type="dxa"/>
            <w:vAlign w:val="center"/>
          </w:tcPr>
          <w:p w14:paraId="6D3482C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6"/>
                <w:szCs w:val="26"/>
                <w:vertAlign w:val="baseline"/>
                <w:lang w:val="en-US" w:eastAsia="zh-CN"/>
              </w:rPr>
            </w:pPr>
            <w:r>
              <w:rPr>
                <w:rFonts w:hint="default"/>
                <w:color w:val="auto"/>
                <w:sz w:val="26"/>
                <w:szCs w:val="26"/>
                <w:vertAlign w:val="baseline"/>
                <w:lang w:val="en-US" w:eastAsia="zh-CN"/>
              </w:rPr>
              <w:t>污染物排放标准</w:t>
            </w:r>
          </w:p>
        </w:tc>
        <w:tc>
          <w:tcPr>
            <w:tcW w:w="8049" w:type="dxa"/>
            <w:vAlign w:val="top"/>
          </w:tcPr>
          <w:p w14:paraId="67175A5D">
            <w:pPr>
              <w:pStyle w:val="3"/>
              <w:pageBreakBefore w:val="0"/>
              <w:widowControl w:val="0"/>
              <w:kinsoku/>
              <w:wordWrap/>
              <w:overflowPunct/>
              <w:topLinePunct w:val="0"/>
              <w:autoSpaceDE/>
              <w:autoSpaceDN/>
              <w:bidi w:val="0"/>
              <w:snapToGrid/>
              <w:spacing w:beforeLines="0" w:afterLines="0" w:line="460" w:lineRule="exact"/>
              <w:jc w:val="left"/>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3.3污染物排放标准</w:t>
            </w:r>
          </w:p>
          <w:p w14:paraId="50431B83">
            <w:pPr>
              <w:pStyle w:val="4"/>
              <w:pageBreakBefore w:val="0"/>
              <w:widowControl w:val="0"/>
              <w:kinsoku/>
              <w:wordWrap/>
              <w:overflowPunct/>
              <w:topLinePunct w:val="0"/>
              <w:autoSpaceDE/>
              <w:autoSpaceDN/>
              <w:bidi w:val="0"/>
              <w:snapToGrid/>
              <w:spacing w:beforeLines="0" w:afterLines="0" w:line="460" w:lineRule="exact"/>
              <w:jc w:val="left"/>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3.3.1大气污染物排放标准</w:t>
            </w:r>
          </w:p>
          <w:p w14:paraId="166C0E74">
            <w:pPr>
              <w:pageBreakBefore w:val="0"/>
              <w:widowControl w:val="0"/>
              <w:kinsoku/>
              <w:wordWrap/>
              <w:overflowPunct/>
              <w:topLinePunct w:val="0"/>
              <w:autoSpaceDE/>
              <w:autoSpaceDN/>
              <w:bidi w:val="0"/>
              <w:snapToGrid/>
              <w:spacing w:line="460" w:lineRule="exact"/>
              <w:jc w:val="both"/>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本项目属于</w:t>
            </w:r>
            <w:r>
              <w:rPr>
                <w:rFonts w:hint="eastAsia" w:ascii="Times New Roman" w:hAnsi="Times New Roman" w:eastAsia="宋体" w:cs="Times New Roman"/>
                <w:color w:val="auto"/>
                <w:sz w:val="26"/>
                <w:szCs w:val="26"/>
                <w:lang w:val="en-US" w:eastAsia="zh-CN"/>
              </w:rPr>
              <w:t>玻璃纤维及制品制造业</w:t>
            </w:r>
            <w:r>
              <w:rPr>
                <w:rFonts w:hint="default" w:ascii="Times New Roman" w:hAnsi="Times New Roman" w:eastAsia="宋体" w:cs="Times New Roman"/>
                <w:color w:val="auto"/>
                <w:sz w:val="26"/>
                <w:szCs w:val="26"/>
                <w:lang w:val="en-US" w:eastAsia="zh-CN"/>
              </w:rPr>
              <w:t>。营运期</w:t>
            </w:r>
            <w:r>
              <w:rPr>
                <w:rFonts w:hint="eastAsia" w:ascii="Times New Roman" w:hAnsi="Times New Roman" w:eastAsia="宋体" w:cs="Times New Roman"/>
                <w:color w:val="auto"/>
                <w:sz w:val="26"/>
                <w:szCs w:val="26"/>
                <w:lang w:val="en-US" w:eastAsia="zh-CN"/>
              </w:rPr>
              <w:t>生产</w:t>
            </w:r>
            <w:r>
              <w:rPr>
                <w:rFonts w:hint="default" w:ascii="Times New Roman" w:hAnsi="Times New Roman" w:eastAsia="宋体" w:cs="Times New Roman"/>
                <w:color w:val="auto"/>
                <w:sz w:val="26"/>
                <w:szCs w:val="26"/>
                <w:lang w:val="en-US" w:eastAsia="zh-CN"/>
              </w:rPr>
              <w:t>废气中主要污染因子为颗粒物。项目有组织排放废气执行</w:t>
            </w:r>
            <w:r>
              <w:rPr>
                <w:rFonts w:hint="eastAsia" w:cs="Times New Roman"/>
                <w:color w:val="auto"/>
                <w:sz w:val="26"/>
                <w:szCs w:val="26"/>
                <w:lang w:val="en-US" w:eastAsia="zh-CN"/>
              </w:rPr>
              <w:t>重庆市</w:t>
            </w:r>
            <w:r>
              <w:rPr>
                <w:rFonts w:hint="default" w:ascii="Times New Roman" w:hAnsi="Times New Roman" w:eastAsia="宋体" w:cs="Times New Roman"/>
                <w:color w:val="auto"/>
                <w:sz w:val="26"/>
                <w:szCs w:val="26"/>
                <w:lang w:val="en-US" w:eastAsia="zh-CN"/>
              </w:rPr>
              <w:t>《</w:t>
            </w:r>
            <w:r>
              <w:rPr>
                <w:rFonts w:hint="eastAsia" w:ascii="Times New Roman" w:hAnsi="Times New Roman" w:eastAsia="宋体" w:cs="Times New Roman"/>
                <w:color w:val="auto"/>
                <w:sz w:val="26"/>
                <w:szCs w:val="26"/>
                <w:lang w:val="en-US" w:eastAsia="zh-CN"/>
              </w:rPr>
              <w:t>玻璃工业大气污染物</w:t>
            </w:r>
            <w:r>
              <w:rPr>
                <w:rFonts w:hint="default" w:ascii="Times New Roman" w:hAnsi="Times New Roman" w:eastAsia="宋体" w:cs="Times New Roman"/>
                <w:color w:val="auto"/>
                <w:sz w:val="26"/>
                <w:szCs w:val="26"/>
                <w:lang w:val="en-US" w:eastAsia="zh-CN"/>
              </w:rPr>
              <w:t>排放标准》（DB50/1546-2023）</w:t>
            </w:r>
            <w:r>
              <w:rPr>
                <w:rFonts w:hint="eastAsia" w:ascii="Times New Roman" w:hAnsi="Times New Roman" w:eastAsia="宋体" w:cs="Times New Roman"/>
                <w:color w:val="auto"/>
                <w:sz w:val="26"/>
                <w:szCs w:val="26"/>
                <w:lang w:val="en-US" w:eastAsia="zh-CN"/>
              </w:rPr>
              <w:t>限值要求</w:t>
            </w:r>
            <w:r>
              <w:rPr>
                <w:rFonts w:hint="default" w:ascii="Times New Roman" w:hAnsi="Times New Roman" w:eastAsia="宋体" w:cs="Times New Roman"/>
                <w:color w:val="auto"/>
                <w:sz w:val="26"/>
                <w:szCs w:val="26"/>
                <w:lang w:val="en-US" w:eastAsia="zh-CN"/>
              </w:rPr>
              <w:t>，</w:t>
            </w:r>
            <w:r>
              <w:rPr>
                <w:rFonts w:hint="eastAsia" w:ascii="Times New Roman" w:hAnsi="Times New Roman" w:eastAsia="宋体" w:cs="Times New Roman"/>
                <w:color w:val="auto"/>
                <w:sz w:val="26"/>
                <w:szCs w:val="26"/>
                <w:lang w:val="en-US" w:eastAsia="zh-CN"/>
              </w:rPr>
              <w:t>厂内颗粒物</w:t>
            </w:r>
            <w:r>
              <w:rPr>
                <w:rFonts w:hint="default" w:ascii="Times New Roman" w:hAnsi="Times New Roman" w:eastAsia="宋体" w:cs="Times New Roman"/>
                <w:color w:val="auto"/>
                <w:sz w:val="26"/>
                <w:szCs w:val="26"/>
                <w:lang w:val="en-US" w:eastAsia="zh-CN"/>
              </w:rPr>
              <w:t>的无组织排放执行《</w:t>
            </w:r>
            <w:r>
              <w:rPr>
                <w:rFonts w:hint="eastAsia" w:ascii="Times New Roman" w:hAnsi="Times New Roman" w:eastAsia="宋体" w:cs="Times New Roman"/>
                <w:color w:val="auto"/>
                <w:sz w:val="26"/>
                <w:szCs w:val="26"/>
                <w:lang w:val="en-US" w:eastAsia="zh-CN"/>
              </w:rPr>
              <w:t>玻璃工业大气污染物</w:t>
            </w:r>
            <w:r>
              <w:rPr>
                <w:rFonts w:hint="default" w:ascii="Times New Roman" w:hAnsi="Times New Roman" w:eastAsia="宋体" w:cs="Times New Roman"/>
                <w:color w:val="auto"/>
                <w:sz w:val="26"/>
                <w:szCs w:val="26"/>
                <w:lang w:val="en-US" w:eastAsia="zh-CN"/>
              </w:rPr>
              <w:t>排放标准》（DB50/1546-2023）表</w:t>
            </w:r>
            <w:r>
              <w:rPr>
                <w:rFonts w:hint="eastAsia" w:ascii="Times New Roman" w:hAnsi="Times New Roman" w:eastAsia="宋体" w:cs="Times New Roman"/>
                <w:color w:val="auto"/>
                <w:sz w:val="26"/>
                <w:szCs w:val="26"/>
                <w:lang w:val="en-US" w:eastAsia="zh-CN"/>
              </w:rPr>
              <w:t>B.</w:t>
            </w:r>
            <w:r>
              <w:rPr>
                <w:rFonts w:hint="default" w:ascii="Times New Roman" w:hAnsi="Times New Roman" w:eastAsia="宋体" w:cs="Times New Roman"/>
                <w:color w:val="auto"/>
                <w:sz w:val="26"/>
                <w:szCs w:val="26"/>
                <w:lang w:val="en-US" w:eastAsia="zh-CN"/>
              </w:rPr>
              <w:t>1无组织排放监控点浓度限值。</w:t>
            </w:r>
          </w:p>
          <w:p w14:paraId="0E58CA40">
            <w:pPr>
              <w:pageBreakBefore w:val="0"/>
              <w:widowControl w:val="0"/>
              <w:kinsoku/>
              <w:wordWrap/>
              <w:overflowPunct/>
              <w:topLinePunct w:val="0"/>
              <w:autoSpaceDE/>
              <w:autoSpaceDN/>
              <w:bidi w:val="0"/>
              <w:snapToGrid/>
              <w:spacing w:line="460" w:lineRule="exact"/>
              <w:jc w:val="both"/>
              <w:rPr>
                <w:rFonts w:hint="default" w:ascii="Times New Roman" w:hAnsi="Times New Roman" w:eastAsia="宋体" w:cs="Times New Roman"/>
                <w:color w:val="auto"/>
                <w:sz w:val="26"/>
                <w:szCs w:val="26"/>
                <w:lang w:val="en-US" w:eastAsia="zh-CN"/>
              </w:rPr>
            </w:pPr>
          </w:p>
          <w:p w14:paraId="672DAF80">
            <w:pPr>
              <w:pStyle w:val="27"/>
              <w:pageBreakBefore w:val="0"/>
              <w:widowControl w:val="0"/>
              <w:kinsoku/>
              <w:wordWrap/>
              <w:overflowPunct/>
              <w:topLinePunct w:val="0"/>
              <w:autoSpaceDE/>
              <w:autoSpaceDN/>
              <w:bidi w:val="0"/>
              <w:snapToGrid/>
              <w:spacing w:line="460" w:lineRule="exact"/>
              <w:ind w:firstLine="520" w:firstLineChars="200"/>
              <w:jc w:val="both"/>
              <w:rPr>
                <w:rFonts w:hint="default" w:ascii="Times New Roman" w:hAnsi="Times New Roman" w:eastAsia="宋体" w:cs="Times New Roman"/>
                <w:color w:val="auto"/>
                <w:sz w:val="26"/>
                <w:szCs w:val="26"/>
                <w:vertAlign w:val="superscript"/>
                <w:lang w:val="en-US" w:eastAsia="zh-CN"/>
              </w:rPr>
            </w:pPr>
            <w:r>
              <w:rPr>
                <w:rFonts w:hint="default" w:ascii="Times New Roman" w:hAnsi="Times New Roman" w:eastAsia="宋体" w:cs="Times New Roman"/>
                <w:color w:val="auto"/>
                <w:sz w:val="26"/>
                <w:szCs w:val="26"/>
                <w:lang w:val="en-US" w:eastAsia="zh-CN"/>
              </w:rPr>
              <w:t xml:space="preserve">表3.3-1 </w:t>
            </w:r>
            <w:r>
              <w:rPr>
                <w:rFonts w:hint="eastAsia" w:ascii="Times New Roman" w:hAnsi="Times New Roman" w:eastAsia="宋体" w:cs="Times New Roman"/>
                <w:color w:val="auto"/>
                <w:sz w:val="26"/>
                <w:szCs w:val="26"/>
                <w:lang w:val="en-US" w:eastAsia="zh-CN"/>
              </w:rPr>
              <w:t xml:space="preserve">    </w:t>
            </w:r>
            <w:r>
              <w:rPr>
                <w:rFonts w:hint="default" w:ascii="Times New Roman" w:hAnsi="Times New Roman" w:eastAsia="宋体" w:cs="Times New Roman"/>
                <w:color w:val="auto"/>
                <w:sz w:val="26"/>
                <w:szCs w:val="26"/>
                <w:lang w:val="en-US" w:eastAsia="zh-CN"/>
              </w:rPr>
              <w:t xml:space="preserve"> 大气污染物排放限值  单位：mg/m</w:t>
            </w:r>
            <w:r>
              <w:rPr>
                <w:rFonts w:hint="default" w:ascii="Times New Roman" w:hAnsi="Times New Roman" w:eastAsia="宋体" w:cs="Times New Roman"/>
                <w:color w:val="auto"/>
                <w:sz w:val="26"/>
                <w:szCs w:val="26"/>
                <w:vertAlign w:val="superscript"/>
                <w:lang w:val="en-US" w:eastAsia="zh-CN"/>
              </w:rPr>
              <w:t>3</w:t>
            </w:r>
          </w:p>
          <w:tbl>
            <w:tblPr>
              <w:tblStyle w:val="18"/>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793"/>
              <w:gridCol w:w="1843"/>
              <w:gridCol w:w="1350"/>
              <w:gridCol w:w="943"/>
              <w:gridCol w:w="1920"/>
            </w:tblGrid>
            <w:tr w14:paraId="608BB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9" w:type="dxa"/>
                  <w:vAlign w:val="center"/>
                </w:tcPr>
                <w:p w14:paraId="4EFB5824">
                  <w:pPr>
                    <w:pStyle w:val="26"/>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ajorEastAsia"/>
                      <w:color w:val="auto"/>
                      <w:sz w:val="22"/>
                      <w:szCs w:val="22"/>
                      <w:lang w:val="en-US" w:eastAsia="zh-CN"/>
                    </w:rPr>
                  </w:pPr>
                  <w:r>
                    <w:rPr>
                      <w:rFonts w:hint="default" w:ascii="Times New Roman" w:hAnsi="Times New Roman" w:cs="Times New Roman" w:eastAsiaTheme="majorEastAsia"/>
                      <w:color w:val="auto"/>
                      <w:sz w:val="22"/>
                      <w:szCs w:val="22"/>
                      <w:lang w:eastAsia="zh-CN"/>
                    </w:rPr>
                    <w:t>污染源</w:t>
                  </w:r>
                </w:p>
              </w:tc>
              <w:tc>
                <w:tcPr>
                  <w:tcW w:w="793" w:type="dxa"/>
                  <w:vAlign w:val="center"/>
                </w:tcPr>
                <w:p w14:paraId="5B35846D">
                  <w:pPr>
                    <w:pStyle w:val="26"/>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ajorEastAsia"/>
                      <w:color w:val="auto"/>
                      <w:sz w:val="22"/>
                      <w:szCs w:val="22"/>
                      <w:lang w:val="en-US" w:eastAsia="zh-CN"/>
                    </w:rPr>
                  </w:pPr>
                  <w:r>
                    <w:rPr>
                      <w:rFonts w:hint="eastAsia" w:cs="Times New Roman" w:eastAsiaTheme="majorEastAsia"/>
                      <w:color w:val="auto"/>
                      <w:sz w:val="22"/>
                      <w:szCs w:val="22"/>
                      <w:lang w:val="en-US" w:eastAsia="zh-CN"/>
                    </w:rPr>
                    <w:t>适用条件</w:t>
                  </w:r>
                </w:p>
              </w:tc>
              <w:tc>
                <w:tcPr>
                  <w:tcW w:w="1843" w:type="dxa"/>
                  <w:vAlign w:val="center"/>
                </w:tcPr>
                <w:p w14:paraId="21328F7A">
                  <w:pPr>
                    <w:pStyle w:val="26"/>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ajorEastAsia"/>
                      <w:color w:val="auto"/>
                      <w:sz w:val="22"/>
                      <w:szCs w:val="22"/>
                      <w:lang w:val="en-US" w:eastAsia="zh-CN"/>
                    </w:rPr>
                  </w:pPr>
                  <w:r>
                    <w:rPr>
                      <w:rFonts w:hint="default" w:ascii="Times New Roman" w:hAnsi="Times New Roman" w:cs="Times New Roman" w:eastAsiaTheme="majorEastAsia"/>
                      <w:color w:val="auto"/>
                      <w:sz w:val="22"/>
                      <w:szCs w:val="22"/>
                      <w:lang w:val="en-US" w:eastAsia="zh-CN"/>
                    </w:rPr>
                    <w:t>原料称量、配料、碎玻璃及其他通风生产设施</w:t>
                  </w:r>
                </w:p>
              </w:tc>
              <w:tc>
                <w:tcPr>
                  <w:tcW w:w="1350" w:type="dxa"/>
                  <w:vAlign w:val="center"/>
                </w:tcPr>
                <w:p w14:paraId="224656A0">
                  <w:pPr>
                    <w:pStyle w:val="26"/>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ajorEastAsia"/>
                      <w:color w:val="auto"/>
                      <w:sz w:val="22"/>
                      <w:szCs w:val="22"/>
                      <w:lang w:val="en-US" w:eastAsia="zh-CN"/>
                    </w:rPr>
                  </w:pPr>
                  <w:r>
                    <w:rPr>
                      <w:rFonts w:hint="eastAsia" w:cs="Times New Roman" w:eastAsiaTheme="majorEastAsia"/>
                      <w:color w:val="auto"/>
                      <w:sz w:val="22"/>
                      <w:szCs w:val="22"/>
                      <w:lang w:val="en-US" w:eastAsia="zh-CN"/>
                    </w:rPr>
                    <w:t>污染物排放监控位置</w:t>
                  </w:r>
                </w:p>
              </w:tc>
              <w:tc>
                <w:tcPr>
                  <w:tcW w:w="943" w:type="dxa"/>
                  <w:vAlign w:val="center"/>
                </w:tcPr>
                <w:p w14:paraId="2ED7CFC1">
                  <w:pPr>
                    <w:pStyle w:val="26"/>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ajorEastAsia"/>
                      <w:color w:val="auto"/>
                      <w:sz w:val="22"/>
                      <w:szCs w:val="22"/>
                      <w:lang w:val="en-US" w:eastAsia="zh-CN"/>
                    </w:rPr>
                  </w:pPr>
                  <w:r>
                    <w:rPr>
                      <w:rFonts w:hint="eastAsia" w:cs="Times New Roman" w:eastAsiaTheme="majorEastAsia"/>
                      <w:color w:val="auto"/>
                      <w:sz w:val="22"/>
                      <w:szCs w:val="22"/>
                      <w:lang w:val="en-US" w:eastAsia="zh-CN"/>
                    </w:rPr>
                    <w:t>排气筒高度</w:t>
                  </w:r>
                </w:p>
              </w:tc>
              <w:tc>
                <w:tcPr>
                  <w:tcW w:w="1920" w:type="dxa"/>
                  <w:vAlign w:val="center"/>
                </w:tcPr>
                <w:p w14:paraId="46F793EA">
                  <w:pPr>
                    <w:pStyle w:val="26"/>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ajorEastAsia"/>
                      <w:color w:val="auto"/>
                      <w:sz w:val="22"/>
                      <w:szCs w:val="22"/>
                      <w:lang w:val="en-US" w:eastAsia="zh-CN"/>
                    </w:rPr>
                  </w:pPr>
                  <w:r>
                    <w:rPr>
                      <w:rFonts w:hint="default" w:ascii="Times New Roman" w:hAnsi="Times New Roman" w:cs="Times New Roman" w:eastAsiaTheme="majorEastAsia"/>
                      <w:color w:val="auto"/>
                      <w:sz w:val="22"/>
                      <w:szCs w:val="22"/>
                      <w:lang w:eastAsia="zh-CN"/>
                    </w:rPr>
                    <w:t>执行标准</w:t>
                  </w:r>
                </w:p>
              </w:tc>
            </w:tr>
            <w:tr w14:paraId="7EE7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9" w:type="dxa"/>
                  <w:vAlign w:val="center"/>
                </w:tcPr>
                <w:p w14:paraId="33F3A00A">
                  <w:pPr>
                    <w:pStyle w:val="26"/>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ajorEastAsia"/>
                      <w:color w:val="auto"/>
                      <w:sz w:val="22"/>
                      <w:szCs w:val="22"/>
                      <w:lang w:val="en-US" w:eastAsia="zh-CN"/>
                    </w:rPr>
                  </w:pPr>
                  <w:r>
                    <w:rPr>
                      <w:rFonts w:hint="eastAsia" w:cs="Times New Roman" w:eastAsiaTheme="majorEastAsia"/>
                      <w:color w:val="auto"/>
                      <w:sz w:val="22"/>
                      <w:szCs w:val="22"/>
                      <w:lang w:val="en-US" w:eastAsia="zh-CN"/>
                    </w:rPr>
                    <w:t>颗粒物</w:t>
                  </w:r>
                </w:p>
              </w:tc>
              <w:tc>
                <w:tcPr>
                  <w:tcW w:w="793" w:type="dxa"/>
                  <w:vAlign w:val="center"/>
                </w:tcPr>
                <w:p w14:paraId="67D3603E">
                  <w:pPr>
                    <w:pStyle w:val="26"/>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ajorEastAsia"/>
                      <w:color w:val="auto"/>
                      <w:sz w:val="22"/>
                      <w:szCs w:val="22"/>
                      <w:lang w:val="en-US" w:eastAsia="zh-CN"/>
                    </w:rPr>
                  </w:pPr>
                  <w:r>
                    <w:rPr>
                      <w:rFonts w:hint="eastAsia" w:cs="Times New Roman" w:eastAsiaTheme="majorEastAsia"/>
                      <w:color w:val="auto"/>
                      <w:sz w:val="22"/>
                      <w:szCs w:val="22"/>
                      <w:lang w:val="en-US" w:eastAsia="zh-CN"/>
                    </w:rPr>
                    <w:t>全部</w:t>
                  </w:r>
                </w:p>
              </w:tc>
              <w:tc>
                <w:tcPr>
                  <w:tcW w:w="1843" w:type="dxa"/>
                  <w:vAlign w:val="center"/>
                </w:tcPr>
                <w:p w14:paraId="0FFDC79C">
                  <w:pPr>
                    <w:pStyle w:val="26"/>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eastAsiaTheme="majorEastAsia"/>
                      <w:color w:val="auto"/>
                      <w:sz w:val="22"/>
                      <w:szCs w:val="22"/>
                      <w:lang w:val="en-US" w:eastAsia="zh-CN"/>
                    </w:rPr>
                  </w:pPr>
                  <w:r>
                    <w:rPr>
                      <w:rFonts w:hint="eastAsia" w:cs="Times New Roman" w:eastAsiaTheme="majorEastAsia"/>
                      <w:color w:val="auto"/>
                      <w:sz w:val="22"/>
                      <w:szCs w:val="22"/>
                      <w:lang w:val="en-US" w:eastAsia="zh-CN"/>
                    </w:rPr>
                    <w:t>20</w:t>
                  </w:r>
                </w:p>
              </w:tc>
              <w:tc>
                <w:tcPr>
                  <w:tcW w:w="1350" w:type="dxa"/>
                  <w:vAlign w:val="center"/>
                </w:tcPr>
                <w:p w14:paraId="027B72A8">
                  <w:pPr>
                    <w:pStyle w:val="26"/>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ajorEastAsia"/>
                      <w:color w:val="auto"/>
                      <w:sz w:val="22"/>
                      <w:szCs w:val="22"/>
                      <w:lang w:val="en-US" w:eastAsia="zh-CN"/>
                    </w:rPr>
                  </w:pPr>
                  <w:r>
                    <w:rPr>
                      <w:rFonts w:hint="eastAsia" w:cs="Times New Roman" w:eastAsiaTheme="majorEastAsia"/>
                      <w:color w:val="auto"/>
                      <w:sz w:val="22"/>
                      <w:szCs w:val="22"/>
                      <w:lang w:val="en-US" w:eastAsia="zh-CN"/>
                    </w:rPr>
                    <w:t>车间或生产设施排气筒</w:t>
                  </w:r>
                </w:p>
              </w:tc>
              <w:tc>
                <w:tcPr>
                  <w:tcW w:w="943" w:type="dxa"/>
                  <w:vAlign w:val="center"/>
                </w:tcPr>
                <w:p w14:paraId="6F49DA5A">
                  <w:pPr>
                    <w:pStyle w:val="26"/>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eastAsiaTheme="majorEastAsia"/>
                      <w:color w:val="auto"/>
                      <w:sz w:val="22"/>
                      <w:szCs w:val="22"/>
                      <w:lang w:val="en-US" w:eastAsia="zh-CN"/>
                    </w:rPr>
                  </w:pPr>
                  <w:r>
                    <w:rPr>
                      <w:rFonts w:hint="eastAsia" w:cs="Times New Roman" w:eastAsiaTheme="majorEastAsia"/>
                      <w:color w:val="auto"/>
                      <w:sz w:val="22"/>
                      <w:szCs w:val="22"/>
                      <w:lang w:val="en-US" w:eastAsia="zh-CN"/>
                    </w:rPr>
                    <w:t>≥15m</w:t>
                  </w:r>
                </w:p>
              </w:tc>
              <w:tc>
                <w:tcPr>
                  <w:tcW w:w="1920" w:type="dxa"/>
                  <w:vAlign w:val="center"/>
                </w:tcPr>
                <w:p w14:paraId="5C4E45C0">
                  <w:pPr>
                    <w:pStyle w:val="26"/>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ajorEastAsia"/>
                      <w:color w:val="auto"/>
                      <w:sz w:val="22"/>
                      <w:szCs w:val="22"/>
                      <w:lang w:val="en-US" w:eastAsia="zh-CN"/>
                    </w:rPr>
                  </w:pPr>
                  <w:r>
                    <w:rPr>
                      <w:rFonts w:hint="default" w:ascii="Times New Roman" w:hAnsi="Times New Roman" w:cs="Times New Roman" w:eastAsiaTheme="majorEastAsia"/>
                      <w:color w:val="auto"/>
                      <w:sz w:val="22"/>
                      <w:szCs w:val="22"/>
                      <w:lang w:val="en-US" w:eastAsia="zh-CN"/>
                    </w:rPr>
                    <w:t>《玻璃工业大气污染物排放标准》（DB50/1546-2023</w:t>
                  </w:r>
                  <w:r>
                    <w:rPr>
                      <w:rFonts w:hint="eastAsia" w:cs="Times New Roman" w:eastAsiaTheme="majorEastAsia"/>
                      <w:color w:val="auto"/>
                      <w:sz w:val="22"/>
                      <w:szCs w:val="22"/>
                      <w:lang w:val="en-US" w:eastAsia="zh-CN"/>
                    </w:rPr>
                    <w:t>）</w:t>
                  </w:r>
                </w:p>
              </w:tc>
            </w:tr>
          </w:tbl>
          <w:p w14:paraId="209EE318">
            <w:pPr>
              <w:rPr>
                <w:color w:val="auto"/>
              </w:rPr>
            </w:pPr>
          </w:p>
          <w:p w14:paraId="15D8870C">
            <w:pPr>
              <w:rPr>
                <w:rFonts w:hint="default" w:eastAsia="宋体"/>
                <w:color w:val="auto"/>
                <w:sz w:val="26"/>
                <w:szCs w:val="26"/>
                <w:lang w:val="en-US" w:eastAsia="zh-CN"/>
              </w:rPr>
            </w:pPr>
            <w:r>
              <w:rPr>
                <w:rFonts w:hint="eastAsia"/>
                <w:color w:val="auto"/>
                <w:sz w:val="26"/>
                <w:szCs w:val="26"/>
                <w:lang w:val="en-US" w:eastAsia="zh-CN"/>
              </w:rPr>
              <w:t>表3.3-2    厂区内无组织废气排放标准限值   单位：</w:t>
            </w:r>
            <w:r>
              <w:rPr>
                <w:rFonts w:hint="default" w:ascii="Times New Roman" w:hAnsi="Times New Roman" w:eastAsia="宋体" w:cs="Times New Roman"/>
                <w:color w:val="auto"/>
                <w:sz w:val="26"/>
                <w:szCs w:val="26"/>
                <w:lang w:val="en-US" w:eastAsia="zh-CN"/>
              </w:rPr>
              <w:t>mg/m</w:t>
            </w:r>
            <w:r>
              <w:rPr>
                <w:rFonts w:hint="default" w:ascii="Times New Roman" w:hAnsi="Times New Roman" w:eastAsia="宋体" w:cs="Times New Roman"/>
                <w:color w:val="auto"/>
                <w:sz w:val="26"/>
                <w:szCs w:val="26"/>
                <w:vertAlign w:val="superscript"/>
                <w:lang w:val="en-US" w:eastAsia="zh-CN"/>
              </w:rPr>
              <w:t>3</w:t>
            </w:r>
          </w:p>
          <w:tbl>
            <w:tblPr>
              <w:tblStyle w:val="18"/>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1256"/>
              <w:gridCol w:w="2744"/>
              <w:gridCol w:w="2562"/>
            </w:tblGrid>
            <w:tr w14:paraId="18EE0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4" w:type="dxa"/>
                  <w:vAlign w:val="center"/>
                </w:tcPr>
                <w:p w14:paraId="6B9B5ED7">
                  <w:pPr>
                    <w:pStyle w:val="26"/>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ajorEastAsia"/>
                      <w:color w:val="auto"/>
                      <w:kern w:val="2"/>
                      <w:sz w:val="22"/>
                      <w:szCs w:val="22"/>
                      <w:lang w:val="en-US" w:eastAsia="zh-CN" w:bidi="ar-SA"/>
                    </w:rPr>
                  </w:pPr>
                  <w:r>
                    <w:rPr>
                      <w:rFonts w:hint="eastAsia" w:cs="Times New Roman" w:eastAsiaTheme="majorEastAsia"/>
                      <w:color w:val="auto"/>
                      <w:kern w:val="2"/>
                      <w:sz w:val="22"/>
                      <w:szCs w:val="22"/>
                      <w:lang w:val="en-US" w:eastAsia="zh-CN" w:bidi="ar-SA"/>
                    </w:rPr>
                    <w:t>污染物</w:t>
                  </w:r>
                </w:p>
              </w:tc>
              <w:tc>
                <w:tcPr>
                  <w:tcW w:w="1167" w:type="dxa"/>
                  <w:vAlign w:val="center"/>
                </w:tcPr>
                <w:p w14:paraId="29AFA636">
                  <w:pPr>
                    <w:pStyle w:val="26"/>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ajorEastAsia"/>
                      <w:color w:val="auto"/>
                      <w:sz w:val="22"/>
                      <w:szCs w:val="22"/>
                      <w:lang w:val="en-US" w:eastAsia="zh-CN"/>
                    </w:rPr>
                  </w:pPr>
                  <w:r>
                    <w:rPr>
                      <w:rFonts w:hint="eastAsia" w:cs="Times New Roman" w:eastAsiaTheme="majorEastAsia"/>
                      <w:color w:val="auto"/>
                      <w:sz w:val="22"/>
                      <w:szCs w:val="22"/>
                      <w:lang w:val="en-US" w:eastAsia="zh-CN"/>
                    </w:rPr>
                    <w:t>排放限值</w:t>
                  </w:r>
                </w:p>
              </w:tc>
              <w:tc>
                <w:tcPr>
                  <w:tcW w:w="2550" w:type="dxa"/>
                  <w:vAlign w:val="center"/>
                </w:tcPr>
                <w:p w14:paraId="1A93FC41">
                  <w:pPr>
                    <w:pStyle w:val="26"/>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ajorEastAsia"/>
                      <w:color w:val="auto"/>
                      <w:sz w:val="22"/>
                      <w:szCs w:val="22"/>
                      <w:lang w:val="en-US" w:eastAsia="zh-CN"/>
                    </w:rPr>
                  </w:pPr>
                  <w:r>
                    <w:rPr>
                      <w:rFonts w:hint="eastAsia" w:cs="Times New Roman" w:eastAsiaTheme="majorEastAsia"/>
                      <w:color w:val="auto"/>
                      <w:sz w:val="22"/>
                      <w:szCs w:val="22"/>
                      <w:lang w:val="en-US" w:eastAsia="zh-CN"/>
                    </w:rPr>
                    <w:t>限值含义</w:t>
                  </w:r>
                </w:p>
              </w:tc>
              <w:tc>
                <w:tcPr>
                  <w:tcW w:w="2381" w:type="dxa"/>
                  <w:vAlign w:val="center"/>
                </w:tcPr>
                <w:p w14:paraId="507B66D7">
                  <w:pPr>
                    <w:pStyle w:val="26"/>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ajorEastAsia"/>
                      <w:color w:val="auto"/>
                      <w:sz w:val="22"/>
                      <w:szCs w:val="22"/>
                      <w:lang w:val="en-US" w:eastAsia="zh-CN"/>
                    </w:rPr>
                  </w:pPr>
                  <w:r>
                    <w:rPr>
                      <w:rFonts w:hint="eastAsia" w:cs="Times New Roman" w:eastAsiaTheme="majorEastAsia"/>
                      <w:color w:val="auto"/>
                      <w:sz w:val="22"/>
                      <w:szCs w:val="22"/>
                      <w:lang w:val="en-US" w:eastAsia="zh-CN"/>
                    </w:rPr>
                    <w:t>无组织排放监控位置</w:t>
                  </w:r>
                </w:p>
              </w:tc>
            </w:tr>
            <w:tr w14:paraId="53A93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4" w:type="dxa"/>
                  <w:vAlign w:val="center"/>
                </w:tcPr>
                <w:p w14:paraId="502857BB">
                  <w:pPr>
                    <w:pStyle w:val="26"/>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ajorEastAsia"/>
                      <w:color w:val="auto"/>
                      <w:sz w:val="22"/>
                      <w:szCs w:val="22"/>
                      <w:lang w:val="en-US" w:eastAsia="zh-CN"/>
                    </w:rPr>
                  </w:pPr>
                  <w:r>
                    <w:rPr>
                      <w:rFonts w:hint="eastAsia" w:cs="Times New Roman" w:eastAsiaTheme="majorEastAsia"/>
                      <w:color w:val="auto"/>
                      <w:sz w:val="22"/>
                      <w:szCs w:val="22"/>
                      <w:lang w:val="en-US" w:eastAsia="zh-CN"/>
                    </w:rPr>
                    <w:t>颗粒物</w:t>
                  </w:r>
                </w:p>
              </w:tc>
              <w:tc>
                <w:tcPr>
                  <w:tcW w:w="1167" w:type="dxa"/>
                  <w:vAlign w:val="center"/>
                </w:tcPr>
                <w:p w14:paraId="31FC9201">
                  <w:pPr>
                    <w:pStyle w:val="26"/>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ajorEastAsia"/>
                      <w:color w:val="auto"/>
                      <w:sz w:val="22"/>
                      <w:szCs w:val="22"/>
                      <w:lang w:val="en-US" w:eastAsia="zh-CN"/>
                    </w:rPr>
                  </w:pPr>
                  <w:r>
                    <w:rPr>
                      <w:rFonts w:hint="eastAsia" w:cs="Times New Roman" w:eastAsiaTheme="majorEastAsia"/>
                      <w:color w:val="auto"/>
                      <w:sz w:val="22"/>
                      <w:szCs w:val="22"/>
                      <w:lang w:val="en-US" w:eastAsia="zh-CN"/>
                    </w:rPr>
                    <w:t>1</w:t>
                  </w:r>
                </w:p>
              </w:tc>
              <w:tc>
                <w:tcPr>
                  <w:tcW w:w="2550" w:type="dxa"/>
                  <w:vAlign w:val="center"/>
                </w:tcPr>
                <w:p w14:paraId="4DF94A4A">
                  <w:pPr>
                    <w:pStyle w:val="26"/>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ajorEastAsia"/>
                      <w:color w:val="auto"/>
                      <w:sz w:val="22"/>
                      <w:szCs w:val="22"/>
                      <w:lang w:val="en-US" w:eastAsia="zh-CN"/>
                    </w:rPr>
                  </w:pPr>
                  <w:r>
                    <w:rPr>
                      <w:rFonts w:hint="eastAsia" w:cs="Times New Roman" w:eastAsiaTheme="majorEastAsia"/>
                      <w:color w:val="auto"/>
                      <w:sz w:val="22"/>
                      <w:szCs w:val="22"/>
                      <w:lang w:val="en-US" w:eastAsia="zh-CN"/>
                    </w:rPr>
                    <w:t>监控点处1h平均浓度值</w:t>
                  </w:r>
                </w:p>
              </w:tc>
              <w:tc>
                <w:tcPr>
                  <w:tcW w:w="2381" w:type="dxa"/>
                  <w:vAlign w:val="center"/>
                </w:tcPr>
                <w:p w14:paraId="0976150A">
                  <w:pPr>
                    <w:pStyle w:val="26"/>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ajorEastAsia"/>
                      <w:color w:val="auto"/>
                      <w:sz w:val="22"/>
                      <w:szCs w:val="22"/>
                      <w:lang w:val="en-US" w:eastAsia="zh-CN"/>
                    </w:rPr>
                  </w:pPr>
                  <w:r>
                    <w:rPr>
                      <w:rFonts w:hint="eastAsia" w:cs="Times New Roman" w:eastAsiaTheme="majorEastAsia"/>
                      <w:color w:val="auto"/>
                      <w:sz w:val="22"/>
                      <w:szCs w:val="22"/>
                      <w:lang w:val="en-US" w:eastAsia="zh-CN"/>
                    </w:rPr>
                    <w:t>在厂房外设置监控点</w:t>
                  </w:r>
                </w:p>
              </w:tc>
            </w:tr>
          </w:tbl>
          <w:p w14:paraId="7795B4CF">
            <w:pPr>
              <w:pStyle w:val="4"/>
              <w:pageBreakBefore w:val="0"/>
              <w:widowControl w:val="0"/>
              <w:kinsoku/>
              <w:wordWrap/>
              <w:overflowPunct/>
              <w:topLinePunct w:val="0"/>
              <w:autoSpaceDE/>
              <w:autoSpaceDN/>
              <w:bidi w:val="0"/>
              <w:snapToGrid/>
              <w:spacing w:beforeLines="0" w:afterLines="0" w:line="460" w:lineRule="exact"/>
              <w:jc w:val="both"/>
              <w:rPr>
                <w:rFonts w:hint="eastAsia"/>
                <w:color w:val="auto"/>
                <w:sz w:val="26"/>
                <w:szCs w:val="26"/>
                <w:lang w:val="en-US" w:eastAsia="zh-CN"/>
              </w:rPr>
            </w:pPr>
            <w:r>
              <w:rPr>
                <w:rFonts w:hint="eastAsia"/>
                <w:color w:val="auto"/>
                <w:sz w:val="26"/>
                <w:szCs w:val="26"/>
                <w:lang w:val="en-US" w:eastAsia="zh-CN"/>
              </w:rPr>
              <w:t>3.3.2水污染物排放标准</w:t>
            </w:r>
          </w:p>
          <w:p w14:paraId="749A867C">
            <w:pPr>
              <w:pageBreakBefore w:val="0"/>
              <w:widowControl w:val="0"/>
              <w:kinsoku/>
              <w:wordWrap/>
              <w:overflowPunct/>
              <w:topLinePunct w:val="0"/>
              <w:autoSpaceDE/>
              <w:autoSpaceDN/>
              <w:bidi w:val="0"/>
              <w:snapToGrid/>
              <w:spacing w:line="460" w:lineRule="exact"/>
              <w:jc w:val="both"/>
              <w:rPr>
                <w:rFonts w:hint="default"/>
                <w:color w:val="auto"/>
                <w:sz w:val="26"/>
                <w:szCs w:val="26"/>
                <w:lang w:val="en-US" w:eastAsia="zh-CN"/>
              </w:rPr>
            </w:pPr>
            <w:r>
              <w:rPr>
                <w:rFonts w:hint="default"/>
                <w:color w:val="auto"/>
                <w:sz w:val="26"/>
                <w:szCs w:val="26"/>
                <w:lang w:val="en-US" w:eastAsia="zh-CN"/>
              </w:rPr>
              <w:t>本项目产生的生活</w:t>
            </w:r>
            <w:r>
              <w:rPr>
                <w:rFonts w:hint="eastAsia"/>
                <w:color w:val="auto"/>
                <w:sz w:val="26"/>
                <w:szCs w:val="26"/>
                <w:lang w:val="en-US" w:eastAsia="zh-CN"/>
              </w:rPr>
              <w:t>污</w:t>
            </w:r>
            <w:r>
              <w:rPr>
                <w:rFonts w:hint="default"/>
                <w:color w:val="auto"/>
                <w:sz w:val="26"/>
                <w:szCs w:val="26"/>
                <w:lang w:val="en-US" w:eastAsia="zh-CN"/>
              </w:rPr>
              <w:t>水</w:t>
            </w:r>
            <w:r>
              <w:rPr>
                <w:rFonts w:hint="eastAsia"/>
                <w:color w:val="auto"/>
                <w:sz w:val="26"/>
                <w:szCs w:val="26"/>
                <w:lang w:val="en-US" w:eastAsia="zh-CN"/>
              </w:rPr>
              <w:t>排入厂区现有的生化池，生活污水经生化池处理达到</w:t>
            </w:r>
            <w:r>
              <w:rPr>
                <w:rFonts w:hint="default"/>
                <w:color w:val="auto"/>
                <w:sz w:val="26"/>
                <w:szCs w:val="26"/>
                <w:lang w:val="en-US" w:eastAsia="zh-CN"/>
              </w:rPr>
              <w:t>《污水综合排放标准》（GB8978-1996）三级标准后排入市政污水管网</w:t>
            </w:r>
            <w:r>
              <w:rPr>
                <w:rFonts w:hint="eastAsia"/>
                <w:color w:val="auto"/>
                <w:sz w:val="26"/>
                <w:szCs w:val="26"/>
                <w:lang w:val="en-US" w:eastAsia="zh-CN"/>
              </w:rPr>
              <w:t>，</w:t>
            </w:r>
            <w:r>
              <w:rPr>
                <w:rFonts w:hint="default"/>
                <w:color w:val="auto"/>
                <w:sz w:val="26"/>
                <w:szCs w:val="26"/>
                <w:lang w:val="en-US" w:eastAsia="zh-CN"/>
              </w:rPr>
              <w:t>进入</w:t>
            </w:r>
            <w:r>
              <w:rPr>
                <w:rFonts w:hint="eastAsia"/>
                <w:color w:val="auto"/>
                <w:sz w:val="26"/>
                <w:szCs w:val="26"/>
                <w:lang w:val="en-US" w:eastAsia="zh-CN"/>
              </w:rPr>
              <w:t>农创园污水处理厂</w:t>
            </w:r>
            <w:r>
              <w:rPr>
                <w:rFonts w:hint="default"/>
                <w:color w:val="auto"/>
                <w:sz w:val="26"/>
                <w:szCs w:val="26"/>
                <w:lang w:val="en-US" w:eastAsia="zh-CN"/>
              </w:rPr>
              <w:t>处理</w:t>
            </w:r>
            <w:r>
              <w:rPr>
                <w:rFonts w:hint="eastAsia"/>
                <w:color w:val="auto"/>
                <w:sz w:val="26"/>
                <w:szCs w:val="26"/>
                <w:lang w:val="en-US" w:eastAsia="zh-CN"/>
              </w:rPr>
              <w:t>达到</w:t>
            </w:r>
            <w:r>
              <w:rPr>
                <w:rFonts w:hint="default"/>
                <w:color w:val="auto"/>
                <w:sz w:val="26"/>
                <w:szCs w:val="26"/>
                <w:lang w:val="en-US" w:eastAsia="zh-CN"/>
              </w:rPr>
              <w:t>《城镇污水处理厂污染物排放标准》（GB18918-2002）一级B标准后排入嘉陵江</w:t>
            </w:r>
            <w:r>
              <w:rPr>
                <w:rFonts w:hint="eastAsia"/>
                <w:color w:val="auto"/>
                <w:sz w:val="26"/>
                <w:szCs w:val="26"/>
                <w:lang w:val="en-US" w:eastAsia="zh-CN"/>
              </w:rPr>
              <w:t>。</w:t>
            </w:r>
            <w:r>
              <w:rPr>
                <w:rFonts w:hint="default"/>
                <w:color w:val="auto"/>
                <w:sz w:val="26"/>
                <w:szCs w:val="26"/>
                <w:lang w:val="en-US" w:eastAsia="zh-CN"/>
              </w:rPr>
              <w:t>标准限值详见表3.</w:t>
            </w:r>
            <w:r>
              <w:rPr>
                <w:rFonts w:hint="eastAsia"/>
                <w:color w:val="auto"/>
                <w:sz w:val="26"/>
                <w:szCs w:val="26"/>
                <w:lang w:val="en-US" w:eastAsia="zh-CN"/>
              </w:rPr>
              <w:t>3</w:t>
            </w:r>
            <w:r>
              <w:rPr>
                <w:rFonts w:hint="default"/>
                <w:color w:val="auto"/>
                <w:sz w:val="26"/>
                <w:szCs w:val="26"/>
                <w:lang w:val="en-US" w:eastAsia="zh-CN"/>
              </w:rPr>
              <w:t>-</w:t>
            </w:r>
            <w:r>
              <w:rPr>
                <w:rFonts w:hint="eastAsia"/>
                <w:color w:val="auto"/>
                <w:sz w:val="26"/>
                <w:szCs w:val="26"/>
                <w:lang w:val="en-US" w:eastAsia="zh-CN"/>
              </w:rPr>
              <w:t>3</w:t>
            </w:r>
            <w:r>
              <w:rPr>
                <w:rFonts w:hint="default"/>
                <w:color w:val="auto"/>
                <w:sz w:val="26"/>
                <w:szCs w:val="26"/>
                <w:lang w:val="en-US" w:eastAsia="zh-CN"/>
              </w:rPr>
              <w:t>。</w:t>
            </w:r>
          </w:p>
          <w:p w14:paraId="694E7336">
            <w:pPr>
              <w:pageBreakBefore w:val="0"/>
              <w:widowControl w:val="0"/>
              <w:kinsoku/>
              <w:wordWrap/>
              <w:overflowPunct/>
              <w:topLinePunct w:val="0"/>
              <w:autoSpaceDE/>
              <w:autoSpaceDN/>
              <w:bidi w:val="0"/>
              <w:snapToGrid/>
              <w:spacing w:line="460" w:lineRule="exact"/>
              <w:jc w:val="both"/>
              <w:rPr>
                <w:rFonts w:hint="default"/>
                <w:color w:val="auto"/>
                <w:sz w:val="26"/>
                <w:szCs w:val="26"/>
                <w:lang w:val="en-US" w:eastAsia="zh-CN"/>
              </w:rPr>
            </w:pPr>
          </w:p>
          <w:p w14:paraId="417194AB">
            <w:pPr>
              <w:pStyle w:val="27"/>
              <w:pageBreakBefore w:val="0"/>
              <w:widowControl w:val="0"/>
              <w:kinsoku/>
              <w:wordWrap/>
              <w:overflowPunct/>
              <w:topLinePunct w:val="0"/>
              <w:autoSpaceDE/>
              <w:autoSpaceDN/>
              <w:bidi w:val="0"/>
              <w:snapToGrid/>
              <w:spacing w:line="460" w:lineRule="exact"/>
              <w:ind w:firstLine="520" w:firstLineChars="200"/>
              <w:jc w:val="both"/>
              <w:rPr>
                <w:rFonts w:hint="eastAsia" w:ascii="Times New Roman" w:hAnsi="Times New Roman" w:eastAsia="宋体" w:cstheme="minorBidi"/>
                <w:color w:val="auto"/>
                <w:kern w:val="2"/>
                <w:sz w:val="26"/>
                <w:szCs w:val="26"/>
                <w:lang w:val="en-US" w:eastAsia="zh-CN" w:bidi="ar-SA"/>
              </w:rPr>
            </w:pPr>
            <w:r>
              <w:rPr>
                <w:rFonts w:hint="default" w:ascii="Times New Roman" w:hAnsi="Times New Roman" w:eastAsia="宋体" w:cstheme="minorBidi"/>
                <w:color w:val="auto"/>
                <w:kern w:val="2"/>
                <w:sz w:val="26"/>
                <w:szCs w:val="26"/>
                <w:lang w:val="en-US" w:eastAsia="zh-CN" w:bidi="ar-SA"/>
              </w:rPr>
              <w:t>表3.</w:t>
            </w:r>
            <w:r>
              <w:rPr>
                <w:rFonts w:hint="eastAsia" w:ascii="Times New Roman" w:hAnsi="Times New Roman" w:eastAsia="宋体" w:cstheme="minorBidi"/>
                <w:color w:val="auto"/>
                <w:kern w:val="2"/>
                <w:sz w:val="26"/>
                <w:szCs w:val="26"/>
                <w:lang w:val="en-US" w:eastAsia="zh-CN" w:bidi="ar-SA"/>
              </w:rPr>
              <w:t>3</w:t>
            </w:r>
            <w:r>
              <w:rPr>
                <w:rFonts w:hint="default" w:ascii="Times New Roman" w:hAnsi="Times New Roman" w:eastAsia="宋体" w:cstheme="minorBidi"/>
                <w:color w:val="auto"/>
                <w:kern w:val="2"/>
                <w:sz w:val="26"/>
                <w:szCs w:val="26"/>
                <w:lang w:val="en-US" w:eastAsia="zh-CN" w:bidi="ar-SA"/>
              </w:rPr>
              <w:t>-</w:t>
            </w:r>
            <w:r>
              <w:rPr>
                <w:rFonts w:hint="eastAsia" w:ascii="Times New Roman" w:hAnsi="Times New Roman" w:eastAsia="宋体" w:cstheme="minorBidi"/>
                <w:color w:val="auto"/>
                <w:kern w:val="2"/>
                <w:sz w:val="26"/>
                <w:szCs w:val="26"/>
                <w:lang w:val="en-US" w:eastAsia="zh-CN" w:bidi="ar-SA"/>
              </w:rPr>
              <w:t>3</w:t>
            </w:r>
            <w:r>
              <w:rPr>
                <w:rFonts w:hint="default" w:ascii="Times New Roman" w:hAnsi="Times New Roman" w:eastAsia="宋体" w:cstheme="minorBidi"/>
                <w:color w:val="auto"/>
                <w:kern w:val="2"/>
                <w:sz w:val="26"/>
                <w:szCs w:val="26"/>
                <w:lang w:val="en-US" w:eastAsia="zh-CN" w:bidi="ar-SA"/>
              </w:rPr>
              <w:t xml:space="preserve"> </w:t>
            </w:r>
            <w:r>
              <w:rPr>
                <w:rFonts w:hint="eastAsia" w:ascii="Times New Roman" w:hAnsi="Times New Roman" w:eastAsia="宋体" w:cstheme="minorBidi"/>
                <w:color w:val="auto"/>
                <w:kern w:val="2"/>
                <w:sz w:val="26"/>
                <w:szCs w:val="26"/>
                <w:lang w:val="en-US" w:eastAsia="zh-CN" w:bidi="ar-SA"/>
              </w:rPr>
              <w:t xml:space="preserve">          水</w:t>
            </w:r>
            <w:r>
              <w:rPr>
                <w:rFonts w:hint="default" w:ascii="Times New Roman" w:hAnsi="Times New Roman" w:eastAsia="宋体" w:cstheme="minorBidi"/>
                <w:color w:val="auto"/>
                <w:kern w:val="2"/>
                <w:sz w:val="26"/>
                <w:szCs w:val="26"/>
                <w:lang w:val="en-US" w:eastAsia="zh-CN" w:bidi="ar-SA"/>
              </w:rPr>
              <w:t xml:space="preserve">污染物排放标准限值 </w:t>
            </w:r>
            <w:r>
              <w:rPr>
                <w:rFonts w:hint="eastAsia" w:ascii="Times New Roman" w:hAnsi="Times New Roman" w:eastAsia="宋体" w:cstheme="minorBidi"/>
                <w:color w:val="auto"/>
                <w:kern w:val="2"/>
                <w:sz w:val="26"/>
                <w:szCs w:val="26"/>
                <w:lang w:val="en-US" w:eastAsia="zh-CN" w:bidi="ar-SA"/>
              </w:rPr>
              <w:t xml:space="preserve"> 单位：mg/L</w:t>
            </w:r>
          </w:p>
          <w:tbl>
            <w:tblPr>
              <w:tblStyle w:val="18"/>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4"/>
              <w:gridCol w:w="937"/>
              <w:gridCol w:w="990"/>
              <w:gridCol w:w="1067"/>
              <w:gridCol w:w="858"/>
              <w:gridCol w:w="1172"/>
            </w:tblGrid>
            <w:tr w14:paraId="1B128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9" w:type="pct"/>
                  <w:vAlign w:val="center"/>
                </w:tcPr>
                <w:p w14:paraId="4915E107">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标准</w:t>
                  </w:r>
                </w:p>
              </w:tc>
              <w:tc>
                <w:tcPr>
                  <w:tcW w:w="617" w:type="pct"/>
                  <w:vAlign w:val="center"/>
                </w:tcPr>
                <w:p w14:paraId="31D4933E">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pH</w:t>
                  </w:r>
                </w:p>
              </w:tc>
              <w:tc>
                <w:tcPr>
                  <w:tcW w:w="652" w:type="pct"/>
                  <w:vAlign w:val="center"/>
                </w:tcPr>
                <w:p w14:paraId="77329988">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COD</w:t>
                  </w:r>
                </w:p>
              </w:tc>
              <w:tc>
                <w:tcPr>
                  <w:tcW w:w="703" w:type="pct"/>
                  <w:vAlign w:val="center"/>
                </w:tcPr>
                <w:p w14:paraId="6733B97D">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BOD</w:t>
                  </w:r>
                  <w:r>
                    <w:rPr>
                      <w:rFonts w:hint="eastAsia"/>
                      <w:color w:val="auto"/>
                      <w:sz w:val="22"/>
                      <w:szCs w:val="22"/>
                      <w:vertAlign w:val="subscript"/>
                      <w:lang w:val="en-US" w:eastAsia="zh-CN"/>
                    </w:rPr>
                    <w:t>5</w:t>
                  </w:r>
                </w:p>
              </w:tc>
              <w:tc>
                <w:tcPr>
                  <w:tcW w:w="565" w:type="pct"/>
                  <w:vAlign w:val="center"/>
                </w:tcPr>
                <w:p w14:paraId="7727F9E9">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SS</w:t>
                  </w:r>
                </w:p>
              </w:tc>
              <w:tc>
                <w:tcPr>
                  <w:tcW w:w="772" w:type="pct"/>
                  <w:vAlign w:val="center"/>
                </w:tcPr>
                <w:p w14:paraId="037D3077">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氨氮</w:t>
                  </w:r>
                </w:p>
              </w:tc>
            </w:tr>
            <w:tr w14:paraId="4835E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9" w:type="pct"/>
                  <w:vAlign w:val="center"/>
                </w:tcPr>
                <w:p w14:paraId="4DA9DA3D">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《污水综合排放标准</w:t>
                  </w:r>
                  <w:r>
                    <w:rPr>
                      <w:rFonts w:hint="eastAsia"/>
                      <w:color w:val="auto"/>
                      <w:sz w:val="22"/>
                      <w:szCs w:val="22"/>
                      <w:lang w:val="en-US" w:eastAsia="zh-CN"/>
                    </w:rPr>
                    <w:t>》</w:t>
                  </w:r>
                  <w:r>
                    <w:rPr>
                      <w:rFonts w:hint="default"/>
                      <w:color w:val="auto"/>
                      <w:sz w:val="22"/>
                      <w:szCs w:val="22"/>
                      <w:lang w:val="en-US" w:eastAsia="zh-CN"/>
                    </w:rPr>
                    <w:t>（GB8978-1996）</w:t>
                  </w:r>
                  <w:r>
                    <w:rPr>
                      <w:rFonts w:hint="eastAsia"/>
                      <w:color w:val="auto"/>
                      <w:sz w:val="22"/>
                      <w:szCs w:val="22"/>
                      <w:lang w:val="en-US" w:eastAsia="zh-CN"/>
                    </w:rPr>
                    <w:t>三级标准</w:t>
                  </w:r>
                </w:p>
              </w:tc>
              <w:tc>
                <w:tcPr>
                  <w:tcW w:w="617" w:type="pct"/>
                  <w:vAlign w:val="center"/>
                </w:tcPr>
                <w:p w14:paraId="58A73718">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6~9</w:t>
                  </w:r>
                </w:p>
              </w:tc>
              <w:tc>
                <w:tcPr>
                  <w:tcW w:w="652" w:type="pct"/>
                  <w:vAlign w:val="center"/>
                </w:tcPr>
                <w:p w14:paraId="1F391EB3">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500</w:t>
                  </w:r>
                </w:p>
              </w:tc>
              <w:tc>
                <w:tcPr>
                  <w:tcW w:w="703" w:type="pct"/>
                  <w:vAlign w:val="center"/>
                </w:tcPr>
                <w:p w14:paraId="0E3D9AE3">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300</w:t>
                  </w:r>
                </w:p>
              </w:tc>
              <w:tc>
                <w:tcPr>
                  <w:tcW w:w="565" w:type="pct"/>
                  <w:vAlign w:val="center"/>
                </w:tcPr>
                <w:p w14:paraId="41DA55D5">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400</w:t>
                  </w:r>
                </w:p>
              </w:tc>
              <w:tc>
                <w:tcPr>
                  <w:tcW w:w="772" w:type="pct"/>
                  <w:vAlign w:val="center"/>
                </w:tcPr>
                <w:p w14:paraId="0AAF60CB">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45*</w:t>
                  </w:r>
                </w:p>
              </w:tc>
            </w:tr>
            <w:tr w14:paraId="29662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9" w:type="pct"/>
                  <w:vAlign w:val="center"/>
                </w:tcPr>
                <w:p w14:paraId="59F86067">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default"/>
                      <w:color w:val="auto"/>
                      <w:sz w:val="22"/>
                      <w:szCs w:val="22"/>
                      <w:lang w:val="en-US" w:eastAsia="zh-CN"/>
                    </w:rPr>
                    <w:t>《城镇污水处理厂污染物排放标准》（GB18918-2002）</w:t>
                  </w:r>
                  <w:r>
                    <w:rPr>
                      <w:rFonts w:hint="eastAsia"/>
                      <w:color w:val="auto"/>
                      <w:sz w:val="22"/>
                      <w:szCs w:val="22"/>
                      <w:lang w:val="en-US" w:eastAsia="zh-CN"/>
                    </w:rPr>
                    <w:t>一级B标准</w:t>
                  </w:r>
                </w:p>
              </w:tc>
              <w:tc>
                <w:tcPr>
                  <w:tcW w:w="617" w:type="pct"/>
                  <w:vAlign w:val="center"/>
                </w:tcPr>
                <w:p w14:paraId="302CACA6">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6~9</w:t>
                  </w:r>
                </w:p>
              </w:tc>
              <w:tc>
                <w:tcPr>
                  <w:tcW w:w="652" w:type="pct"/>
                  <w:vAlign w:val="center"/>
                </w:tcPr>
                <w:p w14:paraId="7F72228A">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60</w:t>
                  </w:r>
                </w:p>
              </w:tc>
              <w:tc>
                <w:tcPr>
                  <w:tcW w:w="703" w:type="pct"/>
                  <w:vAlign w:val="center"/>
                </w:tcPr>
                <w:p w14:paraId="70ABF940">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20</w:t>
                  </w:r>
                </w:p>
              </w:tc>
              <w:tc>
                <w:tcPr>
                  <w:tcW w:w="565" w:type="pct"/>
                  <w:vAlign w:val="center"/>
                </w:tcPr>
                <w:p w14:paraId="7D49E183">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20</w:t>
                  </w:r>
                </w:p>
              </w:tc>
              <w:tc>
                <w:tcPr>
                  <w:tcW w:w="772" w:type="pct"/>
                  <w:vAlign w:val="center"/>
                </w:tcPr>
                <w:p w14:paraId="2756ED32">
                  <w:pPr>
                    <w:pStyle w:val="26"/>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8(15)</w:t>
                  </w:r>
                  <w:r>
                    <w:rPr>
                      <w:rFonts w:hint="eastAsia"/>
                      <w:color w:val="auto"/>
                      <w:sz w:val="22"/>
                      <w:szCs w:val="22"/>
                      <w:vertAlign w:val="superscript"/>
                      <w:lang w:val="en-US" w:eastAsia="zh-CN"/>
                    </w:rPr>
                    <w:t>①</w:t>
                  </w:r>
                </w:p>
              </w:tc>
            </w:tr>
            <w:tr w14:paraId="2D5A3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6"/>
                  <w:vAlign w:val="center"/>
                </w:tcPr>
                <w:p w14:paraId="32E83D8C">
                  <w:pPr>
                    <w:pStyle w:val="26"/>
                    <w:keepNext w:val="0"/>
                    <w:keepLines w:val="0"/>
                    <w:pageBreakBefore w:val="0"/>
                    <w:widowControl w:val="0"/>
                    <w:kinsoku/>
                    <w:wordWrap/>
                    <w:overflowPunct/>
                    <w:topLinePunct w:val="0"/>
                    <w:autoSpaceDE/>
                    <w:autoSpaceDN/>
                    <w:bidi w:val="0"/>
                    <w:adjustRightInd w:val="0"/>
                    <w:snapToGrid/>
                    <w:ind w:firstLine="0" w:firstLineChars="0"/>
                    <w:jc w:val="left"/>
                    <w:textAlignment w:val="auto"/>
                    <w:rPr>
                      <w:rFonts w:hint="eastAsia"/>
                      <w:color w:val="auto"/>
                      <w:sz w:val="22"/>
                      <w:szCs w:val="22"/>
                      <w:lang w:val="en-US" w:eastAsia="zh-CN"/>
                    </w:rPr>
                  </w:pPr>
                  <w:r>
                    <w:rPr>
                      <w:rFonts w:hint="eastAsia"/>
                      <w:color w:val="auto"/>
                      <w:sz w:val="22"/>
                      <w:szCs w:val="22"/>
                      <w:lang w:val="en-US" w:eastAsia="zh-CN"/>
                    </w:rPr>
                    <w:t>注：* 氨氮排放参照《污水排入城市下水道水质标准》(GB/T31962-2015)B等级排放限值。</w:t>
                  </w:r>
                </w:p>
                <w:p w14:paraId="25B1593B">
                  <w:pPr>
                    <w:pStyle w:val="26"/>
                    <w:keepNext w:val="0"/>
                    <w:keepLines w:val="0"/>
                    <w:pageBreakBefore w:val="0"/>
                    <w:widowControl w:val="0"/>
                    <w:kinsoku/>
                    <w:wordWrap/>
                    <w:overflowPunct/>
                    <w:topLinePunct w:val="0"/>
                    <w:autoSpaceDE/>
                    <w:autoSpaceDN/>
                    <w:bidi w:val="0"/>
                    <w:adjustRightInd w:val="0"/>
                    <w:snapToGrid/>
                    <w:ind w:firstLine="0" w:firstLineChars="0"/>
                    <w:jc w:val="left"/>
                    <w:textAlignment w:val="auto"/>
                    <w:rPr>
                      <w:rFonts w:hint="default"/>
                      <w:color w:val="auto"/>
                      <w:sz w:val="22"/>
                      <w:szCs w:val="22"/>
                      <w:lang w:val="en-US" w:eastAsia="zh-CN"/>
                    </w:rPr>
                  </w:pPr>
                  <w:r>
                    <w:rPr>
                      <w:rFonts w:hint="eastAsia"/>
                      <w:color w:val="auto"/>
                      <w:sz w:val="22"/>
                      <w:szCs w:val="22"/>
                      <w:lang w:val="en-US" w:eastAsia="zh-CN"/>
                    </w:rPr>
                    <w:t>①括号外数值为水温&gt;12℃时的控制指标，括号内数值为水温≤12℃时的控制指标</w:t>
                  </w:r>
                </w:p>
              </w:tc>
            </w:tr>
          </w:tbl>
          <w:p w14:paraId="76FEC08D">
            <w:pPr>
              <w:pStyle w:val="4"/>
              <w:pageBreakBefore w:val="0"/>
              <w:widowControl w:val="0"/>
              <w:kinsoku/>
              <w:wordWrap/>
              <w:overflowPunct/>
              <w:topLinePunct w:val="0"/>
              <w:autoSpaceDE/>
              <w:autoSpaceDN/>
              <w:bidi w:val="0"/>
              <w:adjustRightInd/>
              <w:snapToGrid/>
              <w:spacing w:beforeLines="0" w:afterLines="0" w:line="460" w:lineRule="exact"/>
              <w:textAlignment w:val="auto"/>
              <w:rPr>
                <w:rFonts w:hint="eastAsia"/>
                <w:color w:val="auto"/>
                <w:sz w:val="26"/>
                <w:szCs w:val="26"/>
                <w:lang w:val="en-US" w:eastAsia="zh-CN"/>
              </w:rPr>
            </w:pPr>
            <w:r>
              <w:rPr>
                <w:rFonts w:hint="eastAsia"/>
                <w:color w:val="auto"/>
                <w:sz w:val="26"/>
                <w:szCs w:val="26"/>
                <w:lang w:val="en-US" w:eastAsia="zh-CN"/>
              </w:rPr>
              <w:t>3.3.3环境噪声排放标准</w:t>
            </w:r>
          </w:p>
          <w:p w14:paraId="08E424A3">
            <w:pPr>
              <w:autoSpaceDE w:val="0"/>
              <w:autoSpaceDN w:val="0"/>
              <w:adjustRightInd w:val="0"/>
              <w:spacing w:line="460" w:lineRule="exact"/>
              <w:ind w:firstLine="520" w:firstLineChars="200"/>
              <w:rPr>
                <w:rFonts w:ascii="Times New Roman"/>
                <w:color w:val="auto"/>
                <w:sz w:val="26"/>
                <w:szCs w:val="26"/>
                <w:lang w:val="zh-CN"/>
              </w:rPr>
            </w:pPr>
            <w:r>
              <w:rPr>
                <w:rFonts w:ascii="Times New Roman"/>
                <w:color w:val="auto"/>
                <w:sz w:val="26"/>
                <w:szCs w:val="26"/>
                <w:lang w:val="zh-CN"/>
              </w:rPr>
              <w:t>施工期施工场界噪声执行《建筑施工场界环境噪声排放标准》（GB12523-2011），其标准值见表</w:t>
            </w:r>
            <w:r>
              <w:rPr>
                <w:rFonts w:hint="eastAsia" w:ascii="Times New Roman"/>
                <w:color w:val="auto"/>
                <w:sz w:val="26"/>
                <w:szCs w:val="26"/>
              </w:rPr>
              <w:t>3.3</w:t>
            </w:r>
            <w:r>
              <w:rPr>
                <w:rFonts w:ascii="Times New Roman"/>
                <w:color w:val="auto"/>
                <w:sz w:val="26"/>
                <w:szCs w:val="26"/>
                <w:lang w:val="zh-CN"/>
              </w:rPr>
              <w:t>-</w:t>
            </w:r>
            <w:r>
              <w:rPr>
                <w:rFonts w:hint="eastAsia" w:ascii="Times New Roman"/>
                <w:color w:val="auto"/>
                <w:sz w:val="26"/>
                <w:szCs w:val="26"/>
                <w:lang w:val="en-US" w:eastAsia="zh-CN"/>
              </w:rPr>
              <w:t>4</w:t>
            </w:r>
            <w:r>
              <w:rPr>
                <w:rFonts w:ascii="Times New Roman"/>
                <w:color w:val="auto"/>
                <w:sz w:val="26"/>
                <w:szCs w:val="26"/>
                <w:lang w:val="zh-CN"/>
              </w:rPr>
              <w:t>。</w:t>
            </w:r>
          </w:p>
          <w:p w14:paraId="516CE6FB">
            <w:pPr>
              <w:pStyle w:val="39"/>
              <w:adjustRightInd w:val="0"/>
              <w:snapToGrid w:val="0"/>
              <w:spacing w:line="240" w:lineRule="auto"/>
              <w:rPr>
                <w:rFonts w:hint="eastAsia" w:ascii="Times New Roman" w:hAnsi="Times New Roman"/>
                <w:color w:val="auto"/>
                <w:szCs w:val="26"/>
                <w:lang w:val="zh-CN"/>
              </w:rPr>
            </w:pPr>
          </w:p>
          <w:p w14:paraId="6C2B9798">
            <w:pPr>
              <w:pStyle w:val="39"/>
              <w:adjustRightInd w:val="0"/>
              <w:snapToGrid w:val="0"/>
              <w:spacing w:line="460" w:lineRule="exact"/>
              <w:rPr>
                <w:rFonts w:hint="eastAsia" w:ascii="Times New Roman" w:hAnsi="Times New Roman"/>
                <w:color w:val="auto"/>
                <w:szCs w:val="26"/>
                <w:lang w:val="zh-CN"/>
              </w:rPr>
            </w:pPr>
            <w:r>
              <w:rPr>
                <w:rFonts w:hint="eastAsia" w:ascii="Times New Roman" w:hAnsi="Times New Roman"/>
                <w:color w:val="auto"/>
                <w:szCs w:val="26"/>
                <w:lang w:val="zh-CN"/>
              </w:rPr>
              <w:t>表</w:t>
            </w:r>
            <w:r>
              <w:rPr>
                <w:rFonts w:hint="eastAsia" w:ascii="Times New Roman" w:hAnsi="Times New Roman"/>
                <w:color w:val="auto"/>
                <w:szCs w:val="26"/>
              </w:rPr>
              <w:t>3.3</w:t>
            </w:r>
            <w:r>
              <w:rPr>
                <w:rFonts w:hint="eastAsia" w:ascii="Times New Roman" w:hAnsi="Times New Roman"/>
                <w:color w:val="auto"/>
                <w:szCs w:val="26"/>
                <w:lang w:val="zh-CN"/>
              </w:rPr>
              <w:t>-</w:t>
            </w:r>
            <w:r>
              <w:rPr>
                <w:rFonts w:hint="eastAsia" w:ascii="Times New Roman" w:hAnsi="Times New Roman"/>
                <w:color w:val="auto"/>
                <w:szCs w:val="26"/>
                <w:lang w:val="en-US" w:eastAsia="zh-CN"/>
              </w:rPr>
              <w:t>4</w:t>
            </w:r>
            <w:r>
              <w:rPr>
                <w:rFonts w:hint="eastAsia" w:ascii="Times New Roman" w:hAnsi="Times New Roman"/>
                <w:color w:val="auto"/>
                <w:szCs w:val="26"/>
                <w:lang w:val="zh-CN"/>
              </w:rPr>
              <w:t xml:space="preserve">    </w:t>
            </w:r>
            <w:r>
              <w:rPr>
                <w:rFonts w:hint="eastAsia" w:ascii="Times New Roman" w:hAnsi="Times New Roman"/>
                <w:color w:val="auto"/>
                <w:szCs w:val="26"/>
              </w:rPr>
              <w:t xml:space="preserve"> </w:t>
            </w:r>
            <w:r>
              <w:rPr>
                <w:rFonts w:hint="eastAsia" w:ascii="Times New Roman" w:hAnsi="Times New Roman"/>
                <w:color w:val="auto"/>
                <w:szCs w:val="26"/>
                <w:lang w:val="zh-CN"/>
              </w:rPr>
              <w:t>建筑施工场界环境噪声排放标准</w:t>
            </w:r>
          </w:p>
          <w:tbl>
            <w:tblPr>
              <w:tblStyle w:val="17"/>
              <w:tblW w:w="485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3794"/>
              <w:gridCol w:w="3798"/>
            </w:tblGrid>
            <w:tr w14:paraId="441D10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4259" w:type="dxa"/>
                  <w:noWrap w:val="0"/>
                  <w:vAlign w:val="center"/>
                </w:tcPr>
                <w:p w14:paraId="66A21740">
                  <w:pPr>
                    <w:spacing w:line="320" w:lineRule="exact"/>
                    <w:jc w:val="center"/>
                    <w:rPr>
                      <w:rFonts w:ascii="Times New Roman"/>
                      <w:color w:val="auto"/>
                      <w:szCs w:val="21"/>
                    </w:rPr>
                  </w:pPr>
                  <w:r>
                    <w:rPr>
                      <w:rFonts w:ascii="Times New Roman"/>
                      <w:color w:val="auto"/>
                      <w:szCs w:val="21"/>
                    </w:rPr>
                    <w:t>昼间</w:t>
                  </w:r>
                </w:p>
              </w:tc>
              <w:tc>
                <w:tcPr>
                  <w:tcW w:w="4264" w:type="dxa"/>
                  <w:noWrap w:val="0"/>
                  <w:vAlign w:val="center"/>
                </w:tcPr>
                <w:p w14:paraId="16C30EB9">
                  <w:pPr>
                    <w:spacing w:line="320" w:lineRule="exact"/>
                    <w:jc w:val="center"/>
                    <w:rPr>
                      <w:rFonts w:ascii="Times New Roman"/>
                      <w:color w:val="auto"/>
                      <w:szCs w:val="21"/>
                    </w:rPr>
                  </w:pPr>
                  <w:r>
                    <w:rPr>
                      <w:rFonts w:ascii="Times New Roman"/>
                      <w:color w:val="auto"/>
                      <w:szCs w:val="21"/>
                    </w:rPr>
                    <w:t>夜间</w:t>
                  </w:r>
                </w:p>
              </w:tc>
            </w:tr>
            <w:tr w14:paraId="61229D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4259" w:type="dxa"/>
                  <w:noWrap w:val="0"/>
                  <w:vAlign w:val="center"/>
                </w:tcPr>
                <w:p w14:paraId="2D37847F">
                  <w:pPr>
                    <w:spacing w:line="320" w:lineRule="exact"/>
                    <w:jc w:val="center"/>
                    <w:rPr>
                      <w:rFonts w:ascii="Times New Roman"/>
                      <w:color w:val="auto"/>
                      <w:sz w:val="22"/>
                    </w:rPr>
                  </w:pPr>
                  <w:r>
                    <w:rPr>
                      <w:rFonts w:ascii="Times New Roman"/>
                      <w:color w:val="auto"/>
                      <w:sz w:val="22"/>
                    </w:rPr>
                    <w:t>70</w:t>
                  </w:r>
                  <w:r>
                    <w:rPr>
                      <w:rFonts w:ascii="Times New Roman"/>
                      <w:color w:val="auto"/>
                      <w:sz w:val="22"/>
                      <w:lang w:val="zh-CN"/>
                    </w:rPr>
                    <w:t>dB</w:t>
                  </w:r>
                  <w:r>
                    <w:rPr>
                      <w:rFonts w:hint="eastAsia"/>
                      <w:color w:val="auto"/>
                      <w:sz w:val="22"/>
                      <w:lang w:val="zh-CN"/>
                    </w:rPr>
                    <w:t>(</w:t>
                  </w:r>
                  <w:r>
                    <w:rPr>
                      <w:rFonts w:ascii="Times New Roman"/>
                      <w:color w:val="auto"/>
                      <w:sz w:val="22"/>
                      <w:lang w:val="zh-CN"/>
                    </w:rPr>
                    <w:t>A</w:t>
                  </w:r>
                  <w:r>
                    <w:rPr>
                      <w:rFonts w:hint="eastAsia"/>
                      <w:color w:val="auto"/>
                      <w:sz w:val="22"/>
                      <w:lang w:val="zh-CN"/>
                    </w:rPr>
                    <w:t>)</w:t>
                  </w:r>
                </w:p>
              </w:tc>
              <w:tc>
                <w:tcPr>
                  <w:tcW w:w="4264" w:type="dxa"/>
                  <w:noWrap w:val="0"/>
                  <w:vAlign w:val="center"/>
                </w:tcPr>
                <w:p w14:paraId="39479E3A">
                  <w:pPr>
                    <w:spacing w:line="320" w:lineRule="exact"/>
                    <w:jc w:val="center"/>
                    <w:rPr>
                      <w:rFonts w:ascii="Times New Roman"/>
                      <w:color w:val="auto"/>
                      <w:sz w:val="22"/>
                    </w:rPr>
                  </w:pPr>
                  <w:r>
                    <w:rPr>
                      <w:rFonts w:ascii="Times New Roman"/>
                      <w:color w:val="auto"/>
                      <w:sz w:val="22"/>
                    </w:rPr>
                    <w:t>55</w:t>
                  </w:r>
                  <w:r>
                    <w:rPr>
                      <w:rFonts w:ascii="Times New Roman"/>
                      <w:color w:val="auto"/>
                      <w:sz w:val="22"/>
                      <w:lang w:val="zh-CN"/>
                    </w:rPr>
                    <w:t>dB</w:t>
                  </w:r>
                  <w:r>
                    <w:rPr>
                      <w:rFonts w:hint="eastAsia"/>
                      <w:color w:val="auto"/>
                      <w:sz w:val="22"/>
                      <w:lang w:val="zh-CN"/>
                    </w:rPr>
                    <w:t>(</w:t>
                  </w:r>
                  <w:r>
                    <w:rPr>
                      <w:rFonts w:ascii="Times New Roman"/>
                      <w:color w:val="auto"/>
                      <w:sz w:val="22"/>
                      <w:lang w:val="zh-CN"/>
                    </w:rPr>
                    <w:t>A</w:t>
                  </w:r>
                  <w:r>
                    <w:rPr>
                      <w:rFonts w:hint="eastAsia"/>
                      <w:color w:val="auto"/>
                      <w:sz w:val="22"/>
                      <w:lang w:val="zh-CN"/>
                    </w:rPr>
                    <w:t>)</w:t>
                  </w:r>
                </w:p>
              </w:tc>
            </w:tr>
          </w:tbl>
          <w:p w14:paraId="5BFC3B38">
            <w:pPr>
              <w:snapToGrid w:val="0"/>
              <w:ind w:firstLine="520" w:firstLineChars="200"/>
              <w:rPr>
                <w:rFonts w:ascii="Times New Roman" w:hAnsi="Times New Roman" w:cs="Times New Roman"/>
                <w:color w:val="auto"/>
                <w:sz w:val="26"/>
                <w:szCs w:val="26"/>
              </w:rPr>
            </w:pPr>
          </w:p>
          <w:p w14:paraId="0C7760EE">
            <w:pPr>
              <w:snapToGrid w:val="0"/>
              <w:spacing w:line="460" w:lineRule="exact"/>
              <w:ind w:firstLine="520" w:firstLineChars="200"/>
              <w:rPr>
                <w:rFonts w:ascii="Times New Roman" w:hAnsi="Times New Roman"/>
                <w:color w:val="auto"/>
                <w:sz w:val="26"/>
                <w:szCs w:val="26"/>
              </w:rPr>
            </w:pPr>
            <w:r>
              <w:rPr>
                <w:rFonts w:ascii="Times New Roman" w:hAnsi="Times New Roman" w:cs="Times New Roman"/>
                <w:color w:val="auto"/>
                <w:sz w:val="26"/>
                <w:szCs w:val="26"/>
              </w:rPr>
              <w:t>运营期噪声排放</w:t>
            </w:r>
            <w:r>
              <w:rPr>
                <w:rFonts w:ascii="Times New Roman" w:hAnsi="Times New Roman"/>
                <w:color w:val="auto"/>
                <w:sz w:val="26"/>
                <w:szCs w:val="26"/>
              </w:rPr>
              <w:t>执行《工业企业厂界环境噪声排放标准》（GB12348-2008）3类标准，见表3.3-</w:t>
            </w:r>
            <w:r>
              <w:rPr>
                <w:rFonts w:hint="eastAsia" w:ascii="Times New Roman" w:hAnsi="Times New Roman"/>
                <w:color w:val="auto"/>
                <w:sz w:val="26"/>
                <w:szCs w:val="26"/>
                <w:lang w:val="en-US" w:eastAsia="zh-CN"/>
              </w:rPr>
              <w:t>5</w:t>
            </w:r>
            <w:r>
              <w:rPr>
                <w:rFonts w:ascii="Times New Roman" w:hAnsi="Times New Roman"/>
                <w:color w:val="auto"/>
                <w:sz w:val="26"/>
                <w:szCs w:val="26"/>
              </w:rPr>
              <w:t>。</w:t>
            </w:r>
          </w:p>
          <w:p w14:paraId="4159F414">
            <w:pPr>
              <w:snapToGrid w:val="0"/>
              <w:rPr>
                <w:rFonts w:ascii="Times New Roman" w:hAnsi="Times New Roman"/>
                <w:color w:val="auto"/>
                <w:sz w:val="26"/>
                <w:szCs w:val="26"/>
              </w:rPr>
            </w:pPr>
          </w:p>
          <w:p w14:paraId="655CF3A8">
            <w:pPr>
              <w:snapToGrid w:val="0"/>
              <w:spacing w:line="460" w:lineRule="exact"/>
              <w:ind w:firstLine="520" w:firstLineChars="200"/>
              <w:rPr>
                <w:rFonts w:ascii="Times New Roman" w:hAnsi="Times New Roman"/>
                <w:color w:val="auto"/>
                <w:sz w:val="26"/>
                <w:szCs w:val="26"/>
              </w:rPr>
            </w:pPr>
            <w:r>
              <w:rPr>
                <w:rFonts w:hint="eastAsia" w:ascii="Times New Roman" w:hAnsi="Times New Roman"/>
                <w:color w:val="auto"/>
                <w:sz w:val="26"/>
                <w:szCs w:val="26"/>
                <w:lang w:val="zh-CN"/>
              </w:rPr>
              <w:t>表3.3-</w:t>
            </w:r>
            <w:r>
              <w:rPr>
                <w:rFonts w:hint="eastAsia" w:ascii="Times New Roman" w:hAnsi="Times New Roman"/>
                <w:color w:val="auto"/>
                <w:sz w:val="26"/>
                <w:szCs w:val="26"/>
                <w:lang w:val="en-US" w:eastAsia="zh-CN"/>
              </w:rPr>
              <w:t>5</w:t>
            </w:r>
            <w:r>
              <w:rPr>
                <w:rFonts w:hint="eastAsia" w:ascii="Times New Roman" w:hAnsi="Times New Roman"/>
                <w:color w:val="auto"/>
                <w:sz w:val="26"/>
                <w:szCs w:val="26"/>
                <w:lang w:val="zh-CN"/>
              </w:rPr>
              <w:t xml:space="preserve">    工业企业厂界环境噪声排放标准  </w:t>
            </w:r>
            <w:r>
              <w:rPr>
                <w:rFonts w:ascii="Times New Roman" w:hAnsi="Times New Roman"/>
                <w:color w:val="auto"/>
                <w:sz w:val="26"/>
                <w:szCs w:val="26"/>
              </w:rPr>
              <w:t xml:space="preserve">   单位：dB（A）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7"/>
              <w:gridCol w:w="2340"/>
              <w:gridCol w:w="2470"/>
            </w:tblGrid>
            <w:tr w14:paraId="79956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7" w:type="dxa"/>
                  <w:noWrap w:val="0"/>
                  <w:vAlign w:val="center"/>
                </w:tcPr>
                <w:p w14:paraId="5BAB0793">
                  <w:pPr>
                    <w:spacing w:line="320" w:lineRule="exact"/>
                    <w:jc w:val="center"/>
                    <w:rPr>
                      <w:rFonts w:ascii="Times New Roman" w:hAnsi="Times New Roman"/>
                      <w:color w:val="auto"/>
                      <w:sz w:val="22"/>
                    </w:rPr>
                  </w:pPr>
                  <w:r>
                    <w:rPr>
                      <w:rFonts w:ascii="Times New Roman" w:hAnsi="Times New Roman"/>
                      <w:color w:val="auto"/>
                      <w:sz w:val="22"/>
                    </w:rPr>
                    <w:t>类别</w:t>
                  </w:r>
                </w:p>
              </w:tc>
              <w:tc>
                <w:tcPr>
                  <w:tcW w:w="2340" w:type="dxa"/>
                  <w:noWrap w:val="0"/>
                  <w:vAlign w:val="center"/>
                </w:tcPr>
                <w:p w14:paraId="07D4AF00">
                  <w:pPr>
                    <w:spacing w:line="320" w:lineRule="exact"/>
                    <w:jc w:val="center"/>
                    <w:rPr>
                      <w:rFonts w:ascii="Times New Roman" w:hAnsi="Times New Roman"/>
                      <w:color w:val="auto"/>
                      <w:sz w:val="22"/>
                    </w:rPr>
                  </w:pPr>
                  <w:r>
                    <w:rPr>
                      <w:rFonts w:ascii="Times New Roman" w:hAnsi="Times New Roman"/>
                      <w:color w:val="auto"/>
                      <w:sz w:val="22"/>
                    </w:rPr>
                    <w:t>昼间</w:t>
                  </w:r>
                </w:p>
              </w:tc>
              <w:tc>
                <w:tcPr>
                  <w:tcW w:w="2470" w:type="dxa"/>
                  <w:noWrap w:val="0"/>
                  <w:vAlign w:val="center"/>
                </w:tcPr>
                <w:p w14:paraId="798F01C2">
                  <w:pPr>
                    <w:spacing w:line="320" w:lineRule="exact"/>
                    <w:jc w:val="center"/>
                    <w:rPr>
                      <w:rFonts w:ascii="Times New Roman" w:hAnsi="Times New Roman"/>
                      <w:color w:val="auto"/>
                      <w:sz w:val="22"/>
                    </w:rPr>
                  </w:pPr>
                  <w:r>
                    <w:rPr>
                      <w:rFonts w:ascii="Times New Roman" w:hAnsi="Times New Roman"/>
                      <w:color w:val="auto"/>
                      <w:sz w:val="22"/>
                    </w:rPr>
                    <w:t>夜间</w:t>
                  </w:r>
                </w:p>
              </w:tc>
            </w:tr>
            <w:tr w14:paraId="008E9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7" w:type="dxa"/>
                  <w:noWrap w:val="0"/>
                  <w:vAlign w:val="center"/>
                </w:tcPr>
                <w:p w14:paraId="390DDC7B">
                  <w:pPr>
                    <w:spacing w:line="320" w:lineRule="exact"/>
                    <w:jc w:val="center"/>
                    <w:rPr>
                      <w:rFonts w:ascii="Times New Roman" w:hAnsi="Times New Roman"/>
                      <w:color w:val="auto"/>
                      <w:sz w:val="22"/>
                    </w:rPr>
                  </w:pPr>
                  <w:r>
                    <w:rPr>
                      <w:rFonts w:ascii="Times New Roman" w:hAnsi="Times New Roman"/>
                      <w:color w:val="auto"/>
                      <w:sz w:val="22"/>
                    </w:rPr>
                    <w:t>3类</w:t>
                  </w:r>
                </w:p>
              </w:tc>
              <w:tc>
                <w:tcPr>
                  <w:tcW w:w="2340" w:type="dxa"/>
                  <w:noWrap w:val="0"/>
                  <w:vAlign w:val="center"/>
                </w:tcPr>
                <w:p w14:paraId="71FE927B">
                  <w:pPr>
                    <w:spacing w:line="320" w:lineRule="exact"/>
                    <w:jc w:val="center"/>
                    <w:rPr>
                      <w:rFonts w:ascii="Times New Roman" w:hAnsi="Times New Roman"/>
                      <w:color w:val="auto"/>
                      <w:sz w:val="22"/>
                    </w:rPr>
                  </w:pPr>
                  <w:r>
                    <w:rPr>
                      <w:rFonts w:ascii="Times New Roman" w:hAnsi="Times New Roman"/>
                      <w:color w:val="auto"/>
                      <w:sz w:val="22"/>
                    </w:rPr>
                    <w:t>65</w:t>
                  </w:r>
                </w:p>
              </w:tc>
              <w:tc>
                <w:tcPr>
                  <w:tcW w:w="2470" w:type="dxa"/>
                  <w:noWrap w:val="0"/>
                  <w:vAlign w:val="center"/>
                </w:tcPr>
                <w:p w14:paraId="0BE8F5C1">
                  <w:pPr>
                    <w:spacing w:line="320" w:lineRule="exact"/>
                    <w:jc w:val="center"/>
                    <w:rPr>
                      <w:rFonts w:ascii="Times New Roman" w:hAnsi="Times New Roman"/>
                      <w:color w:val="auto"/>
                      <w:sz w:val="22"/>
                    </w:rPr>
                  </w:pPr>
                  <w:r>
                    <w:rPr>
                      <w:rFonts w:ascii="Times New Roman" w:hAnsi="Times New Roman"/>
                      <w:color w:val="auto"/>
                      <w:sz w:val="22"/>
                    </w:rPr>
                    <w:t xml:space="preserve">55 </w:t>
                  </w:r>
                </w:p>
              </w:tc>
            </w:tr>
          </w:tbl>
          <w:p w14:paraId="2ED41C09">
            <w:pPr>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rFonts w:hint="default"/>
                <w:b/>
                <w:bCs/>
                <w:color w:val="auto"/>
                <w:sz w:val="26"/>
                <w:szCs w:val="26"/>
                <w:lang w:val="en-US" w:eastAsia="zh-CN"/>
              </w:rPr>
            </w:pPr>
            <w:r>
              <w:rPr>
                <w:rFonts w:hint="default"/>
                <w:b/>
                <w:bCs/>
                <w:color w:val="auto"/>
                <w:sz w:val="26"/>
                <w:szCs w:val="26"/>
                <w:lang w:val="en-US" w:eastAsia="zh-CN"/>
              </w:rPr>
              <w:t>3.</w:t>
            </w:r>
            <w:r>
              <w:rPr>
                <w:rFonts w:hint="eastAsia"/>
                <w:b/>
                <w:bCs/>
                <w:color w:val="auto"/>
                <w:sz w:val="26"/>
                <w:szCs w:val="26"/>
                <w:lang w:val="en-US" w:eastAsia="zh-CN"/>
              </w:rPr>
              <w:t>3</w:t>
            </w:r>
            <w:r>
              <w:rPr>
                <w:rFonts w:hint="default"/>
                <w:b/>
                <w:bCs/>
                <w:color w:val="auto"/>
                <w:sz w:val="26"/>
                <w:szCs w:val="26"/>
                <w:lang w:val="en-US" w:eastAsia="zh-CN"/>
              </w:rPr>
              <w:t>.4固体废物标准</w:t>
            </w:r>
          </w:p>
          <w:p w14:paraId="653811F8">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color w:val="auto"/>
                <w:lang w:val="en-US" w:eastAsia="zh-CN"/>
              </w:rPr>
            </w:pPr>
            <w:r>
              <w:rPr>
                <w:rFonts w:hint="default"/>
                <w:color w:val="auto"/>
                <w:sz w:val="26"/>
                <w:szCs w:val="26"/>
                <w:lang w:val="en-US" w:eastAsia="zh-CN"/>
              </w:rPr>
              <w:t>厂内</w:t>
            </w:r>
            <w:r>
              <w:rPr>
                <w:rFonts w:hint="eastAsia"/>
                <w:color w:val="auto"/>
                <w:sz w:val="26"/>
                <w:szCs w:val="26"/>
                <w:lang w:val="en-US" w:eastAsia="zh-CN"/>
              </w:rPr>
              <w:t>危险废物为维修废油，危险废物贮存执行《危险废物贮存污染控制标准》（GB18597-2023）</w:t>
            </w:r>
            <w:r>
              <w:rPr>
                <w:rFonts w:hint="default"/>
                <w:color w:val="auto"/>
                <w:sz w:val="26"/>
                <w:szCs w:val="26"/>
                <w:lang w:val="en-US" w:eastAsia="zh-CN"/>
              </w:rPr>
              <w:t>；一般工业固体废物贮存过程应满足相应防渗漏、防雨淋、防扬尘等环保要求</w:t>
            </w:r>
            <w:r>
              <w:rPr>
                <w:rFonts w:hint="eastAsia"/>
                <w:color w:val="auto"/>
                <w:sz w:val="26"/>
                <w:szCs w:val="26"/>
                <w:lang w:val="en-US" w:eastAsia="zh-CN"/>
              </w:rPr>
              <w:t>。</w:t>
            </w:r>
          </w:p>
        </w:tc>
      </w:tr>
      <w:tr w14:paraId="1D3B5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trPr>
        <w:tc>
          <w:tcPr>
            <w:tcW w:w="456" w:type="dxa"/>
            <w:vAlign w:val="center"/>
          </w:tcPr>
          <w:p w14:paraId="186DA7A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vertAlign w:val="baseline"/>
                <w:lang w:val="en-US" w:eastAsia="zh-CN"/>
              </w:rPr>
            </w:pPr>
            <w:r>
              <w:rPr>
                <w:rFonts w:hint="eastAsia"/>
                <w:color w:val="auto"/>
                <w:sz w:val="26"/>
                <w:szCs w:val="26"/>
                <w:vertAlign w:val="baseline"/>
                <w:lang w:val="en-US" w:eastAsia="zh-CN"/>
              </w:rPr>
              <w:t>总量控制指标</w:t>
            </w:r>
          </w:p>
        </w:tc>
        <w:tc>
          <w:tcPr>
            <w:tcW w:w="8049" w:type="dxa"/>
            <w:vAlign w:val="center"/>
          </w:tcPr>
          <w:p w14:paraId="6E9B6B7A">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本项目建成后的污染物允许排入环境的量建议值为：</w:t>
            </w:r>
          </w:p>
          <w:p w14:paraId="6065E683">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①废水</w:t>
            </w:r>
          </w:p>
          <w:p w14:paraId="5AB6D547">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本项目排入市政污水管网：</w:t>
            </w:r>
            <w:r>
              <w:rPr>
                <w:rFonts w:hint="default" w:ascii="Times New Roman" w:hAnsi="Times New Roman" w:eastAsia="宋体" w:cs="Times New Roman"/>
                <w:color w:val="auto"/>
                <w:sz w:val="26"/>
                <w:szCs w:val="26"/>
                <w:highlight w:val="none"/>
                <w:lang w:val="en-US" w:eastAsia="zh-CN"/>
              </w:rPr>
              <w:t>COD：</w:t>
            </w:r>
            <w:r>
              <w:rPr>
                <w:rFonts w:hint="eastAsia" w:ascii="Times New Roman" w:hAnsi="Times New Roman" w:eastAsia="宋体" w:cs="Times New Roman"/>
                <w:color w:val="auto"/>
                <w:sz w:val="26"/>
                <w:szCs w:val="26"/>
                <w:highlight w:val="none"/>
                <w:lang w:val="en-US" w:eastAsia="zh-CN"/>
              </w:rPr>
              <w:t>0.324</w:t>
            </w:r>
            <w:r>
              <w:rPr>
                <w:rFonts w:hint="default" w:ascii="Times New Roman" w:hAnsi="Times New Roman" w:eastAsia="宋体" w:cs="Times New Roman"/>
                <w:color w:val="auto"/>
                <w:sz w:val="26"/>
                <w:szCs w:val="26"/>
                <w:highlight w:val="none"/>
                <w:lang w:val="en-US" w:eastAsia="zh-CN"/>
              </w:rPr>
              <w:t>t/a；NH</w:t>
            </w:r>
            <w:r>
              <w:rPr>
                <w:rFonts w:hint="default" w:ascii="Times New Roman" w:hAnsi="Times New Roman" w:eastAsia="宋体" w:cs="Times New Roman"/>
                <w:color w:val="auto"/>
                <w:sz w:val="26"/>
                <w:szCs w:val="26"/>
                <w:highlight w:val="none"/>
                <w:vertAlign w:val="subscript"/>
                <w:lang w:val="en-US" w:eastAsia="zh-CN"/>
              </w:rPr>
              <w:t>3</w:t>
            </w:r>
            <w:r>
              <w:rPr>
                <w:rFonts w:hint="default" w:ascii="Times New Roman" w:hAnsi="Times New Roman" w:eastAsia="宋体" w:cs="Times New Roman"/>
                <w:color w:val="auto"/>
                <w:sz w:val="26"/>
                <w:szCs w:val="26"/>
                <w:highlight w:val="none"/>
                <w:lang w:val="en-US" w:eastAsia="zh-CN"/>
              </w:rPr>
              <w:t>-N：</w:t>
            </w:r>
            <w:r>
              <w:rPr>
                <w:rFonts w:hint="eastAsia" w:ascii="Times New Roman" w:hAnsi="Times New Roman" w:eastAsia="宋体" w:cs="Times New Roman"/>
                <w:color w:val="auto"/>
                <w:sz w:val="26"/>
                <w:szCs w:val="26"/>
                <w:highlight w:val="none"/>
                <w:lang w:val="en-US" w:eastAsia="zh-CN"/>
              </w:rPr>
              <w:t>0.0292</w:t>
            </w:r>
            <w:r>
              <w:rPr>
                <w:rFonts w:hint="default" w:ascii="Times New Roman" w:hAnsi="Times New Roman" w:eastAsia="宋体" w:cs="Times New Roman"/>
                <w:color w:val="auto"/>
                <w:sz w:val="26"/>
                <w:szCs w:val="26"/>
                <w:highlight w:val="none"/>
                <w:lang w:val="en-US" w:eastAsia="zh-CN"/>
              </w:rPr>
              <w:t>t/a；排入环境：COD：</w:t>
            </w:r>
            <w:r>
              <w:rPr>
                <w:rFonts w:hint="eastAsia" w:ascii="Times New Roman" w:hAnsi="Times New Roman" w:eastAsia="宋体" w:cs="Times New Roman"/>
                <w:color w:val="auto"/>
                <w:sz w:val="26"/>
                <w:szCs w:val="26"/>
                <w:highlight w:val="none"/>
                <w:lang w:val="en-US" w:eastAsia="zh-CN"/>
              </w:rPr>
              <w:t>0.039</w:t>
            </w:r>
            <w:r>
              <w:rPr>
                <w:rFonts w:hint="default" w:ascii="Times New Roman" w:hAnsi="Times New Roman" w:eastAsia="宋体" w:cs="Times New Roman"/>
                <w:color w:val="auto"/>
                <w:sz w:val="26"/>
                <w:szCs w:val="26"/>
                <w:highlight w:val="none"/>
                <w:lang w:val="en-US" w:eastAsia="zh-CN"/>
              </w:rPr>
              <w:t>t/a；NH</w:t>
            </w:r>
            <w:r>
              <w:rPr>
                <w:rFonts w:hint="default" w:ascii="Times New Roman" w:hAnsi="Times New Roman" w:eastAsia="宋体" w:cs="Times New Roman"/>
                <w:color w:val="auto"/>
                <w:sz w:val="26"/>
                <w:szCs w:val="26"/>
                <w:highlight w:val="none"/>
                <w:vertAlign w:val="subscript"/>
                <w:lang w:val="en-US" w:eastAsia="zh-CN"/>
              </w:rPr>
              <w:t>3</w:t>
            </w:r>
            <w:r>
              <w:rPr>
                <w:rFonts w:hint="default" w:ascii="Times New Roman" w:hAnsi="Times New Roman" w:eastAsia="宋体" w:cs="Times New Roman"/>
                <w:color w:val="auto"/>
                <w:sz w:val="26"/>
                <w:szCs w:val="26"/>
                <w:highlight w:val="none"/>
                <w:lang w:val="en-US" w:eastAsia="zh-CN"/>
              </w:rPr>
              <w:t>-N：</w:t>
            </w:r>
            <w:r>
              <w:rPr>
                <w:rFonts w:hint="eastAsia" w:ascii="Times New Roman" w:hAnsi="Times New Roman" w:eastAsia="宋体" w:cs="Times New Roman"/>
                <w:color w:val="auto"/>
                <w:sz w:val="26"/>
                <w:szCs w:val="26"/>
                <w:highlight w:val="none"/>
                <w:lang w:val="en-US" w:eastAsia="zh-CN"/>
              </w:rPr>
              <w:t>0.0052</w:t>
            </w:r>
            <w:r>
              <w:rPr>
                <w:rFonts w:hint="default" w:ascii="Times New Roman" w:hAnsi="Times New Roman" w:eastAsia="宋体" w:cs="Times New Roman"/>
                <w:color w:val="auto"/>
                <w:sz w:val="26"/>
                <w:szCs w:val="26"/>
                <w:highlight w:val="none"/>
                <w:lang w:val="en-US" w:eastAsia="zh-CN"/>
              </w:rPr>
              <w:t>t/a</w:t>
            </w:r>
            <w:r>
              <w:rPr>
                <w:rFonts w:hint="eastAsia" w:ascii="Times New Roman" w:hAnsi="Times New Roman" w:eastAsia="宋体" w:cs="Times New Roman"/>
                <w:color w:val="auto"/>
                <w:sz w:val="26"/>
                <w:szCs w:val="26"/>
                <w:lang w:val="en-US" w:eastAsia="zh-CN"/>
              </w:rPr>
              <w:t>。</w:t>
            </w:r>
          </w:p>
          <w:p w14:paraId="74CCF629">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②废气</w:t>
            </w:r>
          </w:p>
          <w:p w14:paraId="3348A091">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根据《排污许可证申请与核发技术规范 总则》（HJ942-2018）：“对于大气污染物，以排放口为单位确定主要排放口和一般排放口许可排放浓度（或排放速率），以厂界监控点确定无组织许可排放浓度。主要排放口逐一计算许可排放量，各主要排放口许可排放量之和为排污单位的许可排放量。一般排放口和无组织排放不许可排放量。对于水污染物，以排放口为单位确定许可排放浓度”。</w:t>
            </w:r>
          </w:p>
          <w:p w14:paraId="11F3EDF1">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textAlignment w:val="auto"/>
              <w:rPr>
                <w:rFonts w:hint="default"/>
                <w:color w:val="auto"/>
                <w:sz w:val="24"/>
                <w:szCs w:val="24"/>
                <w:lang w:val="en-US" w:eastAsia="zh-CN"/>
              </w:rPr>
            </w:pPr>
            <w:r>
              <w:rPr>
                <w:rFonts w:hint="default" w:ascii="Times New Roman" w:hAnsi="Times New Roman" w:eastAsia="宋体" w:cs="Times New Roman"/>
                <w:color w:val="auto"/>
                <w:sz w:val="26"/>
                <w:szCs w:val="26"/>
                <w:lang w:val="en-US" w:eastAsia="zh-CN"/>
              </w:rPr>
              <w:t>本项目增加的废气排放口不属于主要排放口。一般排放口</w:t>
            </w:r>
            <w:r>
              <w:rPr>
                <w:rFonts w:hint="eastAsia" w:ascii="Times New Roman" w:hAnsi="Times New Roman" w:eastAsia="宋体" w:cs="Times New Roman"/>
                <w:color w:val="auto"/>
                <w:sz w:val="26"/>
                <w:szCs w:val="26"/>
                <w:lang w:val="en-US" w:eastAsia="zh-CN"/>
              </w:rPr>
              <w:t>颗粒物</w:t>
            </w:r>
            <w:r>
              <w:rPr>
                <w:rFonts w:hint="default" w:ascii="Times New Roman" w:hAnsi="Times New Roman" w:eastAsia="宋体" w:cs="Times New Roman"/>
                <w:color w:val="auto"/>
                <w:sz w:val="26"/>
                <w:szCs w:val="26"/>
                <w:lang w:val="en-US" w:eastAsia="zh-CN"/>
              </w:rPr>
              <w:t>排放量为</w:t>
            </w:r>
            <w:r>
              <w:rPr>
                <w:rFonts w:hint="eastAsia" w:ascii="Times New Roman" w:hAnsi="Times New Roman" w:eastAsia="宋体" w:cs="Times New Roman"/>
                <w:color w:val="auto"/>
                <w:sz w:val="26"/>
                <w:szCs w:val="26"/>
                <w:highlight w:val="none"/>
                <w:lang w:val="en-US" w:eastAsia="zh-CN"/>
              </w:rPr>
              <w:t>0.17</w:t>
            </w:r>
            <w:r>
              <w:rPr>
                <w:rFonts w:hint="default" w:ascii="Times New Roman" w:hAnsi="Times New Roman" w:eastAsia="宋体" w:cs="Times New Roman"/>
                <w:color w:val="auto"/>
                <w:sz w:val="26"/>
                <w:szCs w:val="26"/>
                <w:highlight w:val="none"/>
                <w:lang w:val="en-US" w:eastAsia="zh-CN"/>
              </w:rPr>
              <w:t>t/a</w:t>
            </w:r>
            <w:r>
              <w:rPr>
                <w:rFonts w:hint="default" w:ascii="Times New Roman" w:hAnsi="Times New Roman" w:eastAsia="宋体" w:cs="Times New Roman"/>
                <w:color w:val="auto"/>
                <w:sz w:val="26"/>
                <w:szCs w:val="26"/>
                <w:lang w:val="en-US" w:eastAsia="zh-CN"/>
              </w:rPr>
              <w:t>。</w:t>
            </w:r>
          </w:p>
        </w:tc>
      </w:tr>
    </w:tbl>
    <w:p w14:paraId="1CF75AA9">
      <w:pPr>
        <w:pStyle w:val="2"/>
        <w:numPr>
          <w:ilvl w:val="0"/>
          <w:numId w:val="2"/>
        </w:numPr>
        <w:bidi w:val="0"/>
        <w:ind w:left="0" w:leftChars="0" w:firstLine="0" w:firstLineChars="0"/>
        <w:rPr>
          <w:rFonts w:hint="eastAsia"/>
          <w:color w:val="auto"/>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p>
    <w:p w14:paraId="0DE48BD5">
      <w:pPr>
        <w:pStyle w:val="2"/>
        <w:numPr>
          <w:ilvl w:val="0"/>
          <w:numId w:val="0"/>
        </w:numPr>
        <w:bidi w:val="0"/>
        <w:ind w:left="0" w:leftChars="0" w:firstLine="0" w:firstLineChars="0"/>
        <w:rPr>
          <w:rFonts w:hint="eastAsia"/>
          <w:color w:val="auto"/>
          <w:lang w:val="en-US" w:eastAsia="zh-CN"/>
        </w:rPr>
      </w:pPr>
      <w:r>
        <w:rPr>
          <w:rFonts w:hint="eastAsia" w:ascii="Times New Roman" w:hAnsi="Times New Roman" w:eastAsia="黑体" w:cstheme="minorBidi"/>
          <w:color w:val="auto"/>
          <w:kern w:val="44"/>
          <w:sz w:val="30"/>
          <w:szCs w:val="24"/>
          <w:lang w:val="en-US" w:eastAsia="zh-CN" w:bidi="ar-SA"/>
        </w:rPr>
        <w:t>四、</w:t>
      </w:r>
      <w:r>
        <w:rPr>
          <w:rFonts w:hint="eastAsia"/>
          <w:color w:val="auto"/>
          <w:lang w:val="en-US" w:eastAsia="zh-CN"/>
        </w:rPr>
        <w:t>主要环境影响和保护措施</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
        <w:gridCol w:w="8040"/>
      </w:tblGrid>
      <w:tr w14:paraId="052B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1" w:hRule="atLeast"/>
        </w:trPr>
        <w:tc>
          <w:tcPr>
            <w:tcW w:w="456" w:type="dxa"/>
            <w:vAlign w:val="center"/>
          </w:tcPr>
          <w:p w14:paraId="5DD7CF1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vertAlign w:val="baseline"/>
                <w:lang w:val="en-US" w:eastAsia="zh-CN"/>
              </w:rPr>
            </w:pPr>
            <w:r>
              <w:rPr>
                <w:rFonts w:hint="eastAsia"/>
                <w:color w:val="auto"/>
                <w:sz w:val="26"/>
                <w:szCs w:val="26"/>
                <w:vertAlign w:val="baseline"/>
                <w:lang w:val="en-US" w:eastAsia="zh-CN"/>
              </w:rPr>
              <w:t>施工期环境保护措施</w:t>
            </w:r>
          </w:p>
        </w:tc>
        <w:tc>
          <w:tcPr>
            <w:tcW w:w="8060" w:type="dxa"/>
          </w:tcPr>
          <w:p w14:paraId="35445D10">
            <w:pPr>
              <w:pStyle w:val="3"/>
              <w:pageBreakBefore w:val="0"/>
              <w:widowControl w:val="0"/>
              <w:kinsoku/>
              <w:wordWrap/>
              <w:overflowPunct/>
              <w:topLinePunct w:val="0"/>
              <w:autoSpaceDE/>
              <w:autoSpaceDN/>
              <w:bidi w:val="0"/>
              <w:adjustRightInd/>
              <w:snapToGrid/>
              <w:spacing w:beforeLines="0" w:afterLines="0" w:line="460" w:lineRule="exact"/>
              <w:textAlignment w:val="auto"/>
              <w:rPr>
                <w:rFonts w:hint="eastAsia"/>
                <w:color w:val="auto"/>
                <w:sz w:val="26"/>
                <w:szCs w:val="26"/>
                <w:lang w:val="en-US" w:eastAsia="zh-CN"/>
              </w:rPr>
            </w:pPr>
            <w:r>
              <w:rPr>
                <w:rFonts w:hint="eastAsia"/>
                <w:color w:val="auto"/>
                <w:sz w:val="26"/>
                <w:szCs w:val="26"/>
                <w:lang w:val="en-US" w:eastAsia="zh-CN"/>
              </w:rPr>
              <w:t>4.1施工期环境保护措施</w:t>
            </w:r>
          </w:p>
          <w:p w14:paraId="1CB06688">
            <w:pPr>
              <w:pageBreakBefore w:val="0"/>
              <w:widowControl w:val="0"/>
              <w:kinsoku/>
              <w:wordWrap/>
              <w:overflowPunct/>
              <w:topLinePunct w:val="0"/>
              <w:autoSpaceDE/>
              <w:autoSpaceDN/>
              <w:bidi w:val="0"/>
              <w:adjustRightInd/>
              <w:snapToGrid/>
              <w:spacing w:line="460" w:lineRule="exact"/>
              <w:textAlignment w:val="auto"/>
              <w:rPr>
                <w:rFonts w:hint="default"/>
                <w:color w:val="auto"/>
                <w:sz w:val="26"/>
                <w:szCs w:val="26"/>
                <w:lang w:val="en-US" w:eastAsia="zh-CN"/>
              </w:rPr>
            </w:pPr>
            <w:r>
              <w:rPr>
                <w:rFonts w:hint="eastAsia"/>
                <w:color w:val="auto"/>
                <w:sz w:val="26"/>
                <w:szCs w:val="26"/>
                <w:lang w:val="en-US" w:eastAsia="zh-CN"/>
              </w:rPr>
              <w:t>本项目</w:t>
            </w:r>
            <w:r>
              <w:rPr>
                <w:rFonts w:hint="default"/>
                <w:color w:val="auto"/>
                <w:sz w:val="26"/>
                <w:szCs w:val="26"/>
                <w:lang w:val="en-US" w:eastAsia="zh-CN"/>
              </w:rPr>
              <w:t>仅为内部改造、装修及设备安装，施工时间较短。施工期主要为废弃包装材料和施工噪声，以及施工人员产生的少量生活垃圾和生活污水。施工期少量施工包装垃圾由施工单位自行运走交由环卫单位处理，施工人员产生的生活垃圾和生活污水依托</w:t>
            </w:r>
            <w:r>
              <w:rPr>
                <w:rFonts w:hint="eastAsia"/>
                <w:color w:val="auto"/>
                <w:sz w:val="26"/>
                <w:szCs w:val="26"/>
                <w:lang w:val="en-US" w:eastAsia="zh-CN"/>
              </w:rPr>
              <w:t>厂区内</w:t>
            </w:r>
            <w:r>
              <w:rPr>
                <w:rFonts w:hint="default"/>
                <w:color w:val="auto"/>
                <w:sz w:val="26"/>
                <w:szCs w:val="26"/>
                <w:lang w:val="en-US" w:eastAsia="zh-CN"/>
              </w:rPr>
              <w:t>现有环保设施处理</w:t>
            </w:r>
            <w:r>
              <w:rPr>
                <w:rFonts w:hint="eastAsia"/>
                <w:color w:val="auto"/>
                <w:sz w:val="26"/>
                <w:szCs w:val="26"/>
                <w:lang w:val="en-US" w:eastAsia="zh-CN"/>
              </w:rPr>
              <w:t>。</w:t>
            </w:r>
          </w:p>
          <w:p w14:paraId="008C7E0D">
            <w:pPr>
              <w:pageBreakBefore w:val="0"/>
              <w:widowControl w:val="0"/>
              <w:kinsoku/>
              <w:wordWrap/>
              <w:overflowPunct/>
              <w:topLinePunct w:val="0"/>
              <w:autoSpaceDE/>
              <w:autoSpaceDN/>
              <w:bidi w:val="0"/>
              <w:adjustRightInd/>
              <w:snapToGrid/>
              <w:spacing w:line="460" w:lineRule="exact"/>
              <w:textAlignment w:val="auto"/>
              <w:rPr>
                <w:rFonts w:hint="default"/>
                <w:color w:val="auto"/>
                <w:lang w:val="en-US" w:eastAsia="zh-CN"/>
              </w:rPr>
            </w:pPr>
            <w:r>
              <w:rPr>
                <w:rFonts w:hint="default"/>
                <w:color w:val="auto"/>
                <w:sz w:val="26"/>
                <w:szCs w:val="26"/>
                <w:lang w:val="en-US" w:eastAsia="zh-CN"/>
              </w:rPr>
              <w:t>本项目施工时间短，不涉及土建工程，产生污染物较少，均不会对外环境造成明显影响。</w:t>
            </w:r>
          </w:p>
        </w:tc>
      </w:tr>
      <w:tr w14:paraId="14F00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9" w:hRule="atLeast"/>
        </w:trPr>
        <w:tc>
          <w:tcPr>
            <w:tcW w:w="456" w:type="dxa"/>
            <w:vAlign w:val="center"/>
          </w:tcPr>
          <w:p w14:paraId="2B69D0F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vertAlign w:val="baseline"/>
                <w:lang w:val="en-US" w:eastAsia="zh-CN"/>
              </w:rPr>
            </w:pPr>
            <w:r>
              <w:rPr>
                <w:rFonts w:hint="eastAsia"/>
                <w:color w:val="auto"/>
                <w:sz w:val="26"/>
                <w:szCs w:val="26"/>
                <w:vertAlign w:val="baseline"/>
                <w:lang w:val="en-US" w:eastAsia="zh-CN"/>
              </w:rPr>
              <w:t>营运期环境影响和保护措施</w:t>
            </w:r>
          </w:p>
        </w:tc>
        <w:tc>
          <w:tcPr>
            <w:tcW w:w="8060" w:type="dxa"/>
          </w:tcPr>
          <w:p w14:paraId="73301BDD">
            <w:pPr>
              <w:pStyle w:val="3"/>
              <w:pageBreakBefore w:val="0"/>
              <w:widowControl w:val="0"/>
              <w:kinsoku/>
              <w:wordWrap/>
              <w:overflowPunct/>
              <w:topLinePunct w:val="0"/>
              <w:autoSpaceDE/>
              <w:autoSpaceDN/>
              <w:bidi w:val="0"/>
              <w:adjustRightInd/>
              <w:snapToGrid/>
              <w:spacing w:beforeLines="0" w:afterLines="0" w:line="460" w:lineRule="exact"/>
              <w:textAlignment w:val="auto"/>
              <w:rPr>
                <w:rFonts w:hint="default"/>
                <w:color w:val="auto"/>
                <w:sz w:val="26"/>
                <w:szCs w:val="26"/>
                <w:lang w:val="en-US" w:eastAsia="zh-CN"/>
              </w:rPr>
            </w:pPr>
            <w:r>
              <w:rPr>
                <w:rFonts w:hint="eastAsia"/>
                <w:color w:val="auto"/>
                <w:sz w:val="26"/>
                <w:szCs w:val="26"/>
                <w:lang w:val="en-US" w:eastAsia="zh-CN"/>
              </w:rPr>
              <w:t>4.2营运期环境影响和保护措施</w:t>
            </w:r>
          </w:p>
          <w:p w14:paraId="13EAF537">
            <w:pPr>
              <w:pStyle w:val="4"/>
              <w:pageBreakBefore w:val="0"/>
              <w:widowControl w:val="0"/>
              <w:kinsoku/>
              <w:wordWrap/>
              <w:overflowPunct/>
              <w:topLinePunct w:val="0"/>
              <w:autoSpaceDE/>
              <w:autoSpaceDN/>
              <w:bidi w:val="0"/>
              <w:adjustRightInd/>
              <w:snapToGrid/>
              <w:spacing w:beforeLines="0" w:afterLines="0" w:line="460" w:lineRule="exact"/>
              <w:textAlignment w:val="auto"/>
              <w:rPr>
                <w:rFonts w:hint="eastAsia"/>
                <w:color w:val="auto"/>
                <w:sz w:val="26"/>
                <w:szCs w:val="26"/>
                <w:lang w:val="en-US" w:eastAsia="zh-CN"/>
              </w:rPr>
            </w:pPr>
            <w:r>
              <w:rPr>
                <w:rFonts w:hint="eastAsia"/>
                <w:color w:val="auto"/>
                <w:sz w:val="26"/>
                <w:szCs w:val="26"/>
                <w:lang w:val="en-US" w:eastAsia="zh-CN"/>
              </w:rPr>
              <w:t>4.2.1废气</w:t>
            </w:r>
          </w:p>
          <w:p w14:paraId="5C03BAAC">
            <w:pPr>
              <w:ind w:left="0" w:leftChars="0" w:firstLine="0" w:firstLineChars="0"/>
              <w:rPr>
                <w:rFonts w:hint="default"/>
                <w:b/>
                <w:bCs/>
                <w:color w:val="auto"/>
                <w:sz w:val="26"/>
                <w:szCs w:val="26"/>
                <w:lang w:val="en-US" w:eastAsia="zh-CN"/>
              </w:rPr>
            </w:pPr>
            <w:r>
              <w:rPr>
                <w:rFonts w:hint="eastAsia"/>
                <w:b/>
                <w:bCs/>
                <w:color w:val="auto"/>
                <w:sz w:val="26"/>
                <w:szCs w:val="26"/>
                <w:lang w:val="en-US" w:eastAsia="zh-CN"/>
              </w:rPr>
              <w:t>4.2.1.1废气产排污及措施情况</w:t>
            </w:r>
          </w:p>
          <w:p w14:paraId="0A0635E1">
            <w:pPr>
              <w:pageBreakBefore w:val="0"/>
              <w:widowControl w:val="0"/>
              <w:numPr>
                <w:ilvl w:val="0"/>
                <w:numId w:val="0"/>
              </w:numPr>
              <w:kinsoku/>
              <w:wordWrap/>
              <w:overflowPunct/>
              <w:topLinePunct w:val="0"/>
              <w:autoSpaceDE/>
              <w:autoSpaceDN/>
              <w:bidi w:val="0"/>
              <w:adjustRightInd/>
              <w:snapToGrid/>
              <w:spacing w:line="460" w:lineRule="exact"/>
              <w:ind w:firstLine="520" w:firstLineChars="200"/>
              <w:textAlignment w:val="auto"/>
              <w:rPr>
                <w:rFonts w:hint="eastAsia"/>
                <w:color w:val="auto"/>
                <w:sz w:val="26"/>
                <w:szCs w:val="26"/>
                <w:lang w:val="en-US" w:eastAsia="zh-CN"/>
              </w:rPr>
            </w:pPr>
            <w:r>
              <w:rPr>
                <w:rFonts w:hint="eastAsia" w:ascii="Times New Roman" w:hAnsi="Times New Roman" w:eastAsia="宋体" w:cstheme="minorBidi"/>
                <w:color w:val="auto"/>
                <w:kern w:val="2"/>
                <w:sz w:val="26"/>
                <w:szCs w:val="26"/>
                <w:lang w:val="en-US" w:eastAsia="zh-CN" w:bidi="ar-SA"/>
              </w:rPr>
              <w:t>（1）</w:t>
            </w:r>
            <w:r>
              <w:rPr>
                <w:rFonts w:hint="eastAsia"/>
                <w:color w:val="auto"/>
                <w:sz w:val="26"/>
                <w:szCs w:val="26"/>
                <w:lang w:val="en-US" w:eastAsia="zh-CN"/>
              </w:rPr>
              <w:t>源强核算</w:t>
            </w:r>
          </w:p>
          <w:p w14:paraId="45EB003C">
            <w:pPr>
              <w:pageBreakBefore w:val="0"/>
              <w:widowControl w:val="0"/>
              <w:numPr>
                <w:ilvl w:val="0"/>
                <w:numId w:val="0"/>
              </w:numPr>
              <w:kinsoku/>
              <w:wordWrap/>
              <w:overflowPunct/>
              <w:topLinePunct w:val="0"/>
              <w:autoSpaceDE/>
              <w:autoSpaceDN/>
              <w:bidi w:val="0"/>
              <w:adjustRightInd/>
              <w:snapToGrid/>
              <w:spacing w:line="460" w:lineRule="exact"/>
              <w:ind w:firstLine="520" w:firstLineChars="200"/>
              <w:textAlignment w:val="auto"/>
              <w:rPr>
                <w:rFonts w:hint="eastAsia"/>
                <w:color w:val="auto"/>
                <w:sz w:val="26"/>
                <w:szCs w:val="26"/>
                <w:lang w:val="en-US" w:eastAsia="zh-CN"/>
              </w:rPr>
            </w:pPr>
            <w:r>
              <w:rPr>
                <w:rFonts w:hint="eastAsia"/>
                <w:color w:val="auto"/>
                <w:sz w:val="26"/>
                <w:szCs w:val="26"/>
                <w:lang w:val="en-US" w:eastAsia="zh-CN"/>
              </w:rPr>
              <w:t>根据《排放源统计调查产排污核算方法和系数手册》中《3061玻璃纤维及其制品制造行业系数手册》可知“玻璃纤维及其制品的生产过程中，如果包含纺织工艺或者以玻璃纤维纱为原料的后续再加工产品，其制造加工过程无废气、废水直接排放，污染程度小，废水、废气可忽略不计”。本项目混棉、给棉和梳理工序均是在密封设备中操作，该过程不涉及粉尘的逸散。针刺工序产生的粉尘量较小，因此不进行定量分析，可通过加强车间密闭进行无组织排放。</w:t>
            </w:r>
          </w:p>
          <w:p w14:paraId="5618E1A5">
            <w:pPr>
              <w:pageBreakBefore w:val="0"/>
              <w:widowControl w:val="0"/>
              <w:numPr>
                <w:ilvl w:val="0"/>
                <w:numId w:val="0"/>
              </w:numPr>
              <w:kinsoku/>
              <w:wordWrap/>
              <w:overflowPunct/>
              <w:topLinePunct w:val="0"/>
              <w:autoSpaceDE/>
              <w:autoSpaceDN/>
              <w:bidi w:val="0"/>
              <w:adjustRightInd/>
              <w:snapToGrid/>
              <w:spacing w:line="460" w:lineRule="exact"/>
              <w:ind w:firstLine="520" w:firstLineChars="200"/>
              <w:textAlignment w:val="auto"/>
              <w:rPr>
                <w:rFonts w:hint="eastAsia"/>
                <w:color w:val="auto"/>
                <w:sz w:val="26"/>
                <w:szCs w:val="26"/>
                <w:lang w:val="en-US" w:eastAsia="zh-CN"/>
              </w:rPr>
            </w:pPr>
            <w:r>
              <w:rPr>
                <w:rFonts w:hint="eastAsia"/>
                <w:color w:val="auto"/>
                <w:sz w:val="26"/>
                <w:szCs w:val="26"/>
                <w:lang w:val="en-US" w:eastAsia="zh-CN"/>
              </w:rPr>
              <w:t>本项目主要有组织废气包括开包、开松、铺网、切边收卷、裁切、膨化工序。参照《年产6000万件汽车隔音隔热材料项目竣工环境保护验收监测报告表》和《逸散性工业粉尘控制技术》，在以上工序产生玻璃纤维粉尘的产生量约原材料的0.1</w:t>
            </w:r>
            <w:r>
              <w:rPr>
                <w:rFonts w:hint="default" w:ascii="Times New Roman" w:hAnsi="Times New Roman" w:eastAsia="微软雅黑" w:cs="Times New Roman"/>
                <w:color w:val="auto"/>
                <w:sz w:val="26"/>
                <w:szCs w:val="26"/>
                <w:lang w:val="en-US" w:eastAsia="zh-CN"/>
              </w:rPr>
              <w:t>‰</w:t>
            </w:r>
            <w:r>
              <w:rPr>
                <w:rFonts w:hint="eastAsia"/>
                <w:color w:val="auto"/>
                <w:sz w:val="26"/>
                <w:szCs w:val="26"/>
                <w:lang w:val="en-US" w:eastAsia="zh-CN"/>
              </w:rPr>
              <w:t>，本项目开包、开松、铺网、切边收卷过程中粉尘产生量</w:t>
            </w:r>
            <w:r>
              <w:rPr>
                <w:rFonts w:hint="eastAsia"/>
                <w:color w:val="auto"/>
                <w:sz w:val="26"/>
                <w:szCs w:val="26"/>
                <w:highlight w:val="none"/>
                <w:lang w:val="en-US" w:eastAsia="zh-CN"/>
              </w:rPr>
              <w:t>为1.2吨</w:t>
            </w:r>
            <w:r>
              <w:rPr>
                <w:rFonts w:hint="eastAsia"/>
                <w:color w:val="auto"/>
                <w:sz w:val="26"/>
                <w:szCs w:val="26"/>
                <w:lang w:val="en-US" w:eastAsia="zh-CN"/>
              </w:rPr>
              <w:t>，每个工序工作时间为8h/d；裁切工序过程中粉尘产生量</w:t>
            </w:r>
            <w:r>
              <w:rPr>
                <w:rFonts w:hint="eastAsia"/>
                <w:color w:val="auto"/>
                <w:sz w:val="26"/>
                <w:szCs w:val="26"/>
                <w:highlight w:val="none"/>
                <w:lang w:val="en-US" w:eastAsia="zh-CN"/>
              </w:rPr>
              <w:t>为0.15吨</w:t>
            </w:r>
            <w:r>
              <w:rPr>
                <w:rFonts w:hint="eastAsia"/>
                <w:color w:val="auto"/>
                <w:sz w:val="26"/>
                <w:szCs w:val="26"/>
                <w:lang w:val="en-US" w:eastAsia="zh-CN"/>
              </w:rPr>
              <w:t>，工作时间为16h/d；膨化工序过程中粉尘产生量</w:t>
            </w:r>
            <w:r>
              <w:rPr>
                <w:rFonts w:hint="eastAsia"/>
                <w:color w:val="auto"/>
                <w:sz w:val="26"/>
                <w:szCs w:val="26"/>
                <w:highlight w:val="none"/>
                <w:lang w:val="en-US" w:eastAsia="zh-CN"/>
              </w:rPr>
              <w:t>为0.15吨</w:t>
            </w:r>
            <w:r>
              <w:rPr>
                <w:rFonts w:hint="eastAsia"/>
                <w:color w:val="auto"/>
                <w:sz w:val="26"/>
                <w:szCs w:val="26"/>
                <w:lang w:val="en-US" w:eastAsia="zh-CN"/>
              </w:rPr>
              <w:t>，工作时间为16h/d。</w:t>
            </w:r>
          </w:p>
          <w:p w14:paraId="2E331AD5">
            <w:pPr>
              <w:pageBreakBefore w:val="0"/>
              <w:widowControl w:val="0"/>
              <w:numPr>
                <w:ilvl w:val="0"/>
                <w:numId w:val="0"/>
              </w:numPr>
              <w:kinsoku/>
              <w:wordWrap/>
              <w:overflowPunct/>
              <w:topLinePunct w:val="0"/>
              <w:autoSpaceDE/>
              <w:autoSpaceDN/>
              <w:bidi w:val="0"/>
              <w:adjustRightInd/>
              <w:snapToGrid/>
              <w:spacing w:line="460" w:lineRule="exact"/>
              <w:ind w:firstLine="520" w:firstLineChars="200"/>
              <w:textAlignment w:val="auto"/>
              <w:rPr>
                <w:rFonts w:hint="default"/>
                <w:color w:val="auto"/>
                <w:sz w:val="26"/>
                <w:szCs w:val="26"/>
                <w:lang w:val="en-US" w:eastAsia="zh-CN"/>
              </w:rPr>
            </w:pPr>
            <w:r>
              <w:rPr>
                <w:rFonts w:hint="eastAsia"/>
                <w:color w:val="auto"/>
                <w:sz w:val="26"/>
                <w:szCs w:val="26"/>
                <w:lang w:val="en-US" w:eastAsia="zh-CN"/>
              </w:rPr>
              <w:t>本项目车用纤维隔热片在烘箱内进行烘烤定型，烘烤时间为10~15min，温度为200~300℃。由于车用纤维隔热片主要成分为二氧化硅等无机物，因此该过程不涉及废气的产生。</w:t>
            </w:r>
          </w:p>
          <w:p w14:paraId="5EAD2370">
            <w:pPr>
              <w:pageBreakBefore w:val="0"/>
              <w:widowControl w:val="0"/>
              <w:numPr>
                <w:ilvl w:val="0"/>
                <w:numId w:val="0"/>
              </w:numPr>
              <w:kinsoku/>
              <w:wordWrap/>
              <w:overflowPunct/>
              <w:topLinePunct w:val="0"/>
              <w:autoSpaceDE/>
              <w:autoSpaceDN/>
              <w:bidi w:val="0"/>
              <w:adjustRightInd/>
              <w:snapToGrid/>
              <w:spacing w:line="460" w:lineRule="exact"/>
              <w:ind w:left="0" w:leftChars="0" w:firstLine="520" w:firstLineChars="200"/>
              <w:textAlignment w:val="auto"/>
              <w:rPr>
                <w:rFonts w:hint="eastAsia"/>
                <w:color w:val="auto"/>
                <w:sz w:val="26"/>
                <w:szCs w:val="26"/>
                <w:lang w:val="en-US" w:eastAsia="zh-CN"/>
              </w:rPr>
            </w:pPr>
            <w:r>
              <w:rPr>
                <w:rFonts w:hint="eastAsia" w:ascii="Times New Roman" w:hAnsi="Times New Roman" w:eastAsia="宋体" w:cstheme="minorBidi"/>
                <w:color w:val="auto"/>
                <w:kern w:val="2"/>
                <w:sz w:val="26"/>
                <w:szCs w:val="26"/>
                <w:lang w:val="en-US" w:eastAsia="zh-CN" w:bidi="ar-SA"/>
              </w:rPr>
              <w:t>（2）</w:t>
            </w:r>
            <w:r>
              <w:rPr>
                <w:rFonts w:hint="eastAsia"/>
                <w:color w:val="auto"/>
                <w:sz w:val="26"/>
                <w:szCs w:val="26"/>
                <w:lang w:val="en-US" w:eastAsia="zh-CN"/>
              </w:rPr>
              <w:t>废气防治措施</w:t>
            </w:r>
          </w:p>
          <w:p w14:paraId="2504C1F9">
            <w:pPr>
              <w:pageBreakBefore w:val="0"/>
              <w:widowControl w:val="0"/>
              <w:numPr>
                <w:ilvl w:val="0"/>
                <w:numId w:val="0"/>
              </w:numPr>
              <w:kinsoku/>
              <w:wordWrap/>
              <w:overflowPunct/>
              <w:topLinePunct w:val="0"/>
              <w:autoSpaceDE/>
              <w:autoSpaceDN/>
              <w:bidi w:val="0"/>
              <w:adjustRightInd/>
              <w:snapToGrid/>
              <w:spacing w:line="460" w:lineRule="exact"/>
              <w:ind w:leftChars="200"/>
              <w:textAlignment w:val="auto"/>
              <w:rPr>
                <w:rFonts w:hint="eastAsia"/>
                <w:color w:val="auto"/>
                <w:sz w:val="26"/>
                <w:szCs w:val="26"/>
                <w:lang w:val="en-US" w:eastAsia="zh-CN"/>
              </w:rPr>
            </w:pPr>
            <w:r>
              <w:rPr>
                <w:rFonts w:hint="eastAsia"/>
                <w:color w:val="auto"/>
                <w:sz w:val="26"/>
                <w:szCs w:val="26"/>
                <w:lang w:val="en-US" w:eastAsia="zh-CN"/>
              </w:rPr>
              <w:t>①有组织废气</w:t>
            </w:r>
          </w:p>
          <w:p w14:paraId="0DDB0064">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520" w:firstLineChars="200"/>
              <w:textAlignment w:val="auto"/>
              <w:rPr>
                <w:rFonts w:hint="eastAsia"/>
                <w:color w:val="auto"/>
                <w:sz w:val="26"/>
                <w:szCs w:val="26"/>
                <w:lang w:val="en-US" w:eastAsia="zh-CN"/>
              </w:rPr>
            </w:pPr>
            <w:r>
              <w:rPr>
                <w:rFonts w:hint="eastAsia"/>
                <w:color w:val="auto"/>
                <w:sz w:val="26"/>
                <w:szCs w:val="26"/>
                <w:lang w:val="en-US" w:eastAsia="zh-CN"/>
              </w:rPr>
              <w:t>开包、开松、铺网、切边收卷、裁切、膨化工序过程中产生的有组织废气，通过工位上方的集气罩收集，收集效率为80%，进入布袋除尘系统进行处理，处理效率为95%，处理后的废气经20m高的DA001排气筒排放。根据建设单位提供资料，风机风量为30000m</w:t>
            </w:r>
            <w:r>
              <w:rPr>
                <w:rFonts w:hint="eastAsia"/>
                <w:color w:val="auto"/>
                <w:sz w:val="26"/>
                <w:szCs w:val="26"/>
                <w:vertAlign w:val="superscript"/>
                <w:lang w:val="en-US" w:eastAsia="zh-CN"/>
              </w:rPr>
              <w:t>3</w:t>
            </w:r>
            <w:r>
              <w:rPr>
                <w:rFonts w:hint="eastAsia"/>
                <w:color w:val="auto"/>
                <w:sz w:val="26"/>
                <w:szCs w:val="26"/>
                <w:lang w:val="en-US" w:eastAsia="zh-CN"/>
              </w:rPr>
              <w:t>/h。</w:t>
            </w:r>
          </w:p>
          <w:p w14:paraId="48C6929F">
            <w:pPr>
              <w:autoSpaceDE w:val="0"/>
              <w:autoSpaceDN w:val="0"/>
              <w:adjustRightInd w:val="0"/>
              <w:spacing w:line="460" w:lineRule="exact"/>
              <w:ind w:firstLine="520" w:firstLineChars="200"/>
              <w:rPr>
                <w:rFonts w:hint="default" w:hAnsi="宋体"/>
                <w:color w:val="auto"/>
                <w:kern w:val="0"/>
                <w:sz w:val="26"/>
                <w:szCs w:val="26"/>
                <w:lang w:val="en-US" w:eastAsia="zh-CN"/>
              </w:rPr>
            </w:pPr>
            <w:r>
              <w:rPr>
                <w:rFonts w:hint="default" w:hAnsi="宋体"/>
                <w:color w:val="auto"/>
                <w:kern w:val="0"/>
                <w:sz w:val="26"/>
                <w:szCs w:val="26"/>
                <w:lang w:val="en-US" w:eastAsia="zh-CN"/>
              </w:rPr>
              <w:t>根据《大气污染控制工程》中集气罩设计原则，拟建项目集气罩风量按照下式确定：</w:t>
            </w:r>
          </w:p>
          <w:p w14:paraId="76B3A4E7">
            <w:pPr>
              <w:autoSpaceDE w:val="0"/>
              <w:autoSpaceDN w:val="0"/>
              <w:adjustRightInd w:val="0"/>
              <w:spacing w:line="460" w:lineRule="exact"/>
              <w:ind w:firstLine="520" w:firstLineChars="200"/>
              <w:rPr>
                <w:rFonts w:hint="default" w:hAnsi="宋体"/>
                <w:color w:val="auto"/>
                <w:kern w:val="0"/>
                <w:sz w:val="26"/>
                <w:szCs w:val="26"/>
                <w:lang w:val="en-US" w:eastAsia="zh-CN"/>
              </w:rPr>
            </w:pPr>
            <w:r>
              <w:rPr>
                <w:rFonts w:hint="default" w:hAnsi="宋体"/>
                <w:color w:val="auto"/>
                <w:kern w:val="0"/>
                <w:sz w:val="26"/>
                <w:szCs w:val="26"/>
                <w:lang w:val="en-US" w:eastAsia="zh-CN"/>
              </w:rPr>
              <w:t>Q=</w:t>
            </w:r>
            <w:r>
              <w:rPr>
                <w:rFonts w:hint="eastAsia" w:hAnsi="宋体"/>
                <w:color w:val="auto"/>
                <w:kern w:val="0"/>
                <w:sz w:val="26"/>
                <w:szCs w:val="26"/>
                <w:lang w:val="en-US" w:eastAsia="zh-CN"/>
              </w:rPr>
              <w:t>(</w:t>
            </w:r>
            <w:r>
              <w:rPr>
                <w:rFonts w:hint="default" w:hAnsi="宋体"/>
                <w:color w:val="auto"/>
                <w:kern w:val="0"/>
                <w:sz w:val="26"/>
                <w:szCs w:val="26"/>
                <w:lang w:val="en-US" w:eastAsia="zh-CN"/>
              </w:rPr>
              <w:t>10x</w:t>
            </w:r>
            <w:r>
              <w:rPr>
                <w:rFonts w:hint="default" w:hAnsi="宋体"/>
                <w:color w:val="auto"/>
                <w:kern w:val="0"/>
                <w:sz w:val="26"/>
                <w:szCs w:val="26"/>
                <w:vertAlign w:val="superscript"/>
                <w:lang w:val="en-US" w:eastAsia="zh-CN"/>
              </w:rPr>
              <w:t>2</w:t>
            </w:r>
            <w:r>
              <w:rPr>
                <w:rFonts w:hint="default" w:hAnsi="宋体"/>
                <w:color w:val="auto"/>
                <w:kern w:val="0"/>
                <w:sz w:val="26"/>
                <w:szCs w:val="26"/>
                <w:lang w:val="en-US" w:eastAsia="zh-CN"/>
              </w:rPr>
              <w:t>+F</w:t>
            </w:r>
            <w:r>
              <w:rPr>
                <w:rFonts w:hint="eastAsia" w:hAnsi="宋体"/>
                <w:color w:val="auto"/>
                <w:kern w:val="0"/>
                <w:sz w:val="26"/>
                <w:szCs w:val="26"/>
                <w:lang w:val="en-US" w:eastAsia="zh-CN"/>
              </w:rPr>
              <w:t>)</w:t>
            </w:r>
            <w:r>
              <w:rPr>
                <w:rFonts w:hint="default" w:hAnsi="宋体"/>
                <w:color w:val="auto"/>
                <w:kern w:val="0"/>
                <w:sz w:val="26"/>
                <w:szCs w:val="26"/>
                <w:lang w:val="en-US" w:eastAsia="zh-CN"/>
              </w:rPr>
              <w:t>×V</w:t>
            </w:r>
            <w:r>
              <w:rPr>
                <w:rFonts w:hint="default" w:hAnsi="宋体"/>
                <w:color w:val="auto"/>
                <w:kern w:val="0"/>
                <w:sz w:val="26"/>
                <w:szCs w:val="26"/>
                <w:vertAlign w:val="subscript"/>
                <w:lang w:val="en-US" w:eastAsia="zh-CN"/>
              </w:rPr>
              <w:t>x</w:t>
            </w:r>
          </w:p>
          <w:p w14:paraId="3B73EDB5">
            <w:pPr>
              <w:autoSpaceDE w:val="0"/>
              <w:autoSpaceDN w:val="0"/>
              <w:adjustRightInd w:val="0"/>
              <w:spacing w:line="460" w:lineRule="exact"/>
              <w:ind w:firstLine="520" w:firstLineChars="200"/>
              <w:rPr>
                <w:rFonts w:hint="default" w:hAnsi="宋体"/>
                <w:color w:val="auto"/>
                <w:kern w:val="0"/>
                <w:sz w:val="26"/>
                <w:szCs w:val="26"/>
                <w:lang w:val="en-US" w:eastAsia="zh-CN"/>
              </w:rPr>
            </w:pPr>
            <w:r>
              <w:rPr>
                <w:rFonts w:hint="default" w:hAnsi="宋体"/>
                <w:color w:val="auto"/>
                <w:kern w:val="0"/>
                <w:sz w:val="26"/>
                <w:szCs w:val="26"/>
                <w:lang w:val="en-US" w:eastAsia="zh-CN"/>
              </w:rPr>
              <w:t>式中：Q—集气罩排风量，m</w:t>
            </w:r>
            <w:r>
              <w:rPr>
                <w:rFonts w:hint="default" w:hAnsi="宋体"/>
                <w:color w:val="auto"/>
                <w:kern w:val="0"/>
                <w:sz w:val="26"/>
                <w:szCs w:val="26"/>
                <w:vertAlign w:val="superscript"/>
                <w:lang w:val="en-US" w:eastAsia="zh-CN"/>
              </w:rPr>
              <w:t>3</w:t>
            </w:r>
            <w:r>
              <w:rPr>
                <w:rFonts w:hint="default" w:hAnsi="宋体"/>
                <w:color w:val="auto"/>
                <w:kern w:val="0"/>
                <w:sz w:val="26"/>
                <w:szCs w:val="26"/>
                <w:lang w:val="en-US" w:eastAsia="zh-CN"/>
              </w:rPr>
              <w:t>/s；</w:t>
            </w:r>
          </w:p>
          <w:p w14:paraId="19DF56DA">
            <w:pPr>
              <w:autoSpaceDE w:val="0"/>
              <w:autoSpaceDN w:val="0"/>
              <w:adjustRightInd w:val="0"/>
              <w:spacing w:line="460" w:lineRule="exact"/>
              <w:ind w:firstLine="520" w:firstLineChars="200"/>
              <w:rPr>
                <w:rFonts w:hint="default" w:hAnsi="宋体"/>
                <w:color w:val="auto"/>
                <w:kern w:val="0"/>
                <w:sz w:val="26"/>
                <w:szCs w:val="26"/>
                <w:lang w:val="en-US" w:eastAsia="zh-CN"/>
              </w:rPr>
            </w:pPr>
            <w:r>
              <w:rPr>
                <w:rFonts w:hint="default" w:hAnsi="宋体"/>
                <w:color w:val="auto"/>
                <w:kern w:val="0"/>
                <w:sz w:val="26"/>
                <w:szCs w:val="26"/>
                <w:lang w:val="en-US" w:eastAsia="zh-CN"/>
              </w:rPr>
              <w:t>X—控制点到吸气口的距离，m；</w:t>
            </w:r>
          </w:p>
          <w:p w14:paraId="4EA5C675">
            <w:pPr>
              <w:autoSpaceDE w:val="0"/>
              <w:autoSpaceDN w:val="0"/>
              <w:adjustRightInd w:val="0"/>
              <w:spacing w:line="460" w:lineRule="exact"/>
              <w:ind w:firstLine="520" w:firstLineChars="200"/>
              <w:rPr>
                <w:rFonts w:hint="default" w:hAnsi="宋体"/>
                <w:color w:val="auto"/>
                <w:kern w:val="0"/>
                <w:sz w:val="26"/>
                <w:szCs w:val="26"/>
                <w:lang w:val="en-US" w:eastAsia="zh-CN"/>
              </w:rPr>
            </w:pPr>
            <w:r>
              <w:rPr>
                <w:rFonts w:hint="default" w:hAnsi="宋体"/>
                <w:color w:val="auto"/>
                <w:kern w:val="0"/>
                <w:sz w:val="26"/>
                <w:szCs w:val="26"/>
                <w:lang w:val="en-US" w:eastAsia="zh-CN"/>
              </w:rPr>
              <w:t>F—集气罩面积，m</w:t>
            </w:r>
            <w:r>
              <w:rPr>
                <w:rFonts w:hint="default" w:hAnsi="宋体"/>
                <w:color w:val="auto"/>
                <w:kern w:val="0"/>
                <w:sz w:val="26"/>
                <w:szCs w:val="26"/>
                <w:vertAlign w:val="superscript"/>
                <w:lang w:val="en-US" w:eastAsia="zh-CN"/>
              </w:rPr>
              <w:t>2</w:t>
            </w:r>
            <w:r>
              <w:rPr>
                <w:rFonts w:hint="default" w:hAnsi="宋体"/>
                <w:color w:val="auto"/>
                <w:kern w:val="0"/>
                <w:sz w:val="26"/>
                <w:szCs w:val="26"/>
                <w:lang w:val="en-US" w:eastAsia="zh-CN"/>
              </w:rPr>
              <w:t>；</w:t>
            </w:r>
          </w:p>
          <w:p w14:paraId="53FF3F9D">
            <w:pPr>
              <w:autoSpaceDE w:val="0"/>
              <w:autoSpaceDN w:val="0"/>
              <w:adjustRightInd w:val="0"/>
              <w:spacing w:line="460" w:lineRule="exact"/>
              <w:ind w:firstLine="520" w:firstLineChars="200"/>
              <w:rPr>
                <w:rFonts w:hint="default" w:hAnsi="宋体"/>
                <w:color w:val="auto"/>
                <w:kern w:val="0"/>
                <w:sz w:val="26"/>
                <w:szCs w:val="26"/>
                <w:lang w:val="en-US" w:eastAsia="zh-CN"/>
              </w:rPr>
            </w:pPr>
            <w:r>
              <w:rPr>
                <w:rFonts w:hint="default" w:hAnsi="宋体"/>
                <w:color w:val="auto"/>
                <w:kern w:val="0"/>
                <w:sz w:val="26"/>
                <w:szCs w:val="26"/>
                <w:lang w:val="en-US" w:eastAsia="zh-CN"/>
              </w:rPr>
              <w:t>V</w:t>
            </w:r>
            <w:r>
              <w:rPr>
                <w:rFonts w:hint="default" w:hAnsi="宋体"/>
                <w:color w:val="auto"/>
                <w:kern w:val="0"/>
                <w:sz w:val="26"/>
                <w:szCs w:val="26"/>
                <w:vertAlign w:val="subscript"/>
                <w:lang w:val="en-US" w:eastAsia="zh-CN"/>
              </w:rPr>
              <w:t>x</w:t>
            </w:r>
            <w:r>
              <w:rPr>
                <w:rFonts w:hint="default" w:hAnsi="宋体"/>
                <w:color w:val="auto"/>
                <w:kern w:val="0"/>
                <w:sz w:val="26"/>
                <w:szCs w:val="26"/>
                <w:lang w:val="en-US" w:eastAsia="zh-CN"/>
              </w:rPr>
              <w:t>—最小控制风速，m/s，以较低的初速度放散到尚属平静的空气中，一般取0.5</w:t>
            </w:r>
            <w:r>
              <w:rPr>
                <w:rFonts w:hint="eastAsia" w:hAnsi="宋体"/>
                <w:color w:val="auto"/>
                <w:kern w:val="0"/>
                <w:sz w:val="26"/>
                <w:szCs w:val="26"/>
                <w:lang w:val="en-US" w:eastAsia="zh-CN"/>
              </w:rPr>
              <w:t>～</w:t>
            </w:r>
            <w:r>
              <w:rPr>
                <w:rFonts w:hint="default" w:hAnsi="宋体"/>
                <w:color w:val="auto"/>
                <w:kern w:val="0"/>
                <w:sz w:val="26"/>
                <w:szCs w:val="26"/>
                <w:lang w:val="en-US" w:eastAsia="zh-CN"/>
              </w:rPr>
              <w:t>1.0m/s，本项目取0.8m/s。</w:t>
            </w:r>
          </w:p>
          <w:p w14:paraId="004172E3">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520" w:firstLineChars="200"/>
              <w:textAlignment w:val="auto"/>
              <w:rPr>
                <w:rFonts w:hint="default"/>
                <w:color w:val="auto"/>
                <w:sz w:val="26"/>
                <w:szCs w:val="26"/>
                <w:lang w:val="en-US" w:eastAsia="zh-CN"/>
              </w:rPr>
            </w:pPr>
            <w:r>
              <w:rPr>
                <w:rFonts w:hint="default" w:hAnsi="宋体"/>
                <w:color w:val="auto"/>
                <w:kern w:val="0"/>
                <w:sz w:val="26"/>
                <w:szCs w:val="26"/>
                <w:lang w:val="en-US" w:eastAsia="zh-CN"/>
              </w:rPr>
              <w:t>正常生产时集气罩距无组织废气散发点距离（x）可控制在0.2m；</w:t>
            </w:r>
            <w:r>
              <w:rPr>
                <w:rFonts w:hint="eastAsia"/>
                <w:color w:val="auto"/>
                <w:sz w:val="26"/>
                <w:szCs w:val="26"/>
                <w:lang w:val="en-US" w:eastAsia="zh-CN"/>
              </w:rPr>
              <w:t>开包、开松、铺网、切边收卷、裁切、</w:t>
            </w:r>
            <w:r>
              <w:rPr>
                <w:rFonts w:hint="eastAsia" w:hAnsi="宋体"/>
                <w:color w:val="auto"/>
                <w:kern w:val="0"/>
                <w:sz w:val="26"/>
                <w:szCs w:val="26"/>
                <w:lang w:val="en-US" w:eastAsia="zh-CN"/>
              </w:rPr>
              <w:t>膨化工艺</w:t>
            </w:r>
            <w:r>
              <w:rPr>
                <w:rFonts w:hint="eastAsia"/>
                <w:color w:val="auto"/>
                <w:sz w:val="26"/>
                <w:szCs w:val="26"/>
                <w:lang w:val="en-US" w:eastAsia="zh-CN"/>
              </w:rPr>
              <w:t>上方</w:t>
            </w:r>
            <w:r>
              <w:rPr>
                <w:rFonts w:hint="default" w:hAnsi="宋体"/>
                <w:color w:val="auto"/>
                <w:kern w:val="0"/>
                <w:sz w:val="26"/>
                <w:szCs w:val="26"/>
                <w:lang w:val="en-US" w:eastAsia="zh-CN"/>
              </w:rPr>
              <w:t>集气罩尺寸按</w:t>
            </w:r>
            <w:r>
              <w:rPr>
                <w:rFonts w:hint="eastAsia" w:hAnsi="宋体"/>
                <w:color w:val="auto"/>
                <w:kern w:val="0"/>
                <w:sz w:val="26"/>
                <w:szCs w:val="26"/>
                <w:lang w:val="en-US" w:eastAsia="zh-CN"/>
              </w:rPr>
              <w:t>1.2</w:t>
            </w:r>
            <w:r>
              <w:rPr>
                <w:rFonts w:hint="default" w:hAnsi="宋体"/>
                <w:color w:val="auto"/>
                <w:kern w:val="0"/>
                <w:sz w:val="26"/>
                <w:szCs w:val="26"/>
                <w:lang w:val="en-US" w:eastAsia="zh-CN"/>
              </w:rPr>
              <w:t>*</w:t>
            </w:r>
            <w:r>
              <w:rPr>
                <w:rFonts w:hint="eastAsia" w:hAnsi="宋体"/>
                <w:color w:val="auto"/>
                <w:kern w:val="0"/>
                <w:sz w:val="26"/>
                <w:szCs w:val="26"/>
                <w:lang w:val="en-US" w:eastAsia="zh-CN"/>
              </w:rPr>
              <w:t>1</w:t>
            </w:r>
            <w:r>
              <w:rPr>
                <w:rFonts w:hint="default" w:hAnsi="宋体"/>
                <w:color w:val="auto"/>
                <w:kern w:val="0"/>
                <w:sz w:val="26"/>
                <w:szCs w:val="26"/>
                <w:lang w:val="en-US" w:eastAsia="zh-CN"/>
              </w:rPr>
              <w:t>m，则面积（F）约</w:t>
            </w:r>
            <w:r>
              <w:rPr>
                <w:rFonts w:hint="eastAsia" w:hAnsi="宋体"/>
                <w:color w:val="auto"/>
                <w:kern w:val="0"/>
                <w:sz w:val="26"/>
                <w:szCs w:val="26"/>
                <w:lang w:val="en-US" w:eastAsia="zh-CN"/>
              </w:rPr>
              <w:t>1.2</w:t>
            </w:r>
            <w:r>
              <w:rPr>
                <w:rFonts w:hint="default" w:hAnsi="宋体"/>
                <w:color w:val="auto"/>
                <w:kern w:val="0"/>
                <w:sz w:val="26"/>
                <w:szCs w:val="26"/>
                <w:lang w:val="en-US" w:eastAsia="zh-CN"/>
              </w:rPr>
              <w:t>m</w:t>
            </w:r>
            <w:r>
              <w:rPr>
                <w:rFonts w:hint="default" w:hAnsi="宋体"/>
                <w:color w:val="auto"/>
                <w:kern w:val="0"/>
                <w:sz w:val="26"/>
                <w:szCs w:val="26"/>
                <w:vertAlign w:val="superscript"/>
                <w:lang w:val="en-US" w:eastAsia="zh-CN"/>
              </w:rPr>
              <w:t>2</w:t>
            </w:r>
            <w:r>
              <w:rPr>
                <w:rFonts w:hint="default" w:hAnsi="宋体"/>
                <w:color w:val="auto"/>
                <w:kern w:val="0"/>
                <w:sz w:val="26"/>
                <w:szCs w:val="26"/>
                <w:lang w:val="en-US" w:eastAsia="zh-CN"/>
              </w:rPr>
              <w:t>；控制点吸入风速（Vx）取0.8m/s；计算得单个集气罩要求的最小风量为</w:t>
            </w:r>
            <w:r>
              <w:rPr>
                <w:rFonts w:hint="eastAsia" w:hAnsi="宋体"/>
                <w:color w:val="auto"/>
                <w:kern w:val="0"/>
                <w:sz w:val="26"/>
                <w:szCs w:val="26"/>
                <w:lang w:val="en-US" w:eastAsia="zh-CN"/>
              </w:rPr>
              <w:t>1.28</w:t>
            </w:r>
            <w:r>
              <w:rPr>
                <w:rFonts w:hint="default" w:hAnsi="宋体"/>
                <w:color w:val="auto"/>
                <w:kern w:val="0"/>
                <w:sz w:val="26"/>
                <w:szCs w:val="26"/>
                <w:lang w:val="en-US" w:eastAsia="zh-CN"/>
              </w:rPr>
              <w:t>m</w:t>
            </w:r>
            <w:r>
              <w:rPr>
                <w:rFonts w:hint="default" w:hAnsi="宋体"/>
                <w:color w:val="auto"/>
                <w:kern w:val="0"/>
                <w:sz w:val="26"/>
                <w:szCs w:val="26"/>
                <w:vertAlign w:val="superscript"/>
                <w:lang w:val="en-US" w:eastAsia="zh-CN"/>
              </w:rPr>
              <w:t>3</w:t>
            </w:r>
            <w:r>
              <w:rPr>
                <w:rFonts w:hint="default" w:hAnsi="宋体"/>
                <w:color w:val="auto"/>
                <w:kern w:val="0"/>
                <w:sz w:val="26"/>
                <w:szCs w:val="26"/>
                <w:lang w:val="en-US" w:eastAsia="zh-CN"/>
              </w:rPr>
              <w:t>/s，</w:t>
            </w:r>
            <w:r>
              <w:rPr>
                <w:rFonts w:hint="eastAsia" w:hAnsi="宋体"/>
                <w:color w:val="auto"/>
                <w:kern w:val="0"/>
                <w:sz w:val="26"/>
                <w:szCs w:val="26"/>
                <w:lang w:val="en-US" w:eastAsia="zh-CN"/>
              </w:rPr>
              <w:t>1</w:t>
            </w:r>
            <w:r>
              <w:rPr>
                <w:rFonts w:hint="default" w:hAnsi="宋体"/>
                <w:color w:val="auto"/>
                <w:kern w:val="0"/>
                <w:sz w:val="26"/>
                <w:szCs w:val="26"/>
                <w:lang w:val="en-US" w:eastAsia="zh-CN"/>
              </w:rPr>
              <w:t>个集气罩总风量需要</w:t>
            </w:r>
            <w:r>
              <w:rPr>
                <w:rFonts w:hint="eastAsia" w:hAnsi="宋体"/>
                <w:color w:val="auto"/>
                <w:kern w:val="0"/>
                <w:sz w:val="26"/>
                <w:szCs w:val="26"/>
                <w:lang w:val="en-US" w:eastAsia="zh-CN"/>
              </w:rPr>
              <w:t>4608</w:t>
            </w:r>
            <w:r>
              <w:rPr>
                <w:rFonts w:hint="default" w:hAnsi="宋体"/>
                <w:color w:val="auto"/>
                <w:kern w:val="0"/>
                <w:sz w:val="26"/>
                <w:szCs w:val="26"/>
                <w:lang w:val="en-US" w:eastAsia="zh-CN"/>
              </w:rPr>
              <w:t>m</w:t>
            </w:r>
            <w:r>
              <w:rPr>
                <w:rFonts w:hint="default" w:hAnsi="宋体"/>
                <w:color w:val="auto"/>
                <w:kern w:val="0"/>
                <w:sz w:val="26"/>
                <w:szCs w:val="26"/>
                <w:vertAlign w:val="superscript"/>
                <w:lang w:val="en-US" w:eastAsia="zh-CN"/>
              </w:rPr>
              <w:t>3</w:t>
            </w:r>
            <w:r>
              <w:rPr>
                <w:rFonts w:hint="default" w:hAnsi="宋体"/>
                <w:color w:val="auto"/>
                <w:kern w:val="0"/>
                <w:sz w:val="26"/>
                <w:szCs w:val="26"/>
                <w:lang w:val="en-US" w:eastAsia="zh-CN"/>
              </w:rPr>
              <w:t>/h</w:t>
            </w:r>
            <w:r>
              <w:rPr>
                <w:rFonts w:hint="eastAsia" w:hAnsi="宋体"/>
                <w:color w:val="auto"/>
                <w:kern w:val="0"/>
                <w:sz w:val="26"/>
                <w:szCs w:val="26"/>
                <w:lang w:val="en-US" w:eastAsia="zh-CN"/>
              </w:rPr>
              <w:t>，本项目有6个工位需设置集气罩</w:t>
            </w:r>
            <w:r>
              <w:rPr>
                <w:rFonts w:hint="default" w:hAnsi="宋体"/>
                <w:color w:val="auto"/>
                <w:kern w:val="0"/>
                <w:sz w:val="26"/>
                <w:szCs w:val="26"/>
                <w:lang w:val="en-US" w:eastAsia="zh-CN"/>
              </w:rPr>
              <w:t>，风机风量</w:t>
            </w:r>
            <w:r>
              <w:rPr>
                <w:rFonts w:hint="eastAsia" w:hAnsi="宋体"/>
                <w:color w:val="auto"/>
                <w:kern w:val="0"/>
                <w:sz w:val="26"/>
                <w:szCs w:val="26"/>
                <w:lang w:val="en-US" w:eastAsia="zh-CN"/>
              </w:rPr>
              <w:t>为27648</w:t>
            </w:r>
            <w:r>
              <w:rPr>
                <w:rFonts w:hint="default" w:hAnsi="宋体"/>
                <w:color w:val="auto"/>
                <w:kern w:val="0"/>
                <w:sz w:val="26"/>
                <w:szCs w:val="26"/>
                <w:lang w:val="en-US" w:eastAsia="zh-CN"/>
              </w:rPr>
              <w:t>m</w:t>
            </w:r>
            <w:r>
              <w:rPr>
                <w:rFonts w:hint="default" w:hAnsi="宋体"/>
                <w:color w:val="auto"/>
                <w:kern w:val="0"/>
                <w:sz w:val="26"/>
                <w:szCs w:val="26"/>
                <w:vertAlign w:val="superscript"/>
                <w:lang w:val="en-US" w:eastAsia="zh-CN"/>
              </w:rPr>
              <w:t>3</w:t>
            </w:r>
            <w:r>
              <w:rPr>
                <w:rFonts w:hint="default" w:hAnsi="宋体"/>
                <w:color w:val="auto"/>
                <w:kern w:val="0"/>
                <w:sz w:val="26"/>
                <w:szCs w:val="26"/>
                <w:lang w:val="en-US" w:eastAsia="zh-CN"/>
              </w:rPr>
              <w:t>/h</w:t>
            </w:r>
            <w:r>
              <w:rPr>
                <w:rFonts w:hint="eastAsia" w:hAnsi="宋体"/>
                <w:color w:val="auto"/>
                <w:kern w:val="0"/>
                <w:sz w:val="26"/>
                <w:szCs w:val="26"/>
                <w:lang w:val="en-US" w:eastAsia="zh-CN"/>
              </w:rPr>
              <w:t>，因此设计风量总量取30000</w:t>
            </w:r>
            <w:r>
              <w:rPr>
                <w:rFonts w:hint="default" w:hAnsi="宋体"/>
                <w:color w:val="auto"/>
                <w:kern w:val="0"/>
                <w:sz w:val="26"/>
                <w:szCs w:val="26"/>
                <w:lang w:val="en-US" w:eastAsia="zh-CN"/>
              </w:rPr>
              <w:t>m</w:t>
            </w:r>
            <w:r>
              <w:rPr>
                <w:rFonts w:hint="default" w:hAnsi="宋体"/>
                <w:color w:val="auto"/>
                <w:kern w:val="0"/>
                <w:sz w:val="26"/>
                <w:szCs w:val="26"/>
                <w:vertAlign w:val="superscript"/>
                <w:lang w:val="en-US" w:eastAsia="zh-CN"/>
              </w:rPr>
              <w:t>3</w:t>
            </w:r>
            <w:r>
              <w:rPr>
                <w:rFonts w:hint="default" w:hAnsi="宋体"/>
                <w:color w:val="auto"/>
                <w:kern w:val="0"/>
                <w:sz w:val="26"/>
                <w:szCs w:val="26"/>
                <w:lang w:val="en-US" w:eastAsia="zh-CN"/>
              </w:rPr>
              <w:t>/h。</w:t>
            </w:r>
          </w:p>
          <w:p w14:paraId="7C3459E9">
            <w:pPr>
              <w:pageBreakBefore w:val="0"/>
              <w:widowControl w:val="0"/>
              <w:numPr>
                <w:ilvl w:val="0"/>
                <w:numId w:val="0"/>
              </w:numPr>
              <w:kinsoku/>
              <w:wordWrap/>
              <w:overflowPunct/>
              <w:topLinePunct w:val="0"/>
              <w:autoSpaceDE/>
              <w:autoSpaceDN/>
              <w:bidi w:val="0"/>
              <w:adjustRightInd/>
              <w:snapToGrid/>
              <w:spacing w:line="460" w:lineRule="exact"/>
              <w:ind w:leftChars="200"/>
              <w:textAlignment w:val="auto"/>
              <w:rPr>
                <w:rFonts w:hint="eastAsia"/>
                <w:color w:val="auto"/>
                <w:sz w:val="26"/>
                <w:szCs w:val="26"/>
                <w:lang w:val="en-US" w:eastAsia="zh-CN"/>
              </w:rPr>
            </w:pPr>
            <w:r>
              <w:rPr>
                <w:rFonts w:hint="eastAsia"/>
                <w:color w:val="auto"/>
                <w:sz w:val="26"/>
                <w:szCs w:val="26"/>
                <w:lang w:val="en-US" w:eastAsia="zh-CN"/>
              </w:rPr>
              <w:t>②无组织废气</w:t>
            </w:r>
          </w:p>
          <w:p w14:paraId="2FE960BF">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520" w:firstLineChars="200"/>
              <w:textAlignment w:val="auto"/>
              <w:rPr>
                <w:rFonts w:hint="default"/>
                <w:color w:val="auto"/>
                <w:sz w:val="26"/>
                <w:szCs w:val="26"/>
                <w:lang w:val="en-US" w:eastAsia="zh-CN"/>
              </w:rPr>
            </w:pPr>
            <w:r>
              <w:rPr>
                <w:rFonts w:hint="eastAsia"/>
                <w:color w:val="auto"/>
                <w:sz w:val="26"/>
                <w:szCs w:val="26"/>
                <w:lang w:val="en-US" w:eastAsia="zh-CN"/>
              </w:rPr>
              <w:t>针刺过程中产生的粉尘量较小，通过重力沉降后在车间内无组织排放。通过加强车间密闭管理，加强无组织废气管理。</w:t>
            </w:r>
          </w:p>
        </w:tc>
      </w:tr>
    </w:tbl>
    <w:p w14:paraId="116B7F4C">
      <w:pPr>
        <w:numPr>
          <w:ilvl w:val="0"/>
          <w:numId w:val="0"/>
        </w:numPr>
        <w:ind w:leftChars="0"/>
        <w:rPr>
          <w:rFonts w:hint="default"/>
          <w:color w:val="auto"/>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13551"/>
      </w:tblGrid>
      <w:tr w14:paraId="1BF91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0" w:hRule="atLeast"/>
        </w:trPr>
        <w:tc>
          <w:tcPr>
            <w:tcW w:w="548" w:type="dxa"/>
            <w:vAlign w:val="center"/>
          </w:tcPr>
          <w:p w14:paraId="53A79BB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vertAlign w:val="baseline"/>
                <w:lang w:val="en-US" w:eastAsia="zh-CN"/>
              </w:rPr>
            </w:pPr>
            <w:r>
              <w:rPr>
                <w:rFonts w:hint="eastAsia"/>
                <w:color w:val="auto"/>
                <w:vertAlign w:val="baseline"/>
                <w:lang w:val="en-US" w:eastAsia="zh-CN"/>
              </w:rPr>
              <w:t>营运期环境影响和保护措施</w:t>
            </w:r>
          </w:p>
        </w:tc>
        <w:tc>
          <w:tcPr>
            <w:tcW w:w="13551" w:type="dxa"/>
          </w:tcPr>
          <w:p w14:paraId="211B95E5">
            <w:pPr>
              <w:spacing w:line="460" w:lineRule="exact"/>
              <w:ind w:firstLine="1040" w:firstLineChars="400"/>
              <w:rPr>
                <w:rFonts w:hint="eastAsia" w:ascii="Times New Roman" w:hAnsi="宋体"/>
                <w:bCs/>
                <w:color w:val="auto"/>
                <w:sz w:val="26"/>
                <w:szCs w:val="26"/>
              </w:rPr>
            </w:pPr>
            <w:r>
              <w:rPr>
                <w:rFonts w:hint="eastAsia" w:ascii="Times New Roman" w:hAnsi="宋体"/>
                <w:bCs/>
                <w:color w:val="auto"/>
                <w:sz w:val="26"/>
                <w:szCs w:val="26"/>
              </w:rPr>
              <w:t>表4.2-</w:t>
            </w:r>
            <w:r>
              <w:rPr>
                <w:rFonts w:hint="eastAsia" w:ascii="Times New Roman" w:hAnsi="宋体"/>
                <w:bCs/>
                <w:color w:val="auto"/>
                <w:sz w:val="26"/>
                <w:szCs w:val="26"/>
                <w:lang w:val="en-US" w:eastAsia="zh-CN"/>
              </w:rPr>
              <w:t>1</w:t>
            </w:r>
            <w:r>
              <w:rPr>
                <w:rFonts w:hint="eastAsia" w:ascii="Times New Roman" w:hAnsi="宋体"/>
                <w:bCs/>
                <w:color w:val="auto"/>
                <w:sz w:val="26"/>
                <w:szCs w:val="26"/>
              </w:rPr>
              <w:t xml:space="preserve">                       项目废气排放情况一览表</w:t>
            </w:r>
          </w:p>
          <w:tbl>
            <w:tblPr>
              <w:tblStyle w:val="17"/>
              <w:tblW w:w="4972"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
            <w:tblGrid>
              <w:gridCol w:w="460"/>
              <w:gridCol w:w="1857"/>
              <w:gridCol w:w="705"/>
              <w:gridCol w:w="1054"/>
              <w:gridCol w:w="736"/>
              <w:gridCol w:w="971"/>
              <w:gridCol w:w="901"/>
              <w:gridCol w:w="1354"/>
              <w:gridCol w:w="725"/>
              <w:gridCol w:w="794"/>
              <w:gridCol w:w="886"/>
              <w:gridCol w:w="860"/>
              <w:gridCol w:w="662"/>
              <w:gridCol w:w="731"/>
              <w:gridCol w:w="561"/>
            </w:tblGrid>
            <w:tr w14:paraId="0E25B6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cantSplit/>
                <w:trHeight w:val="262" w:hRule="atLeast"/>
                <w:jc w:val="center"/>
              </w:trPr>
              <w:tc>
                <w:tcPr>
                  <w:tcW w:w="460" w:type="dxa"/>
                  <w:vMerge w:val="restart"/>
                  <w:noWrap w:val="0"/>
                  <w:tcMar>
                    <w:left w:w="0" w:type="dxa"/>
                    <w:right w:w="0" w:type="dxa"/>
                  </w:tcMar>
                  <w:vAlign w:val="center"/>
                </w:tcPr>
                <w:p w14:paraId="59D4E2AB">
                  <w:pPr>
                    <w:pStyle w:val="28"/>
                    <w:adjustRightInd/>
                    <w:snapToGrid/>
                    <w:spacing w:before="24" w:after="24" w:line="240" w:lineRule="auto"/>
                    <w:textAlignment w:val="center"/>
                    <w:rPr>
                      <w:rFonts w:ascii="Times New Roman" w:hAnsi="Times New Roman"/>
                      <w:color w:val="auto"/>
                      <w:sz w:val="22"/>
                      <w:szCs w:val="22"/>
                      <w:lang w:val="en-US" w:eastAsia="zh-CN"/>
                    </w:rPr>
                  </w:pPr>
                  <w:r>
                    <w:rPr>
                      <w:rFonts w:ascii="Times New Roman" w:hAnsi="Times New Roman"/>
                      <w:color w:val="auto"/>
                      <w:sz w:val="22"/>
                      <w:szCs w:val="22"/>
                      <w:lang w:val="en-US" w:eastAsia="zh-CN"/>
                    </w:rPr>
                    <w:t>序号</w:t>
                  </w:r>
                </w:p>
              </w:tc>
              <w:tc>
                <w:tcPr>
                  <w:tcW w:w="1857" w:type="dxa"/>
                  <w:vMerge w:val="restart"/>
                  <w:noWrap w:val="0"/>
                  <w:tcMar>
                    <w:left w:w="0" w:type="dxa"/>
                    <w:right w:w="0" w:type="dxa"/>
                  </w:tcMar>
                  <w:vAlign w:val="center"/>
                </w:tcPr>
                <w:p w14:paraId="41A76FFE">
                  <w:pPr>
                    <w:pStyle w:val="28"/>
                    <w:adjustRightInd/>
                    <w:snapToGrid/>
                    <w:spacing w:before="24" w:after="24" w:line="240" w:lineRule="auto"/>
                    <w:textAlignment w:val="center"/>
                    <w:rPr>
                      <w:rFonts w:ascii="Times New Roman" w:hAnsi="Times New Roman"/>
                      <w:color w:val="auto"/>
                      <w:sz w:val="22"/>
                      <w:szCs w:val="22"/>
                      <w:lang w:val="en-US" w:eastAsia="zh-CN"/>
                    </w:rPr>
                  </w:pPr>
                  <w:r>
                    <w:rPr>
                      <w:rFonts w:ascii="Times New Roman" w:hAnsi="Times New Roman"/>
                      <w:color w:val="auto"/>
                      <w:sz w:val="22"/>
                      <w:szCs w:val="22"/>
                      <w:lang w:val="en-US" w:eastAsia="zh-CN"/>
                    </w:rPr>
                    <w:t>污染源</w:t>
                  </w:r>
                </w:p>
              </w:tc>
              <w:tc>
                <w:tcPr>
                  <w:tcW w:w="705" w:type="dxa"/>
                  <w:vMerge w:val="restart"/>
                  <w:noWrap w:val="0"/>
                  <w:tcMar>
                    <w:left w:w="0" w:type="dxa"/>
                    <w:right w:w="0" w:type="dxa"/>
                  </w:tcMar>
                  <w:vAlign w:val="center"/>
                </w:tcPr>
                <w:p w14:paraId="56FA9769">
                  <w:pPr>
                    <w:pStyle w:val="28"/>
                    <w:adjustRightInd/>
                    <w:snapToGrid/>
                    <w:spacing w:before="24" w:after="24" w:line="240" w:lineRule="auto"/>
                    <w:textAlignment w:val="center"/>
                    <w:rPr>
                      <w:rFonts w:ascii="Times New Roman" w:hAnsi="Times New Roman"/>
                      <w:color w:val="auto"/>
                      <w:sz w:val="22"/>
                      <w:szCs w:val="22"/>
                      <w:lang w:val="en-US" w:eastAsia="zh-CN"/>
                    </w:rPr>
                  </w:pPr>
                  <w:r>
                    <w:rPr>
                      <w:rFonts w:ascii="Times New Roman" w:hAnsi="Times New Roman"/>
                      <w:color w:val="auto"/>
                      <w:sz w:val="22"/>
                      <w:szCs w:val="22"/>
                      <w:lang w:val="en-US" w:eastAsia="zh-CN"/>
                    </w:rPr>
                    <w:t>排放量</w:t>
                  </w:r>
                </w:p>
                <w:p w14:paraId="1FBB5EC4">
                  <w:pPr>
                    <w:pStyle w:val="28"/>
                    <w:adjustRightInd/>
                    <w:snapToGrid/>
                    <w:spacing w:before="24" w:after="24" w:line="240" w:lineRule="auto"/>
                    <w:textAlignment w:val="center"/>
                    <w:rPr>
                      <w:rFonts w:ascii="Times New Roman" w:hAnsi="Times New Roman"/>
                      <w:color w:val="auto"/>
                      <w:sz w:val="22"/>
                      <w:szCs w:val="22"/>
                      <w:lang w:val="en-US" w:eastAsia="zh-CN"/>
                    </w:rPr>
                  </w:pPr>
                  <w:r>
                    <w:rPr>
                      <w:rFonts w:ascii="Times New Roman" w:hAnsi="Times New Roman"/>
                      <w:color w:val="auto"/>
                      <w:sz w:val="22"/>
                      <w:szCs w:val="22"/>
                      <w:lang w:val="en-US" w:eastAsia="zh-CN"/>
                    </w:rPr>
                    <w:t>m</w:t>
                  </w:r>
                  <w:r>
                    <w:rPr>
                      <w:rFonts w:ascii="Times New Roman" w:hAnsi="Times New Roman"/>
                      <w:color w:val="auto"/>
                      <w:sz w:val="22"/>
                      <w:szCs w:val="22"/>
                      <w:vertAlign w:val="superscript"/>
                      <w:lang w:val="en-US" w:eastAsia="zh-CN"/>
                    </w:rPr>
                    <w:t>3</w:t>
                  </w:r>
                  <w:r>
                    <w:rPr>
                      <w:rFonts w:ascii="Times New Roman" w:hAnsi="Times New Roman"/>
                      <w:color w:val="auto"/>
                      <w:sz w:val="22"/>
                      <w:szCs w:val="22"/>
                      <w:lang w:val="en-US" w:eastAsia="zh-CN"/>
                    </w:rPr>
                    <w:t>/h</w:t>
                  </w:r>
                </w:p>
              </w:tc>
              <w:tc>
                <w:tcPr>
                  <w:tcW w:w="1054" w:type="dxa"/>
                  <w:vMerge w:val="restart"/>
                  <w:noWrap w:val="0"/>
                  <w:tcMar>
                    <w:left w:w="0" w:type="dxa"/>
                    <w:right w:w="0" w:type="dxa"/>
                  </w:tcMar>
                  <w:vAlign w:val="center"/>
                </w:tcPr>
                <w:p w14:paraId="3C20DD86">
                  <w:pPr>
                    <w:pStyle w:val="28"/>
                    <w:adjustRightInd/>
                    <w:snapToGrid/>
                    <w:spacing w:before="24" w:after="24" w:line="240" w:lineRule="auto"/>
                    <w:textAlignment w:val="center"/>
                    <w:rPr>
                      <w:rFonts w:ascii="Times New Roman" w:hAnsi="Times New Roman"/>
                      <w:color w:val="auto"/>
                      <w:sz w:val="22"/>
                      <w:szCs w:val="22"/>
                      <w:lang w:val="en-US" w:eastAsia="zh-CN"/>
                    </w:rPr>
                  </w:pPr>
                  <w:r>
                    <w:rPr>
                      <w:rFonts w:ascii="Times New Roman" w:hAnsi="Times New Roman"/>
                      <w:color w:val="auto"/>
                      <w:sz w:val="22"/>
                      <w:szCs w:val="22"/>
                      <w:lang w:val="en-US" w:eastAsia="zh-CN"/>
                    </w:rPr>
                    <w:t>污染物</w:t>
                  </w:r>
                </w:p>
                <w:p w14:paraId="4B122DD0">
                  <w:pPr>
                    <w:pStyle w:val="28"/>
                    <w:adjustRightInd/>
                    <w:snapToGrid/>
                    <w:spacing w:before="24" w:after="24" w:line="240" w:lineRule="auto"/>
                    <w:textAlignment w:val="center"/>
                    <w:rPr>
                      <w:rFonts w:ascii="Times New Roman" w:hAnsi="Times New Roman"/>
                      <w:color w:val="auto"/>
                      <w:sz w:val="22"/>
                      <w:szCs w:val="22"/>
                      <w:lang w:val="en-US" w:eastAsia="zh-CN"/>
                    </w:rPr>
                  </w:pPr>
                  <w:r>
                    <w:rPr>
                      <w:rFonts w:ascii="Times New Roman" w:hAnsi="Times New Roman"/>
                      <w:color w:val="auto"/>
                      <w:sz w:val="22"/>
                      <w:szCs w:val="22"/>
                      <w:lang w:val="en-US" w:eastAsia="zh-CN"/>
                    </w:rPr>
                    <w:t>名称</w:t>
                  </w:r>
                </w:p>
              </w:tc>
              <w:tc>
                <w:tcPr>
                  <w:tcW w:w="2608" w:type="dxa"/>
                  <w:gridSpan w:val="3"/>
                  <w:noWrap w:val="0"/>
                  <w:tcMar>
                    <w:left w:w="0" w:type="dxa"/>
                    <w:right w:w="0" w:type="dxa"/>
                  </w:tcMar>
                  <w:vAlign w:val="center"/>
                </w:tcPr>
                <w:p w14:paraId="0C3E2AF5">
                  <w:pPr>
                    <w:pStyle w:val="28"/>
                    <w:adjustRightInd/>
                    <w:snapToGrid/>
                    <w:spacing w:before="24" w:after="24" w:line="240" w:lineRule="auto"/>
                    <w:textAlignment w:val="center"/>
                    <w:rPr>
                      <w:rFonts w:ascii="Times New Roman" w:hAnsi="Times New Roman"/>
                      <w:color w:val="auto"/>
                      <w:sz w:val="22"/>
                      <w:szCs w:val="22"/>
                      <w:lang w:val="en-US" w:eastAsia="zh-CN"/>
                    </w:rPr>
                  </w:pPr>
                  <w:r>
                    <w:rPr>
                      <w:rFonts w:ascii="Times New Roman" w:hAnsi="Times New Roman"/>
                      <w:color w:val="auto"/>
                      <w:sz w:val="22"/>
                      <w:szCs w:val="22"/>
                      <w:lang w:val="en-US" w:eastAsia="zh-CN"/>
                    </w:rPr>
                    <w:t>治理前</w:t>
                  </w:r>
                </w:p>
              </w:tc>
              <w:tc>
                <w:tcPr>
                  <w:tcW w:w="1354" w:type="dxa"/>
                  <w:vMerge w:val="restart"/>
                  <w:noWrap w:val="0"/>
                  <w:tcMar>
                    <w:left w:w="0" w:type="dxa"/>
                    <w:right w:w="0" w:type="dxa"/>
                  </w:tcMar>
                  <w:vAlign w:val="center"/>
                </w:tcPr>
                <w:p w14:paraId="347238E0">
                  <w:pPr>
                    <w:pStyle w:val="28"/>
                    <w:adjustRightInd/>
                    <w:snapToGrid/>
                    <w:spacing w:before="24" w:after="24" w:line="240" w:lineRule="auto"/>
                    <w:textAlignment w:val="center"/>
                    <w:rPr>
                      <w:rFonts w:ascii="Times New Roman" w:hAnsi="Times New Roman"/>
                      <w:color w:val="auto"/>
                      <w:sz w:val="22"/>
                      <w:szCs w:val="22"/>
                      <w:lang w:val="en-US" w:eastAsia="zh-CN"/>
                    </w:rPr>
                  </w:pPr>
                  <w:r>
                    <w:rPr>
                      <w:rFonts w:ascii="Times New Roman" w:hAnsi="Times New Roman"/>
                      <w:color w:val="auto"/>
                      <w:sz w:val="22"/>
                      <w:szCs w:val="22"/>
                      <w:lang w:val="en-US" w:eastAsia="zh-CN"/>
                    </w:rPr>
                    <w:t>治理措施</w:t>
                  </w:r>
                </w:p>
              </w:tc>
              <w:tc>
                <w:tcPr>
                  <w:tcW w:w="725" w:type="dxa"/>
                  <w:vMerge w:val="restart"/>
                  <w:noWrap w:val="0"/>
                  <w:tcMar>
                    <w:left w:w="0" w:type="dxa"/>
                    <w:right w:w="0" w:type="dxa"/>
                  </w:tcMar>
                  <w:vAlign w:val="center"/>
                </w:tcPr>
                <w:p w14:paraId="79C487E2">
                  <w:pPr>
                    <w:pStyle w:val="28"/>
                    <w:adjustRightInd/>
                    <w:snapToGrid/>
                    <w:spacing w:before="24" w:after="24" w:line="240" w:lineRule="auto"/>
                    <w:textAlignment w:val="center"/>
                    <w:rPr>
                      <w:rFonts w:ascii="Times New Roman" w:hAnsi="Times New Roman"/>
                      <w:color w:val="auto"/>
                      <w:sz w:val="22"/>
                      <w:szCs w:val="22"/>
                      <w:lang w:val="en-US" w:eastAsia="zh-CN"/>
                    </w:rPr>
                  </w:pPr>
                  <w:r>
                    <w:rPr>
                      <w:rFonts w:ascii="Times New Roman" w:hAnsi="Times New Roman"/>
                      <w:color w:val="auto"/>
                      <w:sz w:val="22"/>
                      <w:szCs w:val="22"/>
                      <w:lang w:val="en-US" w:eastAsia="zh-CN"/>
                    </w:rPr>
                    <w:t>治理</w:t>
                  </w:r>
                </w:p>
                <w:p w14:paraId="24D58758">
                  <w:pPr>
                    <w:pStyle w:val="28"/>
                    <w:adjustRightInd/>
                    <w:snapToGrid/>
                    <w:spacing w:before="24" w:after="24" w:line="240" w:lineRule="auto"/>
                    <w:textAlignment w:val="center"/>
                    <w:rPr>
                      <w:rFonts w:ascii="Times New Roman" w:hAnsi="Times New Roman"/>
                      <w:color w:val="auto"/>
                      <w:sz w:val="22"/>
                      <w:szCs w:val="22"/>
                      <w:lang w:val="en-US" w:eastAsia="zh-CN"/>
                    </w:rPr>
                  </w:pPr>
                  <w:r>
                    <w:rPr>
                      <w:rFonts w:ascii="Times New Roman" w:hAnsi="Times New Roman"/>
                      <w:color w:val="auto"/>
                      <w:sz w:val="22"/>
                      <w:szCs w:val="22"/>
                      <w:lang w:val="en-US" w:eastAsia="zh-CN"/>
                    </w:rPr>
                    <w:t>效率</w:t>
                  </w:r>
                </w:p>
              </w:tc>
              <w:tc>
                <w:tcPr>
                  <w:tcW w:w="2540" w:type="dxa"/>
                  <w:gridSpan w:val="3"/>
                  <w:noWrap w:val="0"/>
                  <w:tcMar>
                    <w:left w:w="0" w:type="dxa"/>
                    <w:right w:w="0" w:type="dxa"/>
                  </w:tcMar>
                  <w:vAlign w:val="center"/>
                </w:tcPr>
                <w:p w14:paraId="360CECD3">
                  <w:pPr>
                    <w:pStyle w:val="28"/>
                    <w:adjustRightInd/>
                    <w:snapToGrid/>
                    <w:spacing w:before="24" w:after="24" w:line="240" w:lineRule="auto"/>
                    <w:textAlignment w:val="center"/>
                    <w:rPr>
                      <w:rFonts w:ascii="Times New Roman" w:hAnsi="Times New Roman"/>
                      <w:color w:val="auto"/>
                      <w:sz w:val="22"/>
                      <w:szCs w:val="22"/>
                      <w:lang w:val="en-US" w:eastAsia="zh-CN"/>
                    </w:rPr>
                  </w:pPr>
                  <w:r>
                    <w:rPr>
                      <w:rFonts w:ascii="Times New Roman" w:hAnsi="Times New Roman"/>
                      <w:color w:val="auto"/>
                      <w:sz w:val="22"/>
                      <w:szCs w:val="22"/>
                      <w:lang w:val="en-US" w:eastAsia="zh-CN"/>
                    </w:rPr>
                    <w:t>治理后</w:t>
                  </w:r>
                </w:p>
              </w:tc>
              <w:tc>
                <w:tcPr>
                  <w:tcW w:w="1393" w:type="dxa"/>
                  <w:gridSpan w:val="2"/>
                  <w:noWrap w:val="0"/>
                  <w:tcMar>
                    <w:left w:w="0" w:type="dxa"/>
                    <w:right w:w="0" w:type="dxa"/>
                  </w:tcMar>
                  <w:vAlign w:val="center"/>
                </w:tcPr>
                <w:p w14:paraId="65DBEB54">
                  <w:pPr>
                    <w:pStyle w:val="28"/>
                    <w:adjustRightInd/>
                    <w:snapToGrid/>
                    <w:spacing w:before="24" w:after="24" w:line="240" w:lineRule="auto"/>
                    <w:textAlignment w:val="center"/>
                    <w:rPr>
                      <w:rFonts w:ascii="Times New Roman" w:hAnsi="Times New Roman"/>
                      <w:color w:val="auto"/>
                      <w:sz w:val="22"/>
                      <w:szCs w:val="22"/>
                      <w:lang w:val="en-US" w:eastAsia="zh-CN"/>
                    </w:rPr>
                  </w:pPr>
                  <w:r>
                    <w:rPr>
                      <w:rFonts w:hint="eastAsia" w:ascii="Times New Roman" w:hAnsi="Times New Roman"/>
                      <w:color w:val="auto"/>
                      <w:sz w:val="22"/>
                      <w:szCs w:val="22"/>
                      <w:lang w:val="en-US" w:eastAsia="zh-CN"/>
                    </w:rPr>
                    <w:t>排放</w:t>
                  </w:r>
                  <w:r>
                    <w:rPr>
                      <w:rFonts w:ascii="Times New Roman" w:hAnsi="Times New Roman"/>
                      <w:color w:val="auto"/>
                      <w:sz w:val="22"/>
                      <w:szCs w:val="22"/>
                      <w:lang w:val="en-US" w:eastAsia="zh-CN"/>
                    </w:rPr>
                    <w:t>标准</w:t>
                  </w:r>
                </w:p>
              </w:tc>
              <w:tc>
                <w:tcPr>
                  <w:tcW w:w="561" w:type="dxa"/>
                  <w:vMerge w:val="restart"/>
                  <w:noWrap w:val="0"/>
                  <w:tcMar>
                    <w:left w:w="0" w:type="dxa"/>
                    <w:right w:w="0" w:type="dxa"/>
                  </w:tcMar>
                  <w:vAlign w:val="center"/>
                </w:tcPr>
                <w:p w14:paraId="72CB434C">
                  <w:pPr>
                    <w:pStyle w:val="28"/>
                    <w:adjustRightInd/>
                    <w:snapToGrid/>
                    <w:spacing w:before="24" w:after="24" w:line="240" w:lineRule="auto"/>
                    <w:textAlignment w:val="center"/>
                    <w:rPr>
                      <w:rFonts w:ascii="Times New Roman" w:hAnsi="Times New Roman"/>
                      <w:color w:val="auto"/>
                      <w:sz w:val="22"/>
                      <w:szCs w:val="22"/>
                      <w:lang w:val="en-US" w:eastAsia="zh-CN"/>
                    </w:rPr>
                  </w:pPr>
                  <w:r>
                    <w:rPr>
                      <w:rFonts w:ascii="Times New Roman" w:hAnsi="Times New Roman"/>
                      <w:color w:val="auto"/>
                      <w:sz w:val="22"/>
                      <w:szCs w:val="22"/>
                      <w:lang w:val="en-US" w:eastAsia="zh-CN"/>
                    </w:rPr>
                    <w:t>达标</w:t>
                  </w:r>
                </w:p>
                <w:p w14:paraId="251086B2">
                  <w:pPr>
                    <w:pStyle w:val="28"/>
                    <w:adjustRightInd/>
                    <w:snapToGrid/>
                    <w:spacing w:before="24" w:after="24" w:line="240" w:lineRule="auto"/>
                    <w:textAlignment w:val="center"/>
                    <w:rPr>
                      <w:rFonts w:ascii="Times New Roman" w:hAnsi="Times New Roman"/>
                      <w:color w:val="auto"/>
                      <w:sz w:val="22"/>
                      <w:szCs w:val="22"/>
                      <w:lang w:val="en-US" w:eastAsia="zh-CN"/>
                    </w:rPr>
                  </w:pPr>
                  <w:r>
                    <w:rPr>
                      <w:rFonts w:ascii="Times New Roman" w:hAnsi="Times New Roman"/>
                      <w:color w:val="auto"/>
                      <w:sz w:val="22"/>
                      <w:szCs w:val="22"/>
                      <w:lang w:val="en-US" w:eastAsia="zh-CN"/>
                    </w:rPr>
                    <w:t>情况</w:t>
                  </w:r>
                </w:p>
              </w:tc>
            </w:tr>
            <w:tr w14:paraId="7B6648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cantSplit/>
                <w:trHeight w:val="20" w:hRule="atLeast"/>
                <w:jc w:val="center"/>
              </w:trPr>
              <w:tc>
                <w:tcPr>
                  <w:tcW w:w="460" w:type="dxa"/>
                  <w:vMerge w:val="continue"/>
                  <w:noWrap w:val="0"/>
                  <w:tcMar>
                    <w:left w:w="0" w:type="dxa"/>
                    <w:right w:w="0" w:type="dxa"/>
                  </w:tcMar>
                  <w:vAlign w:val="center"/>
                </w:tcPr>
                <w:p w14:paraId="48D28125">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1857" w:type="dxa"/>
                  <w:vMerge w:val="continue"/>
                  <w:noWrap w:val="0"/>
                  <w:tcMar>
                    <w:left w:w="0" w:type="dxa"/>
                    <w:right w:w="0" w:type="dxa"/>
                  </w:tcMar>
                  <w:vAlign w:val="center"/>
                </w:tcPr>
                <w:p w14:paraId="50EA8DB3">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705" w:type="dxa"/>
                  <w:vMerge w:val="continue"/>
                  <w:noWrap w:val="0"/>
                  <w:tcMar>
                    <w:left w:w="0" w:type="dxa"/>
                    <w:right w:w="0" w:type="dxa"/>
                  </w:tcMar>
                  <w:vAlign w:val="center"/>
                </w:tcPr>
                <w:p w14:paraId="02B1AD86">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1054" w:type="dxa"/>
                  <w:vMerge w:val="continue"/>
                  <w:noWrap w:val="0"/>
                  <w:tcMar>
                    <w:left w:w="0" w:type="dxa"/>
                    <w:right w:w="0" w:type="dxa"/>
                  </w:tcMar>
                  <w:vAlign w:val="center"/>
                </w:tcPr>
                <w:p w14:paraId="42077C84">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736" w:type="dxa"/>
                  <w:noWrap w:val="0"/>
                  <w:tcMar>
                    <w:left w:w="0" w:type="dxa"/>
                    <w:right w:w="0" w:type="dxa"/>
                  </w:tcMar>
                  <w:vAlign w:val="center"/>
                </w:tcPr>
                <w:p w14:paraId="16AC0C0D">
                  <w:pPr>
                    <w:pStyle w:val="28"/>
                    <w:adjustRightInd/>
                    <w:snapToGrid/>
                    <w:spacing w:before="24" w:after="24" w:line="240" w:lineRule="auto"/>
                    <w:textAlignment w:val="center"/>
                    <w:rPr>
                      <w:rFonts w:ascii="Times New Roman" w:hAnsi="Times New Roman"/>
                      <w:color w:val="auto"/>
                      <w:sz w:val="22"/>
                      <w:szCs w:val="22"/>
                      <w:lang w:val="en-US" w:eastAsia="zh-CN"/>
                    </w:rPr>
                  </w:pPr>
                  <w:r>
                    <w:rPr>
                      <w:rFonts w:ascii="Times New Roman" w:hAnsi="Times New Roman"/>
                      <w:color w:val="auto"/>
                      <w:sz w:val="22"/>
                      <w:szCs w:val="22"/>
                      <w:lang w:val="en-US" w:eastAsia="zh-CN"/>
                    </w:rPr>
                    <w:t>浓度</w:t>
                  </w:r>
                </w:p>
                <w:p w14:paraId="11B5F899">
                  <w:pPr>
                    <w:pStyle w:val="28"/>
                    <w:adjustRightInd/>
                    <w:snapToGrid/>
                    <w:spacing w:before="24" w:after="24" w:line="240" w:lineRule="auto"/>
                    <w:textAlignment w:val="center"/>
                    <w:rPr>
                      <w:rFonts w:ascii="Times New Roman" w:hAnsi="Times New Roman"/>
                      <w:color w:val="auto"/>
                      <w:sz w:val="22"/>
                      <w:szCs w:val="22"/>
                      <w:lang w:val="en-US" w:eastAsia="zh-CN"/>
                    </w:rPr>
                  </w:pPr>
                  <w:r>
                    <w:rPr>
                      <w:rFonts w:ascii="Times New Roman" w:hAnsi="Times New Roman"/>
                      <w:color w:val="auto"/>
                      <w:sz w:val="22"/>
                      <w:szCs w:val="22"/>
                      <w:lang w:val="en-US" w:eastAsia="zh-CN"/>
                    </w:rPr>
                    <w:t>mg/m</w:t>
                  </w:r>
                  <w:r>
                    <w:rPr>
                      <w:rFonts w:ascii="Times New Roman" w:hAnsi="Times New Roman"/>
                      <w:color w:val="auto"/>
                      <w:sz w:val="22"/>
                      <w:szCs w:val="22"/>
                      <w:vertAlign w:val="superscript"/>
                      <w:lang w:val="en-US" w:eastAsia="zh-CN"/>
                    </w:rPr>
                    <w:t>3</w:t>
                  </w:r>
                </w:p>
              </w:tc>
              <w:tc>
                <w:tcPr>
                  <w:tcW w:w="971" w:type="dxa"/>
                  <w:noWrap w:val="0"/>
                  <w:tcMar>
                    <w:left w:w="0" w:type="dxa"/>
                    <w:right w:w="0" w:type="dxa"/>
                  </w:tcMar>
                  <w:vAlign w:val="center"/>
                </w:tcPr>
                <w:p w14:paraId="7813BE47">
                  <w:pPr>
                    <w:pStyle w:val="28"/>
                    <w:adjustRightInd/>
                    <w:snapToGrid/>
                    <w:spacing w:before="24" w:after="24" w:line="240" w:lineRule="auto"/>
                    <w:textAlignment w:val="center"/>
                    <w:rPr>
                      <w:rFonts w:hint="eastAsia" w:ascii="Times New Roman" w:hAnsi="Times New Roman"/>
                      <w:color w:val="auto"/>
                      <w:sz w:val="22"/>
                      <w:szCs w:val="22"/>
                      <w:lang w:val="en-US" w:eastAsia="zh-CN"/>
                    </w:rPr>
                  </w:pPr>
                  <w:r>
                    <w:rPr>
                      <w:rFonts w:ascii="Times New Roman" w:hAnsi="Times New Roman"/>
                      <w:color w:val="auto"/>
                      <w:sz w:val="22"/>
                      <w:szCs w:val="22"/>
                      <w:lang w:val="en-US" w:eastAsia="zh-CN"/>
                    </w:rPr>
                    <w:t>产生</w:t>
                  </w:r>
                  <w:r>
                    <w:rPr>
                      <w:rFonts w:hint="eastAsia" w:ascii="Times New Roman" w:hAnsi="Times New Roman"/>
                      <w:color w:val="auto"/>
                      <w:sz w:val="22"/>
                      <w:szCs w:val="22"/>
                      <w:lang w:val="en-US" w:eastAsia="zh-CN"/>
                    </w:rPr>
                    <w:t>速率</w:t>
                  </w:r>
                </w:p>
                <w:p w14:paraId="7D0BAF66">
                  <w:pPr>
                    <w:pStyle w:val="28"/>
                    <w:adjustRightInd/>
                    <w:snapToGrid/>
                    <w:spacing w:before="24" w:after="24" w:line="240" w:lineRule="auto"/>
                    <w:textAlignment w:val="center"/>
                    <w:rPr>
                      <w:rFonts w:ascii="Times New Roman" w:hAnsi="Times New Roman"/>
                      <w:color w:val="auto"/>
                      <w:sz w:val="22"/>
                      <w:szCs w:val="22"/>
                      <w:lang w:val="en-US" w:eastAsia="zh-CN"/>
                    </w:rPr>
                  </w:pPr>
                  <w:r>
                    <w:rPr>
                      <w:rFonts w:hint="eastAsia"/>
                      <w:color w:val="auto"/>
                      <w:sz w:val="22"/>
                      <w:szCs w:val="22"/>
                      <w:lang w:val="en-US" w:eastAsia="zh-CN"/>
                    </w:rPr>
                    <w:t>(</w:t>
                  </w:r>
                  <w:r>
                    <w:rPr>
                      <w:rFonts w:ascii="Times New Roman" w:hAnsi="Times New Roman"/>
                      <w:color w:val="auto"/>
                      <w:sz w:val="22"/>
                      <w:szCs w:val="22"/>
                      <w:lang w:val="en-US" w:eastAsia="zh-CN"/>
                    </w:rPr>
                    <w:t>kg/h</w:t>
                  </w:r>
                  <w:r>
                    <w:rPr>
                      <w:rFonts w:hint="eastAsia"/>
                      <w:color w:val="auto"/>
                      <w:sz w:val="22"/>
                      <w:szCs w:val="22"/>
                      <w:lang w:val="en-US" w:eastAsia="zh-CN"/>
                    </w:rPr>
                    <w:t>)</w:t>
                  </w:r>
                </w:p>
              </w:tc>
              <w:tc>
                <w:tcPr>
                  <w:tcW w:w="901" w:type="dxa"/>
                  <w:noWrap w:val="0"/>
                  <w:tcMar>
                    <w:left w:w="0" w:type="dxa"/>
                    <w:right w:w="0" w:type="dxa"/>
                  </w:tcMar>
                  <w:vAlign w:val="center"/>
                </w:tcPr>
                <w:p w14:paraId="5DDF9D42">
                  <w:pPr>
                    <w:pStyle w:val="28"/>
                    <w:adjustRightInd/>
                    <w:snapToGrid/>
                    <w:spacing w:before="24" w:after="24" w:line="240" w:lineRule="auto"/>
                    <w:textAlignment w:val="center"/>
                    <w:rPr>
                      <w:rFonts w:ascii="Times New Roman" w:hAnsi="Times New Roman"/>
                      <w:color w:val="auto"/>
                      <w:sz w:val="22"/>
                      <w:szCs w:val="22"/>
                      <w:lang w:val="en-US" w:eastAsia="zh-CN"/>
                    </w:rPr>
                  </w:pPr>
                  <w:r>
                    <w:rPr>
                      <w:rFonts w:hint="eastAsia" w:ascii="Times New Roman" w:hAnsi="Times New Roman"/>
                      <w:color w:val="auto"/>
                      <w:sz w:val="22"/>
                      <w:szCs w:val="22"/>
                      <w:lang w:val="en-US" w:eastAsia="zh-CN"/>
                    </w:rPr>
                    <w:t>产生</w:t>
                  </w:r>
                  <w:r>
                    <w:rPr>
                      <w:rFonts w:ascii="Times New Roman" w:hAnsi="Times New Roman"/>
                      <w:color w:val="auto"/>
                      <w:sz w:val="22"/>
                      <w:szCs w:val="22"/>
                      <w:lang w:val="en-US" w:eastAsia="zh-CN"/>
                    </w:rPr>
                    <w:t>量</w:t>
                  </w:r>
                </w:p>
                <w:p w14:paraId="39CE51B4">
                  <w:pPr>
                    <w:pStyle w:val="28"/>
                    <w:adjustRightInd/>
                    <w:snapToGrid/>
                    <w:spacing w:before="24" w:after="24" w:line="240" w:lineRule="auto"/>
                    <w:textAlignment w:val="center"/>
                    <w:rPr>
                      <w:rFonts w:ascii="Times New Roman" w:hAnsi="Times New Roman"/>
                      <w:color w:val="auto"/>
                      <w:sz w:val="22"/>
                      <w:szCs w:val="22"/>
                      <w:lang w:val="en-US" w:eastAsia="zh-CN"/>
                    </w:rPr>
                  </w:pPr>
                  <w:r>
                    <w:rPr>
                      <w:rFonts w:hint="eastAsia"/>
                      <w:color w:val="auto"/>
                      <w:sz w:val="22"/>
                      <w:szCs w:val="22"/>
                      <w:lang w:val="en-US" w:eastAsia="zh-CN"/>
                    </w:rPr>
                    <w:t>(</w:t>
                  </w:r>
                  <w:r>
                    <w:rPr>
                      <w:rFonts w:ascii="Times New Roman" w:hAnsi="Times New Roman"/>
                      <w:color w:val="auto"/>
                      <w:sz w:val="22"/>
                      <w:szCs w:val="22"/>
                      <w:lang w:val="en-US" w:eastAsia="zh-CN"/>
                    </w:rPr>
                    <w:t>t/a</w:t>
                  </w:r>
                  <w:r>
                    <w:rPr>
                      <w:rFonts w:hint="eastAsia"/>
                      <w:color w:val="auto"/>
                      <w:sz w:val="22"/>
                      <w:szCs w:val="22"/>
                      <w:lang w:val="en-US" w:eastAsia="zh-CN"/>
                    </w:rPr>
                    <w:t>)</w:t>
                  </w:r>
                </w:p>
              </w:tc>
              <w:tc>
                <w:tcPr>
                  <w:tcW w:w="1354" w:type="dxa"/>
                  <w:vMerge w:val="continue"/>
                  <w:noWrap w:val="0"/>
                  <w:tcMar>
                    <w:left w:w="0" w:type="dxa"/>
                    <w:right w:w="0" w:type="dxa"/>
                  </w:tcMar>
                  <w:vAlign w:val="center"/>
                </w:tcPr>
                <w:p w14:paraId="5E77051A">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725" w:type="dxa"/>
                  <w:vMerge w:val="continue"/>
                  <w:noWrap w:val="0"/>
                  <w:tcMar>
                    <w:left w:w="0" w:type="dxa"/>
                    <w:right w:w="0" w:type="dxa"/>
                  </w:tcMar>
                  <w:vAlign w:val="center"/>
                </w:tcPr>
                <w:p w14:paraId="6EE7156E">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794" w:type="dxa"/>
                  <w:noWrap w:val="0"/>
                  <w:tcMar>
                    <w:left w:w="0" w:type="dxa"/>
                    <w:right w:w="0" w:type="dxa"/>
                  </w:tcMar>
                  <w:vAlign w:val="center"/>
                </w:tcPr>
                <w:p w14:paraId="57785518">
                  <w:pPr>
                    <w:pStyle w:val="28"/>
                    <w:adjustRightInd/>
                    <w:snapToGrid/>
                    <w:spacing w:before="24" w:after="24" w:line="240" w:lineRule="auto"/>
                    <w:textAlignment w:val="center"/>
                    <w:rPr>
                      <w:rFonts w:ascii="Times New Roman" w:hAnsi="Times New Roman"/>
                      <w:color w:val="auto"/>
                      <w:sz w:val="22"/>
                      <w:szCs w:val="22"/>
                      <w:lang w:val="en-US" w:eastAsia="zh-CN"/>
                    </w:rPr>
                  </w:pPr>
                  <w:r>
                    <w:rPr>
                      <w:rFonts w:ascii="Times New Roman" w:hAnsi="Times New Roman"/>
                      <w:color w:val="auto"/>
                      <w:sz w:val="22"/>
                      <w:szCs w:val="22"/>
                      <w:lang w:val="en-US" w:eastAsia="zh-CN"/>
                    </w:rPr>
                    <w:t>浓度</w:t>
                  </w:r>
                </w:p>
                <w:p w14:paraId="4501C7A2">
                  <w:pPr>
                    <w:pStyle w:val="28"/>
                    <w:adjustRightInd/>
                    <w:snapToGrid/>
                    <w:spacing w:before="24" w:after="24" w:line="240" w:lineRule="auto"/>
                    <w:textAlignment w:val="center"/>
                    <w:rPr>
                      <w:rFonts w:ascii="Times New Roman" w:hAnsi="Times New Roman"/>
                      <w:color w:val="auto"/>
                      <w:sz w:val="22"/>
                      <w:szCs w:val="22"/>
                      <w:lang w:val="en-US" w:eastAsia="zh-CN"/>
                    </w:rPr>
                  </w:pPr>
                  <w:r>
                    <w:rPr>
                      <w:rFonts w:ascii="Times New Roman" w:hAnsi="Times New Roman"/>
                      <w:color w:val="auto"/>
                      <w:sz w:val="22"/>
                      <w:szCs w:val="22"/>
                      <w:lang w:val="en-US" w:eastAsia="zh-CN"/>
                    </w:rPr>
                    <w:t>mg/m</w:t>
                  </w:r>
                  <w:r>
                    <w:rPr>
                      <w:rFonts w:ascii="Times New Roman" w:hAnsi="Times New Roman"/>
                      <w:color w:val="auto"/>
                      <w:sz w:val="22"/>
                      <w:szCs w:val="22"/>
                      <w:vertAlign w:val="superscript"/>
                      <w:lang w:val="en-US" w:eastAsia="zh-CN"/>
                    </w:rPr>
                    <w:t>3</w:t>
                  </w:r>
                </w:p>
              </w:tc>
              <w:tc>
                <w:tcPr>
                  <w:tcW w:w="886" w:type="dxa"/>
                  <w:noWrap w:val="0"/>
                  <w:tcMar>
                    <w:left w:w="0" w:type="dxa"/>
                    <w:right w:w="0" w:type="dxa"/>
                  </w:tcMar>
                  <w:vAlign w:val="center"/>
                </w:tcPr>
                <w:p w14:paraId="55A09120">
                  <w:pPr>
                    <w:pStyle w:val="28"/>
                    <w:adjustRightInd/>
                    <w:snapToGrid/>
                    <w:spacing w:before="24" w:after="24" w:line="240" w:lineRule="auto"/>
                    <w:textAlignment w:val="center"/>
                    <w:rPr>
                      <w:rFonts w:hint="eastAsia" w:ascii="Times New Roman" w:hAnsi="Times New Roman"/>
                      <w:color w:val="auto"/>
                      <w:sz w:val="22"/>
                      <w:szCs w:val="22"/>
                      <w:lang w:val="en-US" w:eastAsia="zh-CN"/>
                    </w:rPr>
                  </w:pPr>
                  <w:r>
                    <w:rPr>
                      <w:rFonts w:ascii="Times New Roman" w:hAnsi="Times New Roman"/>
                      <w:color w:val="auto"/>
                      <w:sz w:val="22"/>
                      <w:szCs w:val="22"/>
                      <w:lang w:val="en-US" w:eastAsia="zh-CN"/>
                    </w:rPr>
                    <w:t>排放</w:t>
                  </w:r>
                  <w:r>
                    <w:rPr>
                      <w:rFonts w:hint="eastAsia" w:ascii="Times New Roman" w:hAnsi="Times New Roman"/>
                      <w:color w:val="auto"/>
                      <w:sz w:val="22"/>
                      <w:szCs w:val="22"/>
                      <w:lang w:val="en-US" w:eastAsia="zh-CN"/>
                    </w:rPr>
                    <w:t>速率</w:t>
                  </w:r>
                </w:p>
                <w:p w14:paraId="1B9C3B97">
                  <w:pPr>
                    <w:pStyle w:val="28"/>
                    <w:adjustRightInd/>
                    <w:snapToGrid/>
                    <w:spacing w:before="24" w:after="24" w:line="240" w:lineRule="auto"/>
                    <w:textAlignment w:val="center"/>
                    <w:rPr>
                      <w:rFonts w:ascii="Times New Roman" w:hAnsi="Times New Roman"/>
                      <w:color w:val="auto"/>
                      <w:sz w:val="22"/>
                      <w:szCs w:val="22"/>
                      <w:lang w:val="en-US" w:eastAsia="zh-CN"/>
                    </w:rPr>
                  </w:pPr>
                  <w:r>
                    <w:rPr>
                      <w:rFonts w:ascii="Times New Roman" w:hAnsi="Times New Roman"/>
                      <w:color w:val="auto"/>
                      <w:sz w:val="22"/>
                      <w:szCs w:val="22"/>
                      <w:lang w:val="en-US" w:eastAsia="zh-CN"/>
                    </w:rPr>
                    <w:t>kg/h</w:t>
                  </w:r>
                </w:p>
              </w:tc>
              <w:tc>
                <w:tcPr>
                  <w:tcW w:w="860" w:type="dxa"/>
                  <w:noWrap w:val="0"/>
                  <w:tcMar>
                    <w:left w:w="0" w:type="dxa"/>
                    <w:right w:w="0" w:type="dxa"/>
                  </w:tcMar>
                  <w:vAlign w:val="center"/>
                </w:tcPr>
                <w:p w14:paraId="33527EC7">
                  <w:pPr>
                    <w:pStyle w:val="28"/>
                    <w:adjustRightInd/>
                    <w:snapToGrid/>
                    <w:spacing w:before="24" w:after="24" w:line="240" w:lineRule="auto"/>
                    <w:textAlignment w:val="center"/>
                    <w:rPr>
                      <w:rFonts w:ascii="Times New Roman" w:hAnsi="Times New Roman"/>
                      <w:color w:val="auto"/>
                      <w:sz w:val="22"/>
                      <w:szCs w:val="22"/>
                      <w:lang w:val="en-US" w:eastAsia="zh-CN"/>
                    </w:rPr>
                  </w:pPr>
                  <w:r>
                    <w:rPr>
                      <w:rFonts w:ascii="Times New Roman" w:hAnsi="Times New Roman"/>
                      <w:color w:val="auto"/>
                      <w:sz w:val="22"/>
                      <w:szCs w:val="22"/>
                      <w:lang w:val="en-US" w:eastAsia="zh-CN"/>
                    </w:rPr>
                    <w:t>排放量</w:t>
                  </w:r>
                </w:p>
                <w:p w14:paraId="09D582BB">
                  <w:pPr>
                    <w:pStyle w:val="28"/>
                    <w:adjustRightInd/>
                    <w:snapToGrid/>
                    <w:spacing w:before="24" w:after="24" w:line="240" w:lineRule="auto"/>
                    <w:textAlignment w:val="center"/>
                    <w:rPr>
                      <w:rFonts w:ascii="Times New Roman" w:hAnsi="Times New Roman"/>
                      <w:color w:val="auto"/>
                      <w:sz w:val="22"/>
                      <w:szCs w:val="22"/>
                      <w:lang w:val="en-US" w:eastAsia="zh-CN"/>
                    </w:rPr>
                  </w:pPr>
                  <w:r>
                    <w:rPr>
                      <w:rFonts w:hint="eastAsia"/>
                      <w:color w:val="auto"/>
                      <w:sz w:val="22"/>
                      <w:szCs w:val="22"/>
                      <w:lang w:val="en-US" w:eastAsia="zh-CN"/>
                    </w:rPr>
                    <w:t>(</w:t>
                  </w:r>
                  <w:r>
                    <w:rPr>
                      <w:rFonts w:ascii="Times New Roman" w:hAnsi="Times New Roman"/>
                      <w:color w:val="auto"/>
                      <w:sz w:val="22"/>
                      <w:szCs w:val="22"/>
                      <w:lang w:val="en-US" w:eastAsia="zh-CN"/>
                    </w:rPr>
                    <w:t>t/a</w:t>
                  </w:r>
                  <w:r>
                    <w:rPr>
                      <w:rFonts w:hint="eastAsia"/>
                      <w:color w:val="auto"/>
                      <w:sz w:val="22"/>
                      <w:szCs w:val="22"/>
                      <w:lang w:val="en-US" w:eastAsia="zh-CN"/>
                    </w:rPr>
                    <w:t>)</w:t>
                  </w:r>
                </w:p>
              </w:tc>
              <w:tc>
                <w:tcPr>
                  <w:tcW w:w="662" w:type="dxa"/>
                  <w:noWrap w:val="0"/>
                  <w:tcMar>
                    <w:left w:w="0" w:type="dxa"/>
                    <w:right w:w="0" w:type="dxa"/>
                  </w:tcMar>
                  <w:vAlign w:val="center"/>
                </w:tcPr>
                <w:p w14:paraId="3C88B031">
                  <w:pPr>
                    <w:pStyle w:val="28"/>
                    <w:adjustRightInd/>
                    <w:snapToGrid/>
                    <w:spacing w:before="24" w:after="24" w:line="240" w:lineRule="auto"/>
                    <w:textAlignment w:val="center"/>
                    <w:rPr>
                      <w:rFonts w:hint="eastAsia" w:ascii="Times New Roman" w:hAnsi="Times New Roman"/>
                      <w:color w:val="auto"/>
                      <w:sz w:val="22"/>
                      <w:szCs w:val="22"/>
                      <w:lang w:val="en-US" w:eastAsia="zh-CN"/>
                    </w:rPr>
                  </w:pPr>
                  <w:r>
                    <w:rPr>
                      <w:rFonts w:hint="eastAsia" w:ascii="Times New Roman" w:hAnsi="Times New Roman"/>
                      <w:color w:val="auto"/>
                      <w:sz w:val="22"/>
                      <w:szCs w:val="22"/>
                      <w:lang w:val="en-US" w:eastAsia="zh-CN"/>
                    </w:rPr>
                    <w:t>速率</w:t>
                  </w:r>
                </w:p>
                <w:p w14:paraId="38EC00E2">
                  <w:pPr>
                    <w:pStyle w:val="28"/>
                    <w:adjustRightInd/>
                    <w:snapToGrid/>
                    <w:spacing w:before="24" w:after="24" w:line="240" w:lineRule="auto"/>
                    <w:textAlignment w:val="center"/>
                    <w:rPr>
                      <w:rFonts w:ascii="Times New Roman" w:hAnsi="Times New Roman"/>
                      <w:color w:val="auto"/>
                      <w:sz w:val="22"/>
                      <w:szCs w:val="22"/>
                      <w:lang w:val="en-US" w:eastAsia="zh-CN"/>
                    </w:rPr>
                  </w:pPr>
                  <w:r>
                    <w:rPr>
                      <w:rFonts w:hint="eastAsia" w:ascii="Times New Roman" w:hAnsi="Times New Roman"/>
                      <w:color w:val="auto"/>
                      <w:sz w:val="22"/>
                      <w:szCs w:val="22"/>
                      <w:lang w:val="en-US" w:eastAsia="zh-CN"/>
                    </w:rPr>
                    <w:t>kg/h</w:t>
                  </w:r>
                </w:p>
              </w:tc>
              <w:tc>
                <w:tcPr>
                  <w:tcW w:w="731" w:type="dxa"/>
                  <w:noWrap w:val="0"/>
                  <w:tcMar>
                    <w:left w:w="0" w:type="dxa"/>
                    <w:right w:w="0" w:type="dxa"/>
                  </w:tcMar>
                  <w:vAlign w:val="center"/>
                </w:tcPr>
                <w:p w14:paraId="6E68A9DD">
                  <w:pPr>
                    <w:pStyle w:val="28"/>
                    <w:adjustRightInd/>
                    <w:snapToGrid/>
                    <w:spacing w:before="24" w:after="24" w:line="240" w:lineRule="auto"/>
                    <w:textAlignment w:val="center"/>
                    <w:rPr>
                      <w:rFonts w:hint="eastAsia" w:ascii="Times New Roman" w:hAnsi="Times New Roman"/>
                      <w:color w:val="auto"/>
                      <w:sz w:val="22"/>
                      <w:szCs w:val="22"/>
                      <w:lang w:val="en-US" w:eastAsia="zh-CN"/>
                    </w:rPr>
                  </w:pPr>
                  <w:r>
                    <w:rPr>
                      <w:rFonts w:hint="eastAsia" w:ascii="Times New Roman" w:hAnsi="Times New Roman"/>
                      <w:color w:val="auto"/>
                      <w:sz w:val="22"/>
                      <w:szCs w:val="22"/>
                      <w:lang w:val="en-US" w:eastAsia="zh-CN"/>
                    </w:rPr>
                    <w:t>浓度</w:t>
                  </w:r>
                </w:p>
                <w:p w14:paraId="452FB902">
                  <w:pPr>
                    <w:pStyle w:val="28"/>
                    <w:adjustRightInd/>
                    <w:snapToGrid/>
                    <w:spacing w:before="24" w:after="24" w:line="240" w:lineRule="auto"/>
                    <w:textAlignment w:val="center"/>
                    <w:rPr>
                      <w:rFonts w:ascii="Times New Roman" w:hAnsi="Times New Roman"/>
                      <w:color w:val="auto"/>
                      <w:sz w:val="22"/>
                      <w:szCs w:val="22"/>
                      <w:lang w:val="en-US" w:eastAsia="zh-CN"/>
                    </w:rPr>
                  </w:pPr>
                  <w:r>
                    <w:rPr>
                      <w:rFonts w:ascii="Times New Roman" w:hAnsi="Times New Roman"/>
                      <w:color w:val="auto"/>
                      <w:sz w:val="22"/>
                      <w:szCs w:val="22"/>
                      <w:lang w:val="en-US" w:eastAsia="zh-CN"/>
                    </w:rPr>
                    <w:t>mg/m</w:t>
                  </w:r>
                  <w:r>
                    <w:rPr>
                      <w:rFonts w:ascii="Times New Roman" w:hAnsi="Times New Roman"/>
                      <w:color w:val="auto"/>
                      <w:sz w:val="22"/>
                      <w:szCs w:val="22"/>
                      <w:vertAlign w:val="superscript"/>
                      <w:lang w:val="en-US" w:eastAsia="zh-CN"/>
                    </w:rPr>
                    <w:t>3</w:t>
                  </w:r>
                </w:p>
              </w:tc>
              <w:tc>
                <w:tcPr>
                  <w:tcW w:w="561" w:type="dxa"/>
                  <w:vMerge w:val="continue"/>
                  <w:noWrap w:val="0"/>
                  <w:tcMar>
                    <w:left w:w="0" w:type="dxa"/>
                    <w:right w:w="0" w:type="dxa"/>
                  </w:tcMar>
                  <w:vAlign w:val="center"/>
                </w:tcPr>
                <w:p w14:paraId="308AA842">
                  <w:pPr>
                    <w:pStyle w:val="28"/>
                    <w:adjustRightInd/>
                    <w:snapToGrid/>
                    <w:spacing w:before="24" w:after="24" w:line="240" w:lineRule="auto"/>
                    <w:textAlignment w:val="center"/>
                    <w:rPr>
                      <w:rFonts w:ascii="Times New Roman" w:hAnsi="Times New Roman"/>
                      <w:color w:val="auto"/>
                      <w:sz w:val="22"/>
                      <w:szCs w:val="22"/>
                      <w:lang w:val="en-US" w:eastAsia="zh-CN"/>
                    </w:rPr>
                  </w:pPr>
                </w:p>
              </w:tc>
            </w:tr>
            <w:tr w14:paraId="402E20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cantSplit/>
                <w:trHeight w:val="20" w:hRule="atLeast"/>
                <w:jc w:val="center"/>
              </w:trPr>
              <w:tc>
                <w:tcPr>
                  <w:tcW w:w="460" w:type="dxa"/>
                  <w:noWrap w:val="0"/>
                  <w:tcMar>
                    <w:left w:w="0" w:type="dxa"/>
                    <w:right w:w="0" w:type="dxa"/>
                  </w:tcMar>
                  <w:vAlign w:val="center"/>
                </w:tcPr>
                <w:p w14:paraId="5A0BCBFF">
                  <w:pPr>
                    <w:pStyle w:val="28"/>
                    <w:adjustRightInd/>
                    <w:snapToGrid/>
                    <w:spacing w:before="24" w:after="24" w:line="240" w:lineRule="auto"/>
                    <w:textAlignment w:val="center"/>
                    <w:rPr>
                      <w:rFonts w:ascii="Times New Roman" w:hAnsi="Times New Roman"/>
                      <w:color w:val="auto"/>
                      <w:sz w:val="22"/>
                      <w:szCs w:val="22"/>
                      <w:lang w:val="en-US" w:eastAsia="zh-CN"/>
                    </w:rPr>
                  </w:pPr>
                  <w:r>
                    <w:rPr>
                      <w:rFonts w:ascii="Times New Roman" w:hAnsi="Times New Roman"/>
                      <w:color w:val="auto"/>
                      <w:sz w:val="22"/>
                      <w:szCs w:val="22"/>
                      <w:lang w:val="en-US" w:eastAsia="zh-CN"/>
                    </w:rPr>
                    <w:t>1</w:t>
                  </w:r>
                </w:p>
              </w:tc>
              <w:tc>
                <w:tcPr>
                  <w:tcW w:w="1857" w:type="dxa"/>
                  <w:noWrap w:val="0"/>
                  <w:tcMar>
                    <w:left w:w="0" w:type="dxa"/>
                    <w:right w:w="0" w:type="dxa"/>
                  </w:tcMar>
                  <w:vAlign w:val="center"/>
                </w:tcPr>
                <w:p w14:paraId="50253BE8">
                  <w:pPr>
                    <w:pStyle w:val="28"/>
                    <w:adjustRightInd/>
                    <w:snapToGrid/>
                    <w:spacing w:before="24" w:after="24" w:line="240" w:lineRule="auto"/>
                    <w:textAlignment w:val="center"/>
                    <w:rPr>
                      <w:rFonts w:ascii="Times New Roman" w:hAnsi="Times New Roman"/>
                      <w:color w:val="auto"/>
                      <w:sz w:val="22"/>
                      <w:szCs w:val="22"/>
                      <w:lang w:val="en-US" w:eastAsia="zh-CN"/>
                    </w:rPr>
                  </w:pPr>
                  <w:r>
                    <w:rPr>
                      <w:rFonts w:hint="eastAsia" w:ascii="Times New Roman" w:hAnsi="Times New Roman"/>
                      <w:color w:val="auto"/>
                      <w:sz w:val="22"/>
                      <w:szCs w:val="22"/>
                      <w:lang w:val="en-US" w:eastAsia="zh-CN"/>
                    </w:rPr>
                    <w:t>开包粉尘G1</w:t>
                  </w:r>
                </w:p>
              </w:tc>
              <w:tc>
                <w:tcPr>
                  <w:tcW w:w="705" w:type="dxa"/>
                  <w:vMerge w:val="restart"/>
                  <w:noWrap w:val="0"/>
                  <w:tcMar>
                    <w:left w:w="0" w:type="dxa"/>
                    <w:right w:w="0" w:type="dxa"/>
                  </w:tcMar>
                  <w:vAlign w:val="center"/>
                </w:tcPr>
                <w:p w14:paraId="4DFE7322">
                  <w:pPr>
                    <w:pStyle w:val="28"/>
                    <w:adjustRightInd/>
                    <w:snapToGrid/>
                    <w:spacing w:before="24" w:after="24" w:line="240" w:lineRule="auto"/>
                    <w:textAlignment w:val="center"/>
                    <w:rPr>
                      <w:rFonts w:hint="default" w:ascii="Times New Roman" w:hAnsi="Times New Roman"/>
                      <w:color w:val="auto"/>
                      <w:sz w:val="22"/>
                      <w:szCs w:val="22"/>
                      <w:lang w:val="en-US" w:eastAsia="zh-CN"/>
                    </w:rPr>
                  </w:pPr>
                  <w:r>
                    <w:rPr>
                      <w:rFonts w:hint="eastAsia" w:ascii="Times New Roman" w:hAnsi="Times New Roman"/>
                      <w:color w:val="auto"/>
                      <w:sz w:val="22"/>
                      <w:szCs w:val="22"/>
                      <w:lang w:val="en-US" w:eastAsia="zh-CN"/>
                    </w:rPr>
                    <w:t>30000</w:t>
                  </w:r>
                </w:p>
              </w:tc>
              <w:tc>
                <w:tcPr>
                  <w:tcW w:w="1054" w:type="dxa"/>
                  <w:vMerge w:val="restart"/>
                  <w:noWrap w:val="0"/>
                  <w:tcMar>
                    <w:left w:w="0" w:type="dxa"/>
                    <w:right w:w="0" w:type="dxa"/>
                  </w:tcMar>
                  <w:vAlign w:val="center"/>
                </w:tcPr>
                <w:p w14:paraId="6AC38E65">
                  <w:pPr>
                    <w:pStyle w:val="28"/>
                    <w:adjustRightInd/>
                    <w:snapToGrid/>
                    <w:spacing w:before="24" w:after="24" w:line="240" w:lineRule="auto"/>
                    <w:textAlignment w:val="center"/>
                    <w:rPr>
                      <w:rFonts w:hint="default" w:ascii="Times New Roman" w:hAnsi="Times New Roman"/>
                      <w:color w:val="auto"/>
                      <w:sz w:val="22"/>
                      <w:szCs w:val="22"/>
                      <w:lang w:val="en-US" w:eastAsia="zh-CN"/>
                    </w:rPr>
                  </w:pPr>
                  <w:r>
                    <w:rPr>
                      <w:rFonts w:hint="eastAsia" w:ascii="Times New Roman" w:hAnsi="Times New Roman"/>
                      <w:color w:val="auto"/>
                      <w:sz w:val="22"/>
                      <w:szCs w:val="22"/>
                      <w:lang w:val="en-US" w:eastAsia="zh-CN"/>
                    </w:rPr>
                    <w:t>颗粒物</w:t>
                  </w:r>
                </w:p>
              </w:tc>
              <w:tc>
                <w:tcPr>
                  <w:tcW w:w="736" w:type="dxa"/>
                  <w:noWrap w:val="0"/>
                  <w:tcMar>
                    <w:left w:w="0" w:type="dxa"/>
                    <w:right w:w="0" w:type="dxa"/>
                  </w:tcMar>
                  <w:vAlign w:val="center"/>
                </w:tcPr>
                <w:p w14:paraId="7EC26F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2"/>
                      <w:lang w:val="en-US" w:eastAsia="zh-CN"/>
                    </w:rPr>
                  </w:pPr>
                  <w:r>
                    <w:rPr>
                      <w:rFonts w:hint="eastAsia" w:ascii="Times New Roman" w:hAnsi="Times New Roman" w:cs="Times New Roman"/>
                      <w:color w:val="auto"/>
                      <w:sz w:val="22"/>
                      <w:lang w:val="en-US" w:eastAsia="zh-CN"/>
                    </w:rPr>
                    <w:t>3.37</w:t>
                  </w:r>
                </w:p>
              </w:tc>
              <w:tc>
                <w:tcPr>
                  <w:tcW w:w="971" w:type="dxa"/>
                  <w:noWrap w:val="0"/>
                  <w:tcMar>
                    <w:left w:w="0" w:type="dxa"/>
                    <w:right w:w="0" w:type="dxa"/>
                  </w:tcMar>
                  <w:vAlign w:val="center"/>
                </w:tcPr>
                <w:p w14:paraId="4BB27E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2"/>
                      <w:lang w:val="en-US" w:eastAsia="zh-CN"/>
                    </w:rPr>
                  </w:pPr>
                  <w:r>
                    <w:rPr>
                      <w:rFonts w:hint="eastAsia" w:ascii="Times New Roman" w:hAnsi="Times New Roman" w:cs="Times New Roman"/>
                      <w:color w:val="auto"/>
                      <w:sz w:val="22"/>
                      <w:lang w:val="en-US" w:eastAsia="zh-CN"/>
                    </w:rPr>
                    <w:t>0.10</w:t>
                  </w:r>
                </w:p>
              </w:tc>
              <w:tc>
                <w:tcPr>
                  <w:tcW w:w="901" w:type="dxa"/>
                  <w:noWrap w:val="0"/>
                  <w:tcMar>
                    <w:left w:w="0" w:type="dxa"/>
                    <w:right w:w="0" w:type="dxa"/>
                  </w:tcMar>
                  <w:vAlign w:val="center"/>
                </w:tcPr>
                <w:p w14:paraId="745B2C4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2"/>
                      <w:lang w:val="en-US" w:eastAsia="zh-CN"/>
                    </w:rPr>
                  </w:pPr>
                  <w:r>
                    <w:rPr>
                      <w:rFonts w:hint="eastAsia" w:ascii="Times New Roman" w:hAnsi="Times New Roman" w:cs="Times New Roman"/>
                      <w:color w:val="auto"/>
                      <w:sz w:val="22"/>
                      <w:lang w:val="en-US" w:eastAsia="zh-CN"/>
                    </w:rPr>
                    <w:t>0.24</w:t>
                  </w:r>
                </w:p>
              </w:tc>
              <w:tc>
                <w:tcPr>
                  <w:tcW w:w="1354" w:type="dxa"/>
                  <w:vMerge w:val="restart"/>
                  <w:noWrap w:val="0"/>
                  <w:tcMar>
                    <w:left w:w="0" w:type="dxa"/>
                    <w:right w:w="0" w:type="dxa"/>
                  </w:tcMar>
                  <w:vAlign w:val="center"/>
                </w:tcPr>
                <w:p w14:paraId="55A0C32B">
                  <w:pPr>
                    <w:pStyle w:val="28"/>
                    <w:adjustRightInd/>
                    <w:snapToGrid/>
                    <w:spacing w:before="24" w:after="24" w:line="240" w:lineRule="auto"/>
                    <w:textAlignment w:val="center"/>
                    <w:rPr>
                      <w:rFonts w:hint="default" w:ascii="Times New Roman" w:hAnsi="Times New Roman"/>
                      <w:color w:val="auto"/>
                      <w:sz w:val="22"/>
                      <w:szCs w:val="22"/>
                      <w:lang w:val="en-US" w:eastAsia="zh-CN"/>
                    </w:rPr>
                  </w:pPr>
                  <w:r>
                    <w:rPr>
                      <w:rFonts w:hint="eastAsia" w:ascii="Times New Roman" w:hAnsi="Times New Roman"/>
                      <w:color w:val="auto"/>
                      <w:sz w:val="22"/>
                      <w:szCs w:val="22"/>
                      <w:lang w:val="en-US" w:eastAsia="zh-CN"/>
                    </w:rPr>
                    <w:t>集气罩收集+布袋除尘+20m排气筒</w:t>
                  </w:r>
                </w:p>
              </w:tc>
              <w:tc>
                <w:tcPr>
                  <w:tcW w:w="725" w:type="dxa"/>
                  <w:vMerge w:val="restart"/>
                  <w:noWrap w:val="0"/>
                  <w:tcMar>
                    <w:left w:w="0" w:type="dxa"/>
                    <w:right w:w="0" w:type="dxa"/>
                  </w:tcMar>
                  <w:vAlign w:val="center"/>
                </w:tcPr>
                <w:p w14:paraId="4BE88AC8">
                  <w:pPr>
                    <w:pStyle w:val="28"/>
                    <w:adjustRightInd/>
                    <w:snapToGrid/>
                    <w:spacing w:before="24" w:after="24" w:line="240" w:lineRule="auto"/>
                    <w:textAlignment w:val="center"/>
                    <w:rPr>
                      <w:rFonts w:ascii="Times New Roman" w:hAnsi="Times New Roman"/>
                      <w:color w:val="auto"/>
                      <w:sz w:val="22"/>
                      <w:szCs w:val="22"/>
                      <w:lang w:val="en-US" w:eastAsia="zh-CN"/>
                    </w:rPr>
                  </w:pPr>
                  <w:r>
                    <w:rPr>
                      <w:rFonts w:hint="eastAsia" w:ascii="Times New Roman" w:hAnsi="Times New Roman"/>
                      <w:color w:val="auto"/>
                      <w:sz w:val="22"/>
                      <w:szCs w:val="22"/>
                      <w:lang w:val="en-US" w:eastAsia="zh-CN"/>
                    </w:rPr>
                    <w:t>95%</w:t>
                  </w:r>
                </w:p>
              </w:tc>
              <w:tc>
                <w:tcPr>
                  <w:tcW w:w="794" w:type="dxa"/>
                  <w:vMerge w:val="restart"/>
                  <w:noWrap w:val="0"/>
                  <w:tcMar>
                    <w:left w:w="0" w:type="dxa"/>
                    <w:right w:w="0" w:type="dxa"/>
                  </w:tcMar>
                  <w:vAlign w:val="center"/>
                </w:tcPr>
                <w:p w14:paraId="2E072797">
                  <w:pPr>
                    <w:pStyle w:val="28"/>
                    <w:adjustRightInd/>
                    <w:snapToGrid/>
                    <w:spacing w:before="24" w:after="24" w:line="240" w:lineRule="auto"/>
                    <w:textAlignment w:val="center"/>
                    <w:rPr>
                      <w:rFonts w:hint="default" w:ascii="Times New Roman" w:hAnsi="Times New Roman"/>
                      <w:color w:val="auto"/>
                      <w:sz w:val="22"/>
                      <w:szCs w:val="22"/>
                      <w:lang w:val="en-US" w:eastAsia="zh-CN"/>
                    </w:rPr>
                  </w:pPr>
                  <w:r>
                    <w:rPr>
                      <w:rFonts w:hint="eastAsia" w:ascii="Times New Roman" w:hAnsi="Times New Roman"/>
                      <w:color w:val="auto"/>
                      <w:sz w:val="22"/>
                      <w:szCs w:val="22"/>
                      <w:lang w:val="en-US" w:eastAsia="zh-CN"/>
                    </w:rPr>
                    <w:t>2.35</w:t>
                  </w:r>
                </w:p>
              </w:tc>
              <w:tc>
                <w:tcPr>
                  <w:tcW w:w="886" w:type="dxa"/>
                  <w:vMerge w:val="restart"/>
                  <w:noWrap w:val="0"/>
                  <w:tcMar>
                    <w:left w:w="0" w:type="dxa"/>
                    <w:right w:w="0" w:type="dxa"/>
                  </w:tcMar>
                  <w:vAlign w:val="center"/>
                </w:tcPr>
                <w:p w14:paraId="58B0F472">
                  <w:pPr>
                    <w:pStyle w:val="28"/>
                    <w:adjustRightInd/>
                    <w:snapToGrid/>
                    <w:spacing w:before="24" w:after="24" w:line="240" w:lineRule="auto"/>
                    <w:textAlignment w:val="center"/>
                    <w:rPr>
                      <w:rFonts w:hint="default" w:ascii="Times New Roman" w:hAnsi="Times New Roman"/>
                      <w:color w:val="auto"/>
                      <w:sz w:val="22"/>
                      <w:szCs w:val="22"/>
                      <w:lang w:val="en-US" w:eastAsia="zh-CN"/>
                    </w:rPr>
                  </w:pPr>
                  <w:r>
                    <w:rPr>
                      <w:rFonts w:hint="eastAsia" w:ascii="Times New Roman" w:hAnsi="Times New Roman"/>
                      <w:color w:val="auto"/>
                      <w:sz w:val="22"/>
                      <w:szCs w:val="22"/>
                      <w:lang w:val="en-US" w:eastAsia="zh-CN"/>
                    </w:rPr>
                    <w:t>0.07</w:t>
                  </w:r>
                </w:p>
              </w:tc>
              <w:tc>
                <w:tcPr>
                  <w:tcW w:w="860" w:type="dxa"/>
                  <w:vMerge w:val="restart"/>
                  <w:noWrap w:val="0"/>
                  <w:tcMar>
                    <w:left w:w="0" w:type="dxa"/>
                    <w:right w:w="0" w:type="dxa"/>
                  </w:tcMar>
                  <w:vAlign w:val="center"/>
                </w:tcPr>
                <w:p w14:paraId="01E2F1D7">
                  <w:pPr>
                    <w:pStyle w:val="28"/>
                    <w:adjustRightInd/>
                    <w:snapToGrid/>
                    <w:spacing w:before="24" w:after="24" w:line="240" w:lineRule="auto"/>
                    <w:textAlignment w:val="center"/>
                    <w:rPr>
                      <w:rFonts w:hint="default" w:ascii="Times New Roman" w:hAnsi="Times New Roman"/>
                      <w:color w:val="auto"/>
                      <w:sz w:val="22"/>
                      <w:szCs w:val="22"/>
                      <w:lang w:val="en-US" w:eastAsia="zh-CN"/>
                    </w:rPr>
                  </w:pPr>
                  <w:r>
                    <w:rPr>
                      <w:rFonts w:hint="eastAsia" w:ascii="Times New Roman" w:hAnsi="Times New Roman"/>
                      <w:color w:val="auto"/>
                      <w:sz w:val="22"/>
                      <w:szCs w:val="22"/>
                      <w:lang w:val="en-US" w:eastAsia="zh-CN"/>
                    </w:rPr>
                    <w:t>0.17</w:t>
                  </w:r>
                </w:p>
              </w:tc>
              <w:tc>
                <w:tcPr>
                  <w:tcW w:w="662" w:type="dxa"/>
                  <w:vMerge w:val="restart"/>
                  <w:noWrap w:val="0"/>
                  <w:tcMar>
                    <w:left w:w="0" w:type="dxa"/>
                    <w:right w:w="0" w:type="dxa"/>
                  </w:tcMar>
                  <w:vAlign w:val="center"/>
                </w:tcPr>
                <w:p w14:paraId="74E3B64E">
                  <w:pPr>
                    <w:pStyle w:val="28"/>
                    <w:adjustRightInd/>
                    <w:snapToGrid/>
                    <w:spacing w:before="24" w:after="24" w:line="240" w:lineRule="auto"/>
                    <w:textAlignment w:val="center"/>
                    <w:rPr>
                      <w:rFonts w:hint="default" w:ascii="Times New Roman" w:hAnsi="Times New Roman"/>
                      <w:color w:val="auto"/>
                      <w:sz w:val="22"/>
                      <w:szCs w:val="22"/>
                      <w:lang w:val="en-US" w:eastAsia="zh-CN"/>
                    </w:rPr>
                  </w:pPr>
                  <w:r>
                    <w:rPr>
                      <w:rFonts w:hint="eastAsia" w:ascii="Times New Roman" w:hAnsi="Times New Roman"/>
                      <w:color w:val="auto"/>
                      <w:sz w:val="22"/>
                      <w:szCs w:val="22"/>
                      <w:lang w:val="en-US" w:eastAsia="zh-CN"/>
                    </w:rPr>
                    <w:t>/</w:t>
                  </w:r>
                </w:p>
              </w:tc>
              <w:tc>
                <w:tcPr>
                  <w:tcW w:w="731" w:type="dxa"/>
                  <w:vMerge w:val="restart"/>
                  <w:noWrap w:val="0"/>
                  <w:tcMar>
                    <w:left w:w="0" w:type="dxa"/>
                    <w:right w:w="0" w:type="dxa"/>
                  </w:tcMar>
                  <w:vAlign w:val="center"/>
                </w:tcPr>
                <w:p w14:paraId="23F206DE">
                  <w:pPr>
                    <w:pStyle w:val="28"/>
                    <w:adjustRightInd/>
                    <w:snapToGrid/>
                    <w:spacing w:before="24" w:after="24" w:line="240" w:lineRule="auto"/>
                    <w:textAlignment w:val="center"/>
                    <w:rPr>
                      <w:rFonts w:hint="default" w:ascii="Times New Roman" w:hAnsi="Times New Roman"/>
                      <w:color w:val="auto"/>
                      <w:sz w:val="22"/>
                      <w:szCs w:val="22"/>
                      <w:lang w:val="en-US" w:eastAsia="zh-CN"/>
                    </w:rPr>
                  </w:pPr>
                  <w:r>
                    <w:rPr>
                      <w:rFonts w:hint="eastAsia" w:ascii="Times New Roman" w:hAnsi="Times New Roman"/>
                      <w:color w:val="auto"/>
                      <w:sz w:val="22"/>
                      <w:szCs w:val="22"/>
                      <w:lang w:val="en-US" w:eastAsia="zh-CN"/>
                    </w:rPr>
                    <w:t>30</w:t>
                  </w:r>
                </w:p>
              </w:tc>
              <w:tc>
                <w:tcPr>
                  <w:tcW w:w="561" w:type="dxa"/>
                  <w:vMerge w:val="restart"/>
                  <w:noWrap w:val="0"/>
                  <w:tcMar>
                    <w:left w:w="0" w:type="dxa"/>
                    <w:right w:w="0" w:type="dxa"/>
                  </w:tcMar>
                  <w:vAlign w:val="center"/>
                </w:tcPr>
                <w:p w14:paraId="6FED2672">
                  <w:pPr>
                    <w:pStyle w:val="28"/>
                    <w:adjustRightInd/>
                    <w:snapToGrid/>
                    <w:spacing w:before="24" w:after="24" w:line="240" w:lineRule="auto"/>
                    <w:textAlignment w:val="center"/>
                    <w:rPr>
                      <w:rFonts w:hint="default" w:ascii="Times New Roman" w:hAnsi="Times New Roman"/>
                      <w:color w:val="auto"/>
                      <w:sz w:val="22"/>
                      <w:szCs w:val="22"/>
                      <w:lang w:val="en-US" w:eastAsia="zh-CN"/>
                    </w:rPr>
                  </w:pPr>
                  <w:r>
                    <w:rPr>
                      <w:rFonts w:hint="eastAsia" w:ascii="Times New Roman" w:hAnsi="Times New Roman"/>
                      <w:color w:val="auto"/>
                      <w:sz w:val="22"/>
                      <w:szCs w:val="22"/>
                      <w:lang w:val="en-US" w:eastAsia="zh-CN"/>
                    </w:rPr>
                    <w:t>达标</w:t>
                  </w:r>
                </w:p>
              </w:tc>
            </w:tr>
            <w:tr w14:paraId="520A45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cantSplit/>
                <w:trHeight w:val="20" w:hRule="atLeast"/>
                <w:jc w:val="center"/>
              </w:trPr>
              <w:tc>
                <w:tcPr>
                  <w:tcW w:w="460" w:type="dxa"/>
                  <w:noWrap w:val="0"/>
                  <w:tcMar>
                    <w:left w:w="0" w:type="dxa"/>
                    <w:right w:w="0" w:type="dxa"/>
                  </w:tcMar>
                  <w:vAlign w:val="center"/>
                </w:tcPr>
                <w:p w14:paraId="68596A54">
                  <w:pPr>
                    <w:pStyle w:val="28"/>
                    <w:adjustRightInd/>
                    <w:snapToGrid/>
                    <w:spacing w:before="24" w:after="24" w:line="240" w:lineRule="auto"/>
                    <w:textAlignment w:val="center"/>
                    <w:rPr>
                      <w:rFonts w:ascii="Times New Roman" w:hAnsi="Times New Roman"/>
                      <w:color w:val="auto"/>
                      <w:sz w:val="22"/>
                      <w:szCs w:val="22"/>
                      <w:lang w:val="en-US" w:eastAsia="zh-CN"/>
                    </w:rPr>
                  </w:pPr>
                  <w:r>
                    <w:rPr>
                      <w:rFonts w:ascii="Times New Roman" w:hAnsi="Times New Roman"/>
                      <w:color w:val="auto"/>
                      <w:sz w:val="22"/>
                      <w:szCs w:val="22"/>
                      <w:lang w:val="en-US" w:eastAsia="zh-CN"/>
                    </w:rPr>
                    <w:t>2</w:t>
                  </w:r>
                </w:p>
              </w:tc>
              <w:tc>
                <w:tcPr>
                  <w:tcW w:w="1857" w:type="dxa"/>
                  <w:noWrap w:val="0"/>
                  <w:tcMar>
                    <w:left w:w="0" w:type="dxa"/>
                    <w:right w:w="0" w:type="dxa"/>
                  </w:tcMar>
                  <w:vAlign w:val="center"/>
                </w:tcPr>
                <w:p w14:paraId="558BC8BB">
                  <w:pPr>
                    <w:pStyle w:val="28"/>
                    <w:adjustRightInd/>
                    <w:snapToGrid/>
                    <w:spacing w:before="24" w:after="24" w:line="240" w:lineRule="auto"/>
                    <w:textAlignment w:val="center"/>
                    <w:rPr>
                      <w:rFonts w:ascii="Times New Roman" w:hAnsi="Times New Roman"/>
                      <w:color w:val="auto"/>
                      <w:sz w:val="22"/>
                      <w:szCs w:val="22"/>
                      <w:lang w:val="en-US" w:eastAsia="zh-CN"/>
                    </w:rPr>
                  </w:pPr>
                  <w:r>
                    <w:rPr>
                      <w:rFonts w:hint="eastAsia" w:ascii="Times New Roman" w:hAnsi="Times New Roman"/>
                      <w:color w:val="auto"/>
                      <w:sz w:val="22"/>
                      <w:szCs w:val="22"/>
                      <w:lang w:val="en-US" w:eastAsia="zh-CN"/>
                    </w:rPr>
                    <w:t>开松粉尘G2</w:t>
                  </w:r>
                </w:p>
              </w:tc>
              <w:tc>
                <w:tcPr>
                  <w:tcW w:w="705" w:type="dxa"/>
                  <w:vMerge w:val="continue"/>
                  <w:noWrap w:val="0"/>
                  <w:tcMar>
                    <w:left w:w="0" w:type="dxa"/>
                    <w:right w:w="0" w:type="dxa"/>
                  </w:tcMar>
                  <w:vAlign w:val="center"/>
                </w:tcPr>
                <w:p w14:paraId="305A1DBF">
                  <w:pPr>
                    <w:pStyle w:val="28"/>
                    <w:adjustRightInd/>
                    <w:snapToGrid/>
                    <w:spacing w:before="24" w:after="24" w:line="240" w:lineRule="auto"/>
                    <w:textAlignment w:val="center"/>
                    <w:rPr>
                      <w:rFonts w:hint="eastAsia" w:ascii="Times New Roman" w:hAnsi="Times New Roman"/>
                      <w:color w:val="auto"/>
                      <w:sz w:val="22"/>
                      <w:szCs w:val="22"/>
                      <w:lang w:val="en-US" w:eastAsia="zh-CN"/>
                    </w:rPr>
                  </w:pPr>
                </w:p>
              </w:tc>
              <w:tc>
                <w:tcPr>
                  <w:tcW w:w="1054" w:type="dxa"/>
                  <w:vMerge w:val="continue"/>
                  <w:noWrap w:val="0"/>
                  <w:tcMar>
                    <w:left w:w="0" w:type="dxa"/>
                    <w:right w:w="0" w:type="dxa"/>
                  </w:tcMar>
                  <w:vAlign w:val="center"/>
                </w:tcPr>
                <w:p w14:paraId="3DE410A2">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736" w:type="dxa"/>
                  <w:shd w:val="clear" w:color="auto" w:fill="auto"/>
                  <w:noWrap w:val="0"/>
                  <w:tcMar>
                    <w:left w:w="0" w:type="dxa"/>
                    <w:right w:w="0" w:type="dxa"/>
                  </w:tcMar>
                  <w:vAlign w:val="center"/>
                </w:tcPr>
                <w:p w14:paraId="7F63DD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cs="Times New Roman"/>
                      <w:color w:val="auto"/>
                      <w:sz w:val="22"/>
                      <w:lang w:val="en-US" w:eastAsia="zh-CN"/>
                    </w:rPr>
                    <w:t>3.37</w:t>
                  </w:r>
                </w:p>
              </w:tc>
              <w:tc>
                <w:tcPr>
                  <w:tcW w:w="971" w:type="dxa"/>
                  <w:shd w:val="clear" w:color="auto" w:fill="auto"/>
                  <w:noWrap w:val="0"/>
                  <w:tcMar>
                    <w:left w:w="0" w:type="dxa"/>
                    <w:right w:w="0" w:type="dxa"/>
                  </w:tcMar>
                  <w:vAlign w:val="center"/>
                </w:tcPr>
                <w:p w14:paraId="3A4196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cs="Times New Roman"/>
                      <w:color w:val="auto"/>
                      <w:sz w:val="22"/>
                      <w:lang w:val="en-US" w:eastAsia="zh-CN"/>
                    </w:rPr>
                    <w:t>0.10</w:t>
                  </w:r>
                </w:p>
              </w:tc>
              <w:tc>
                <w:tcPr>
                  <w:tcW w:w="901" w:type="dxa"/>
                  <w:shd w:val="clear" w:color="auto" w:fill="auto"/>
                  <w:noWrap w:val="0"/>
                  <w:tcMar>
                    <w:left w:w="0" w:type="dxa"/>
                    <w:right w:w="0" w:type="dxa"/>
                  </w:tcMar>
                  <w:vAlign w:val="center"/>
                </w:tcPr>
                <w:p w14:paraId="7E2111D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cs="Times New Roman"/>
                      <w:color w:val="auto"/>
                      <w:sz w:val="22"/>
                      <w:lang w:val="en-US" w:eastAsia="zh-CN"/>
                    </w:rPr>
                    <w:t>0.24</w:t>
                  </w:r>
                </w:p>
              </w:tc>
              <w:tc>
                <w:tcPr>
                  <w:tcW w:w="1354" w:type="dxa"/>
                  <w:vMerge w:val="continue"/>
                  <w:noWrap w:val="0"/>
                  <w:tcMar>
                    <w:left w:w="0" w:type="dxa"/>
                    <w:right w:w="0" w:type="dxa"/>
                  </w:tcMar>
                  <w:vAlign w:val="center"/>
                </w:tcPr>
                <w:p w14:paraId="641AF93C">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725" w:type="dxa"/>
                  <w:vMerge w:val="continue"/>
                  <w:noWrap w:val="0"/>
                  <w:tcMar>
                    <w:left w:w="0" w:type="dxa"/>
                    <w:right w:w="0" w:type="dxa"/>
                  </w:tcMar>
                  <w:vAlign w:val="center"/>
                </w:tcPr>
                <w:p w14:paraId="650E5C6B">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794" w:type="dxa"/>
                  <w:vMerge w:val="continue"/>
                  <w:noWrap w:val="0"/>
                  <w:tcMar>
                    <w:left w:w="0" w:type="dxa"/>
                    <w:right w:w="0" w:type="dxa"/>
                  </w:tcMar>
                  <w:vAlign w:val="center"/>
                </w:tcPr>
                <w:p w14:paraId="1EA980AA">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886" w:type="dxa"/>
                  <w:vMerge w:val="continue"/>
                  <w:noWrap w:val="0"/>
                  <w:tcMar>
                    <w:left w:w="0" w:type="dxa"/>
                    <w:right w:w="0" w:type="dxa"/>
                  </w:tcMar>
                  <w:vAlign w:val="center"/>
                </w:tcPr>
                <w:p w14:paraId="7ED955BB">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860" w:type="dxa"/>
                  <w:vMerge w:val="continue"/>
                  <w:noWrap w:val="0"/>
                  <w:tcMar>
                    <w:left w:w="0" w:type="dxa"/>
                    <w:right w:w="0" w:type="dxa"/>
                  </w:tcMar>
                  <w:vAlign w:val="center"/>
                </w:tcPr>
                <w:p w14:paraId="016EE230">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662" w:type="dxa"/>
                  <w:vMerge w:val="continue"/>
                  <w:noWrap w:val="0"/>
                  <w:tcMar>
                    <w:left w:w="0" w:type="dxa"/>
                    <w:right w:w="0" w:type="dxa"/>
                  </w:tcMar>
                  <w:vAlign w:val="center"/>
                </w:tcPr>
                <w:p w14:paraId="5069B828">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731" w:type="dxa"/>
                  <w:vMerge w:val="continue"/>
                  <w:noWrap w:val="0"/>
                  <w:tcMar>
                    <w:left w:w="0" w:type="dxa"/>
                    <w:right w:w="0" w:type="dxa"/>
                  </w:tcMar>
                  <w:vAlign w:val="center"/>
                </w:tcPr>
                <w:p w14:paraId="7D9EF3B1">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561" w:type="dxa"/>
                  <w:vMerge w:val="continue"/>
                  <w:noWrap w:val="0"/>
                  <w:tcMar>
                    <w:left w:w="0" w:type="dxa"/>
                    <w:right w:w="0" w:type="dxa"/>
                  </w:tcMar>
                  <w:vAlign w:val="center"/>
                </w:tcPr>
                <w:p w14:paraId="30222AD0">
                  <w:pPr>
                    <w:pStyle w:val="28"/>
                    <w:adjustRightInd/>
                    <w:snapToGrid/>
                    <w:spacing w:before="24" w:after="24" w:line="240" w:lineRule="auto"/>
                    <w:textAlignment w:val="center"/>
                    <w:rPr>
                      <w:rFonts w:ascii="Times New Roman" w:hAnsi="Times New Roman"/>
                      <w:color w:val="auto"/>
                      <w:sz w:val="22"/>
                      <w:szCs w:val="22"/>
                      <w:lang w:val="en-US" w:eastAsia="zh-CN"/>
                    </w:rPr>
                  </w:pPr>
                </w:p>
              </w:tc>
            </w:tr>
            <w:tr w14:paraId="6FCC1B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cantSplit/>
                <w:trHeight w:val="20" w:hRule="atLeast"/>
                <w:jc w:val="center"/>
              </w:trPr>
              <w:tc>
                <w:tcPr>
                  <w:tcW w:w="460" w:type="dxa"/>
                  <w:noWrap w:val="0"/>
                  <w:tcMar>
                    <w:left w:w="0" w:type="dxa"/>
                    <w:right w:w="0" w:type="dxa"/>
                  </w:tcMar>
                  <w:vAlign w:val="center"/>
                </w:tcPr>
                <w:p w14:paraId="77CEDCAB">
                  <w:pPr>
                    <w:pStyle w:val="28"/>
                    <w:adjustRightInd/>
                    <w:snapToGrid/>
                    <w:spacing w:before="24" w:after="24" w:line="240" w:lineRule="auto"/>
                    <w:textAlignment w:val="center"/>
                    <w:rPr>
                      <w:rFonts w:ascii="Times New Roman" w:hAnsi="Times New Roman"/>
                      <w:color w:val="auto"/>
                      <w:sz w:val="22"/>
                      <w:szCs w:val="22"/>
                      <w:lang w:val="en-US" w:eastAsia="zh-CN"/>
                    </w:rPr>
                  </w:pPr>
                  <w:r>
                    <w:rPr>
                      <w:rFonts w:ascii="Times New Roman" w:hAnsi="Times New Roman"/>
                      <w:color w:val="auto"/>
                      <w:sz w:val="22"/>
                      <w:szCs w:val="22"/>
                      <w:lang w:val="en-US" w:eastAsia="zh-CN"/>
                    </w:rPr>
                    <w:t>3</w:t>
                  </w:r>
                </w:p>
              </w:tc>
              <w:tc>
                <w:tcPr>
                  <w:tcW w:w="1857" w:type="dxa"/>
                  <w:noWrap w:val="0"/>
                  <w:tcMar>
                    <w:left w:w="0" w:type="dxa"/>
                    <w:right w:w="0" w:type="dxa"/>
                  </w:tcMar>
                  <w:vAlign w:val="center"/>
                </w:tcPr>
                <w:p w14:paraId="2ED5DCC8">
                  <w:pPr>
                    <w:pStyle w:val="28"/>
                    <w:adjustRightInd/>
                    <w:snapToGrid/>
                    <w:spacing w:before="24" w:after="24" w:line="240" w:lineRule="auto"/>
                    <w:textAlignment w:val="center"/>
                    <w:rPr>
                      <w:rFonts w:ascii="Times New Roman" w:hAnsi="Times New Roman"/>
                      <w:color w:val="auto"/>
                      <w:sz w:val="22"/>
                      <w:szCs w:val="22"/>
                      <w:lang w:val="en-US" w:eastAsia="zh-CN"/>
                    </w:rPr>
                  </w:pPr>
                  <w:r>
                    <w:rPr>
                      <w:rFonts w:hint="eastAsia" w:ascii="Times New Roman" w:hAnsi="Times New Roman"/>
                      <w:color w:val="auto"/>
                      <w:sz w:val="22"/>
                      <w:szCs w:val="22"/>
                      <w:lang w:val="en-US" w:eastAsia="zh-CN"/>
                    </w:rPr>
                    <w:t>铺网粉尘G3</w:t>
                  </w:r>
                </w:p>
              </w:tc>
              <w:tc>
                <w:tcPr>
                  <w:tcW w:w="705" w:type="dxa"/>
                  <w:vMerge w:val="continue"/>
                  <w:noWrap w:val="0"/>
                  <w:tcMar>
                    <w:left w:w="0" w:type="dxa"/>
                    <w:right w:w="0" w:type="dxa"/>
                  </w:tcMar>
                  <w:vAlign w:val="center"/>
                </w:tcPr>
                <w:p w14:paraId="39EDF3E4">
                  <w:pPr>
                    <w:pStyle w:val="28"/>
                    <w:adjustRightInd/>
                    <w:snapToGrid/>
                    <w:spacing w:before="24" w:after="24" w:line="240" w:lineRule="auto"/>
                    <w:textAlignment w:val="center"/>
                    <w:rPr>
                      <w:rFonts w:hint="eastAsia" w:ascii="Times New Roman" w:hAnsi="Times New Roman"/>
                      <w:color w:val="auto"/>
                      <w:sz w:val="22"/>
                      <w:szCs w:val="22"/>
                      <w:lang w:val="en-US" w:eastAsia="zh-CN"/>
                    </w:rPr>
                  </w:pPr>
                </w:p>
              </w:tc>
              <w:tc>
                <w:tcPr>
                  <w:tcW w:w="1054" w:type="dxa"/>
                  <w:vMerge w:val="continue"/>
                  <w:noWrap w:val="0"/>
                  <w:tcMar>
                    <w:left w:w="0" w:type="dxa"/>
                    <w:right w:w="0" w:type="dxa"/>
                  </w:tcMar>
                  <w:vAlign w:val="center"/>
                </w:tcPr>
                <w:p w14:paraId="27BAE453">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736" w:type="dxa"/>
                  <w:shd w:val="clear" w:color="auto" w:fill="auto"/>
                  <w:noWrap w:val="0"/>
                  <w:tcMar>
                    <w:left w:w="0" w:type="dxa"/>
                    <w:right w:w="0" w:type="dxa"/>
                  </w:tcMar>
                  <w:vAlign w:val="center"/>
                </w:tcPr>
                <w:p w14:paraId="4B085A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cs="Times New Roman"/>
                      <w:color w:val="auto"/>
                      <w:sz w:val="22"/>
                      <w:lang w:val="en-US" w:eastAsia="zh-CN"/>
                    </w:rPr>
                    <w:t>3.37</w:t>
                  </w:r>
                </w:p>
              </w:tc>
              <w:tc>
                <w:tcPr>
                  <w:tcW w:w="971" w:type="dxa"/>
                  <w:shd w:val="clear" w:color="auto" w:fill="auto"/>
                  <w:noWrap w:val="0"/>
                  <w:tcMar>
                    <w:left w:w="0" w:type="dxa"/>
                    <w:right w:w="0" w:type="dxa"/>
                  </w:tcMar>
                  <w:vAlign w:val="center"/>
                </w:tcPr>
                <w:p w14:paraId="2E69B9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cs="Times New Roman"/>
                      <w:color w:val="auto"/>
                      <w:sz w:val="22"/>
                      <w:lang w:val="en-US" w:eastAsia="zh-CN"/>
                    </w:rPr>
                    <w:t>0.10</w:t>
                  </w:r>
                </w:p>
              </w:tc>
              <w:tc>
                <w:tcPr>
                  <w:tcW w:w="901" w:type="dxa"/>
                  <w:shd w:val="clear" w:color="auto" w:fill="auto"/>
                  <w:noWrap w:val="0"/>
                  <w:tcMar>
                    <w:left w:w="0" w:type="dxa"/>
                    <w:right w:w="0" w:type="dxa"/>
                  </w:tcMar>
                  <w:vAlign w:val="center"/>
                </w:tcPr>
                <w:p w14:paraId="76460E3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cs="Times New Roman"/>
                      <w:color w:val="auto"/>
                      <w:sz w:val="22"/>
                      <w:lang w:val="en-US" w:eastAsia="zh-CN"/>
                    </w:rPr>
                    <w:t>0.24</w:t>
                  </w:r>
                </w:p>
              </w:tc>
              <w:tc>
                <w:tcPr>
                  <w:tcW w:w="1354" w:type="dxa"/>
                  <w:vMerge w:val="continue"/>
                  <w:noWrap w:val="0"/>
                  <w:tcMar>
                    <w:left w:w="0" w:type="dxa"/>
                    <w:right w:w="0" w:type="dxa"/>
                  </w:tcMar>
                  <w:vAlign w:val="center"/>
                </w:tcPr>
                <w:p w14:paraId="07622609">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725" w:type="dxa"/>
                  <w:vMerge w:val="continue"/>
                  <w:noWrap w:val="0"/>
                  <w:tcMar>
                    <w:left w:w="0" w:type="dxa"/>
                    <w:right w:w="0" w:type="dxa"/>
                  </w:tcMar>
                  <w:vAlign w:val="center"/>
                </w:tcPr>
                <w:p w14:paraId="080A8DD9">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794" w:type="dxa"/>
                  <w:vMerge w:val="continue"/>
                  <w:noWrap w:val="0"/>
                  <w:tcMar>
                    <w:left w:w="0" w:type="dxa"/>
                    <w:right w:w="0" w:type="dxa"/>
                  </w:tcMar>
                  <w:vAlign w:val="center"/>
                </w:tcPr>
                <w:p w14:paraId="66CFB91D">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886" w:type="dxa"/>
                  <w:vMerge w:val="continue"/>
                  <w:noWrap w:val="0"/>
                  <w:tcMar>
                    <w:left w:w="0" w:type="dxa"/>
                    <w:right w:w="0" w:type="dxa"/>
                  </w:tcMar>
                  <w:vAlign w:val="center"/>
                </w:tcPr>
                <w:p w14:paraId="1FFE72C9">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860" w:type="dxa"/>
                  <w:vMerge w:val="continue"/>
                  <w:noWrap w:val="0"/>
                  <w:tcMar>
                    <w:left w:w="0" w:type="dxa"/>
                    <w:right w:w="0" w:type="dxa"/>
                  </w:tcMar>
                  <w:vAlign w:val="center"/>
                </w:tcPr>
                <w:p w14:paraId="019BCC07">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662" w:type="dxa"/>
                  <w:vMerge w:val="continue"/>
                  <w:noWrap w:val="0"/>
                  <w:tcMar>
                    <w:left w:w="0" w:type="dxa"/>
                    <w:right w:w="0" w:type="dxa"/>
                  </w:tcMar>
                  <w:vAlign w:val="center"/>
                </w:tcPr>
                <w:p w14:paraId="6E244A94">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731" w:type="dxa"/>
                  <w:vMerge w:val="continue"/>
                  <w:noWrap w:val="0"/>
                  <w:tcMar>
                    <w:left w:w="0" w:type="dxa"/>
                    <w:right w:w="0" w:type="dxa"/>
                  </w:tcMar>
                  <w:vAlign w:val="center"/>
                </w:tcPr>
                <w:p w14:paraId="0CCB71E4">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561" w:type="dxa"/>
                  <w:vMerge w:val="continue"/>
                  <w:noWrap w:val="0"/>
                  <w:tcMar>
                    <w:left w:w="0" w:type="dxa"/>
                    <w:right w:w="0" w:type="dxa"/>
                  </w:tcMar>
                  <w:vAlign w:val="center"/>
                </w:tcPr>
                <w:p w14:paraId="1956C7AE">
                  <w:pPr>
                    <w:pStyle w:val="28"/>
                    <w:adjustRightInd/>
                    <w:snapToGrid/>
                    <w:spacing w:before="24" w:after="24" w:line="240" w:lineRule="auto"/>
                    <w:textAlignment w:val="center"/>
                    <w:rPr>
                      <w:rFonts w:ascii="Times New Roman" w:hAnsi="Times New Roman"/>
                      <w:color w:val="auto"/>
                      <w:sz w:val="22"/>
                      <w:szCs w:val="22"/>
                      <w:lang w:val="en-US" w:eastAsia="zh-CN"/>
                    </w:rPr>
                  </w:pPr>
                </w:p>
              </w:tc>
            </w:tr>
            <w:tr w14:paraId="47E1A8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cantSplit/>
                <w:trHeight w:val="20" w:hRule="atLeast"/>
                <w:jc w:val="center"/>
              </w:trPr>
              <w:tc>
                <w:tcPr>
                  <w:tcW w:w="460" w:type="dxa"/>
                  <w:shd w:val="clear" w:color="auto" w:fill="auto"/>
                  <w:noWrap w:val="0"/>
                  <w:tcMar>
                    <w:left w:w="0" w:type="dxa"/>
                    <w:right w:w="0" w:type="dxa"/>
                  </w:tcMar>
                  <w:vAlign w:val="center"/>
                </w:tcPr>
                <w:p w14:paraId="671DB071">
                  <w:pPr>
                    <w:pStyle w:val="28"/>
                    <w:adjustRightInd/>
                    <w:snapToGrid/>
                    <w:spacing w:before="24" w:after="24" w:line="240" w:lineRule="auto"/>
                    <w:ind w:firstLine="0" w:firstLineChars="0"/>
                    <w:textAlignment w:val="center"/>
                    <w:rPr>
                      <w:rFonts w:hint="default" w:ascii="Times New Roman" w:hAnsi="Times New Roman" w:eastAsia="宋体" w:cs="宋体"/>
                      <w:color w:val="auto"/>
                      <w:kern w:val="2"/>
                      <w:sz w:val="22"/>
                      <w:szCs w:val="22"/>
                      <w:lang w:val="en-US" w:eastAsia="zh-CN" w:bidi="ar-SA"/>
                    </w:rPr>
                  </w:pPr>
                  <w:bookmarkStart w:id="1" w:name="_Hlk50902634"/>
                  <w:r>
                    <w:rPr>
                      <w:rFonts w:hint="eastAsia" w:ascii="Times New Roman" w:hAnsi="Times New Roman" w:cs="宋体"/>
                      <w:color w:val="auto"/>
                      <w:kern w:val="2"/>
                      <w:sz w:val="22"/>
                      <w:szCs w:val="22"/>
                      <w:lang w:val="en-US" w:eastAsia="zh-CN" w:bidi="ar-SA"/>
                    </w:rPr>
                    <w:t>4</w:t>
                  </w:r>
                </w:p>
              </w:tc>
              <w:tc>
                <w:tcPr>
                  <w:tcW w:w="1857" w:type="dxa"/>
                  <w:noWrap w:val="0"/>
                  <w:tcMar>
                    <w:left w:w="0" w:type="dxa"/>
                    <w:right w:w="0" w:type="dxa"/>
                  </w:tcMar>
                  <w:vAlign w:val="center"/>
                </w:tcPr>
                <w:p w14:paraId="3EF190B3">
                  <w:pPr>
                    <w:pStyle w:val="28"/>
                    <w:adjustRightInd/>
                    <w:snapToGrid/>
                    <w:spacing w:before="24" w:after="24" w:line="240" w:lineRule="auto"/>
                    <w:textAlignment w:val="center"/>
                    <w:rPr>
                      <w:rFonts w:hint="default" w:ascii="Times New Roman" w:hAnsi="Times New Roman"/>
                      <w:color w:val="auto"/>
                      <w:sz w:val="22"/>
                      <w:szCs w:val="22"/>
                      <w:lang w:val="en-US" w:eastAsia="zh-CN"/>
                    </w:rPr>
                  </w:pPr>
                  <w:r>
                    <w:rPr>
                      <w:rFonts w:hint="eastAsia" w:ascii="Times New Roman" w:hAnsi="Times New Roman"/>
                      <w:color w:val="auto"/>
                      <w:sz w:val="22"/>
                      <w:szCs w:val="22"/>
                      <w:lang w:val="en-US" w:eastAsia="zh-CN"/>
                    </w:rPr>
                    <w:t>切边收卷粉尘G4</w:t>
                  </w:r>
                </w:p>
              </w:tc>
              <w:tc>
                <w:tcPr>
                  <w:tcW w:w="705" w:type="dxa"/>
                  <w:vMerge w:val="continue"/>
                  <w:noWrap w:val="0"/>
                  <w:tcMar>
                    <w:left w:w="0" w:type="dxa"/>
                    <w:right w:w="0" w:type="dxa"/>
                  </w:tcMar>
                  <w:vAlign w:val="center"/>
                </w:tcPr>
                <w:p w14:paraId="318F0DE3">
                  <w:pPr>
                    <w:pStyle w:val="28"/>
                    <w:adjustRightInd/>
                    <w:snapToGrid/>
                    <w:spacing w:before="24" w:after="24" w:line="240" w:lineRule="auto"/>
                    <w:textAlignment w:val="center"/>
                    <w:rPr>
                      <w:rFonts w:hint="eastAsia" w:ascii="Times New Roman" w:hAnsi="Times New Roman"/>
                      <w:color w:val="auto"/>
                      <w:sz w:val="22"/>
                      <w:szCs w:val="22"/>
                      <w:lang w:val="en-US" w:eastAsia="zh-CN"/>
                    </w:rPr>
                  </w:pPr>
                </w:p>
              </w:tc>
              <w:tc>
                <w:tcPr>
                  <w:tcW w:w="1054" w:type="dxa"/>
                  <w:vMerge w:val="continue"/>
                  <w:noWrap w:val="0"/>
                  <w:tcMar>
                    <w:left w:w="0" w:type="dxa"/>
                    <w:right w:w="0" w:type="dxa"/>
                  </w:tcMar>
                  <w:vAlign w:val="center"/>
                </w:tcPr>
                <w:p w14:paraId="166B8E70">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736" w:type="dxa"/>
                  <w:shd w:val="clear" w:color="auto" w:fill="auto"/>
                  <w:noWrap w:val="0"/>
                  <w:tcMar>
                    <w:left w:w="0" w:type="dxa"/>
                    <w:right w:w="0" w:type="dxa"/>
                  </w:tcMar>
                  <w:vAlign w:val="center"/>
                </w:tcPr>
                <w:p w14:paraId="731AE2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cs="Times New Roman"/>
                      <w:color w:val="auto"/>
                      <w:sz w:val="22"/>
                      <w:lang w:val="en-US" w:eastAsia="zh-CN"/>
                    </w:rPr>
                    <w:t>3.37</w:t>
                  </w:r>
                </w:p>
              </w:tc>
              <w:tc>
                <w:tcPr>
                  <w:tcW w:w="971" w:type="dxa"/>
                  <w:shd w:val="clear" w:color="auto" w:fill="auto"/>
                  <w:noWrap w:val="0"/>
                  <w:tcMar>
                    <w:left w:w="0" w:type="dxa"/>
                    <w:right w:w="0" w:type="dxa"/>
                  </w:tcMar>
                  <w:vAlign w:val="center"/>
                </w:tcPr>
                <w:p w14:paraId="141FE4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cs="Times New Roman"/>
                      <w:color w:val="auto"/>
                      <w:sz w:val="22"/>
                      <w:lang w:val="en-US" w:eastAsia="zh-CN"/>
                    </w:rPr>
                    <w:t>0.10</w:t>
                  </w:r>
                </w:p>
              </w:tc>
              <w:tc>
                <w:tcPr>
                  <w:tcW w:w="901" w:type="dxa"/>
                  <w:shd w:val="clear" w:color="auto" w:fill="auto"/>
                  <w:noWrap w:val="0"/>
                  <w:tcMar>
                    <w:left w:w="0" w:type="dxa"/>
                    <w:right w:w="0" w:type="dxa"/>
                  </w:tcMar>
                  <w:vAlign w:val="center"/>
                </w:tcPr>
                <w:p w14:paraId="7DE10D8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cs="Times New Roman"/>
                      <w:color w:val="auto"/>
                      <w:sz w:val="22"/>
                      <w:lang w:val="en-US" w:eastAsia="zh-CN"/>
                    </w:rPr>
                    <w:t>0.24</w:t>
                  </w:r>
                </w:p>
              </w:tc>
              <w:tc>
                <w:tcPr>
                  <w:tcW w:w="1354" w:type="dxa"/>
                  <w:vMerge w:val="continue"/>
                  <w:noWrap w:val="0"/>
                  <w:tcMar>
                    <w:left w:w="0" w:type="dxa"/>
                    <w:right w:w="0" w:type="dxa"/>
                  </w:tcMar>
                  <w:vAlign w:val="center"/>
                </w:tcPr>
                <w:p w14:paraId="15258332">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725" w:type="dxa"/>
                  <w:vMerge w:val="continue"/>
                  <w:noWrap w:val="0"/>
                  <w:tcMar>
                    <w:left w:w="0" w:type="dxa"/>
                    <w:right w:w="0" w:type="dxa"/>
                  </w:tcMar>
                  <w:vAlign w:val="center"/>
                </w:tcPr>
                <w:p w14:paraId="759AFC62">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794" w:type="dxa"/>
                  <w:vMerge w:val="continue"/>
                  <w:noWrap w:val="0"/>
                  <w:tcMar>
                    <w:left w:w="0" w:type="dxa"/>
                    <w:right w:w="0" w:type="dxa"/>
                  </w:tcMar>
                  <w:vAlign w:val="center"/>
                </w:tcPr>
                <w:p w14:paraId="24737E03">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886" w:type="dxa"/>
                  <w:vMerge w:val="continue"/>
                  <w:noWrap w:val="0"/>
                  <w:tcMar>
                    <w:left w:w="0" w:type="dxa"/>
                    <w:right w:w="0" w:type="dxa"/>
                  </w:tcMar>
                  <w:vAlign w:val="center"/>
                </w:tcPr>
                <w:p w14:paraId="0E238AC7">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860" w:type="dxa"/>
                  <w:vMerge w:val="continue"/>
                  <w:noWrap w:val="0"/>
                  <w:tcMar>
                    <w:left w:w="0" w:type="dxa"/>
                    <w:right w:w="0" w:type="dxa"/>
                  </w:tcMar>
                  <w:vAlign w:val="center"/>
                </w:tcPr>
                <w:p w14:paraId="10B302D6">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662" w:type="dxa"/>
                  <w:vMerge w:val="continue"/>
                  <w:noWrap w:val="0"/>
                  <w:tcMar>
                    <w:left w:w="0" w:type="dxa"/>
                    <w:right w:w="0" w:type="dxa"/>
                  </w:tcMar>
                  <w:vAlign w:val="center"/>
                </w:tcPr>
                <w:p w14:paraId="00F1BE68">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731" w:type="dxa"/>
                  <w:vMerge w:val="continue"/>
                  <w:noWrap w:val="0"/>
                  <w:tcMar>
                    <w:left w:w="0" w:type="dxa"/>
                    <w:right w:w="0" w:type="dxa"/>
                  </w:tcMar>
                  <w:vAlign w:val="center"/>
                </w:tcPr>
                <w:p w14:paraId="1A21A648">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561" w:type="dxa"/>
                  <w:vMerge w:val="continue"/>
                  <w:noWrap w:val="0"/>
                  <w:tcMar>
                    <w:left w:w="0" w:type="dxa"/>
                    <w:right w:w="0" w:type="dxa"/>
                  </w:tcMar>
                  <w:vAlign w:val="center"/>
                </w:tcPr>
                <w:p w14:paraId="62769298">
                  <w:pPr>
                    <w:pStyle w:val="28"/>
                    <w:adjustRightInd/>
                    <w:snapToGrid/>
                    <w:spacing w:before="24" w:after="24" w:line="240" w:lineRule="auto"/>
                    <w:textAlignment w:val="center"/>
                    <w:rPr>
                      <w:rFonts w:ascii="Times New Roman" w:hAnsi="Times New Roman"/>
                      <w:color w:val="auto"/>
                      <w:sz w:val="22"/>
                      <w:szCs w:val="22"/>
                      <w:lang w:val="en-US" w:eastAsia="zh-CN"/>
                    </w:rPr>
                  </w:pPr>
                </w:p>
              </w:tc>
            </w:tr>
            <w:tr w14:paraId="0CF5EC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cantSplit/>
                <w:trHeight w:val="20" w:hRule="atLeast"/>
                <w:jc w:val="center"/>
              </w:trPr>
              <w:tc>
                <w:tcPr>
                  <w:tcW w:w="460" w:type="dxa"/>
                  <w:shd w:val="clear" w:color="auto" w:fill="auto"/>
                  <w:noWrap w:val="0"/>
                  <w:tcMar>
                    <w:left w:w="0" w:type="dxa"/>
                    <w:right w:w="0" w:type="dxa"/>
                  </w:tcMar>
                  <w:vAlign w:val="center"/>
                </w:tcPr>
                <w:p w14:paraId="3084FBB8">
                  <w:pPr>
                    <w:pStyle w:val="28"/>
                    <w:adjustRightInd/>
                    <w:snapToGrid/>
                    <w:spacing w:before="24" w:after="24" w:line="240" w:lineRule="auto"/>
                    <w:ind w:firstLine="0" w:firstLineChars="0"/>
                    <w:textAlignment w:val="center"/>
                    <w:rPr>
                      <w:rFonts w:hint="default" w:ascii="Times New Roman" w:hAnsi="Times New Roman" w:eastAsia="宋体" w:cs="宋体"/>
                      <w:color w:val="auto"/>
                      <w:kern w:val="2"/>
                      <w:sz w:val="22"/>
                      <w:szCs w:val="22"/>
                      <w:lang w:val="en-US" w:eastAsia="zh-CN" w:bidi="ar-SA"/>
                    </w:rPr>
                  </w:pPr>
                  <w:r>
                    <w:rPr>
                      <w:rFonts w:hint="eastAsia" w:ascii="Times New Roman" w:hAnsi="Times New Roman" w:cs="宋体"/>
                      <w:color w:val="auto"/>
                      <w:kern w:val="2"/>
                      <w:sz w:val="22"/>
                      <w:szCs w:val="22"/>
                      <w:lang w:val="en-US" w:eastAsia="zh-CN" w:bidi="ar-SA"/>
                    </w:rPr>
                    <w:t>5</w:t>
                  </w:r>
                </w:p>
              </w:tc>
              <w:tc>
                <w:tcPr>
                  <w:tcW w:w="1857" w:type="dxa"/>
                  <w:noWrap w:val="0"/>
                  <w:tcMar>
                    <w:left w:w="0" w:type="dxa"/>
                    <w:right w:w="0" w:type="dxa"/>
                  </w:tcMar>
                  <w:vAlign w:val="center"/>
                </w:tcPr>
                <w:p w14:paraId="150D079F">
                  <w:pPr>
                    <w:pStyle w:val="28"/>
                    <w:adjustRightInd/>
                    <w:snapToGrid/>
                    <w:spacing w:before="24" w:after="24" w:line="240" w:lineRule="auto"/>
                    <w:textAlignment w:val="center"/>
                    <w:rPr>
                      <w:rFonts w:hint="default" w:ascii="Times New Roman" w:hAnsi="Times New Roman"/>
                      <w:color w:val="auto"/>
                      <w:sz w:val="22"/>
                      <w:szCs w:val="22"/>
                      <w:lang w:val="en-US" w:eastAsia="zh-CN"/>
                    </w:rPr>
                  </w:pPr>
                  <w:r>
                    <w:rPr>
                      <w:rFonts w:hint="eastAsia" w:ascii="Times New Roman" w:hAnsi="Times New Roman"/>
                      <w:color w:val="auto"/>
                      <w:sz w:val="22"/>
                      <w:szCs w:val="22"/>
                      <w:lang w:val="en-US" w:eastAsia="zh-CN"/>
                    </w:rPr>
                    <w:t>裁切粉尘G5</w:t>
                  </w:r>
                </w:p>
              </w:tc>
              <w:tc>
                <w:tcPr>
                  <w:tcW w:w="705" w:type="dxa"/>
                  <w:vMerge w:val="continue"/>
                  <w:noWrap w:val="0"/>
                  <w:tcMar>
                    <w:left w:w="0" w:type="dxa"/>
                    <w:right w:w="0" w:type="dxa"/>
                  </w:tcMar>
                  <w:vAlign w:val="center"/>
                </w:tcPr>
                <w:p w14:paraId="3B418C42">
                  <w:pPr>
                    <w:pStyle w:val="28"/>
                    <w:adjustRightInd/>
                    <w:snapToGrid/>
                    <w:spacing w:before="24" w:after="24" w:line="240" w:lineRule="auto"/>
                    <w:textAlignment w:val="center"/>
                    <w:rPr>
                      <w:rFonts w:hint="eastAsia" w:ascii="Times New Roman" w:hAnsi="Times New Roman"/>
                      <w:color w:val="auto"/>
                      <w:sz w:val="22"/>
                      <w:szCs w:val="22"/>
                      <w:lang w:val="en-US" w:eastAsia="zh-CN"/>
                    </w:rPr>
                  </w:pPr>
                </w:p>
              </w:tc>
              <w:tc>
                <w:tcPr>
                  <w:tcW w:w="1054" w:type="dxa"/>
                  <w:vMerge w:val="continue"/>
                  <w:noWrap w:val="0"/>
                  <w:tcMar>
                    <w:left w:w="0" w:type="dxa"/>
                    <w:right w:w="0" w:type="dxa"/>
                  </w:tcMar>
                  <w:vAlign w:val="center"/>
                </w:tcPr>
                <w:p w14:paraId="41D627A5">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736" w:type="dxa"/>
                  <w:noWrap w:val="0"/>
                  <w:tcMar>
                    <w:left w:w="0" w:type="dxa"/>
                    <w:right w:w="0" w:type="dxa"/>
                  </w:tcMar>
                  <w:vAlign w:val="center"/>
                </w:tcPr>
                <w:p w14:paraId="263F71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2"/>
                      <w:lang w:val="en-US" w:eastAsia="zh-CN"/>
                    </w:rPr>
                  </w:pPr>
                  <w:r>
                    <w:rPr>
                      <w:rFonts w:hint="eastAsia" w:ascii="Times New Roman" w:hAnsi="Times New Roman" w:cs="Times New Roman"/>
                      <w:color w:val="auto"/>
                      <w:sz w:val="22"/>
                      <w:lang w:val="en-US" w:eastAsia="zh-CN"/>
                    </w:rPr>
                    <w:t>8.4</w:t>
                  </w:r>
                </w:p>
              </w:tc>
              <w:tc>
                <w:tcPr>
                  <w:tcW w:w="971" w:type="dxa"/>
                  <w:noWrap w:val="0"/>
                  <w:tcMar>
                    <w:left w:w="0" w:type="dxa"/>
                    <w:right w:w="0" w:type="dxa"/>
                  </w:tcMar>
                  <w:vAlign w:val="center"/>
                </w:tcPr>
                <w:p w14:paraId="4E69D1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2"/>
                      <w:lang w:val="en-US" w:eastAsia="zh-CN" w:bidi="ar"/>
                    </w:rPr>
                  </w:pPr>
                  <w:r>
                    <w:rPr>
                      <w:rFonts w:hint="eastAsia" w:ascii="Times New Roman" w:hAnsi="Times New Roman" w:cs="Times New Roman"/>
                      <w:color w:val="auto"/>
                      <w:kern w:val="0"/>
                      <w:sz w:val="22"/>
                      <w:lang w:val="en-US" w:eastAsia="zh-CN" w:bidi="ar"/>
                    </w:rPr>
                    <w:t>0.25</w:t>
                  </w:r>
                </w:p>
              </w:tc>
              <w:tc>
                <w:tcPr>
                  <w:tcW w:w="901" w:type="dxa"/>
                  <w:noWrap w:val="0"/>
                  <w:tcMar>
                    <w:left w:w="0" w:type="dxa"/>
                    <w:right w:w="0" w:type="dxa"/>
                  </w:tcMar>
                  <w:vAlign w:val="center"/>
                </w:tcPr>
                <w:p w14:paraId="733AE8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2"/>
                      <w:lang w:val="en-US" w:eastAsia="zh-CN"/>
                    </w:rPr>
                  </w:pPr>
                  <w:r>
                    <w:rPr>
                      <w:rFonts w:hint="eastAsia" w:ascii="Times New Roman" w:hAnsi="Times New Roman" w:cs="Times New Roman"/>
                      <w:color w:val="auto"/>
                      <w:sz w:val="22"/>
                      <w:lang w:val="en-US" w:eastAsia="zh-CN"/>
                    </w:rPr>
                    <w:t>1.21</w:t>
                  </w:r>
                </w:p>
              </w:tc>
              <w:tc>
                <w:tcPr>
                  <w:tcW w:w="1354" w:type="dxa"/>
                  <w:vMerge w:val="continue"/>
                  <w:noWrap w:val="0"/>
                  <w:tcMar>
                    <w:left w:w="0" w:type="dxa"/>
                    <w:right w:w="0" w:type="dxa"/>
                  </w:tcMar>
                  <w:vAlign w:val="center"/>
                </w:tcPr>
                <w:p w14:paraId="05D80E9B">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725" w:type="dxa"/>
                  <w:vMerge w:val="continue"/>
                  <w:noWrap w:val="0"/>
                  <w:tcMar>
                    <w:left w:w="0" w:type="dxa"/>
                    <w:right w:w="0" w:type="dxa"/>
                  </w:tcMar>
                  <w:vAlign w:val="center"/>
                </w:tcPr>
                <w:p w14:paraId="15B4136E">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794" w:type="dxa"/>
                  <w:vMerge w:val="continue"/>
                  <w:noWrap w:val="0"/>
                  <w:tcMar>
                    <w:left w:w="0" w:type="dxa"/>
                    <w:right w:w="0" w:type="dxa"/>
                  </w:tcMar>
                  <w:vAlign w:val="center"/>
                </w:tcPr>
                <w:p w14:paraId="5E0CD55C">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886" w:type="dxa"/>
                  <w:vMerge w:val="continue"/>
                  <w:noWrap w:val="0"/>
                  <w:tcMar>
                    <w:left w:w="0" w:type="dxa"/>
                    <w:right w:w="0" w:type="dxa"/>
                  </w:tcMar>
                  <w:vAlign w:val="center"/>
                </w:tcPr>
                <w:p w14:paraId="6DE69626">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860" w:type="dxa"/>
                  <w:vMerge w:val="continue"/>
                  <w:noWrap w:val="0"/>
                  <w:tcMar>
                    <w:left w:w="0" w:type="dxa"/>
                    <w:right w:w="0" w:type="dxa"/>
                  </w:tcMar>
                  <w:vAlign w:val="center"/>
                </w:tcPr>
                <w:p w14:paraId="1BC53368">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662" w:type="dxa"/>
                  <w:vMerge w:val="continue"/>
                  <w:noWrap w:val="0"/>
                  <w:tcMar>
                    <w:left w:w="0" w:type="dxa"/>
                    <w:right w:w="0" w:type="dxa"/>
                  </w:tcMar>
                  <w:vAlign w:val="center"/>
                </w:tcPr>
                <w:p w14:paraId="54C3F453">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731" w:type="dxa"/>
                  <w:vMerge w:val="continue"/>
                  <w:noWrap w:val="0"/>
                  <w:tcMar>
                    <w:left w:w="0" w:type="dxa"/>
                    <w:right w:w="0" w:type="dxa"/>
                  </w:tcMar>
                  <w:vAlign w:val="center"/>
                </w:tcPr>
                <w:p w14:paraId="7D629F08">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561" w:type="dxa"/>
                  <w:vMerge w:val="continue"/>
                  <w:noWrap w:val="0"/>
                  <w:tcMar>
                    <w:left w:w="0" w:type="dxa"/>
                    <w:right w:w="0" w:type="dxa"/>
                  </w:tcMar>
                  <w:vAlign w:val="center"/>
                </w:tcPr>
                <w:p w14:paraId="60F25C2F">
                  <w:pPr>
                    <w:pStyle w:val="28"/>
                    <w:adjustRightInd/>
                    <w:snapToGrid/>
                    <w:spacing w:before="24" w:after="24" w:line="240" w:lineRule="auto"/>
                    <w:textAlignment w:val="center"/>
                    <w:rPr>
                      <w:rFonts w:ascii="Times New Roman" w:hAnsi="Times New Roman"/>
                      <w:color w:val="auto"/>
                      <w:sz w:val="22"/>
                      <w:szCs w:val="22"/>
                      <w:lang w:val="en-US" w:eastAsia="zh-CN"/>
                    </w:rPr>
                  </w:pPr>
                </w:p>
              </w:tc>
            </w:tr>
            <w:tr w14:paraId="73A386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cantSplit/>
                <w:trHeight w:val="20" w:hRule="atLeast"/>
                <w:jc w:val="center"/>
              </w:trPr>
              <w:tc>
                <w:tcPr>
                  <w:tcW w:w="460" w:type="dxa"/>
                  <w:shd w:val="clear" w:color="auto" w:fill="auto"/>
                  <w:noWrap w:val="0"/>
                  <w:tcMar>
                    <w:left w:w="0" w:type="dxa"/>
                    <w:right w:w="0" w:type="dxa"/>
                  </w:tcMar>
                  <w:vAlign w:val="center"/>
                </w:tcPr>
                <w:p w14:paraId="2E0A0E89">
                  <w:pPr>
                    <w:pStyle w:val="28"/>
                    <w:adjustRightInd/>
                    <w:snapToGrid/>
                    <w:spacing w:before="24" w:after="24" w:line="240" w:lineRule="auto"/>
                    <w:ind w:firstLine="0" w:firstLineChars="0"/>
                    <w:textAlignment w:val="center"/>
                    <w:rPr>
                      <w:rFonts w:ascii="Times New Roman" w:hAnsi="Times New Roman" w:eastAsia="宋体" w:cs="宋体"/>
                      <w:color w:val="auto"/>
                      <w:kern w:val="2"/>
                      <w:sz w:val="22"/>
                      <w:szCs w:val="22"/>
                      <w:lang w:val="en-US" w:eastAsia="zh-CN" w:bidi="ar-SA"/>
                    </w:rPr>
                  </w:pPr>
                  <w:r>
                    <w:rPr>
                      <w:rFonts w:hint="eastAsia" w:ascii="Times New Roman" w:hAnsi="Times New Roman"/>
                      <w:color w:val="auto"/>
                      <w:sz w:val="22"/>
                      <w:szCs w:val="22"/>
                      <w:lang w:val="en-US" w:eastAsia="zh-CN"/>
                    </w:rPr>
                    <w:t>6</w:t>
                  </w:r>
                </w:p>
              </w:tc>
              <w:tc>
                <w:tcPr>
                  <w:tcW w:w="1857" w:type="dxa"/>
                  <w:noWrap w:val="0"/>
                  <w:tcMar>
                    <w:left w:w="0" w:type="dxa"/>
                    <w:right w:w="0" w:type="dxa"/>
                  </w:tcMar>
                  <w:vAlign w:val="center"/>
                </w:tcPr>
                <w:p w14:paraId="77CB3E90">
                  <w:pPr>
                    <w:pStyle w:val="28"/>
                    <w:adjustRightInd/>
                    <w:snapToGrid/>
                    <w:spacing w:before="24" w:after="24" w:line="240" w:lineRule="auto"/>
                    <w:textAlignment w:val="center"/>
                    <w:rPr>
                      <w:rFonts w:hint="default" w:ascii="Times New Roman" w:hAnsi="Times New Roman"/>
                      <w:color w:val="auto"/>
                      <w:sz w:val="22"/>
                      <w:szCs w:val="22"/>
                      <w:lang w:val="en-US" w:eastAsia="zh-CN"/>
                    </w:rPr>
                  </w:pPr>
                  <w:r>
                    <w:rPr>
                      <w:rFonts w:hint="eastAsia" w:ascii="Times New Roman" w:hAnsi="Times New Roman"/>
                      <w:color w:val="auto"/>
                      <w:sz w:val="22"/>
                      <w:szCs w:val="22"/>
                      <w:lang w:val="en-US" w:eastAsia="zh-CN"/>
                    </w:rPr>
                    <w:t>膨化粉尘G6</w:t>
                  </w:r>
                </w:p>
              </w:tc>
              <w:tc>
                <w:tcPr>
                  <w:tcW w:w="705" w:type="dxa"/>
                  <w:vMerge w:val="continue"/>
                  <w:noWrap w:val="0"/>
                  <w:tcMar>
                    <w:left w:w="0" w:type="dxa"/>
                    <w:right w:w="0" w:type="dxa"/>
                  </w:tcMar>
                  <w:vAlign w:val="center"/>
                </w:tcPr>
                <w:p w14:paraId="59C3CF88">
                  <w:pPr>
                    <w:pStyle w:val="28"/>
                    <w:adjustRightInd/>
                    <w:snapToGrid/>
                    <w:spacing w:before="24" w:after="24" w:line="240" w:lineRule="auto"/>
                    <w:textAlignment w:val="center"/>
                    <w:rPr>
                      <w:rFonts w:hint="eastAsia" w:ascii="Times New Roman" w:hAnsi="Times New Roman"/>
                      <w:color w:val="auto"/>
                      <w:sz w:val="22"/>
                      <w:szCs w:val="22"/>
                      <w:lang w:val="en-US" w:eastAsia="zh-CN"/>
                    </w:rPr>
                  </w:pPr>
                </w:p>
              </w:tc>
              <w:tc>
                <w:tcPr>
                  <w:tcW w:w="1054" w:type="dxa"/>
                  <w:vMerge w:val="continue"/>
                  <w:noWrap w:val="0"/>
                  <w:tcMar>
                    <w:left w:w="0" w:type="dxa"/>
                    <w:right w:w="0" w:type="dxa"/>
                  </w:tcMar>
                  <w:vAlign w:val="center"/>
                </w:tcPr>
                <w:p w14:paraId="3F798057">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736" w:type="dxa"/>
                  <w:noWrap w:val="0"/>
                  <w:tcMar>
                    <w:left w:w="0" w:type="dxa"/>
                    <w:right w:w="0" w:type="dxa"/>
                  </w:tcMar>
                  <w:vAlign w:val="center"/>
                </w:tcPr>
                <w:p w14:paraId="4C1499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2"/>
                      <w:lang w:val="en-US" w:eastAsia="zh-CN"/>
                    </w:rPr>
                  </w:pPr>
                  <w:r>
                    <w:rPr>
                      <w:rFonts w:hint="eastAsia" w:ascii="Times New Roman" w:hAnsi="Times New Roman" w:cs="Times New Roman"/>
                      <w:color w:val="auto"/>
                      <w:sz w:val="22"/>
                      <w:lang w:val="en-US" w:eastAsia="zh-CN"/>
                    </w:rPr>
                    <w:t>8.33</w:t>
                  </w:r>
                </w:p>
              </w:tc>
              <w:tc>
                <w:tcPr>
                  <w:tcW w:w="971" w:type="dxa"/>
                  <w:noWrap w:val="0"/>
                  <w:tcMar>
                    <w:left w:w="0" w:type="dxa"/>
                    <w:right w:w="0" w:type="dxa"/>
                  </w:tcMar>
                  <w:vAlign w:val="center"/>
                </w:tcPr>
                <w:p w14:paraId="23FFD2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2"/>
                      <w:lang w:val="en-US" w:eastAsia="zh-CN" w:bidi="ar"/>
                    </w:rPr>
                  </w:pPr>
                  <w:r>
                    <w:rPr>
                      <w:rFonts w:hint="eastAsia" w:ascii="Times New Roman" w:hAnsi="Times New Roman" w:cs="Times New Roman"/>
                      <w:color w:val="auto"/>
                      <w:kern w:val="0"/>
                      <w:sz w:val="22"/>
                      <w:lang w:val="en-US" w:eastAsia="zh-CN" w:bidi="ar"/>
                    </w:rPr>
                    <w:t>0.25</w:t>
                  </w:r>
                </w:p>
              </w:tc>
              <w:tc>
                <w:tcPr>
                  <w:tcW w:w="901" w:type="dxa"/>
                  <w:noWrap w:val="0"/>
                  <w:tcMar>
                    <w:left w:w="0" w:type="dxa"/>
                    <w:right w:w="0" w:type="dxa"/>
                  </w:tcMar>
                  <w:vAlign w:val="center"/>
                </w:tcPr>
                <w:p w14:paraId="434C51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2"/>
                      <w:lang w:val="en-US" w:eastAsia="zh-CN"/>
                    </w:rPr>
                  </w:pPr>
                  <w:r>
                    <w:rPr>
                      <w:rFonts w:hint="eastAsia" w:ascii="Times New Roman" w:hAnsi="Times New Roman" w:cs="Times New Roman"/>
                      <w:color w:val="auto"/>
                      <w:sz w:val="22"/>
                      <w:lang w:val="en-US" w:eastAsia="zh-CN"/>
                    </w:rPr>
                    <w:t>1.20</w:t>
                  </w:r>
                </w:p>
              </w:tc>
              <w:tc>
                <w:tcPr>
                  <w:tcW w:w="1354" w:type="dxa"/>
                  <w:vMerge w:val="continue"/>
                  <w:noWrap w:val="0"/>
                  <w:tcMar>
                    <w:left w:w="0" w:type="dxa"/>
                    <w:right w:w="0" w:type="dxa"/>
                  </w:tcMar>
                  <w:vAlign w:val="center"/>
                </w:tcPr>
                <w:p w14:paraId="6299CF35">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725" w:type="dxa"/>
                  <w:vMerge w:val="continue"/>
                  <w:noWrap w:val="0"/>
                  <w:tcMar>
                    <w:left w:w="0" w:type="dxa"/>
                    <w:right w:w="0" w:type="dxa"/>
                  </w:tcMar>
                  <w:vAlign w:val="center"/>
                </w:tcPr>
                <w:p w14:paraId="7D03596A">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794" w:type="dxa"/>
                  <w:vMerge w:val="continue"/>
                  <w:noWrap w:val="0"/>
                  <w:tcMar>
                    <w:left w:w="0" w:type="dxa"/>
                    <w:right w:w="0" w:type="dxa"/>
                  </w:tcMar>
                  <w:vAlign w:val="center"/>
                </w:tcPr>
                <w:p w14:paraId="4E39C47D">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886" w:type="dxa"/>
                  <w:vMerge w:val="continue"/>
                  <w:noWrap w:val="0"/>
                  <w:tcMar>
                    <w:left w:w="0" w:type="dxa"/>
                    <w:right w:w="0" w:type="dxa"/>
                  </w:tcMar>
                  <w:vAlign w:val="center"/>
                </w:tcPr>
                <w:p w14:paraId="7F6B2A8F">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860" w:type="dxa"/>
                  <w:vMerge w:val="continue"/>
                  <w:noWrap w:val="0"/>
                  <w:tcMar>
                    <w:left w:w="0" w:type="dxa"/>
                    <w:right w:w="0" w:type="dxa"/>
                  </w:tcMar>
                  <w:vAlign w:val="center"/>
                </w:tcPr>
                <w:p w14:paraId="15B4AF53">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662" w:type="dxa"/>
                  <w:vMerge w:val="continue"/>
                  <w:noWrap w:val="0"/>
                  <w:tcMar>
                    <w:left w:w="0" w:type="dxa"/>
                    <w:right w:w="0" w:type="dxa"/>
                  </w:tcMar>
                  <w:vAlign w:val="center"/>
                </w:tcPr>
                <w:p w14:paraId="096B8496">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731" w:type="dxa"/>
                  <w:vMerge w:val="continue"/>
                  <w:noWrap w:val="0"/>
                  <w:tcMar>
                    <w:left w:w="0" w:type="dxa"/>
                    <w:right w:w="0" w:type="dxa"/>
                  </w:tcMar>
                  <w:vAlign w:val="center"/>
                </w:tcPr>
                <w:p w14:paraId="5C049732">
                  <w:pPr>
                    <w:pStyle w:val="28"/>
                    <w:adjustRightInd/>
                    <w:snapToGrid/>
                    <w:spacing w:before="24" w:after="24" w:line="240" w:lineRule="auto"/>
                    <w:textAlignment w:val="center"/>
                    <w:rPr>
                      <w:rFonts w:ascii="Times New Roman" w:hAnsi="Times New Roman"/>
                      <w:color w:val="auto"/>
                      <w:sz w:val="22"/>
                      <w:szCs w:val="22"/>
                      <w:lang w:val="en-US" w:eastAsia="zh-CN"/>
                    </w:rPr>
                  </w:pPr>
                </w:p>
              </w:tc>
              <w:tc>
                <w:tcPr>
                  <w:tcW w:w="561" w:type="dxa"/>
                  <w:vMerge w:val="continue"/>
                  <w:noWrap w:val="0"/>
                  <w:tcMar>
                    <w:left w:w="0" w:type="dxa"/>
                    <w:right w:w="0" w:type="dxa"/>
                  </w:tcMar>
                  <w:vAlign w:val="center"/>
                </w:tcPr>
                <w:p w14:paraId="7BF55F4C">
                  <w:pPr>
                    <w:pStyle w:val="28"/>
                    <w:adjustRightInd/>
                    <w:snapToGrid/>
                    <w:spacing w:before="24" w:after="24" w:line="240" w:lineRule="auto"/>
                    <w:textAlignment w:val="center"/>
                    <w:rPr>
                      <w:rFonts w:ascii="Times New Roman" w:hAnsi="Times New Roman"/>
                      <w:color w:val="auto"/>
                      <w:sz w:val="22"/>
                      <w:szCs w:val="22"/>
                      <w:lang w:val="en-US" w:eastAsia="zh-CN"/>
                    </w:rPr>
                  </w:pPr>
                </w:p>
              </w:tc>
            </w:tr>
            <w:tr w14:paraId="61576F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cantSplit/>
                <w:trHeight w:val="20" w:hRule="atLeast"/>
                <w:jc w:val="center"/>
              </w:trPr>
              <w:tc>
                <w:tcPr>
                  <w:tcW w:w="460" w:type="dxa"/>
                  <w:shd w:val="clear" w:color="auto" w:fill="auto"/>
                  <w:noWrap w:val="0"/>
                  <w:tcMar>
                    <w:left w:w="0" w:type="dxa"/>
                    <w:right w:w="0" w:type="dxa"/>
                  </w:tcMar>
                  <w:vAlign w:val="center"/>
                </w:tcPr>
                <w:p w14:paraId="0A471022">
                  <w:pPr>
                    <w:pStyle w:val="28"/>
                    <w:adjustRightInd/>
                    <w:snapToGrid/>
                    <w:spacing w:before="24" w:after="24" w:line="240" w:lineRule="auto"/>
                    <w:ind w:firstLine="0" w:firstLineChars="0"/>
                    <w:textAlignment w:val="center"/>
                    <w:rPr>
                      <w:rFonts w:ascii="Times New Roman" w:hAnsi="Times New Roman" w:eastAsia="宋体" w:cs="宋体"/>
                      <w:color w:val="auto"/>
                      <w:kern w:val="2"/>
                      <w:sz w:val="22"/>
                      <w:szCs w:val="22"/>
                      <w:lang w:val="en-US" w:eastAsia="zh-CN" w:bidi="ar-SA"/>
                    </w:rPr>
                  </w:pPr>
                  <w:r>
                    <w:rPr>
                      <w:rFonts w:hint="eastAsia" w:ascii="Times New Roman" w:hAnsi="Times New Roman"/>
                      <w:color w:val="auto"/>
                      <w:sz w:val="22"/>
                      <w:szCs w:val="22"/>
                      <w:lang w:val="en-US" w:eastAsia="zh-CN"/>
                    </w:rPr>
                    <w:t>7</w:t>
                  </w:r>
                </w:p>
              </w:tc>
              <w:tc>
                <w:tcPr>
                  <w:tcW w:w="1857" w:type="dxa"/>
                  <w:noWrap w:val="0"/>
                  <w:tcMar>
                    <w:left w:w="0" w:type="dxa"/>
                    <w:right w:w="0" w:type="dxa"/>
                  </w:tcMar>
                  <w:vAlign w:val="center"/>
                </w:tcPr>
                <w:p w14:paraId="62B2BC9B">
                  <w:pPr>
                    <w:pStyle w:val="28"/>
                    <w:adjustRightInd/>
                    <w:snapToGrid/>
                    <w:spacing w:before="24" w:after="24" w:line="240" w:lineRule="auto"/>
                    <w:textAlignment w:val="center"/>
                    <w:rPr>
                      <w:rFonts w:hint="default" w:ascii="Times New Roman" w:hAnsi="Times New Roman"/>
                      <w:color w:val="auto"/>
                      <w:sz w:val="22"/>
                      <w:szCs w:val="22"/>
                      <w:lang w:val="en-US" w:eastAsia="zh-CN"/>
                    </w:rPr>
                  </w:pPr>
                  <w:r>
                    <w:rPr>
                      <w:rFonts w:hint="eastAsia" w:ascii="Times New Roman" w:hAnsi="Times New Roman"/>
                      <w:color w:val="auto"/>
                      <w:sz w:val="22"/>
                      <w:szCs w:val="22"/>
                      <w:lang w:val="en-US" w:eastAsia="zh-CN"/>
                    </w:rPr>
                    <w:t>无组织废气</w:t>
                  </w:r>
                </w:p>
              </w:tc>
              <w:tc>
                <w:tcPr>
                  <w:tcW w:w="705" w:type="dxa"/>
                  <w:noWrap w:val="0"/>
                  <w:tcMar>
                    <w:left w:w="0" w:type="dxa"/>
                    <w:right w:w="0" w:type="dxa"/>
                  </w:tcMar>
                  <w:vAlign w:val="center"/>
                </w:tcPr>
                <w:p w14:paraId="266DC14B">
                  <w:pPr>
                    <w:pStyle w:val="28"/>
                    <w:adjustRightInd/>
                    <w:snapToGrid/>
                    <w:spacing w:before="24" w:after="24" w:line="240" w:lineRule="auto"/>
                    <w:textAlignment w:val="center"/>
                    <w:rPr>
                      <w:rFonts w:hint="eastAsia" w:ascii="Times New Roman" w:hAnsi="Times New Roman"/>
                      <w:color w:val="auto"/>
                      <w:sz w:val="22"/>
                      <w:szCs w:val="22"/>
                      <w:lang w:val="en-US" w:eastAsia="zh-CN"/>
                    </w:rPr>
                  </w:pPr>
                  <w:r>
                    <w:rPr>
                      <w:rFonts w:hint="eastAsia" w:ascii="Times New Roman" w:hAnsi="Times New Roman"/>
                      <w:color w:val="auto"/>
                      <w:sz w:val="22"/>
                      <w:szCs w:val="22"/>
                      <w:lang w:val="en-US" w:eastAsia="zh-CN"/>
                    </w:rPr>
                    <w:t>无组织</w:t>
                  </w:r>
                </w:p>
              </w:tc>
              <w:tc>
                <w:tcPr>
                  <w:tcW w:w="1054" w:type="dxa"/>
                  <w:noWrap w:val="0"/>
                  <w:tcMar>
                    <w:left w:w="0" w:type="dxa"/>
                    <w:right w:w="0" w:type="dxa"/>
                  </w:tcMar>
                  <w:vAlign w:val="center"/>
                </w:tcPr>
                <w:p w14:paraId="528A563A">
                  <w:pPr>
                    <w:pStyle w:val="28"/>
                    <w:adjustRightInd/>
                    <w:snapToGrid/>
                    <w:spacing w:before="24" w:after="24" w:line="240" w:lineRule="auto"/>
                    <w:textAlignment w:val="center"/>
                    <w:rPr>
                      <w:rFonts w:hint="default" w:ascii="Times New Roman" w:hAnsi="Times New Roman"/>
                      <w:color w:val="auto"/>
                      <w:sz w:val="22"/>
                      <w:szCs w:val="22"/>
                      <w:lang w:val="en-US" w:eastAsia="zh-CN"/>
                    </w:rPr>
                  </w:pPr>
                  <w:r>
                    <w:rPr>
                      <w:rFonts w:hint="eastAsia" w:ascii="Times New Roman" w:hAnsi="Times New Roman"/>
                      <w:color w:val="auto"/>
                      <w:sz w:val="22"/>
                      <w:szCs w:val="22"/>
                      <w:lang w:val="en-US" w:eastAsia="zh-CN"/>
                    </w:rPr>
                    <w:t>颗粒物</w:t>
                  </w:r>
                </w:p>
              </w:tc>
              <w:tc>
                <w:tcPr>
                  <w:tcW w:w="736" w:type="dxa"/>
                  <w:noWrap w:val="0"/>
                  <w:tcMar>
                    <w:left w:w="0" w:type="dxa"/>
                    <w:right w:w="0" w:type="dxa"/>
                  </w:tcMar>
                  <w:vAlign w:val="center"/>
                </w:tcPr>
                <w:p w14:paraId="0DB1A212">
                  <w:pPr>
                    <w:pStyle w:val="28"/>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olor w:val="auto"/>
                      <w:sz w:val="22"/>
                      <w:szCs w:val="22"/>
                      <w:lang w:val="en-US" w:eastAsia="zh-CN"/>
                    </w:rPr>
                  </w:pPr>
                  <w:r>
                    <w:rPr>
                      <w:rFonts w:hint="eastAsia" w:ascii="Times New Roman" w:hAnsi="Times New Roman"/>
                      <w:color w:val="auto"/>
                      <w:sz w:val="22"/>
                      <w:szCs w:val="22"/>
                      <w:lang w:val="en-US" w:eastAsia="zh-CN"/>
                    </w:rPr>
                    <w:t>/</w:t>
                  </w:r>
                </w:p>
              </w:tc>
              <w:tc>
                <w:tcPr>
                  <w:tcW w:w="971" w:type="dxa"/>
                  <w:noWrap w:val="0"/>
                  <w:tcMar>
                    <w:left w:w="0" w:type="dxa"/>
                    <w:right w:w="0" w:type="dxa"/>
                  </w:tcMar>
                  <w:vAlign w:val="center"/>
                </w:tcPr>
                <w:p w14:paraId="34258D62">
                  <w:pPr>
                    <w:pStyle w:val="28"/>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olor w:val="auto"/>
                      <w:sz w:val="22"/>
                      <w:szCs w:val="22"/>
                      <w:lang w:val="en-US" w:eastAsia="zh-CN"/>
                    </w:rPr>
                  </w:pPr>
                  <w:r>
                    <w:rPr>
                      <w:rFonts w:hint="eastAsia" w:ascii="Times New Roman" w:hAnsi="Times New Roman"/>
                      <w:color w:val="auto"/>
                      <w:sz w:val="22"/>
                      <w:szCs w:val="22"/>
                      <w:lang w:val="en-US" w:eastAsia="zh-CN"/>
                    </w:rPr>
                    <w:t>0.35</w:t>
                  </w:r>
                </w:p>
              </w:tc>
              <w:tc>
                <w:tcPr>
                  <w:tcW w:w="901" w:type="dxa"/>
                  <w:noWrap w:val="0"/>
                  <w:tcMar>
                    <w:left w:w="0" w:type="dxa"/>
                    <w:right w:w="0" w:type="dxa"/>
                  </w:tcMar>
                  <w:vAlign w:val="center"/>
                </w:tcPr>
                <w:p w14:paraId="7F1EE80A">
                  <w:pPr>
                    <w:pStyle w:val="28"/>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olor w:val="auto"/>
                      <w:sz w:val="22"/>
                      <w:szCs w:val="22"/>
                      <w:lang w:val="en-US" w:eastAsia="zh-CN"/>
                    </w:rPr>
                  </w:pPr>
                  <w:r>
                    <w:rPr>
                      <w:rFonts w:hint="eastAsia" w:ascii="Times New Roman" w:hAnsi="Times New Roman"/>
                      <w:color w:val="auto"/>
                      <w:sz w:val="22"/>
                      <w:szCs w:val="22"/>
                      <w:lang w:val="en-US" w:eastAsia="zh-CN"/>
                    </w:rPr>
                    <w:t>0.85</w:t>
                  </w:r>
                </w:p>
              </w:tc>
              <w:tc>
                <w:tcPr>
                  <w:tcW w:w="1354" w:type="dxa"/>
                  <w:noWrap w:val="0"/>
                  <w:tcMar>
                    <w:left w:w="0" w:type="dxa"/>
                    <w:right w:w="0" w:type="dxa"/>
                  </w:tcMar>
                  <w:vAlign w:val="center"/>
                </w:tcPr>
                <w:p w14:paraId="65876738">
                  <w:pPr>
                    <w:pStyle w:val="28"/>
                    <w:adjustRightInd/>
                    <w:snapToGrid/>
                    <w:spacing w:before="24" w:after="24" w:line="240" w:lineRule="auto"/>
                    <w:textAlignment w:val="center"/>
                    <w:rPr>
                      <w:rFonts w:ascii="Times New Roman" w:hAnsi="Times New Roman"/>
                      <w:color w:val="auto"/>
                      <w:sz w:val="22"/>
                      <w:szCs w:val="22"/>
                      <w:lang w:val="en-US" w:eastAsia="zh-CN"/>
                    </w:rPr>
                  </w:pPr>
                  <w:r>
                    <w:rPr>
                      <w:rFonts w:hint="eastAsia" w:ascii="Times New Roman" w:hAnsi="Times New Roman"/>
                      <w:color w:val="auto"/>
                      <w:sz w:val="22"/>
                      <w:szCs w:val="22"/>
                      <w:lang w:val="en-US" w:eastAsia="zh-CN"/>
                    </w:rPr>
                    <w:t>重力沉降</w:t>
                  </w:r>
                </w:p>
              </w:tc>
              <w:tc>
                <w:tcPr>
                  <w:tcW w:w="725" w:type="dxa"/>
                  <w:noWrap w:val="0"/>
                  <w:tcMar>
                    <w:left w:w="0" w:type="dxa"/>
                    <w:right w:w="0" w:type="dxa"/>
                  </w:tcMar>
                  <w:vAlign w:val="center"/>
                </w:tcPr>
                <w:p w14:paraId="76BA8DA1">
                  <w:pPr>
                    <w:pStyle w:val="28"/>
                    <w:adjustRightInd/>
                    <w:snapToGrid/>
                    <w:spacing w:before="24" w:after="24" w:line="240" w:lineRule="auto"/>
                    <w:textAlignment w:val="center"/>
                    <w:rPr>
                      <w:rFonts w:hint="default" w:ascii="Times New Roman" w:hAnsi="Times New Roman"/>
                      <w:color w:val="auto"/>
                      <w:sz w:val="22"/>
                      <w:szCs w:val="22"/>
                      <w:lang w:val="en-US" w:eastAsia="zh-CN"/>
                    </w:rPr>
                  </w:pPr>
                  <w:r>
                    <w:rPr>
                      <w:rFonts w:hint="eastAsia" w:ascii="Times New Roman" w:hAnsi="Times New Roman"/>
                      <w:color w:val="auto"/>
                      <w:sz w:val="22"/>
                      <w:szCs w:val="22"/>
                      <w:lang w:val="en-US" w:eastAsia="zh-CN"/>
                    </w:rPr>
                    <w:t>/</w:t>
                  </w:r>
                </w:p>
              </w:tc>
              <w:tc>
                <w:tcPr>
                  <w:tcW w:w="794" w:type="dxa"/>
                  <w:shd w:val="clear" w:color="auto" w:fill="auto"/>
                  <w:noWrap w:val="0"/>
                  <w:tcMar>
                    <w:left w:w="0" w:type="dxa"/>
                    <w:right w:w="0" w:type="dxa"/>
                  </w:tcMar>
                  <w:vAlign w:val="center"/>
                </w:tcPr>
                <w:p w14:paraId="4A5066A1">
                  <w:pPr>
                    <w:pStyle w:val="28"/>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宋体"/>
                      <w:color w:val="auto"/>
                      <w:kern w:val="2"/>
                      <w:sz w:val="22"/>
                      <w:szCs w:val="22"/>
                      <w:lang w:val="en-US" w:eastAsia="zh-CN" w:bidi="ar-SA"/>
                    </w:rPr>
                  </w:pPr>
                  <w:r>
                    <w:rPr>
                      <w:rFonts w:hint="eastAsia" w:ascii="Times New Roman" w:hAnsi="Times New Roman"/>
                      <w:color w:val="auto"/>
                      <w:sz w:val="22"/>
                      <w:szCs w:val="22"/>
                      <w:lang w:val="en-US" w:eastAsia="zh-CN"/>
                    </w:rPr>
                    <w:t>/</w:t>
                  </w:r>
                </w:p>
              </w:tc>
              <w:tc>
                <w:tcPr>
                  <w:tcW w:w="886" w:type="dxa"/>
                  <w:shd w:val="clear" w:color="auto" w:fill="auto"/>
                  <w:noWrap w:val="0"/>
                  <w:tcMar>
                    <w:left w:w="0" w:type="dxa"/>
                    <w:right w:w="0" w:type="dxa"/>
                  </w:tcMar>
                  <w:vAlign w:val="center"/>
                </w:tcPr>
                <w:p w14:paraId="76AF06D0">
                  <w:pPr>
                    <w:pStyle w:val="28"/>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宋体"/>
                      <w:color w:val="auto"/>
                      <w:kern w:val="2"/>
                      <w:sz w:val="22"/>
                      <w:szCs w:val="22"/>
                      <w:lang w:val="en-US" w:eastAsia="zh-CN" w:bidi="ar-SA"/>
                    </w:rPr>
                  </w:pPr>
                  <w:r>
                    <w:rPr>
                      <w:rFonts w:hint="eastAsia" w:ascii="Times New Roman" w:hAnsi="Times New Roman"/>
                      <w:color w:val="auto"/>
                      <w:sz w:val="22"/>
                      <w:szCs w:val="22"/>
                      <w:lang w:val="en-US" w:eastAsia="zh-CN"/>
                    </w:rPr>
                    <w:t>0.35</w:t>
                  </w:r>
                </w:p>
              </w:tc>
              <w:tc>
                <w:tcPr>
                  <w:tcW w:w="860" w:type="dxa"/>
                  <w:shd w:val="clear" w:color="auto" w:fill="auto"/>
                  <w:noWrap w:val="0"/>
                  <w:tcMar>
                    <w:left w:w="0" w:type="dxa"/>
                    <w:right w:w="0" w:type="dxa"/>
                  </w:tcMar>
                  <w:vAlign w:val="center"/>
                </w:tcPr>
                <w:p w14:paraId="1E9D70D8">
                  <w:pPr>
                    <w:pStyle w:val="28"/>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宋体"/>
                      <w:color w:val="auto"/>
                      <w:kern w:val="2"/>
                      <w:sz w:val="22"/>
                      <w:szCs w:val="22"/>
                      <w:lang w:val="en-US" w:eastAsia="zh-CN" w:bidi="ar-SA"/>
                    </w:rPr>
                  </w:pPr>
                  <w:r>
                    <w:rPr>
                      <w:rFonts w:hint="eastAsia" w:ascii="Times New Roman" w:hAnsi="Times New Roman"/>
                      <w:color w:val="auto"/>
                      <w:sz w:val="22"/>
                      <w:szCs w:val="22"/>
                      <w:lang w:val="en-US" w:eastAsia="zh-CN"/>
                    </w:rPr>
                    <w:t>0.85</w:t>
                  </w:r>
                </w:p>
              </w:tc>
              <w:tc>
                <w:tcPr>
                  <w:tcW w:w="662" w:type="dxa"/>
                  <w:noWrap w:val="0"/>
                  <w:tcMar>
                    <w:left w:w="0" w:type="dxa"/>
                    <w:right w:w="0" w:type="dxa"/>
                  </w:tcMar>
                  <w:vAlign w:val="center"/>
                </w:tcPr>
                <w:p w14:paraId="77C01354">
                  <w:pPr>
                    <w:pStyle w:val="28"/>
                    <w:adjustRightInd/>
                    <w:snapToGrid/>
                    <w:spacing w:before="24" w:after="24" w:line="240" w:lineRule="auto"/>
                    <w:textAlignment w:val="center"/>
                    <w:rPr>
                      <w:rFonts w:hint="default" w:ascii="Times New Roman" w:hAnsi="Times New Roman"/>
                      <w:color w:val="auto"/>
                      <w:sz w:val="22"/>
                      <w:szCs w:val="22"/>
                      <w:lang w:val="en-US" w:eastAsia="zh-CN"/>
                    </w:rPr>
                  </w:pPr>
                  <w:r>
                    <w:rPr>
                      <w:rFonts w:hint="eastAsia" w:ascii="Times New Roman" w:hAnsi="Times New Roman"/>
                      <w:color w:val="auto"/>
                      <w:sz w:val="22"/>
                      <w:szCs w:val="22"/>
                      <w:lang w:val="en-US" w:eastAsia="zh-CN"/>
                    </w:rPr>
                    <w:t>/</w:t>
                  </w:r>
                </w:p>
              </w:tc>
              <w:tc>
                <w:tcPr>
                  <w:tcW w:w="731" w:type="dxa"/>
                  <w:noWrap w:val="0"/>
                  <w:tcMar>
                    <w:left w:w="0" w:type="dxa"/>
                    <w:right w:w="0" w:type="dxa"/>
                  </w:tcMar>
                  <w:vAlign w:val="center"/>
                </w:tcPr>
                <w:p w14:paraId="2429E014">
                  <w:pPr>
                    <w:pStyle w:val="28"/>
                    <w:adjustRightInd/>
                    <w:snapToGrid/>
                    <w:spacing w:before="24" w:after="24" w:line="240" w:lineRule="auto"/>
                    <w:textAlignment w:val="center"/>
                    <w:rPr>
                      <w:rFonts w:hint="default" w:ascii="Times New Roman" w:hAnsi="Times New Roman"/>
                      <w:color w:val="auto"/>
                      <w:sz w:val="22"/>
                      <w:szCs w:val="22"/>
                      <w:lang w:val="en-US" w:eastAsia="zh-CN"/>
                    </w:rPr>
                  </w:pPr>
                  <w:r>
                    <w:rPr>
                      <w:rFonts w:hint="eastAsia" w:ascii="Times New Roman" w:hAnsi="Times New Roman"/>
                      <w:color w:val="auto"/>
                      <w:sz w:val="22"/>
                      <w:szCs w:val="22"/>
                      <w:lang w:val="en-US" w:eastAsia="zh-CN"/>
                    </w:rPr>
                    <w:t>3.0</w:t>
                  </w:r>
                </w:p>
              </w:tc>
              <w:tc>
                <w:tcPr>
                  <w:tcW w:w="561" w:type="dxa"/>
                  <w:noWrap w:val="0"/>
                  <w:tcMar>
                    <w:left w:w="0" w:type="dxa"/>
                    <w:right w:w="0" w:type="dxa"/>
                  </w:tcMar>
                  <w:vAlign w:val="center"/>
                </w:tcPr>
                <w:p w14:paraId="3F88E319">
                  <w:pPr>
                    <w:pStyle w:val="28"/>
                    <w:adjustRightInd/>
                    <w:snapToGrid/>
                    <w:spacing w:before="24" w:after="24" w:line="240" w:lineRule="auto"/>
                    <w:textAlignment w:val="center"/>
                    <w:rPr>
                      <w:rFonts w:hint="eastAsia" w:ascii="Times New Roman" w:hAnsi="Times New Roman"/>
                      <w:color w:val="auto"/>
                      <w:sz w:val="22"/>
                      <w:szCs w:val="22"/>
                      <w:lang w:val="en-US" w:eastAsia="zh-CN"/>
                    </w:rPr>
                  </w:pPr>
                  <w:r>
                    <w:rPr>
                      <w:rFonts w:ascii="Times New Roman" w:hAnsi="Times New Roman"/>
                      <w:color w:val="auto"/>
                      <w:sz w:val="22"/>
                      <w:szCs w:val="22"/>
                      <w:lang w:val="en-US" w:eastAsia="zh-CN"/>
                    </w:rPr>
                    <w:t>达标</w:t>
                  </w:r>
                </w:p>
              </w:tc>
            </w:tr>
            <w:tr w14:paraId="6289D0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cantSplit/>
                <w:trHeight w:val="20" w:hRule="atLeast"/>
                <w:jc w:val="center"/>
              </w:trPr>
              <w:tc>
                <w:tcPr>
                  <w:tcW w:w="13257" w:type="dxa"/>
                  <w:gridSpan w:val="15"/>
                  <w:shd w:val="clear" w:color="auto" w:fill="auto"/>
                  <w:noWrap w:val="0"/>
                  <w:tcMar>
                    <w:left w:w="0" w:type="dxa"/>
                    <w:right w:w="0" w:type="dxa"/>
                  </w:tcMar>
                  <w:vAlign w:val="center"/>
                </w:tcPr>
                <w:p w14:paraId="774A2535">
                  <w:pPr>
                    <w:pStyle w:val="28"/>
                    <w:adjustRightInd/>
                    <w:snapToGrid/>
                    <w:spacing w:before="24" w:after="24" w:line="240" w:lineRule="auto"/>
                    <w:textAlignment w:val="center"/>
                    <w:rPr>
                      <w:rFonts w:hint="default" w:ascii="Times New Roman" w:hAnsi="Times New Roman"/>
                      <w:color w:val="auto"/>
                      <w:sz w:val="22"/>
                      <w:szCs w:val="22"/>
                      <w:lang w:val="en-US" w:eastAsia="zh-CN"/>
                    </w:rPr>
                  </w:pPr>
                  <w:r>
                    <w:rPr>
                      <w:rFonts w:hint="eastAsia" w:ascii="Times New Roman" w:hAnsi="Times New Roman"/>
                      <w:color w:val="auto"/>
                      <w:sz w:val="22"/>
                      <w:szCs w:val="22"/>
                      <w:lang w:val="en-US" w:eastAsia="zh-CN"/>
                    </w:rPr>
                    <w:t>注：排放速率按照开包、开松、铺网、切边收卷、裁切和膨化工序同时进行核算，工作时间取8h/d。</w:t>
                  </w:r>
                </w:p>
              </w:tc>
            </w:tr>
            <w:bookmarkEnd w:id="1"/>
          </w:tbl>
          <w:p w14:paraId="77D53D86">
            <w:pPr>
              <w:numPr>
                <w:ilvl w:val="0"/>
                <w:numId w:val="0"/>
              </w:numPr>
              <w:rPr>
                <w:rFonts w:hint="default"/>
                <w:color w:val="auto"/>
                <w:vertAlign w:val="baseline"/>
                <w:lang w:val="en-US" w:eastAsia="zh-CN"/>
              </w:rPr>
            </w:pPr>
          </w:p>
        </w:tc>
      </w:tr>
    </w:tbl>
    <w:p w14:paraId="49055FB6">
      <w:pPr>
        <w:numPr>
          <w:ilvl w:val="0"/>
          <w:numId w:val="0"/>
        </w:numPr>
        <w:ind w:leftChars="0"/>
        <w:rPr>
          <w:rFonts w:hint="default"/>
          <w:color w:val="auto"/>
          <w:lang w:val="en-US" w:eastAsia="zh-CN"/>
        </w:rPr>
      </w:pPr>
    </w:p>
    <w:p w14:paraId="5CEE0AE9">
      <w:pPr>
        <w:numPr>
          <w:ilvl w:val="0"/>
          <w:numId w:val="0"/>
        </w:numPr>
        <w:ind w:leftChars="0"/>
        <w:rPr>
          <w:rFonts w:hint="default"/>
          <w:color w:val="auto"/>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8058"/>
      </w:tblGrid>
      <w:tr w14:paraId="33D0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2" w:hRule="atLeast"/>
        </w:trPr>
        <w:tc>
          <w:tcPr>
            <w:tcW w:w="458" w:type="dxa"/>
            <w:vAlign w:val="center"/>
          </w:tcPr>
          <w:p w14:paraId="7CB7BAB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vertAlign w:val="baseline"/>
                <w:lang w:val="en-US" w:eastAsia="zh-CN"/>
              </w:rPr>
            </w:pPr>
            <w:r>
              <w:rPr>
                <w:rFonts w:hint="default"/>
                <w:color w:val="auto"/>
                <w:vertAlign w:val="baseline"/>
                <w:lang w:val="en-US" w:eastAsia="zh-CN"/>
              </w:rPr>
              <w:t>营运期环境</w:t>
            </w:r>
            <w:r>
              <w:rPr>
                <w:rFonts w:hint="eastAsia"/>
                <w:color w:val="auto"/>
                <w:vertAlign w:val="baseline"/>
                <w:lang w:val="en-US" w:eastAsia="zh-CN"/>
              </w:rPr>
              <w:t>影响</w:t>
            </w:r>
            <w:r>
              <w:rPr>
                <w:rFonts w:hint="default"/>
                <w:color w:val="auto"/>
                <w:vertAlign w:val="baseline"/>
                <w:lang w:val="en-US" w:eastAsia="zh-CN"/>
              </w:rPr>
              <w:t>和保</w:t>
            </w:r>
            <w:r>
              <w:rPr>
                <w:rFonts w:hint="eastAsia"/>
                <w:color w:val="auto"/>
                <w:vertAlign w:val="baseline"/>
                <w:lang w:val="en-US" w:eastAsia="zh-CN"/>
              </w:rPr>
              <w:t>护</w:t>
            </w:r>
            <w:r>
              <w:rPr>
                <w:rFonts w:hint="default"/>
                <w:color w:val="auto"/>
                <w:vertAlign w:val="baseline"/>
                <w:lang w:val="en-US" w:eastAsia="zh-CN"/>
              </w:rPr>
              <w:t>措施</w:t>
            </w:r>
          </w:p>
        </w:tc>
        <w:tc>
          <w:tcPr>
            <w:tcW w:w="8058" w:type="dxa"/>
          </w:tcPr>
          <w:p w14:paraId="6AC58849">
            <w:pPr>
              <w:pageBreakBefore w:val="0"/>
              <w:kinsoku/>
              <w:wordWrap/>
              <w:overflowPunct/>
              <w:topLinePunct w:val="0"/>
              <w:autoSpaceDE/>
              <w:autoSpaceDN/>
              <w:bidi w:val="0"/>
              <w:adjustRightInd/>
              <w:spacing w:line="460" w:lineRule="exact"/>
              <w:ind w:left="0" w:leftChars="0" w:firstLine="0" w:firstLineChars="0"/>
              <w:textAlignment w:val="auto"/>
              <w:rPr>
                <w:rFonts w:hint="eastAsia"/>
                <w:b/>
                <w:bCs/>
                <w:color w:val="auto"/>
                <w:sz w:val="26"/>
                <w:szCs w:val="26"/>
                <w:vertAlign w:val="baseline"/>
                <w:lang w:val="en-US" w:eastAsia="zh-CN"/>
              </w:rPr>
            </w:pPr>
            <w:r>
              <w:rPr>
                <w:rFonts w:hint="eastAsia"/>
                <w:b/>
                <w:bCs/>
                <w:color w:val="auto"/>
                <w:sz w:val="26"/>
                <w:szCs w:val="26"/>
                <w:vertAlign w:val="baseline"/>
                <w:lang w:val="en-US" w:eastAsia="zh-CN"/>
              </w:rPr>
              <w:t>4.2.1.2排放口基本情况</w:t>
            </w:r>
          </w:p>
          <w:p w14:paraId="3B6D4D83">
            <w:pPr>
              <w:pStyle w:val="9"/>
              <w:pageBreakBefore w:val="0"/>
              <w:kinsoku/>
              <w:wordWrap/>
              <w:overflowPunct/>
              <w:topLinePunct w:val="0"/>
              <w:autoSpaceDE/>
              <w:autoSpaceDN/>
              <w:bidi w:val="0"/>
              <w:adjustRightInd/>
              <w:spacing w:before="0" w:after="0" w:line="460" w:lineRule="exact"/>
              <w:textAlignment w:val="auto"/>
              <w:rPr>
                <w:rFonts w:hint="default"/>
                <w:color w:val="auto"/>
                <w:sz w:val="26"/>
                <w:szCs w:val="26"/>
                <w:lang w:val="en-US" w:eastAsia="zh-CN"/>
              </w:rPr>
            </w:pPr>
            <w:r>
              <w:rPr>
                <w:rFonts w:hint="eastAsia"/>
                <w:color w:val="auto"/>
                <w:sz w:val="26"/>
                <w:szCs w:val="26"/>
                <w:lang w:val="en-US" w:eastAsia="zh-CN"/>
              </w:rPr>
              <w:t>本项目租赁厂房高度为16m（由于楼顶设有3.6m高的围栏，则楼总高19.6m），根据《玻璃工业大气污染物排放标准》（DB50/1546-2023），排气筒高度不低于15m。本项目废气排放口基本情况详见下表。</w:t>
            </w:r>
          </w:p>
          <w:p w14:paraId="150CBD1D">
            <w:pPr>
              <w:pStyle w:val="12"/>
              <w:numPr>
                <w:ilvl w:val="0"/>
                <w:numId w:val="0"/>
              </w:numPr>
              <w:ind w:leftChars="200"/>
              <w:rPr>
                <w:rFonts w:hint="eastAsia"/>
                <w:color w:val="auto"/>
                <w:lang w:val="en-US" w:eastAsia="zh-CN"/>
              </w:rPr>
            </w:pPr>
          </w:p>
          <w:p w14:paraId="46F459DB">
            <w:pPr>
              <w:autoSpaceDE w:val="0"/>
              <w:autoSpaceDN w:val="0"/>
              <w:adjustRightInd w:val="0"/>
              <w:spacing w:line="460" w:lineRule="exact"/>
              <w:ind w:firstLine="520" w:firstLineChars="200"/>
              <w:jc w:val="left"/>
              <w:rPr>
                <w:rFonts w:ascii="Times New Roman" w:hAnsi="Times New Roman" w:cs="Times New Roman"/>
                <w:bCs/>
                <w:color w:val="auto"/>
                <w:sz w:val="26"/>
                <w:szCs w:val="26"/>
              </w:rPr>
            </w:pPr>
            <w:r>
              <w:rPr>
                <w:rFonts w:ascii="Times New Roman" w:hAnsi="Times New Roman" w:cs="Times New Roman"/>
                <w:bCs/>
                <w:color w:val="auto"/>
                <w:sz w:val="26"/>
                <w:szCs w:val="26"/>
              </w:rPr>
              <w:t>表4.2</w:t>
            </w:r>
            <w:r>
              <w:rPr>
                <w:rFonts w:hint="eastAsia" w:ascii="Times New Roman" w:hAnsi="Times New Roman" w:cs="Times New Roman"/>
                <w:bCs/>
                <w:color w:val="auto"/>
                <w:sz w:val="26"/>
                <w:szCs w:val="26"/>
              </w:rPr>
              <w:t>-</w:t>
            </w:r>
            <w:r>
              <w:rPr>
                <w:rFonts w:hint="eastAsia" w:ascii="Times New Roman" w:hAnsi="Times New Roman" w:cs="Times New Roman"/>
                <w:bCs/>
                <w:color w:val="auto"/>
                <w:sz w:val="26"/>
                <w:szCs w:val="26"/>
                <w:lang w:val="en-US" w:eastAsia="zh-CN"/>
              </w:rPr>
              <w:t>2</w:t>
            </w:r>
            <w:r>
              <w:rPr>
                <w:rFonts w:ascii="Times New Roman" w:hAnsi="Times New Roman" w:cs="Times New Roman"/>
                <w:bCs/>
                <w:color w:val="auto"/>
                <w:sz w:val="26"/>
                <w:szCs w:val="26"/>
              </w:rPr>
              <w:t xml:space="preserve"> </w:t>
            </w:r>
            <w:r>
              <w:rPr>
                <w:rFonts w:hint="eastAsia" w:ascii="Times New Roman" w:hAnsi="Times New Roman" w:cs="Times New Roman"/>
                <w:bCs/>
                <w:color w:val="auto"/>
                <w:sz w:val="26"/>
                <w:szCs w:val="26"/>
              </w:rPr>
              <w:t xml:space="preserve">      </w:t>
            </w:r>
            <w:r>
              <w:rPr>
                <w:rFonts w:ascii="Times New Roman" w:hAnsi="Times New Roman" w:cs="Times New Roman"/>
                <w:bCs/>
                <w:color w:val="auto"/>
                <w:sz w:val="26"/>
                <w:szCs w:val="26"/>
              </w:rPr>
              <w:t>废气排放口基本情况一览表</w:t>
            </w:r>
          </w:p>
          <w:tbl>
            <w:tblPr>
              <w:tblStyle w:val="17"/>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1383"/>
              <w:gridCol w:w="1142"/>
              <w:gridCol w:w="1044"/>
              <w:gridCol w:w="854"/>
              <w:gridCol w:w="669"/>
              <w:gridCol w:w="783"/>
              <w:gridCol w:w="687"/>
            </w:tblGrid>
            <w:tr w14:paraId="443D4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82" w:type="dxa"/>
                  <w:vMerge w:val="restart"/>
                  <w:tcBorders>
                    <w:top w:val="single" w:color="auto" w:sz="4" w:space="0"/>
                    <w:left w:val="single" w:color="auto" w:sz="4" w:space="0"/>
                    <w:right w:val="single" w:color="auto" w:sz="4" w:space="0"/>
                  </w:tcBorders>
                  <w:noWrap w:val="0"/>
                  <w:vAlign w:val="center"/>
                </w:tcPr>
                <w:p w14:paraId="47ED59B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2"/>
                      <w:szCs w:val="22"/>
                    </w:rPr>
                  </w:pPr>
                  <w:r>
                    <w:rPr>
                      <w:color w:val="auto"/>
                      <w:sz w:val="22"/>
                      <w:szCs w:val="22"/>
                    </w:rPr>
                    <w:t>排放口编号</w:t>
                  </w:r>
                </w:p>
              </w:tc>
              <w:tc>
                <w:tcPr>
                  <w:tcW w:w="1451" w:type="dxa"/>
                  <w:vMerge w:val="restart"/>
                  <w:tcBorders>
                    <w:top w:val="single" w:color="auto" w:sz="4" w:space="0"/>
                    <w:left w:val="single" w:color="auto" w:sz="4" w:space="0"/>
                    <w:right w:val="single" w:color="auto" w:sz="4" w:space="0"/>
                  </w:tcBorders>
                  <w:noWrap w:val="0"/>
                  <w:vAlign w:val="center"/>
                </w:tcPr>
                <w:p w14:paraId="63368DB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2"/>
                      <w:szCs w:val="22"/>
                    </w:rPr>
                  </w:pPr>
                  <w:r>
                    <w:rPr>
                      <w:color w:val="auto"/>
                      <w:sz w:val="22"/>
                      <w:szCs w:val="22"/>
                    </w:rPr>
                    <w:t>排放口</w:t>
                  </w:r>
                </w:p>
                <w:p w14:paraId="0499F43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2"/>
                      <w:szCs w:val="22"/>
                    </w:rPr>
                  </w:pPr>
                  <w:r>
                    <w:rPr>
                      <w:color w:val="auto"/>
                      <w:sz w:val="22"/>
                      <w:szCs w:val="22"/>
                    </w:rPr>
                    <w:t>名称</w:t>
                  </w:r>
                </w:p>
              </w:tc>
              <w:tc>
                <w:tcPr>
                  <w:tcW w:w="2288" w:type="dxa"/>
                  <w:gridSpan w:val="2"/>
                  <w:tcBorders>
                    <w:top w:val="single" w:color="auto" w:sz="4" w:space="0"/>
                    <w:left w:val="single" w:color="auto" w:sz="4" w:space="0"/>
                    <w:bottom w:val="single" w:color="auto" w:sz="4" w:space="0"/>
                    <w:right w:val="single" w:color="auto" w:sz="4" w:space="0"/>
                  </w:tcBorders>
                  <w:noWrap w:val="0"/>
                  <w:vAlign w:val="center"/>
                </w:tcPr>
                <w:p w14:paraId="3177BA9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2"/>
                      <w:szCs w:val="22"/>
                    </w:rPr>
                  </w:pPr>
                  <w:r>
                    <w:rPr>
                      <w:color w:val="auto"/>
                      <w:sz w:val="22"/>
                      <w:szCs w:val="22"/>
                    </w:rPr>
                    <w:t>排放口地理坐标</w:t>
                  </w:r>
                </w:p>
              </w:tc>
              <w:tc>
                <w:tcPr>
                  <w:tcW w:w="891" w:type="dxa"/>
                  <w:vMerge w:val="restart"/>
                  <w:tcBorders>
                    <w:top w:val="single" w:color="auto" w:sz="4" w:space="0"/>
                    <w:left w:val="single" w:color="auto" w:sz="4" w:space="0"/>
                    <w:right w:val="single" w:color="auto" w:sz="4" w:space="0"/>
                  </w:tcBorders>
                  <w:noWrap w:val="0"/>
                  <w:vAlign w:val="center"/>
                </w:tcPr>
                <w:p w14:paraId="128EE2A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2"/>
                      <w:szCs w:val="22"/>
                    </w:rPr>
                  </w:pPr>
                  <w:r>
                    <w:rPr>
                      <w:color w:val="auto"/>
                      <w:sz w:val="22"/>
                      <w:szCs w:val="22"/>
                    </w:rPr>
                    <w:t>排放口类型</w:t>
                  </w:r>
                </w:p>
              </w:tc>
              <w:tc>
                <w:tcPr>
                  <w:tcW w:w="695" w:type="dxa"/>
                  <w:vMerge w:val="restart"/>
                  <w:tcBorders>
                    <w:top w:val="single" w:color="auto" w:sz="4" w:space="0"/>
                    <w:left w:val="single" w:color="auto" w:sz="4" w:space="0"/>
                    <w:right w:val="single" w:color="auto" w:sz="4" w:space="0"/>
                  </w:tcBorders>
                  <w:noWrap w:val="0"/>
                  <w:vAlign w:val="center"/>
                </w:tcPr>
                <w:p w14:paraId="31F7547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2"/>
                      <w:szCs w:val="22"/>
                    </w:rPr>
                  </w:pPr>
                  <w:r>
                    <w:rPr>
                      <w:color w:val="auto"/>
                      <w:sz w:val="22"/>
                      <w:szCs w:val="22"/>
                    </w:rPr>
                    <w:t>排气筒高度</w:t>
                  </w:r>
                  <w:r>
                    <w:rPr>
                      <w:rFonts w:hint="eastAsia"/>
                      <w:color w:val="auto"/>
                      <w:sz w:val="22"/>
                      <w:szCs w:val="22"/>
                      <w:lang w:eastAsia="zh-CN"/>
                    </w:rPr>
                    <w:t>（</w:t>
                  </w:r>
                  <w:r>
                    <w:rPr>
                      <w:color w:val="auto"/>
                      <w:sz w:val="22"/>
                      <w:szCs w:val="22"/>
                    </w:rPr>
                    <w:t>m</w:t>
                  </w:r>
                  <w:r>
                    <w:rPr>
                      <w:rFonts w:hint="eastAsia"/>
                      <w:color w:val="auto"/>
                      <w:sz w:val="22"/>
                      <w:szCs w:val="22"/>
                      <w:lang w:eastAsia="zh-CN"/>
                    </w:rPr>
                    <w:t>）</w:t>
                  </w:r>
                </w:p>
              </w:tc>
              <w:tc>
                <w:tcPr>
                  <w:tcW w:w="816" w:type="dxa"/>
                  <w:vMerge w:val="restart"/>
                  <w:tcBorders>
                    <w:top w:val="single" w:color="auto" w:sz="4" w:space="0"/>
                    <w:left w:val="single" w:color="auto" w:sz="4" w:space="0"/>
                    <w:right w:val="single" w:color="auto" w:sz="4" w:space="0"/>
                  </w:tcBorders>
                  <w:noWrap w:val="0"/>
                  <w:vAlign w:val="center"/>
                </w:tcPr>
                <w:p w14:paraId="5869840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2"/>
                      <w:szCs w:val="22"/>
                    </w:rPr>
                  </w:pPr>
                  <w:r>
                    <w:rPr>
                      <w:color w:val="auto"/>
                      <w:sz w:val="22"/>
                      <w:szCs w:val="22"/>
                    </w:rPr>
                    <w:t>排气筒出口内径</w:t>
                  </w:r>
                  <w:r>
                    <w:rPr>
                      <w:rFonts w:hint="eastAsia"/>
                      <w:color w:val="auto"/>
                      <w:sz w:val="22"/>
                      <w:szCs w:val="22"/>
                      <w:lang w:eastAsia="zh-CN"/>
                    </w:rPr>
                    <w:t>（</w:t>
                  </w:r>
                  <w:r>
                    <w:rPr>
                      <w:color w:val="auto"/>
                      <w:sz w:val="22"/>
                      <w:szCs w:val="22"/>
                    </w:rPr>
                    <w:t>m</w:t>
                  </w:r>
                  <w:r>
                    <w:rPr>
                      <w:rFonts w:hint="eastAsia"/>
                      <w:color w:val="auto"/>
                      <w:sz w:val="22"/>
                      <w:szCs w:val="22"/>
                      <w:lang w:eastAsia="zh-CN"/>
                    </w:rPr>
                    <w:t>）</w:t>
                  </w:r>
                </w:p>
              </w:tc>
              <w:tc>
                <w:tcPr>
                  <w:tcW w:w="713" w:type="dxa"/>
                  <w:vMerge w:val="restart"/>
                  <w:tcBorders>
                    <w:top w:val="single" w:color="auto" w:sz="4" w:space="0"/>
                    <w:left w:val="single" w:color="auto" w:sz="4" w:space="0"/>
                    <w:right w:val="single" w:color="auto" w:sz="4" w:space="0"/>
                  </w:tcBorders>
                  <w:noWrap w:val="0"/>
                  <w:vAlign w:val="center"/>
                </w:tcPr>
                <w:p w14:paraId="3422066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2"/>
                      <w:szCs w:val="22"/>
                    </w:rPr>
                  </w:pPr>
                  <w:r>
                    <w:rPr>
                      <w:color w:val="auto"/>
                      <w:sz w:val="22"/>
                      <w:szCs w:val="22"/>
                    </w:rPr>
                    <w:t>排气温度</w:t>
                  </w:r>
                  <w:r>
                    <w:rPr>
                      <w:rFonts w:hint="eastAsia"/>
                      <w:color w:val="auto"/>
                      <w:sz w:val="22"/>
                      <w:szCs w:val="22"/>
                      <w:lang w:eastAsia="zh-CN"/>
                    </w:rPr>
                    <w:t>（</w:t>
                  </w:r>
                  <w:r>
                    <w:rPr>
                      <w:color w:val="auto"/>
                      <w:sz w:val="22"/>
                      <w:szCs w:val="22"/>
                    </w:rPr>
                    <w:t>℃</w:t>
                  </w:r>
                  <w:r>
                    <w:rPr>
                      <w:rFonts w:hint="eastAsia"/>
                      <w:color w:val="auto"/>
                      <w:sz w:val="22"/>
                      <w:szCs w:val="22"/>
                      <w:lang w:eastAsia="zh-CN"/>
                    </w:rPr>
                    <w:t>）</w:t>
                  </w:r>
                </w:p>
              </w:tc>
            </w:tr>
            <w:tr w14:paraId="133F7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82" w:type="dxa"/>
                  <w:vMerge w:val="continue"/>
                  <w:tcBorders>
                    <w:left w:val="single" w:color="auto" w:sz="4" w:space="0"/>
                    <w:bottom w:val="single" w:color="auto" w:sz="4" w:space="0"/>
                    <w:right w:val="single" w:color="auto" w:sz="4" w:space="0"/>
                  </w:tcBorders>
                  <w:noWrap w:val="0"/>
                  <w:vAlign w:val="center"/>
                </w:tcPr>
                <w:p w14:paraId="6A1134A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2"/>
                      <w:szCs w:val="22"/>
                    </w:rPr>
                  </w:pPr>
                </w:p>
              </w:tc>
              <w:tc>
                <w:tcPr>
                  <w:tcW w:w="1451" w:type="dxa"/>
                  <w:vMerge w:val="continue"/>
                  <w:tcBorders>
                    <w:left w:val="single" w:color="auto" w:sz="4" w:space="0"/>
                    <w:bottom w:val="single" w:color="auto" w:sz="4" w:space="0"/>
                    <w:right w:val="single" w:color="auto" w:sz="4" w:space="0"/>
                  </w:tcBorders>
                  <w:noWrap w:val="0"/>
                  <w:vAlign w:val="center"/>
                </w:tcPr>
                <w:p w14:paraId="0357E8B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2"/>
                      <w:szCs w:val="22"/>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5E971B5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2"/>
                      <w:szCs w:val="22"/>
                    </w:rPr>
                  </w:pPr>
                  <w:r>
                    <w:rPr>
                      <w:color w:val="auto"/>
                      <w:sz w:val="22"/>
                      <w:szCs w:val="22"/>
                    </w:rPr>
                    <w:t>经度</w:t>
                  </w:r>
                </w:p>
              </w:tc>
              <w:tc>
                <w:tcPr>
                  <w:tcW w:w="1092" w:type="dxa"/>
                  <w:tcBorders>
                    <w:top w:val="single" w:color="auto" w:sz="4" w:space="0"/>
                    <w:left w:val="single" w:color="auto" w:sz="4" w:space="0"/>
                    <w:bottom w:val="single" w:color="auto" w:sz="4" w:space="0"/>
                    <w:right w:val="single" w:color="auto" w:sz="4" w:space="0"/>
                  </w:tcBorders>
                  <w:noWrap w:val="0"/>
                  <w:vAlign w:val="center"/>
                </w:tcPr>
                <w:p w14:paraId="1FC925D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2"/>
                      <w:szCs w:val="22"/>
                    </w:rPr>
                  </w:pPr>
                  <w:r>
                    <w:rPr>
                      <w:rFonts w:hint="eastAsia"/>
                      <w:color w:val="auto"/>
                      <w:sz w:val="22"/>
                      <w:szCs w:val="22"/>
                    </w:rPr>
                    <w:t>纬度</w:t>
                  </w:r>
                </w:p>
              </w:tc>
              <w:tc>
                <w:tcPr>
                  <w:tcW w:w="891" w:type="dxa"/>
                  <w:vMerge w:val="continue"/>
                  <w:tcBorders>
                    <w:left w:val="single" w:color="auto" w:sz="4" w:space="0"/>
                    <w:bottom w:val="single" w:color="auto" w:sz="4" w:space="0"/>
                    <w:right w:val="single" w:color="auto" w:sz="4" w:space="0"/>
                  </w:tcBorders>
                  <w:noWrap w:val="0"/>
                  <w:vAlign w:val="center"/>
                </w:tcPr>
                <w:p w14:paraId="18C9BCD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2"/>
                      <w:szCs w:val="22"/>
                    </w:rPr>
                  </w:pPr>
                </w:p>
              </w:tc>
              <w:tc>
                <w:tcPr>
                  <w:tcW w:w="695" w:type="dxa"/>
                  <w:vMerge w:val="continue"/>
                  <w:tcBorders>
                    <w:left w:val="single" w:color="auto" w:sz="4" w:space="0"/>
                    <w:bottom w:val="single" w:color="auto" w:sz="4" w:space="0"/>
                    <w:right w:val="single" w:color="auto" w:sz="4" w:space="0"/>
                  </w:tcBorders>
                  <w:noWrap w:val="0"/>
                  <w:vAlign w:val="center"/>
                </w:tcPr>
                <w:p w14:paraId="2B52DCC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2"/>
                      <w:szCs w:val="22"/>
                    </w:rPr>
                  </w:pPr>
                </w:p>
              </w:tc>
              <w:tc>
                <w:tcPr>
                  <w:tcW w:w="816" w:type="dxa"/>
                  <w:vMerge w:val="continue"/>
                  <w:tcBorders>
                    <w:left w:val="single" w:color="auto" w:sz="4" w:space="0"/>
                    <w:bottom w:val="single" w:color="auto" w:sz="4" w:space="0"/>
                    <w:right w:val="single" w:color="auto" w:sz="4" w:space="0"/>
                  </w:tcBorders>
                  <w:noWrap w:val="0"/>
                  <w:vAlign w:val="center"/>
                </w:tcPr>
                <w:p w14:paraId="57CDEB8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2"/>
                      <w:szCs w:val="22"/>
                    </w:rPr>
                  </w:pPr>
                </w:p>
              </w:tc>
              <w:tc>
                <w:tcPr>
                  <w:tcW w:w="713" w:type="dxa"/>
                  <w:vMerge w:val="continue"/>
                  <w:tcBorders>
                    <w:left w:val="single" w:color="auto" w:sz="4" w:space="0"/>
                    <w:bottom w:val="single" w:color="auto" w:sz="4" w:space="0"/>
                    <w:right w:val="single" w:color="auto" w:sz="4" w:space="0"/>
                  </w:tcBorders>
                  <w:noWrap w:val="0"/>
                  <w:vAlign w:val="center"/>
                </w:tcPr>
                <w:p w14:paraId="26A1827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2"/>
                      <w:szCs w:val="22"/>
                    </w:rPr>
                  </w:pPr>
                </w:p>
              </w:tc>
            </w:tr>
            <w:tr w14:paraId="31748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82" w:type="dxa"/>
                  <w:tcBorders>
                    <w:top w:val="single" w:color="auto" w:sz="4" w:space="0"/>
                    <w:left w:val="single" w:color="auto" w:sz="4" w:space="0"/>
                    <w:bottom w:val="single" w:color="auto" w:sz="4" w:space="0"/>
                    <w:right w:val="single" w:color="auto" w:sz="4" w:space="0"/>
                  </w:tcBorders>
                  <w:noWrap w:val="0"/>
                  <w:vAlign w:val="center"/>
                </w:tcPr>
                <w:p w14:paraId="379C988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2"/>
                      <w:szCs w:val="22"/>
                    </w:rPr>
                  </w:pPr>
                  <w:r>
                    <w:rPr>
                      <w:rFonts w:hint="eastAsia"/>
                      <w:color w:val="auto"/>
                      <w:sz w:val="22"/>
                      <w:szCs w:val="22"/>
                    </w:rPr>
                    <w:t>DA00</w:t>
                  </w:r>
                  <w:r>
                    <w:rPr>
                      <w:rFonts w:hint="eastAsia"/>
                      <w:color w:val="auto"/>
                      <w:sz w:val="22"/>
                      <w:szCs w:val="22"/>
                      <w:lang w:val="en-US" w:eastAsia="zh-CN"/>
                    </w:rPr>
                    <w:t>1</w:t>
                  </w:r>
                </w:p>
              </w:tc>
              <w:tc>
                <w:tcPr>
                  <w:tcW w:w="1451" w:type="dxa"/>
                  <w:tcBorders>
                    <w:top w:val="single" w:color="auto" w:sz="4" w:space="0"/>
                    <w:left w:val="single" w:color="auto" w:sz="4" w:space="0"/>
                    <w:bottom w:val="single" w:color="auto" w:sz="4" w:space="0"/>
                    <w:right w:val="single" w:color="auto" w:sz="4" w:space="0"/>
                  </w:tcBorders>
                  <w:noWrap w:val="0"/>
                  <w:vAlign w:val="center"/>
                </w:tcPr>
                <w:p w14:paraId="6FC1562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2"/>
                      <w:szCs w:val="22"/>
                    </w:rPr>
                  </w:pPr>
                  <w:r>
                    <w:rPr>
                      <w:rFonts w:hint="eastAsia"/>
                      <w:color w:val="auto"/>
                      <w:sz w:val="22"/>
                      <w:szCs w:val="22"/>
                    </w:rPr>
                    <w:t>工艺废气排气筒</w:t>
                  </w:r>
                </w:p>
              </w:tc>
              <w:tc>
                <w:tcPr>
                  <w:tcW w:w="1196" w:type="dxa"/>
                  <w:tcBorders>
                    <w:top w:val="single" w:color="auto" w:sz="4" w:space="0"/>
                    <w:left w:val="single" w:color="auto" w:sz="4" w:space="0"/>
                    <w:bottom w:val="single" w:color="auto" w:sz="4" w:space="0"/>
                    <w:right w:val="single" w:color="auto" w:sz="4" w:space="0"/>
                  </w:tcBorders>
                  <w:noWrap w:val="0"/>
                  <w:vAlign w:val="center"/>
                </w:tcPr>
                <w:p w14:paraId="6812550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2"/>
                      <w:szCs w:val="22"/>
                    </w:rPr>
                  </w:pPr>
                  <w:r>
                    <w:rPr>
                      <w:rFonts w:hint="eastAsia"/>
                      <w:color w:val="auto"/>
                      <w:sz w:val="22"/>
                      <w:szCs w:val="22"/>
                    </w:rPr>
                    <w:t>106.395955674</w:t>
                  </w:r>
                </w:p>
              </w:tc>
              <w:tc>
                <w:tcPr>
                  <w:tcW w:w="1092" w:type="dxa"/>
                  <w:tcBorders>
                    <w:top w:val="single" w:color="auto" w:sz="4" w:space="0"/>
                    <w:left w:val="single" w:color="auto" w:sz="4" w:space="0"/>
                    <w:bottom w:val="single" w:color="auto" w:sz="4" w:space="0"/>
                    <w:right w:val="single" w:color="auto" w:sz="4" w:space="0"/>
                  </w:tcBorders>
                  <w:noWrap w:val="0"/>
                  <w:vAlign w:val="center"/>
                </w:tcPr>
                <w:p w14:paraId="6F7DA87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2"/>
                      <w:szCs w:val="22"/>
                    </w:rPr>
                  </w:pPr>
                  <w:r>
                    <w:rPr>
                      <w:rFonts w:hint="eastAsia"/>
                      <w:color w:val="auto"/>
                      <w:sz w:val="22"/>
                      <w:szCs w:val="22"/>
                    </w:rPr>
                    <w:t>29.997849770</w:t>
                  </w:r>
                </w:p>
              </w:tc>
              <w:tc>
                <w:tcPr>
                  <w:tcW w:w="891" w:type="dxa"/>
                  <w:tcBorders>
                    <w:top w:val="single" w:color="auto" w:sz="4" w:space="0"/>
                    <w:left w:val="single" w:color="auto" w:sz="4" w:space="0"/>
                    <w:bottom w:val="single" w:color="auto" w:sz="4" w:space="0"/>
                    <w:right w:val="single" w:color="auto" w:sz="4" w:space="0"/>
                  </w:tcBorders>
                  <w:noWrap w:val="0"/>
                  <w:vAlign w:val="center"/>
                </w:tcPr>
                <w:p w14:paraId="2432EE3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2"/>
                      <w:szCs w:val="22"/>
                    </w:rPr>
                  </w:pPr>
                  <w:r>
                    <w:rPr>
                      <w:rFonts w:hint="eastAsia"/>
                      <w:color w:val="auto"/>
                      <w:sz w:val="22"/>
                      <w:szCs w:val="22"/>
                    </w:rPr>
                    <w:t>一般排放口</w:t>
                  </w:r>
                </w:p>
              </w:tc>
              <w:tc>
                <w:tcPr>
                  <w:tcW w:w="695" w:type="dxa"/>
                  <w:tcBorders>
                    <w:top w:val="single" w:color="auto" w:sz="4" w:space="0"/>
                    <w:left w:val="single" w:color="auto" w:sz="4" w:space="0"/>
                    <w:bottom w:val="single" w:color="auto" w:sz="4" w:space="0"/>
                    <w:right w:val="single" w:color="auto" w:sz="4" w:space="0"/>
                  </w:tcBorders>
                  <w:noWrap w:val="0"/>
                  <w:vAlign w:val="center"/>
                </w:tcPr>
                <w:p w14:paraId="6F6437C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color w:val="auto"/>
                      <w:sz w:val="22"/>
                      <w:szCs w:val="22"/>
                      <w:lang w:val="en-US" w:eastAsia="zh-CN"/>
                    </w:rPr>
                  </w:pPr>
                  <w:r>
                    <w:rPr>
                      <w:rFonts w:hint="eastAsia"/>
                      <w:color w:val="auto"/>
                      <w:sz w:val="22"/>
                      <w:szCs w:val="22"/>
                      <w:lang w:val="en-US" w:eastAsia="zh-CN"/>
                    </w:rPr>
                    <w:t>20</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130E075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color w:val="auto"/>
                      <w:sz w:val="22"/>
                      <w:szCs w:val="22"/>
                      <w:lang w:val="en-US" w:eastAsia="zh-CN"/>
                    </w:rPr>
                  </w:pPr>
                  <w:r>
                    <w:rPr>
                      <w:rFonts w:hint="eastAsia"/>
                      <w:color w:val="auto"/>
                      <w:sz w:val="22"/>
                      <w:szCs w:val="22"/>
                      <w:lang w:val="en-US" w:eastAsia="zh-CN"/>
                    </w:rPr>
                    <w:t>0.8</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3B97A0A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2"/>
                      <w:szCs w:val="22"/>
                    </w:rPr>
                  </w:pPr>
                  <w:r>
                    <w:rPr>
                      <w:rFonts w:hint="eastAsia"/>
                      <w:color w:val="auto"/>
                      <w:sz w:val="22"/>
                      <w:szCs w:val="22"/>
                    </w:rPr>
                    <w:t>25</w:t>
                  </w:r>
                </w:p>
              </w:tc>
            </w:tr>
          </w:tbl>
          <w:p w14:paraId="75463925">
            <w:pPr>
              <w:pStyle w:val="12"/>
              <w:numPr>
                <w:ilvl w:val="0"/>
                <w:numId w:val="0"/>
              </w:numPr>
              <w:ind w:leftChars="200"/>
              <w:rPr>
                <w:rFonts w:hint="default"/>
                <w:color w:val="auto"/>
                <w:lang w:val="en-US" w:eastAsia="zh-CN"/>
              </w:rPr>
            </w:pPr>
          </w:p>
          <w:p w14:paraId="5946A1DD">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textAlignment w:val="auto"/>
              <w:rPr>
                <w:rFonts w:hint="eastAsia"/>
                <w:b/>
                <w:bCs/>
                <w:color w:val="auto"/>
                <w:sz w:val="26"/>
                <w:szCs w:val="26"/>
                <w:lang w:val="en-US" w:eastAsia="zh-CN"/>
              </w:rPr>
            </w:pPr>
            <w:r>
              <w:rPr>
                <w:rFonts w:hint="eastAsia"/>
                <w:b/>
                <w:bCs/>
                <w:color w:val="auto"/>
                <w:sz w:val="26"/>
                <w:szCs w:val="26"/>
                <w:lang w:val="en-US" w:eastAsia="zh-CN"/>
              </w:rPr>
              <w:t>4.2.1.3排放标准</w:t>
            </w:r>
          </w:p>
          <w:p w14:paraId="784836E9">
            <w:pPr>
              <w:autoSpaceDE w:val="0"/>
              <w:autoSpaceDN w:val="0"/>
              <w:adjustRightInd w:val="0"/>
              <w:spacing w:line="460" w:lineRule="exact"/>
              <w:ind w:firstLine="520" w:firstLineChars="200"/>
              <w:jc w:val="left"/>
              <w:rPr>
                <w:rFonts w:hint="eastAsia" w:ascii="Times New Roman" w:hAnsi="Times New Roman" w:cs="Times New Roman"/>
                <w:bCs/>
                <w:color w:val="auto"/>
                <w:sz w:val="26"/>
                <w:szCs w:val="26"/>
              </w:rPr>
            </w:pPr>
            <w:r>
              <w:rPr>
                <w:rFonts w:ascii="Times New Roman" w:hAnsi="Times New Roman" w:cs="Times New Roman"/>
                <w:bCs/>
                <w:color w:val="auto"/>
                <w:sz w:val="26"/>
                <w:szCs w:val="26"/>
              </w:rPr>
              <w:t>本项目废气污染物排放执行标准</w:t>
            </w:r>
            <w:r>
              <w:rPr>
                <w:rFonts w:hint="eastAsia" w:ascii="Times New Roman" w:hAnsi="Times New Roman" w:cs="Times New Roman"/>
                <w:bCs/>
                <w:color w:val="auto"/>
                <w:sz w:val="26"/>
                <w:szCs w:val="26"/>
              </w:rPr>
              <w:t>详见下表。</w:t>
            </w:r>
          </w:p>
          <w:p w14:paraId="4E551E1B">
            <w:pPr>
              <w:autoSpaceDE w:val="0"/>
              <w:autoSpaceDN w:val="0"/>
              <w:adjustRightInd w:val="0"/>
              <w:ind w:firstLine="520" w:firstLineChars="200"/>
              <w:jc w:val="left"/>
              <w:rPr>
                <w:rFonts w:ascii="Times New Roman" w:hAnsi="Times New Roman" w:cs="Times New Roman"/>
                <w:bCs/>
                <w:color w:val="auto"/>
                <w:sz w:val="26"/>
                <w:szCs w:val="26"/>
              </w:rPr>
            </w:pPr>
          </w:p>
          <w:p w14:paraId="37FE2DF9">
            <w:pPr>
              <w:autoSpaceDE w:val="0"/>
              <w:autoSpaceDN w:val="0"/>
              <w:adjustRightInd w:val="0"/>
              <w:spacing w:line="460" w:lineRule="exact"/>
              <w:ind w:firstLine="520" w:firstLineChars="200"/>
              <w:jc w:val="left"/>
              <w:rPr>
                <w:rFonts w:ascii="Times New Roman" w:hAnsi="Times New Roman" w:cs="Times New Roman"/>
                <w:bCs/>
                <w:color w:val="auto"/>
                <w:sz w:val="26"/>
                <w:szCs w:val="26"/>
              </w:rPr>
            </w:pPr>
            <w:r>
              <w:rPr>
                <w:rFonts w:ascii="Times New Roman" w:hAnsi="Times New Roman" w:cs="Times New Roman"/>
                <w:bCs/>
                <w:color w:val="auto"/>
                <w:sz w:val="26"/>
                <w:szCs w:val="26"/>
              </w:rPr>
              <w:t>表4.2-</w:t>
            </w:r>
            <w:r>
              <w:rPr>
                <w:rFonts w:hint="eastAsia" w:ascii="Times New Roman" w:hAnsi="Times New Roman" w:cs="Times New Roman"/>
                <w:bCs/>
                <w:color w:val="auto"/>
                <w:sz w:val="26"/>
                <w:szCs w:val="26"/>
                <w:lang w:val="en-US" w:eastAsia="zh-CN"/>
              </w:rPr>
              <w:t>3</w:t>
            </w:r>
            <w:r>
              <w:rPr>
                <w:rFonts w:hint="eastAsia" w:ascii="Times New Roman" w:hAnsi="Times New Roman" w:cs="Times New Roman"/>
                <w:bCs/>
                <w:color w:val="auto"/>
                <w:sz w:val="26"/>
                <w:szCs w:val="26"/>
              </w:rPr>
              <w:t xml:space="preserve">       </w:t>
            </w:r>
            <w:r>
              <w:rPr>
                <w:rFonts w:ascii="Times New Roman" w:hAnsi="Times New Roman" w:cs="Times New Roman"/>
                <w:bCs/>
                <w:color w:val="auto"/>
                <w:sz w:val="26"/>
                <w:szCs w:val="26"/>
              </w:rPr>
              <w:t>废气污染物排放执行标准一览表</w:t>
            </w:r>
          </w:p>
          <w:tbl>
            <w:tblPr>
              <w:tblStyle w:val="17"/>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813"/>
              <w:gridCol w:w="649"/>
              <w:gridCol w:w="1345"/>
              <w:gridCol w:w="630"/>
              <w:gridCol w:w="579"/>
              <w:gridCol w:w="716"/>
              <w:gridCol w:w="814"/>
              <w:gridCol w:w="820"/>
              <w:gridCol w:w="676"/>
            </w:tblGrid>
            <w:tr w14:paraId="05783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5" w:type="dxa"/>
                  <w:vMerge w:val="restart"/>
                  <w:tcBorders>
                    <w:top w:val="single" w:color="auto" w:sz="4" w:space="0"/>
                    <w:left w:val="single" w:color="auto" w:sz="4" w:space="0"/>
                    <w:right w:val="single" w:color="auto" w:sz="4" w:space="0"/>
                  </w:tcBorders>
                  <w:noWrap w:val="0"/>
                  <w:vAlign w:val="center"/>
                </w:tcPr>
                <w:p w14:paraId="4F379AE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z w:val="22"/>
                      <w:szCs w:val="22"/>
                    </w:rPr>
                  </w:pPr>
                  <w:r>
                    <w:rPr>
                      <w:color w:val="auto"/>
                      <w:sz w:val="22"/>
                      <w:szCs w:val="22"/>
                    </w:rPr>
                    <w:t>排放口编号</w:t>
                  </w:r>
                </w:p>
              </w:tc>
              <w:tc>
                <w:tcPr>
                  <w:tcW w:w="813" w:type="dxa"/>
                  <w:vMerge w:val="restart"/>
                  <w:tcBorders>
                    <w:top w:val="single" w:color="auto" w:sz="4" w:space="0"/>
                    <w:left w:val="single" w:color="auto" w:sz="4" w:space="0"/>
                    <w:right w:val="single" w:color="auto" w:sz="4" w:space="0"/>
                  </w:tcBorders>
                  <w:noWrap w:val="0"/>
                  <w:vAlign w:val="center"/>
                </w:tcPr>
                <w:p w14:paraId="7111683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z w:val="22"/>
                      <w:szCs w:val="22"/>
                    </w:rPr>
                  </w:pPr>
                  <w:r>
                    <w:rPr>
                      <w:color w:val="auto"/>
                      <w:sz w:val="22"/>
                      <w:szCs w:val="22"/>
                    </w:rPr>
                    <w:t>排放口名称</w:t>
                  </w:r>
                </w:p>
              </w:tc>
              <w:tc>
                <w:tcPr>
                  <w:tcW w:w="649" w:type="dxa"/>
                  <w:vMerge w:val="restart"/>
                  <w:tcBorders>
                    <w:top w:val="single" w:color="auto" w:sz="4" w:space="0"/>
                    <w:left w:val="single" w:color="auto" w:sz="4" w:space="0"/>
                    <w:right w:val="single" w:color="auto" w:sz="4" w:space="0"/>
                  </w:tcBorders>
                  <w:noWrap w:val="0"/>
                  <w:vAlign w:val="center"/>
                </w:tcPr>
                <w:p w14:paraId="7659BF2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z w:val="22"/>
                      <w:szCs w:val="22"/>
                    </w:rPr>
                  </w:pPr>
                  <w:r>
                    <w:rPr>
                      <w:color w:val="auto"/>
                      <w:sz w:val="22"/>
                      <w:szCs w:val="22"/>
                    </w:rPr>
                    <w:t>污染物种类</w:t>
                  </w:r>
                </w:p>
              </w:tc>
              <w:tc>
                <w:tcPr>
                  <w:tcW w:w="3270" w:type="dxa"/>
                  <w:gridSpan w:val="4"/>
                  <w:tcBorders>
                    <w:top w:val="single" w:color="auto" w:sz="4" w:space="0"/>
                    <w:left w:val="single" w:color="auto" w:sz="4" w:space="0"/>
                    <w:right w:val="single" w:color="auto" w:sz="4" w:space="0"/>
                  </w:tcBorders>
                  <w:noWrap w:val="0"/>
                  <w:vAlign w:val="center"/>
                </w:tcPr>
                <w:p w14:paraId="406BF0D7">
                  <w:pPr>
                    <w:keepNext w:val="0"/>
                    <w:keepLines w:val="0"/>
                    <w:pageBreakBefore w:val="0"/>
                    <w:widowControl w:val="0"/>
                    <w:kinsoku/>
                    <w:wordWrap/>
                    <w:overflowPunct/>
                    <w:topLinePunct w:val="0"/>
                    <w:bidi w:val="0"/>
                    <w:spacing w:line="240" w:lineRule="auto"/>
                    <w:ind w:firstLine="0" w:firstLineChars="0"/>
                    <w:jc w:val="center"/>
                    <w:textAlignment w:val="auto"/>
                    <w:rPr>
                      <w:color w:val="auto"/>
                      <w:sz w:val="22"/>
                      <w:szCs w:val="22"/>
                    </w:rPr>
                  </w:pPr>
                  <w:r>
                    <w:rPr>
                      <w:color w:val="auto"/>
                      <w:sz w:val="22"/>
                      <w:szCs w:val="22"/>
                    </w:rPr>
                    <w:t>国家或地方污染物排放标准</w:t>
                  </w:r>
                </w:p>
              </w:tc>
              <w:tc>
                <w:tcPr>
                  <w:tcW w:w="2310" w:type="dxa"/>
                  <w:gridSpan w:val="3"/>
                  <w:tcBorders>
                    <w:top w:val="single" w:color="auto" w:sz="4" w:space="0"/>
                    <w:left w:val="single" w:color="auto" w:sz="4" w:space="0"/>
                    <w:right w:val="single" w:color="auto" w:sz="4" w:space="0"/>
                  </w:tcBorders>
                  <w:noWrap w:val="0"/>
                  <w:vAlign w:val="center"/>
                </w:tcPr>
                <w:p w14:paraId="48F645F4">
                  <w:pPr>
                    <w:keepNext w:val="0"/>
                    <w:keepLines w:val="0"/>
                    <w:pageBreakBefore w:val="0"/>
                    <w:widowControl w:val="0"/>
                    <w:kinsoku/>
                    <w:wordWrap/>
                    <w:overflowPunct/>
                    <w:topLinePunct w:val="0"/>
                    <w:bidi w:val="0"/>
                    <w:spacing w:line="240" w:lineRule="auto"/>
                    <w:ind w:firstLine="0" w:firstLineChars="0"/>
                    <w:jc w:val="center"/>
                    <w:textAlignment w:val="auto"/>
                    <w:rPr>
                      <w:color w:val="auto"/>
                      <w:sz w:val="22"/>
                      <w:szCs w:val="22"/>
                    </w:rPr>
                  </w:pPr>
                  <w:r>
                    <w:rPr>
                      <w:color w:val="auto"/>
                      <w:sz w:val="22"/>
                      <w:szCs w:val="22"/>
                    </w:rPr>
                    <w:t>本项目排放</w:t>
                  </w:r>
                </w:p>
              </w:tc>
            </w:tr>
            <w:tr w14:paraId="29367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5" w:type="dxa"/>
                  <w:vMerge w:val="continue"/>
                  <w:tcBorders>
                    <w:left w:val="single" w:color="auto" w:sz="4" w:space="0"/>
                    <w:bottom w:val="single" w:color="auto" w:sz="4" w:space="0"/>
                    <w:right w:val="single" w:color="auto" w:sz="4" w:space="0"/>
                  </w:tcBorders>
                  <w:noWrap w:val="0"/>
                  <w:vAlign w:val="center"/>
                </w:tcPr>
                <w:p w14:paraId="4E264C1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z w:val="22"/>
                      <w:szCs w:val="22"/>
                    </w:rPr>
                  </w:pPr>
                </w:p>
              </w:tc>
              <w:tc>
                <w:tcPr>
                  <w:tcW w:w="813" w:type="dxa"/>
                  <w:vMerge w:val="continue"/>
                  <w:tcBorders>
                    <w:left w:val="single" w:color="auto" w:sz="4" w:space="0"/>
                    <w:bottom w:val="single" w:color="auto" w:sz="4" w:space="0"/>
                    <w:right w:val="single" w:color="auto" w:sz="4" w:space="0"/>
                  </w:tcBorders>
                  <w:noWrap w:val="0"/>
                  <w:vAlign w:val="center"/>
                </w:tcPr>
                <w:p w14:paraId="7C53D3A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z w:val="22"/>
                      <w:szCs w:val="22"/>
                    </w:rPr>
                  </w:pPr>
                </w:p>
              </w:tc>
              <w:tc>
                <w:tcPr>
                  <w:tcW w:w="649" w:type="dxa"/>
                  <w:vMerge w:val="continue"/>
                  <w:tcBorders>
                    <w:left w:val="single" w:color="auto" w:sz="4" w:space="0"/>
                    <w:bottom w:val="single" w:color="auto" w:sz="4" w:space="0"/>
                    <w:right w:val="single" w:color="auto" w:sz="4" w:space="0"/>
                  </w:tcBorders>
                  <w:noWrap w:val="0"/>
                  <w:vAlign w:val="center"/>
                </w:tcPr>
                <w:p w14:paraId="78BCDB3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z w:val="22"/>
                      <w:szCs w:val="22"/>
                    </w:rPr>
                  </w:pPr>
                </w:p>
              </w:tc>
              <w:tc>
                <w:tcPr>
                  <w:tcW w:w="1345" w:type="dxa"/>
                  <w:tcBorders>
                    <w:left w:val="single" w:color="auto" w:sz="4" w:space="0"/>
                    <w:bottom w:val="single" w:color="auto" w:sz="4" w:space="0"/>
                    <w:right w:val="single" w:color="auto" w:sz="4" w:space="0"/>
                  </w:tcBorders>
                  <w:noWrap w:val="0"/>
                  <w:vAlign w:val="center"/>
                </w:tcPr>
                <w:p w14:paraId="5404E7A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z w:val="22"/>
                      <w:szCs w:val="22"/>
                    </w:rPr>
                  </w:pPr>
                  <w:r>
                    <w:rPr>
                      <w:color w:val="auto"/>
                      <w:sz w:val="22"/>
                      <w:szCs w:val="22"/>
                    </w:rPr>
                    <w:t>排放标准及标准号</w:t>
                  </w:r>
                </w:p>
              </w:tc>
              <w:tc>
                <w:tcPr>
                  <w:tcW w:w="630" w:type="dxa"/>
                  <w:tcBorders>
                    <w:left w:val="single" w:color="auto" w:sz="4" w:space="0"/>
                    <w:bottom w:val="single" w:color="auto" w:sz="4" w:space="0"/>
                    <w:right w:val="single" w:color="auto" w:sz="4" w:space="0"/>
                  </w:tcBorders>
                  <w:noWrap w:val="0"/>
                  <w:vAlign w:val="center"/>
                </w:tcPr>
                <w:p w14:paraId="15D1D59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z w:val="22"/>
                      <w:szCs w:val="22"/>
                    </w:rPr>
                  </w:pPr>
                  <w:r>
                    <w:rPr>
                      <w:color w:val="auto"/>
                      <w:sz w:val="22"/>
                      <w:szCs w:val="22"/>
                    </w:rPr>
                    <w:t>速率限值kg/h</w:t>
                  </w:r>
                </w:p>
              </w:tc>
              <w:tc>
                <w:tcPr>
                  <w:tcW w:w="579" w:type="dxa"/>
                  <w:tcBorders>
                    <w:left w:val="single" w:color="auto" w:sz="4" w:space="0"/>
                    <w:bottom w:val="single" w:color="auto" w:sz="4" w:space="0"/>
                    <w:right w:val="single" w:color="auto" w:sz="4" w:space="0"/>
                  </w:tcBorders>
                  <w:noWrap w:val="0"/>
                  <w:vAlign w:val="center"/>
                </w:tcPr>
                <w:p w14:paraId="41BF455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z w:val="22"/>
                      <w:szCs w:val="22"/>
                    </w:rPr>
                  </w:pPr>
                  <w:r>
                    <w:rPr>
                      <w:color w:val="auto"/>
                      <w:sz w:val="22"/>
                      <w:szCs w:val="22"/>
                    </w:rPr>
                    <w:t>浓度限值mg/m</w:t>
                  </w:r>
                  <w:r>
                    <w:rPr>
                      <w:color w:val="auto"/>
                      <w:sz w:val="22"/>
                      <w:szCs w:val="22"/>
                      <w:vertAlign w:val="superscript"/>
                    </w:rPr>
                    <w:t>3</w:t>
                  </w:r>
                </w:p>
              </w:tc>
              <w:tc>
                <w:tcPr>
                  <w:tcW w:w="716" w:type="dxa"/>
                  <w:tcBorders>
                    <w:left w:val="single" w:color="auto" w:sz="4" w:space="0"/>
                    <w:bottom w:val="single" w:color="auto" w:sz="4" w:space="0"/>
                    <w:right w:val="single" w:color="auto" w:sz="4" w:space="0"/>
                  </w:tcBorders>
                  <w:noWrap w:val="0"/>
                  <w:vAlign w:val="center"/>
                </w:tcPr>
                <w:p w14:paraId="1AB2E2D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z w:val="22"/>
                      <w:szCs w:val="22"/>
                    </w:rPr>
                  </w:pPr>
                  <w:r>
                    <w:rPr>
                      <w:color w:val="auto"/>
                      <w:sz w:val="22"/>
                      <w:szCs w:val="22"/>
                    </w:rPr>
                    <w:t>无组织排放浓度限值mg/m</w:t>
                  </w:r>
                  <w:r>
                    <w:rPr>
                      <w:color w:val="auto"/>
                      <w:sz w:val="22"/>
                      <w:szCs w:val="22"/>
                      <w:vertAlign w:val="superscript"/>
                    </w:rPr>
                    <w:t>3</w:t>
                  </w:r>
                </w:p>
              </w:tc>
              <w:tc>
                <w:tcPr>
                  <w:tcW w:w="814" w:type="dxa"/>
                  <w:tcBorders>
                    <w:left w:val="single" w:color="auto" w:sz="4" w:space="0"/>
                    <w:bottom w:val="single" w:color="auto" w:sz="4" w:space="0"/>
                    <w:right w:val="single" w:color="auto" w:sz="4" w:space="0"/>
                  </w:tcBorders>
                  <w:noWrap w:val="0"/>
                  <w:vAlign w:val="center"/>
                </w:tcPr>
                <w:p w14:paraId="0EE47C3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z w:val="22"/>
                      <w:szCs w:val="22"/>
                    </w:rPr>
                  </w:pPr>
                  <w:r>
                    <w:rPr>
                      <w:color w:val="auto"/>
                      <w:sz w:val="22"/>
                      <w:szCs w:val="22"/>
                    </w:rPr>
                    <w:t>速率kg/h</w:t>
                  </w:r>
                </w:p>
              </w:tc>
              <w:tc>
                <w:tcPr>
                  <w:tcW w:w="820" w:type="dxa"/>
                  <w:tcBorders>
                    <w:left w:val="single" w:color="auto" w:sz="4" w:space="0"/>
                    <w:bottom w:val="single" w:color="auto" w:sz="4" w:space="0"/>
                    <w:right w:val="single" w:color="auto" w:sz="4" w:space="0"/>
                  </w:tcBorders>
                  <w:noWrap w:val="0"/>
                  <w:vAlign w:val="center"/>
                </w:tcPr>
                <w:p w14:paraId="16DBC15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z w:val="22"/>
                      <w:szCs w:val="22"/>
                    </w:rPr>
                  </w:pPr>
                  <w:r>
                    <w:rPr>
                      <w:color w:val="auto"/>
                      <w:sz w:val="22"/>
                      <w:szCs w:val="22"/>
                    </w:rPr>
                    <w:t>浓度mg/m</w:t>
                  </w:r>
                  <w:r>
                    <w:rPr>
                      <w:color w:val="auto"/>
                      <w:sz w:val="22"/>
                      <w:szCs w:val="22"/>
                      <w:vertAlign w:val="superscript"/>
                    </w:rPr>
                    <w:t>3</w:t>
                  </w:r>
                </w:p>
              </w:tc>
              <w:tc>
                <w:tcPr>
                  <w:tcW w:w="676" w:type="dxa"/>
                  <w:tcBorders>
                    <w:left w:val="single" w:color="auto" w:sz="4" w:space="0"/>
                    <w:bottom w:val="single" w:color="auto" w:sz="4" w:space="0"/>
                    <w:right w:val="single" w:color="auto" w:sz="4" w:space="0"/>
                  </w:tcBorders>
                  <w:noWrap w:val="0"/>
                  <w:vAlign w:val="center"/>
                </w:tcPr>
                <w:p w14:paraId="069683B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z w:val="22"/>
                      <w:szCs w:val="22"/>
                    </w:rPr>
                  </w:pPr>
                  <w:r>
                    <w:rPr>
                      <w:rFonts w:hint="eastAsia"/>
                      <w:color w:val="auto"/>
                      <w:sz w:val="22"/>
                      <w:szCs w:val="22"/>
                    </w:rPr>
                    <w:t>排放量t/a</w:t>
                  </w:r>
                </w:p>
              </w:tc>
            </w:tr>
            <w:tr w14:paraId="517AB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5" w:type="dxa"/>
                  <w:tcBorders>
                    <w:top w:val="single" w:color="auto" w:sz="4" w:space="0"/>
                    <w:left w:val="single" w:color="auto" w:sz="4" w:space="0"/>
                    <w:right w:val="single" w:color="auto" w:sz="4" w:space="0"/>
                  </w:tcBorders>
                  <w:noWrap w:val="0"/>
                  <w:vAlign w:val="center"/>
                </w:tcPr>
                <w:p w14:paraId="5FBE8B5B">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eastAsia" w:eastAsia="宋体"/>
                      <w:color w:val="auto"/>
                      <w:sz w:val="22"/>
                      <w:szCs w:val="22"/>
                      <w:lang w:eastAsia="zh-CN"/>
                    </w:rPr>
                  </w:pPr>
                  <w:r>
                    <w:rPr>
                      <w:rFonts w:hint="eastAsia"/>
                      <w:color w:val="auto"/>
                      <w:sz w:val="22"/>
                      <w:szCs w:val="22"/>
                    </w:rPr>
                    <w:t>DA00</w:t>
                  </w:r>
                  <w:r>
                    <w:rPr>
                      <w:rFonts w:hint="eastAsia"/>
                      <w:color w:val="auto"/>
                      <w:sz w:val="22"/>
                      <w:szCs w:val="22"/>
                      <w:lang w:val="en-US" w:eastAsia="zh-CN"/>
                    </w:rPr>
                    <w:t>1</w:t>
                  </w:r>
                </w:p>
              </w:tc>
              <w:tc>
                <w:tcPr>
                  <w:tcW w:w="813" w:type="dxa"/>
                  <w:tcBorders>
                    <w:top w:val="single" w:color="auto" w:sz="4" w:space="0"/>
                    <w:left w:val="single" w:color="auto" w:sz="4" w:space="0"/>
                    <w:right w:val="single" w:color="auto" w:sz="4" w:space="0"/>
                  </w:tcBorders>
                  <w:noWrap w:val="0"/>
                  <w:vAlign w:val="center"/>
                </w:tcPr>
                <w:p w14:paraId="2F313171">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color w:val="auto"/>
                      <w:sz w:val="22"/>
                      <w:szCs w:val="22"/>
                    </w:rPr>
                  </w:pPr>
                  <w:r>
                    <w:rPr>
                      <w:rFonts w:hint="eastAsia"/>
                      <w:color w:val="auto"/>
                      <w:sz w:val="22"/>
                      <w:szCs w:val="22"/>
                    </w:rPr>
                    <w:t>工艺废气排气筒</w:t>
                  </w:r>
                </w:p>
              </w:tc>
              <w:tc>
                <w:tcPr>
                  <w:tcW w:w="649" w:type="dxa"/>
                  <w:tcBorders>
                    <w:top w:val="single" w:color="auto" w:sz="4" w:space="0"/>
                    <w:left w:val="single" w:color="auto" w:sz="4" w:space="0"/>
                    <w:right w:val="single" w:color="auto" w:sz="4" w:space="0"/>
                  </w:tcBorders>
                  <w:noWrap w:val="0"/>
                  <w:vAlign w:val="center"/>
                </w:tcPr>
                <w:p w14:paraId="0AC5D8B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eastAsia="宋体"/>
                      <w:color w:val="auto"/>
                      <w:sz w:val="22"/>
                      <w:szCs w:val="22"/>
                      <w:lang w:val="en-US" w:eastAsia="zh-CN"/>
                    </w:rPr>
                  </w:pPr>
                  <w:r>
                    <w:rPr>
                      <w:rFonts w:hint="eastAsia"/>
                      <w:color w:val="auto"/>
                      <w:sz w:val="22"/>
                      <w:szCs w:val="22"/>
                      <w:lang w:val="en-US" w:eastAsia="zh-CN"/>
                    </w:rPr>
                    <w:t>颗粒物</w:t>
                  </w:r>
                </w:p>
              </w:tc>
              <w:tc>
                <w:tcPr>
                  <w:tcW w:w="1345" w:type="dxa"/>
                  <w:tcBorders>
                    <w:top w:val="single" w:color="auto" w:sz="4" w:space="0"/>
                    <w:left w:val="single" w:color="auto" w:sz="4" w:space="0"/>
                    <w:right w:val="single" w:color="auto" w:sz="4" w:space="0"/>
                  </w:tcBorders>
                  <w:noWrap w:val="0"/>
                  <w:vAlign w:val="center"/>
                </w:tcPr>
                <w:p w14:paraId="0252705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z w:val="22"/>
                      <w:szCs w:val="22"/>
                    </w:rPr>
                  </w:pPr>
                  <w:r>
                    <w:rPr>
                      <w:rFonts w:hint="eastAsia"/>
                      <w:color w:val="auto"/>
                      <w:sz w:val="22"/>
                      <w:szCs w:val="22"/>
                    </w:rPr>
                    <w:t>《玻璃工业大气污染物排放标准》（DB50/1546-2023）</w:t>
                  </w:r>
                </w:p>
              </w:tc>
              <w:tc>
                <w:tcPr>
                  <w:tcW w:w="630" w:type="dxa"/>
                  <w:tcBorders>
                    <w:top w:val="single" w:color="auto" w:sz="4" w:space="0"/>
                    <w:left w:val="single" w:color="auto" w:sz="4" w:space="0"/>
                    <w:right w:val="single" w:color="auto" w:sz="4" w:space="0"/>
                  </w:tcBorders>
                  <w:noWrap w:val="0"/>
                  <w:vAlign w:val="center"/>
                </w:tcPr>
                <w:p w14:paraId="394B5C3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eastAsia="宋体"/>
                      <w:color w:val="auto"/>
                      <w:sz w:val="22"/>
                      <w:szCs w:val="22"/>
                      <w:lang w:val="en-US" w:eastAsia="zh-CN"/>
                    </w:rPr>
                  </w:pPr>
                  <w:r>
                    <w:rPr>
                      <w:rFonts w:hint="eastAsia"/>
                      <w:color w:val="auto"/>
                      <w:sz w:val="22"/>
                      <w:szCs w:val="22"/>
                      <w:lang w:val="en-US" w:eastAsia="zh-CN"/>
                    </w:rPr>
                    <w:t>/</w:t>
                  </w:r>
                </w:p>
              </w:tc>
              <w:tc>
                <w:tcPr>
                  <w:tcW w:w="579" w:type="dxa"/>
                  <w:tcBorders>
                    <w:top w:val="single" w:color="auto" w:sz="4" w:space="0"/>
                    <w:left w:val="single" w:color="auto" w:sz="4" w:space="0"/>
                    <w:right w:val="single" w:color="auto" w:sz="4" w:space="0"/>
                  </w:tcBorders>
                  <w:noWrap w:val="0"/>
                  <w:vAlign w:val="center"/>
                </w:tcPr>
                <w:p w14:paraId="028A33B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olor w:val="auto"/>
                      <w:sz w:val="22"/>
                      <w:szCs w:val="22"/>
                      <w:lang w:val="en-US" w:eastAsia="zh-CN"/>
                    </w:rPr>
                  </w:pPr>
                  <w:r>
                    <w:rPr>
                      <w:rFonts w:hint="eastAsia"/>
                      <w:color w:val="auto"/>
                      <w:sz w:val="22"/>
                      <w:szCs w:val="22"/>
                      <w:lang w:val="en-US" w:eastAsia="zh-CN"/>
                    </w:rPr>
                    <w:t>20</w:t>
                  </w:r>
                </w:p>
              </w:tc>
              <w:tc>
                <w:tcPr>
                  <w:tcW w:w="716" w:type="dxa"/>
                  <w:tcBorders>
                    <w:top w:val="single" w:color="auto" w:sz="4" w:space="0"/>
                    <w:left w:val="single" w:color="auto" w:sz="4" w:space="0"/>
                    <w:right w:val="single" w:color="auto" w:sz="4" w:space="0"/>
                  </w:tcBorders>
                  <w:noWrap w:val="0"/>
                  <w:vAlign w:val="center"/>
                </w:tcPr>
                <w:p w14:paraId="1699DCB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olor w:val="auto"/>
                      <w:sz w:val="22"/>
                      <w:szCs w:val="22"/>
                      <w:lang w:val="en-US" w:eastAsia="zh-CN"/>
                    </w:rPr>
                  </w:pPr>
                  <w:r>
                    <w:rPr>
                      <w:rFonts w:hint="eastAsia"/>
                      <w:color w:val="auto"/>
                      <w:sz w:val="22"/>
                      <w:szCs w:val="22"/>
                      <w:lang w:val="en-US" w:eastAsia="zh-CN"/>
                    </w:rPr>
                    <w:t>1</w:t>
                  </w:r>
                </w:p>
              </w:tc>
              <w:tc>
                <w:tcPr>
                  <w:tcW w:w="814" w:type="dxa"/>
                  <w:tcBorders>
                    <w:top w:val="single" w:color="auto" w:sz="4" w:space="0"/>
                    <w:left w:val="single" w:color="auto" w:sz="4" w:space="0"/>
                    <w:bottom w:val="single" w:color="auto" w:sz="4" w:space="0"/>
                    <w:right w:val="single" w:color="auto" w:sz="4" w:space="0"/>
                  </w:tcBorders>
                  <w:noWrap w:val="0"/>
                  <w:vAlign w:val="center"/>
                </w:tcPr>
                <w:p w14:paraId="04E7003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olor w:val="auto"/>
                      <w:sz w:val="22"/>
                      <w:szCs w:val="22"/>
                      <w:lang w:val="en-US" w:eastAsia="zh-CN"/>
                    </w:rPr>
                  </w:pPr>
                  <w:r>
                    <w:rPr>
                      <w:rFonts w:hint="eastAsia"/>
                      <w:color w:val="auto"/>
                      <w:sz w:val="22"/>
                      <w:szCs w:val="22"/>
                      <w:lang w:val="en-US" w:eastAsia="zh-CN"/>
                    </w:rPr>
                    <w:t>0.07</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0CB84BD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olor w:val="auto"/>
                      <w:sz w:val="22"/>
                      <w:szCs w:val="22"/>
                      <w:lang w:val="en-US" w:eastAsia="zh-CN"/>
                    </w:rPr>
                  </w:pPr>
                  <w:r>
                    <w:rPr>
                      <w:rFonts w:hint="eastAsia"/>
                      <w:color w:val="auto"/>
                      <w:sz w:val="22"/>
                      <w:szCs w:val="22"/>
                      <w:lang w:val="en-US" w:eastAsia="zh-CN"/>
                    </w:rPr>
                    <w:t>2.35</w:t>
                  </w:r>
                </w:p>
              </w:tc>
              <w:tc>
                <w:tcPr>
                  <w:tcW w:w="676" w:type="dxa"/>
                  <w:tcBorders>
                    <w:top w:val="single" w:color="auto" w:sz="4" w:space="0"/>
                    <w:left w:val="single" w:color="auto" w:sz="4" w:space="0"/>
                    <w:bottom w:val="single" w:color="auto" w:sz="4" w:space="0"/>
                    <w:right w:val="single" w:color="auto" w:sz="4" w:space="0"/>
                  </w:tcBorders>
                  <w:noWrap w:val="0"/>
                  <w:vAlign w:val="center"/>
                </w:tcPr>
                <w:p w14:paraId="51F9A75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olor w:val="auto"/>
                      <w:sz w:val="22"/>
                      <w:szCs w:val="22"/>
                      <w:lang w:val="en-US" w:eastAsia="zh-CN"/>
                    </w:rPr>
                  </w:pPr>
                  <w:r>
                    <w:rPr>
                      <w:rFonts w:hint="eastAsia"/>
                      <w:color w:val="auto"/>
                      <w:sz w:val="22"/>
                      <w:szCs w:val="22"/>
                      <w:lang w:val="en-US" w:eastAsia="zh-CN"/>
                    </w:rPr>
                    <w:t>0.17</w:t>
                  </w:r>
                </w:p>
              </w:tc>
            </w:tr>
          </w:tbl>
          <w:p w14:paraId="7495CB99">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textAlignment w:val="auto"/>
              <w:rPr>
                <w:rFonts w:hint="default"/>
                <w:color w:val="auto"/>
                <w:sz w:val="26"/>
                <w:szCs w:val="26"/>
                <w:lang w:val="en-US" w:eastAsia="zh-CN"/>
              </w:rPr>
            </w:pPr>
          </w:p>
          <w:p w14:paraId="5D571864">
            <w:pPr>
              <w:keepNext w:val="0"/>
              <w:keepLines w:val="0"/>
              <w:pageBreakBefore w:val="0"/>
              <w:widowControl w:val="0"/>
              <w:kinsoku/>
              <w:wordWrap/>
              <w:overflowPunct/>
              <w:topLinePunct w:val="0"/>
              <w:autoSpaceDE w:val="0"/>
              <w:autoSpaceDN w:val="0"/>
              <w:bidi w:val="0"/>
              <w:adjustRightInd w:val="0"/>
              <w:spacing w:line="460" w:lineRule="exact"/>
              <w:ind w:left="0" w:leftChars="0" w:firstLine="0" w:firstLineChars="0"/>
              <w:jc w:val="both"/>
              <w:textAlignment w:val="auto"/>
              <w:rPr>
                <w:rFonts w:ascii="Times New Roman" w:hAnsi="Times New Roman" w:cs="Times New Roman"/>
                <w:b/>
                <w:bCs/>
                <w:color w:val="auto"/>
                <w:kern w:val="0"/>
                <w:sz w:val="26"/>
                <w:szCs w:val="26"/>
              </w:rPr>
            </w:pPr>
            <w:r>
              <w:rPr>
                <w:rFonts w:hint="eastAsia" w:ascii="Times New Roman" w:hAnsi="Times New Roman" w:cs="Times New Roman"/>
                <w:b/>
                <w:bCs/>
                <w:color w:val="auto"/>
                <w:kern w:val="0"/>
                <w:sz w:val="26"/>
                <w:szCs w:val="26"/>
              </w:rPr>
              <w:t>4.2.1.4</w:t>
            </w:r>
            <w:r>
              <w:rPr>
                <w:rFonts w:ascii="Times New Roman" w:hAnsi="Times New Roman" w:cs="Times New Roman"/>
                <w:b/>
                <w:bCs/>
                <w:color w:val="auto"/>
                <w:kern w:val="0"/>
                <w:sz w:val="26"/>
                <w:szCs w:val="26"/>
              </w:rPr>
              <w:t>废气治理措施及可行性分析</w:t>
            </w:r>
          </w:p>
          <w:p w14:paraId="4CE0ADA4">
            <w:pPr>
              <w:keepNext w:val="0"/>
              <w:keepLines w:val="0"/>
              <w:pageBreakBefore w:val="0"/>
              <w:widowControl w:val="0"/>
              <w:kinsoku/>
              <w:wordWrap/>
              <w:overflowPunct/>
              <w:topLinePunct w:val="0"/>
              <w:autoSpaceDE w:val="0"/>
              <w:autoSpaceDN w:val="0"/>
              <w:bidi w:val="0"/>
              <w:adjustRightInd w:val="0"/>
              <w:spacing w:line="460" w:lineRule="exact"/>
              <w:ind w:left="0" w:firstLine="520" w:firstLineChars="200"/>
              <w:jc w:val="both"/>
              <w:textAlignment w:val="auto"/>
              <w:rPr>
                <w:rFonts w:hint="default" w:ascii="Times New Roman" w:hAnsi="Times New Roman" w:cs="Times New Roman"/>
                <w:bCs/>
                <w:color w:val="auto"/>
                <w:sz w:val="26"/>
                <w:szCs w:val="26"/>
                <w:lang w:val="en-US"/>
              </w:rPr>
            </w:pPr>
            <w:r>
              <w:rPr>
                <w:rFonts w:hint="eastAsia" w:ascii="Times New Roman" w:hAnsi="Times New Roman" w:cs="Times New Roman"/>
                <w:bCs/>
                <w:color w:val="auto"/>
                <w:sz w:val="26"/>
                <w:szCs w:val="26"/>
              </w:rPr>
              <w:t>本项目工艺废气为</w:t>
            </w:r>
            <w:r>
              <w:rPr>
                <w:rFonts w:hint="eastAsia" w:ascii="Times New Roman" w:hAnsi="Times New Roman" w:cs="Times New Roman"/>
                <w:bCs/>
                <w:color w:val="auto"/>
                <w:sz w:val="26"/>
                <w:szCs w:val="26"/>
                <w:lang w:val="en-US" w:eastAsia="zh-CN"/>
              </w:rPr>
              <w:t>开包、开松、铺网、切边收卷、裁切、膨化等工序中产生的，主要污染物为颗粒物。</w:t>
            </w:r>
          </w:p>
          <w:p w14:paraId="3E73E088">
            <w:pPr>
              <w:keepNext w:val="0"/>
              <w:keepLines w:val="0"/>
              <w:pageBreakBefore w:val="0"/>
              <w:widowControl w:val="0"/>
              <w:kinsoku/>
              <w:wordWrap/>
              <w:overflowPunct/>
              <w:topLinePunct w:val="0"/>
              <w:autoSpaceDE w:val="0"/>
              <w:autoSpaceDN w:val="0"/>
              <w:bidi w:val="0"/>
              <w:adjustRightInd w:val="0"/>
              <w:spacing w:line="460" w:lineRule="exact"/>
              <w:ind w:left="0" w:firstLine="520" w:firstLineChars="200"/>
              <w:jc w:val="both"/>
              <w:textAlignment w:val="auto"/>
              <w:rPr>
                <w:rFonts w:hint="eastAsia" w:ascii="Times New Roman" w:hAnsi="Times New Roman" w:cs="Times New Roman"/>
                <w:bCs/>
                <w:color w:val="auto"/>
                <w:sz w:val="26"/>
                <w:szCs w:val="26"/>
              </w:rPr>
            </w:pPr>
            <w:r>
              <w:rPr>
                <w:rFonts w:hint="eastAsia" w:ascii="Times New Roman" w:hAnsi="Times New Roman" w:cs="Times New Roman"/>
                <w:bCs/>
                <w:color w:val="auto"/>
                <w:sz w:val="26"/>
                <w:szCs w:val="26"/>
              </w:rPr>
              <w:t>为确保有效收集废气并有组织排放同时按照排污许可证规范要求：本项目工艺废气采用</w:t>
            </w:r>
            <w:r>
              <w:rPr>
                <w:rFonts w:hint="eastAsia" w:ascii="Times New Roman" w:hAnsi="Times New Roman" w:cs="Times New Roman"/>
                <w:bCs/>
                <w:color w:val="auto"/>
                <w:sz w:val="26"/>
                <w:szCs w:val="26"/>
                <w:lang w:val="en-US" w:eastAsia="zh-CN"/>
              </w:rPr>
              <w:t>布袋除尘</w:t>
            </w:r>
            <w:r>
              <w:rPr>
                <w:rFonts w:hint="eastAsia" w:ascii="Times New Roman" w:hAnsi="Times New Roman" w:cs="Times New Roman"/>
                <w:bCs/>
                <w:color w:val="auto"/>
                <w:sz w:val="26"/>
                <w:szCs w:val="26"/>
              </w:rPr>
              <w:t>工艺</w:t>
            </w:r>
            <w:r>
              <w:rPr>
                <w:rFonts w:hint="eastAsia" w:ascii="Times New Roman"/>
                <w:color w:val="auto"/>
                <w:sz w:val="26"/>
                <w:szCs w:val="26"/>
              </w:rPr>
              <w:t>，处理后达标经</w:t>
            </w:r>
            <w:r>
              <w:rPr>
                <w:rFonts w:hint="eastAsia" w:ascii="Times New Roman"/>
                <w:color w:val="auto"/>
                <w:sz w:val="26"/>
                <w:szCs w:val="26"/>
                <w:lang w:val="en-US" w:eastAsia="zh-CN"/>
              </w:rPr>
              <w:t>20</w:t>
            </w:r>
            <w:r>
              <w:rPr>
                <w:rFonts w:hint="eastAsia" w:ascii="Times New Roman"/>
                <w:color w:val="auto"/>
                <w:sz w:val="26"/>
                <w:szCs w:val="26"/>
              </w:rPr>
              <w:t>m高的排气筒（DW00</w:t>
            </w:r>
            <w:r>
              <w:rPr>
                <w:rFonts w:hint="eastAsia" w:ascii="Times New Roman"/>
                <w:color w:val="auto"/>
                <w:sz w:val="26"/>
                <w:szCs w:val="26"/>
                <w:lang w:val="en-US" w:eastAsia="zh-CN"/>
              </w:rPr>
              <w:t>1</w:t>
            </w:r>
            <w:r>
              <w:rPr>
                <w:rFonts w:hint="eastAsia" w:ascii="Times New Roman"/>
                <w:color w:val="auto"/>
                <w:sz w:val="26"/>
                <w:szCs w:val="26"/>
              </w:rPr>
              <w:t>）达标排放</w:t>
            </w:r>
            <w:r>
              <w:rPr>
                <w:rFonts w:hint="eastAsia" w:ascii="Times New Roman" w:hAnsi="Times New Roman" w:cs="Times New Roman"/>
                <w:bCs/>
                <w:color w:val="auto"/>
                <w:sz w:val="26"/>
                <w:szCs w:val="26"/>
              </w:rPr>
              <w:t>。</w:t>
            </w:r>
          </w:p>
          <w:p w14:paraId="732224F7">
            <w:pPr>
              <w:keepNext w:val="0"/>
              <w:keepLines w:val="0"/>
              <w:pageBreakBefore w:val="0"/>
              <w:widowControl w:val="0"/>
              <w:kinsoku/>
              <w:wordWrap/>
              <w:overflowPunct/>
              <w:topLinePunct w:val="0"/>
              <w:autoSpaceDE w:val="0"/>
              <w:autoSpaceDN w:val="0"/>
              <w:bidi w:val="0"/>
              <w:adjustRightInd w:val="0"/>
              <w:spacing w:line="460" w:lineRule="exact"/>
              <w:ind w:left="0" w:firstLine="520" w:firstLineChars="200"/>
              <w:jc w:val="both"/>
              <w:textAlignment w:val="auto"/>
              <w:rPr>
                <w:rFonts w:hint="default" w:ascii="Times New Roman" w:hAnsi="Times New Roman" w:cs="Times New Roman"/>
                <w:bCs/>
                <w:color w:val="auto"/>
                <w:sz w:val="26"/>
                <w:szCs w:val="26"/>
                <w:lang w:val="en-US"/>
              </w:rPr>
            </w:pPr>
            <w:r>
              <w:rPr>
                <w:rFonts w:hint="eastAsia" w:ascii="Times New Roman" w:hAnsi="Times New Roman" w:cs="Times New Roman"/>
                <w:bCs/>
                <w:color w:val="auto"/>
                <w:sz w:val="26"/>
                <w:szCs w:val="26"/>
                <w:lang w:val="en-US" w:eastAsia="zh-CN"/>
              </w:rPr>
              <w:t>根据《排污许可证申请与核发技术规范 总则》（HJ942-2018）</w:t>
            </w:r>
            <w:r>
              <w:rPr>
                <w:rFonts w:hint="eastAsia" w:ascii="Times New Roman" w:hAnsi="Times New Roman" w:cs="Times New Roman"/>
                <w:bCs/>
                <w:color w:val="auto"/>
                <w:sz w:val="26"/>
                <w:szCs w:val="26"/>
              </w:rPr>
              <w:t>，除尘设施</w:t>
            </w:r>
            <w:r>
              <w:rPr>
                <w:rFonts w:hint="eastAsia" w:ascii="Times New Roman" w:hAnsi="Times New Roman" w:cs="Times New Roman"/>
                <w:bCs/>
                <w:color w:val="auto"/>
                <w:sz w:val="26"/>
                <w:szCs w:val="26"/>
                <w:lang w:val="en-US" w:eastAsia="zh-CN"/>
              </w:rPr>
              <w:t>包括</w:t>
            </w:r>
            <w:r>
              <w:rPr>
                <w:rFonts w:hint="eastAsia" w:ascii="Times New Roman" w:hAnsi="Times New Roman" w:cs="Times New Roman"/>
                <w:bCs/>
                <w:color w:val="auto"/>
                <w:sz w:val="26"/>
                <w:szCs w:val="26"/>
              </w:rPr>
              <w:t>袋式除尘器、电除尘器、电袋复合除尘器</w:t>
            </w:r>
            <w:r>
              <w:rPr>
                <w:rFonts w:hint="eastAsia" w:ascii="Times New Roman" w:hAnsi="Times New Roman" w:cs="Times New Roman"/>
                <w:bCs/>
                <w:color w:val="auto"/>
                <w:sz w:val="26"/>
                <w:szCs w:val="26"/>
                <w:lang w:eastAsia="zh-CN"/>
              </w:rPr>
              <w:t>。</w:t>
            </w:r>
            <w:r>
              <w:rPr>
                <w:rFonts w:hint="eastAsia" w:ascii="Times New Roman" w:hAnsi="Times New Roman" w:cs="Times New Roman"/>
                <w:bCs/>
                <w:color w:val="auto"/>
                <w:sz w:val="26"/>
                <w:szCs w:val="26"/>
                <w:lang w:val="en-US" w:eastAsia="zh-CN"/>
              </w:rPr>
              <w:t>本项目主要废气污染物为颗粒物，采用布袋除尘进行处理，收集效率为80%，处理效率</w:t>
            </w:r>
            <w:r>
              <w:rPr>
                <w:rFonts w:hint="eastAsia" w:cs="Times New Roman"/>
                <w:bCs/>
                <w:color w:val="auto"/>
                <w:sz w:val="26"/>
                <w:szCs w:val="26"/>
                <w:lang w:val="en-US" w:eastAsia="zh-CN"/>
              </w:rPr>
              <w:t>为</w:t>
            </w:r>
            <w:r>
              <w:rPr>
                <w:rFonts w:hint="eastAsia" w:ascii="Times New Roman" w:hAnsi="Times New Roman" w:cs="Times New Roman"/>
                <w:bCs/>
                <w:color w:val="auto"/>
                <w:sz w:val="26"/>
                <w:szCs w:val="26"/>
                <w:lang w:val="en-US" w:eastAsia="zh-CN"/>
              </w:rPr>
              <w:t>95%，处理后的工艺废气经20m高的DA001排气筒达标排放。</w:t>
            </w:r>
          </w:p>
          <w:p w14:paraId="3A0B75A8">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left="0" w:firstLine="520" w:firstLineChars="200"/>
              <w:jc w:val="both"/>
              <w:textAlignment w:val="auto"/>
              <w:rPr>
                <w:rFonts w:hint="default"/>
                <w:color w:val="auto"/>
                <w:sz w:val="26"/>
                <w:szCs w:val="26"/>
                <w:lang w:val="en-US" w:eastAsia="zh-CN"/>
              </w:rPr>
            </w:pPr>
            <w:r>
              <w:rPr>
                <w:rFonts w:hint="eastAsia" w:ascii="Times New Roman" w:hAnsi="Times New Roman" w:cs="Times New Roman"/>
                <w:bCs/>
                <w:color w:val="auto"/>
                <w:sz w:val="26"/>
                <w:szCs w:val="26"/>
                <w:lang w:val="en-US" w:eastAsia="zh-CN"/>
              </w:rPr>
              <w:t>因此，本项目</w:t>
            </w:r>
            <w:r>
              <w:rPr>
                <w:rFonts w:hint="eastAsia" w:ascii="Times New Roman" w:hAnsi="Times New Roman" w:cs="Times New Roman"/>
                <w:bCs/>
                <w:color w:val="auto"/>
                <w:sz w:val="26"/>
                <w:szCs w:val="26"/>
              </w:rPr>
              <w:t>采用此</w:t>
            </w:r>
            <w:r>
              <w:rPr>
                <w:rFonts w:ascii="Times New Roman" w:hAnsi="Times New Roman" w:cs="Times New Roman"/>
                <w:bCs/>
                <w:color w:val="auto"/>
                <w:sz w:val="26"/>
                <w:szCs w:val="26"/>
              </w:rPr>
              <w:t>收集方式及处理措施可行。</w:t>
            </w:r>
          </w:p>
          <w:p w14:paraId="2E2FD2D8">
            <w:pPr>
              <w:pStyle w:val="5"/>
              <w:pageBreakBefore w:val="0"/>
              <w:widowControl w:val="0"/>
              <w:kinsoku/>
              <w:wordWrap/>
              <w:overflowPunct/>
              <w:topLinePunct w:val="0"/>
              <w:autoSpaceDE/>
              <w:autoSpaceDN/>
              <w:bidi w:val="0"/>
              <w:adjustRightInd/>
              <w:snapToGrid/>
              <w:spacing w:beforeLines="0" w:afterLines="0" w:line="460" w:lineRule="exact"/>
              <w:textAlignment w:val="auto"/>
              <w:rPr>
                <w:rFonts w:hint="default"/>
                <w:b/>
                <w:bCs/>
                <w:color w:val="auto"/>
                <w:sz w:val="26"/>
                <w:szCs w:val="26"/>
                <w:lang w:val="en-US" w:eastAsia="zh-CN"/>
              </w:rPr>
            </w:pPr>
            <w:r>
              <w:rPr>
                <w:rFonts w:hint="eastAsia"/>
                <w:b/>
                <w:bCs/>
                <w:color w:val="auto"/>
                <w:sz w:val="26"/>
                <w:szCs w:val="26"/>
                <w:lang w:val="en-US" w:eastAsia="zh-CN"/>
              </w:rPr>
              <w:t>4.2.1.5监测计划</w:t>
            </w:r>
          </w:p>
          <w:p w14:paraId="458BA213">
            <w:pPr>
              <w:keepNext w:val="0"/>
              <w:keepLines w:val="0"/>
              <w:pageBreakBefore w:val="0"/>
              <w:widowControl w:val="0"/>
              <w:kinsoku/>
              <w:wordWrap/>
              <w:overflowPunct/>
              <w:topLinePunct w:val="0"/>
              <w:autoSpaceDE w:val="0"/>
              <w:autoSpaceDN w:val="0"/>
              <w:bidi w:val="0"/>
              <w:adjustRightInd w:val="0"/>
              <w:spacing w:line="460" w:lineRule="exact"/>
              <w:ind w:left="0" w:firstLine="520" w:firstLineChars="200"/>
              <w:jc w:val="both"/>
              <w:textAlignment w:val="auto"/>
              <w:rPr>
                <w:rFonts w:hint="default" w:ascii="Times New Roman" w:hAnsi="Times New Roman" w:eastAsia="宋体" w:cs="Times New Roman"/>
                <w:bCs/>
                <w:color w:val="auto"/>
                <w:sz w:val="26"/>
                <w:szCs w:val="26"/>
                <w:lang w:val="en-US" w:eastAsia="zh-CN"/>
              </w:rPr>
            </w:pPr>
            <w:r>
              <w:rPr>
                <w:rFonts w:hint="eastAsia" w:ascii="Times New Roman" w:hAnsi="Times New Roman" w:eastAsia="宋体" w:cs="Times New Roman"/>
                <w:bCs/>
                <w:color w:val="auto"/>
                <w:sz w:val="26"/>
                <w:szCs w:val="26"/>
                <w:lang w:val="en-US" w:eastAsia="zh-CN"/>
              </w:rPr>
              <w:t>参照</w:t>
            </w:r>
            <w:r>
              <w:rPr>
                <w:rFonts w:hint="default" w:ascii="Times New Roman" w:hAnsi="Times New Roman" w:eastAsia="宋体" w:cs="Times New Roman"/>
                <w:bCs/>
                <w:color w:val="auto"/>
                <w:sz w:val="26"/>
                <w:szCs w:val="26"/>
                <w:lang w:val="en-US" w:eastAsia="zh-CN"/>
              </w:rPr>
              <w:t>《排污</w:t>
            </w:r>
            <w:r>
              <w:rPr>
                <w:rFonts w:hint="eastAsia" w:ascii="Times New Roman" w:hAnsi="Times New Roman" w:eastAsia="宋体" w:cs="Times New Roman"/>
                <w:bCs/>
                <w:color w:val="auto"/>
                <w:sz w:val="26"/>
                <w:szCs w:val="26"/>
                <w:lang w:val="en-US" w:eastAsia="zh-CN"/>
              </w:rPr>
              <w:t>单位自行监测技术指南</w:t>
            </w:r>
            <w:r>
              <w:rPr>
                <w:rFonts w:hint="default" w:ascii="Times New Roman" w:hAnsi="Times New Roman" w:eastAsia="宋体" w:cs="Times New Roman"/>
                <w:bCs/>
                <w:color w:val="auto"/>
                <w:sz w:val="26"/>
                <w:szCs w:val="26"/>
                <w:lang w:val="en-US" w:eastAsia="zh-CN"/>
              </w:rPr>
              <w:t xml:space="preserve"> </w:t>
            </w:r>
            <w:r>
              <w:rPr>
                <w:rFonts w:hint="eastAsia" w:ascii="Times New Roman" w:hAnsi="Times New Roman" w:eastAsia="宋体" w:cs="Times New Roman"/>
                <w:bCs/>
                <w:color w:val="auto"/>
                <w:sz w:val="26"/>
                <w:szCs w:val="26"/>
                <w:lang w:val="en-US" w:eastAsia="zh-CN"/>
              </w:rPr>
              <w:t>总则</w:t>
            </w:r>
            <w:r>
              <w:rPr>
                <w:rFonts w:hint="default" w:ascii="Times New Roman" w:hAnsi="Times New Roman" w:eastAsia="宋体" w:cs="Times New Roman"/>
                <w:bCs/>
                <w:color w:val="auto"/>
                <w:sz w:val="26"/>
                <w:szCs w:val="26"/>
                <w:lang w:val="en-US" w:eastAsia="zh-CN"/>
              </w:rPr>
              <w:t>》</w:t>
            </w:r>
            <w:r>
              <w:rPr>
                <w:rFonts w:hint="eastAsia" w:ascii="Times New Roman" w:hAnsi="Times New Roman" w:eastAsia="宋体" w:cs="Times New Roman"/>
                <w:bCs/>
                <w:color w:val="auto"/>
                <w:sz w:val="26"/>
                <w:szCs w:val="26"/>
                <w:lang w:val="en-US" w:eastAsia="zh-CN"/>
              </w:rPr>
              <w:t>（HJ819-2017），本项目</w:t>
            </w:r>
            <w:r>
              <w:rPr>
                <w:rFonts w:hint="default" w:ascii="Times New Roman" w:hAnsi="Times New Roman" w:eastAsia="宋体" w:cs="Times New Roman"/>
                <w:bCs/>
                <w:color w:val="auto"/>
                <w:sz w:val="26"/>
                <w:szCs w:val="26"/>
                <w:lang w:val="en-US" w:eastAsia="zh-CN"/>
              </w:rPr>
              <w:t>营运期废气监测计划，详见表4.2-</w:t>
            </w:r>
            <w:r>
              <w:rPr>
                <w:rFonts w:hint="eastAsia" w:ascii="Times New Roman" w:hAnsi="Times New Roman" w:eastAsia="宋体" w:cs="Times New Roman"/>
                <w:bCs/>
                <w:color w:val="auto"/>
                <w:sz w:val="26"/>
                <w:szCs w:val="26"/>
                <w:lang w:val="en-US" w:eastAsia="zh-CN"/>
              </w:rPr>
              <w:t>4</w:t>
            </w:r>
            <w:r>
              <w:rPr>
                <w:rFonts w:hint="default" w:ascii="Times New Roman" w:hAnsi="Times New Roman" w:eastAsia="宋体" w:cs="Times New Roman"/>
                <w:bCs/>
                <w:color w:val="auto"/>
                <w:sz w:val="26"/>
                <w:szCs w:val="26"/>
                <w:lang w:val="en-US" w:eastAsia="zh-CN"/>
              </w:rPr>
              <w:t>。</w:t>
            </w:r>
          </w:p>
          <w:p w14:paraId="3E732625">
            <w:pPr>
              <w:keepNext w:val="0"/>
              <w:keepLines w:val="0"/>
              <w:pageBreakBefore w:val="0"/>
              <w:widowControl w:val="0"/>
              <w:kinsoku/>
              <w:wordWrap/>
              <w:overflowPunct/>
              <w:topLinePunct w:val="0"/>
              <w:autoSpaceDE w:val="0"/>
              <w:autoSpaceDN w:val="0"/>
              <w:bidi w:val="0"/>
              <w:adjustRightInd w:val="0"/>
              <w:spacing w:line="460" w:lineRule="exact"/>
              <w:ind w:left="0" w:firstLine="520" w:firstLineChars="200"/>
              <w:jc w:val="both"/>
              <w:textAlignment w:val="auto"/>
              <w:rPr>
                <w:rFonts w:hint="default" w:ascii="Times New Roman" w:hAnsi="Times New Roman" w:eastAsia="宋体" w:cs="Times New Roman"/>
                <w:bCs/>
                <w:color w:val="auto"/>
                <w:sz w:val="26"/>
                <w:szCs w:val="26"/>
                <w:lang w:val="en-US" w:eastAsia="zh-CN"/>
              </w:rPr>
            </w:pPr>
          </w:p>
          <w:p w14:paraId="62ED2748">
            <w:pPr>
              <w:keepNext w:val="0"/>
              <w:keepLines w:val="0"/>
              <w:pageBreakBefore w:val="0"/>
              <w:widowControl w:val="0"/>
              <w:kinsoku/>
              <w:wordWrap/>
              <w:overflowPunct/>
              <w:topLinePunct w:val="0"/>
              <w:autoSpaceDE w:val="0"/>
              <w:autoSpaceDN w:val="0"/>
              <w:bidi w:val="0"/>
              <w:adjustRightInd w:val="0"/>
              <w:spacing w:line="460" w:lineRule="exact"/>
              <w:ind w:left="0" w:firstLine="520" w:firstLineChars="200"/>
              <w:jc w:val="both"/>
              <w:textAlignment w:val="auto"/>
              <w:rPr>
                <w:rFonts w:hint="default" w:ascii="Times New Roman" w:hAnsi="Times New Roman" w:eastAsia="宋体" w:cs="Times New Roman"/>
                <w:bCs/>
                <w:color w:val="auto"/>
                <w:sz w:val="26"/>
                <w:szCs w:val="26"/>
                <w:lang w:val="en-US" w:eastAsia="zh-CN"/>
              </w:rPr>
            </w:pPr>
            <w:r>
              <w:rPr>
                <w:rFonts w:hint="default" w:ascii="Times New Roman" w:hAnsi="Times New Roman" w:eastAsia="宋体" w:cs="Times New Roman"/>
                <w:bCs/>
                <w:color w:val="auto"/>
                <w:sz w:val="26"/>
                <w:szCs w:val="26"/>
                <w:lang w:val="en-US" w:eastAsia="zh-CN"/>
              </w:rPr>
              <w:t>表4.2-</w:t>
            </w:r>
            <w:r>
              <w:rPr>
                <w:rFonts w:hint="eastAsia" w:ascii="Times New Roman" w:hAnsi="Times New Roman" w:eastAsia="宋体" w:cs="Times New Roman"/>
                <w:bCs/>
                <w:color w:val="auto"/>
                <w:sz w:val="26"/>
                <w:szCs w:val="26"/>
                <w:lang w:val="en-US" w:eastAsia="zh-CN"/>
              </w:rPr>
              <w:t>4</w:t>
            </w:r>
            <w:r>
              <w:rPr>
                <w:rFonts w:hint="default" w:ascii="Times New Roman" w:hAnsi="Times New Roman" w:eastAsia="宋体" w:cs="Times New Roman"/>
                <w:bCs/>
                <w:color w:val="auto"/>
                <w:sz w:val="26"/>
                <w:szCs w:val="26"/>
                <w:lang w:val="en-US" w:eastAsia="zh-CN"/>
              </w:rPr>
              <w:t xml:space="preserve">  </w:t>
            </w:r>
            <w:r>
              <w:rPr>
                <w:rFonts w:hint="eastAsia" w:ascii="Times New Roman" w:hAnsi="Times New Roman" w:eastAsia="宋体" w:cs="Times New Roman"/>
                <w:bCs/>
                <w:color w:val="auto"/>
                <w:sz w:val="26"/>
                <w:szCs w:val="26"/>
                <w:lang w:val="en-US" w:eastAsia="zh-CN"/>
              </w:rPr>
              <w:t xml:space="preserve">             </w:t>
            </w:r>
            <w:r>
              <w:rPr>
                <w:rFonts w:hint="default" w:ascii="Times New Roman" w:hAnsi="Times New Roman" w:eastAsia="宋体" w:cs="Times New Roman"/>
                <w:bCs/>
                <w:color w:val="auto"/>
                <w:sz w:val="26"/>
                <w:szCs w:val="26"/>
                <w:lang w:val="en-US" w:eastAsia="zh-CN"/>
              </w:rPr>
              <w:t>监测计划一览表</w:t>
            </w:r>
          </w:p>
          <w:tbl>
            <w:tblPr>
              <w:tblStyle w:val="18"/>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
              <w:gridCol w:w="1274"/>
              <w:gridCol w:w="874"/>
              <w:gridCol w:w="1417"/>
              <w:gridCol w:w="1436"/>
              <w:gridCol w:w="2200"/>
            </w:tblGrid>
            <w:tr w14:paraId="0537C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98" w:type="pct"/>
                  <w:gridSpan w:val="2"/>
                  <w:noWrap w:val="0"/>
                  <w:vAlign w:val="center"/>
                </w:tcPr>
                <w:p w14:paraId="5D60381E">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 w:val="22"/>
                      <w:szCs w:val="22"/>
                      <w:lang w:val="en-US" w:eastAsia="zh-CN"/>
                    </w:rPr>
                  </w:pPr>
                  <w:r>
                    <w:rPr>
                      <w:rFonts w:hint="default"/>
                      <w:color w:val="auto"/>
                      <w:sz w:val="22"/>
                      <w:szCs w:val="22"/>
                      <w:lang w:val="en-US" w:eastAsia="zh-CN"/>
                    </w:rPr>
                    <w:t>分类</w:t>
                  </w:r>
                </w:p>
              </w:tc>
              <w:tc>
                <w:tcPr>
                  <w:tcW w:w="575" w:type="pct"/>
                  <w:noWrap w:val="0"/>
                  <w:vAlign w:val="center"/>
                </w:tcPr>
                <w:p w14:paraId="6FAE38CC">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 w:val="22"/>
                      <w:szCs w:val="22"/>
                      <w:lang w:val="en-US" w:eastAsia="zh-CN"/>
                    </w:rPr>
                  </w:pPr>
                  <w:r>
                    <w:rPr>
                      <w:rFonts w:hint="default"/>
                      <w:color w:val="auto"/>
                      <w:sz w:val="22"/>
                      <w:szCs w:val="22"/>
                      <w:lang w:val="en-US" w:eastAsia="zh-CN"/>
                    </w:rPr>
                    <w:t>监测点位</w:t>
                  </w:r>
                </w:p>
              </w:tc>
              <w:tc>
                <w:tcPr>
                  <w:tcW w:w="932" w:type="pct"/>
                  <w:noWrap w:val="0"/>
                  <w:vAlign w:val="center"/>
                </w:tcPr>
                <w:p w14:paraId="2AAC2D0E">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 w:val="22"/>
                      <w:szCs w:val="22"/>
                      <w:lang w:val="en-US" w:eastAsia="zh-CN"/>
                    </w:rPr>
                  </w:pPr>
                  <w:r>
                    <w:rPr>
                      <w:rFonts w:hint="default"/>
                      <w:color w:val="auto"/>
                      <w:sz w:val="22"/>
                      <w:szCs w:val="22"/>
                      <w:lang w:val="en-US" w:eastAsia="zh-CN"/>
                    </w:rPr>
                    <w:t>监测项目</w:t>
                  </w:r>
                </w:p>
              </w:tc>
              <w:tc>
                <w:tcPr>
                  <w:tcW w:w="945" w:type="pct"/>
                  <w:noWrap w:val="0"/>
                  <w:vAlign w:val="center"/>
                </w:tcPr>
                <w:p w14:paraId="57B72C17">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 w:val="22"/>
                      <w:szCs w:val="22"/>
                      <w:lang w:val="en-US" w:eastAsia="zh-CN"/>
                    </w:rPr>
                  </w:pPr>
                  <w:r>
                    <w:rPr>
                      <w:rFonts w:hint="eastAsia"/>
                      <w:color w:val="auto"/>
                      <w:sz w:val="22"/>
                      <w:szCs w:val="22"/>
                      <w:lang w:val="en-US" w:eastAsia="zh-CN"/>
                    </w:rPr>
                    <w:t>验收频次</w:t>
                  </w:r>
                </w:p>
              </w:tc>
              <w:tc>
                <w:tcPr>
                  <w:tcW w:w="1448" w:type="pct"/>
                  <w:noWrap w:val="0"/>
                  <w:vAlign w:val="center"/>
                </w:tcPr>
                <w:p w14:paraId="072EF8DF">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 w:val="22"/>
                      <w:szCs w:val="22"/>
                      <w:lang w:val="en-US" w:eastAsia="zh-CN"/>
                    </w:rPr>
                  </w:pPr>
                  <w:r>
                    <w:rPr>
                      <w:rFonts w:hint="eastAsia"/>
                      <w:color w:val="auto"/>
                      <w:sz w:val="22"/>
                      <w:szCs w:val="22"/>
                      <w:lang w:val="en-US" w:eastAsia="zh-CN"/>
                    </w:rPr>
                    <w:t>自行</w:t>
                  </w:r>
                  <w:r>
                    <w:rPr>
                      <w:rFonts w:hint="default"/>
                      <w:color w:val="auto"/>
                      <w:sz w:val="22"/>
                      <w:szCs w:val="22"/>
                      <w:lang w:val="en-US" w:eastAsia="zh-CN"/>
                    </w:rPr>
                    <w:t>监测频次</w:t>
                  </w:r>
                </w:p>
              </w:tc>
            </w:tr>
            <w:tr w14:paraId="262AF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0" w:type="pct"/>
                  <w:vMerge w:val="restart"/>
                  <w:noWrap w:val="0"/>
                  <w:vAlign w:val="center"/>
                </w:tcPr>
                <w:p w14:paraId="1D2CA50D">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 w:val="22"/>
                      <w:szCs w:val="22"/>
                      <w:lang w:val="en-US" w:eastAsia="zh-CN"/>
                    </w:rPr>
                  </w:pPr>
                  <w:r>
                    <w:rPr>
                      <w:rFonts w:hint="default"/>
                      <w:color w:val="auto"/>
                      <w:sz w:val="22"/>
                      <w:szCs w:val="22"/>
                      <w:lang w:val="en-US" w:eastAsia="zh-CN"/>
                    </w:rPr>
                    <w:t>废气</w:t>
                  </w:r>
                </w:p>
              </w:tc>
              <w:tc>
                <w:tcPr>
                  <w:tcW w:w="838" w:type="pct"/>
                  <w:noWrap w:val="0"/>
                  <w:vAlign w:val="center"/>
                </w:tcPr>
                <w:p w14:paraId="44E3F991">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 w:val="22"/>
                      <w:szCs w:val="22"/>
                      <w:lang w:val="en-US" w:eastAsia="zh-CN"/>
                    </w:rPr>
                  </w:pPr>
                  <w:r>
                    <w:rPr>
                      <w:rFonts w:hint="default"/>
                      <w:color w:val="auto"/>
                      <w:sz w:val="22"/>
                      <w:szCs w:val="22"/>
                      <w:lang w:val="en-US" w:eastAsia="zh-CN"/>
                    </w:rPr>
                    <w:t>有组织</w:t>
                  </w:r>
                </w:p>
              </w:tc>
              <w:tc>
                <w:tcPr>
                  <w:tcW w:w="575" w:type="pct"/>
                  <w:noWrap w:val="0"/>
                  <w:vAlign w:val="center"/>
                </w:tcPr>
                <w:p w14:paraId="31414A51">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 w:val="22"/>
                      <w:szCs w:val="22"/>
                      <w:lang w:val="en-US" w:eastAsia="zh-CN"/>
                    </w:rPr>
                  </w:pPr>
                  <w:r>
                    <w:rPr>
                      <w:rFonts w:hint="default"/>
                      <w:color w:val="auto"/>
                      <w:sz w:val="22"/>
                      <w:szCs w:val="22"/>
                      <w:lang w:val="en-US" w:eastAsia="zh-CN"/>
                    </w:rPr>
                    <w:t>DA0</w:t>
                  </w:r>
                  <w:r>
                    <w:rPr>
                      <w:rFonts w:hint="eastAsia"/>
                      <w:color w:val="auto"/>
                      <w:sz w:val="22"/>
                      <w:szCs w:val="22"/>
                      <w:lang w:val="en-US" w:eastAsia="zh-CN"/>
                    </w:rPr>
                    <w:t>01</w:t>
                  </w:r>
                </w:p>
              </w:tc>
              <w:tc>
                <w:tcPr>
                  <w:tcW w:w="932" w:type="pct"/>
                  <w:noWrap w:val="0"/>
                  <w:vAlign w:val="center"/>
                </w:tcPr>
                <w:p w14:paraId="7CE72A57">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 w:val="22"/>
                      <w:szCs w:val="22"/>
                      <w:lang w:val="en-US" w:eastAsia="zh-CN"/>
                    </w:rPr>
                  </w:pPr>
                  <w:r>
                    <w:rPr>
                      <w:rFonts w:hint="default"/>
                      <w:color w:val="auto"/>
                      <w:sz w:val="22"/>
                      <w:szCs w:val="22"/>
                      <w:lang w:val="en-US" w:eastAsia="zh-CN"/>
                    </w:rPr>
                    <w:t>颗粒物</w:t>
                  </w:r>
                </w:p>
              </w:tc>
              <w:tc>
                <w:tcPr>
                  <w:tcW w:w="945" w:type="pct"/>
                  <w:noWrap w:val="0"/>
                  <w:vAlign w:val="center"/>
                </w:tcPr>
                <w:p w14:paraId="7D2901CC">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sz w:val="22"/>
                      <w:szCs w:val="22"/>
                      <w:highlight w:val="none"/>
                      <w:lang w:val="en-US" w:eastAsia="zh-CN"/>
                    </w:rPr>
                  </w:pPr>
                  <w:r>
                    <w:rPr>
                      <w:rFonts w:hint="eastAsia"/>
                      <w:color w:val="auto"/>
                      <w:sz w:val="22"/>
                      <w:szCs w:val="22"/>
                      <w:highlight w:val="none"/>
                      <w:lang w:val="en-US" w:eastAsia="zh-CN"/>
                    </w:rPr>
                    <w:t>一次</w:t>
                  </w:r>
                </w:p>
              </w:tc>
              <w:tc>
                <w:tcPr>
                  <w:tcW w:w="1448" w:type="pct"/>
                  <w:noWrap w:val="0"/>
                  <w:vAlign w:val="center"/>
                </w:tcPr>
                <w:p w14:paraId="2341C209">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 w:val="22"/>
                      <w:szCs w:val="22"/>
                      <w:lang w:val="en-US" w:eastAsia="zh-CN"/>
                    </w:rPr>
                  </w:pPr>
                  <w:r>
                    <w:rPr>
                      <w:rFonts w:hint="default"/>
                      <w:color w:val="auto"/>
                      <w:sz w:val="22"/>
                      <w:szCs w:val="22"/>
                      <w:lang w:val="en-US" w:eastAsia="zh-CN"/>
                    </w:rPr>
                    <w:t>每年</w:t>
                  </w:r>
                  <w:r>
                    <w:rPr>
                      <w:rFonts w:hint="eastAsia"/>
                      <w:color w:val="auto"/>
                      <w:sz w:val="22"/>
                      <w:szCs w:val="22"/>
                      <w:lang w:val="en-US" w:eastAsia="zh-CN"/>
                    </w:rPr>
                    <w:t>1</w:t>
                  </w:r>
                  <w:r>
                    <w:rPr>
                      <w:rFonts w:hint="default"/>
                      <w:color w:val="auto"/>
                      <w:sz w:val="22"/>
                      <w:szCs w:val="22"/>
                      <w:lang w:val="en-US" w:eastAsia="zh-CN"/>
                    </w:rPr>
                    <w:t>次</w:t>
                  </w:r>
                </w:p>
              </w:tc>
            </w:tr>
            <w:tr w14:paraId="1AEFD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0" w:type="pct"/>
                  <w:vMerge w:val="continue"/>
                  <w:noWrap w:val="0"/>
                  <w:vAlign w:val="center"/>
                </w:tcPr>
                <w:p w14:paraId="1990C517">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 w:val="22"/>
                      <w:szCs w:val="22"/>
                      <w:lang w:val="en-US" w:eastAsia="zh-CN"/>
                    </w:rPr>
                  </w:pPr>
                </w:p>
              </w:tc>
              <w:tc>
                <w:tcPr>
                  <w:tcW w:w="838" w:type="pct"/>
                  <w:noWrap w:val="0"/>
                  <w:vAlign w:val="center"/>
                </w:tcPr>
                <w:p w14:paraId="4AA534E4">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 w:val="22"/>
                      <w:szCs w:val="22"/>
                      <w:lang w:val="en-US" w:eastAsia="zh-CN"/>
                    </w:rPr>
                  </w:pPr>
                  <w:r>
                    <w:rPr>
                      <w:rFonts w:hint="default"/>
                      <w:color w:val="auto"/>
                      <w:sz w:val="22"/>
                      <w:szCs w:val="22"/>
                      <w:lang w:val="en-US" w:eastAsia="zh-CN"/>
                    </w:rPr>
                    <w:t>无组织</w:t>
                  </w:r>
                </w:p>
              </w:tc>
              <w:tc>
                <w:tcPr>
                  <w:tcW w:w="575" w:type="pct"/>
                  <w:noWrap w:val="0"/>
                  <w:vAlign w:val="center"/>
                </w:tcPr>
                <w:p w14:paraId="0EB710CB">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 w:val="22"/>
                      <w:szCs w:val="22"/>
                      <w:lang w:val="en-US" w:eastAsia="zh-CN"/>
                    </w:rPr>
                  </w:pPr>
                  <w:r>
                    <w:rPr>
                      <w:rFonts w:hint="eastAsia"/>
                      <w:color w:val="auto"/>
                      <w:sz w:val="22"/>
                      <w:szCs w:val="22"/>
                      <w:lang w:val="en-US" w:eastAsia="zh-CN"/>
                    </w:rPr>
                    <w:t>厂房外</w:t>
                  </w:r>
                </w:p>
              </w:tc>
              <w:tc>
                <w:tcPr>
                  <w:tcW w:w="932" w:type="pct"/>
                  <w:noWrap w:val="0"/>
                  <w:vAlign w:val="center"/>
                </w:tcPr>
                <w:p w14:paraId="61802884">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 w:val="22"/>
                      <w:szCs w:val="22"/>
                      <w:lang w:val="en-US" w:eastAsia="zh-CN"/>
                    </w:rPr>
                  </w:pPr>
                  <w:r>
                    <w:rPr>
                      <w:rFonts w:hint="eastAsia"/>
                      <w:color w:val="auto"/>
                      <w:sz w:val="22"/>
                      <w:szCs w:val="22"/>
                      <w:lang w:val="en-US" w:eastAsia="zh-CN"/>
                    </w:rPr>
                    <w:t>颗粒物</w:t>
                  </w:r>
                </w:p>
              </w:tc>
              <w:tc>
                <w:tcPr>
                  <w:tcW w:w="945" w:type="pct"/>
                  <w:noWrap w:val="0"/>
                  <w:vAlign w:val="center"/>
                </w:tcPr>
                <w:p w14:paraId="24A19390">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sz w:val="22"/>
                      <w:szCs w:val="22"/>
                      <w:highlight w:val="none"/>
                      <w:lang w:val="en-US" w:eastAsia="zh-CN"/>
                    </w:rPr>
                  </w:pPr>
                  <w:r>
                    <w:rPr>
                      <w:rFonts w:hint="eastAsia"/>
                      <w:color w:val="auto"/>
                      <w:sz w:val="22"/>
                      <w:szCs w:val="22"/>
                      <w:highlight w:val="none"/>
                      <w:lang w:val="en-US" w:eastAsia="zh-CN"/>
                    </w:rPr>
                    <w:t>一次</w:t>
                  </w:r>
                </w:p>
              </w:tc>
              <w:tc>
                <w:tcPr>
                  <w:tcW w:w="1448" w:type="pct"/>
                  <w:noWrap w:val="0"/>
                  <w:vAlign w:val="center"/>
                </w:tcPr>
                <w:p w14:paraId="52FA8314">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 w:val="22"/>
                      <w:szCs w:val="22"/>
                      <w:lang w:val="en-US" w:eastAsia="zh-CN"/>
                    </w:rPr>
                  </w:pPr>
                  <w:r>
                    <w:rPr>
                      <w:rFonts w:hint="default"/>
                      <w:color w:val="auto"/>
                      <w:sz w:val="22"/>
                      <w:szCs w:val="22"/>
                      <w:lang w:val="en-US" w:eastAsia="zh-CN"/>
                    </w:rPr>
                    <w:t>每年</w:t>
                  </w:r>
                  <w:r>
                    <w:rPr>
                      <w:rFonts w:hint="eastAsia"/>
                      <w:color w:val="auto"/>
                      <w:sz w:val="22"/>
                      <w:szCs w:val="22"/>
                      <w:lang w:val="en-US" w:eastAsia="zh-CN"/>
                    </w:rPr>
                    <w:t>1</w:t>
                  </w:r>
                  <w:r>
                    <w:rPr>
                      <w:rFonts w:hint="default"/>
                      <w:color w:val="auto"/>
                      <w:sz w:val="22"/>
                      <w:szCs w:val="22"/>
                      <w:lang w:val="en-US" w:eastAsia="zh-CN"/>
                    </w:rPr>
                    <w:t>次</w:t>
                  </w:r>
                </w:p>
              </w:tc>
            </w:tr>
          </w:tbl>
          <w:p w14:paraId="22BE4692">
            <w:pPr>
              <w:pStyle w:val="5"/>
              <w:keepNext/>
              <w:keepLines/>
              <w:pageBreakBefore w:val="0"/>
              <w:widowControl w:val="0"/>
              <w:kinsoku/>
              <w:wordWrap/>
              <w:overflowPunct/>
              <w:topLinePunct w:val="0"/>
              <w:autoSpaceDE/>
              <w:autoSpaceDN/>
              <w:bidi w:val="0"/>
              <w:adjustRightInd w:val="0"/>
              <w:snapToGrid w:val="0"/>
              <w:spacing w:line="460" w:lineRule="atLeast"/>
              <w:textAlignment w:val="auto"/>
              <w:rPr>
                <w:rFonts w:hint="default" w:ascii="Times New Roman" w:hAnsi="Times New Roman" w:eastAsia="宋体" w:cs="Times New Roman"/>
                <w:b/>
                <w:bCs w:val="0"/>
                <w:color w:val="auto"/>
                <w:kern w:val="2"/>
                <w:sz w:val="26"/>
                <w:szCs w:val="26"/>
                <w:lang w:val="en-US" w:eastAsia="zh-CN" w:bidi="ar-SA"/>
              </w:rPr>
            </w:pPr>
            <w:r>
              <w:rPr>
                <w:rFonts w:hint="default" w:ascii="Times New Roman" w:hAnsi="Times New Roman" w:eastAsia="宋体" w:cs="Times New Roman"/>
                <w:b/>
                <w:bCs w:val="0"/>
                <w:color w:val="auto"/>
                <w:kern w:val="2"/>
                <w:sz w:val="26"/>
                <w:szCs w:val="26"/>
                <w:lang w:val="en-US" w:eastAsia="zh-CN" w:bidi="ar-SA"/>
              </w:rPr>
              <w:t>4.2.1.</w:t>
            </w:r>
            <w:r>
              <w:rPr>
                <w:rFonts w:hint="eastAsia" w:ascii="Times New Roman" w:hAnsi="Times New Roman" w:eastAsia="宋体" w:cs="Times New Roman"/>
                <w:b/>
                <w:bCs w:val="0"/>
                <w:color w:val="auto"/>
                <w:kern w:val="2"/>
                <w:sz w:val="26"/>
                <w:szCs w:val="26"/>
                <w:lang w:val="en-US" w:eastAsia="zh-CN" w:bidi="ar-SA"/>
              </w:rPr>
              <w:t>6非正常排放</w:t>
            </w:r>
          </w:p>
          <w:p w14:paraId="00D38A34">
            <w:pPr>
              <w:bidi w:val="0"/>
              <w:rPr>
                <w:rFonts w:hint="eastAsia" w:ascii="Times New Roman" w:hAnsi="Times New Roman" w:cs="Times New Roman"/>
                <w:bCs/>
                <w:color w:val="auto"/>
                <w:sz w:val="26"/>
                <w:szCs w:val="26"/>
                <w:lang w:eastAsia="zh-CN"/>
              </w:rPr>
            </w:pPr>
            <w:r>
              <w:rPr>
                <w:rFonts w:ascii="Times New Roman" w:hAnsi="Times New Roman" w:cs="Times New Roman"/>
                <w:bCs/>
                <w:color w:val="auto"/>
                <w:sz w:val="26"/>
                <w:szCs w:val="26"/>
              </w:rPr>
              <w:t>本项目营运期非正常工况时，即处理设施发生故障，考虑废气处理措施处理效率下降至0%，则本项目非正常排放量核算</w:t>
            </w:r>
            <w:r>
              <w:rPr>
                <w:rFonts w:hint="eastAsia" w:ascii="Times New Roman" w:hAnsi="Times New Roman" w:cs="Times New Roman"/>
                <w:bCs/>
                <w:color w:val="auto"/>
                <w:sz w:val="26"/>
                <w:szCs w:val="26"/>
              </w:rPr>
              <w:t>详见下表</w:t>
            </w:r>
            <w:r>
              <w:rPr>
                <w:rFonts w:hint="eastAsia" w:ascii="Times New Roman" w:hAnsi="Times New Roman" w:cs="Times New Roman"/>
                <w:bCs/>
                <w:color w:val="auto"/>
                <w:sz w:val="26"/>
                <w:szCs w:val="26"/>
                <w:lang w:eastAsia="zh-CN"/>
              </w:rPr>
              <w:t>。</w:t>
            </w:r>
          </w:p>
          <w:p w14:paraId="5CA4CBCC">
            <w:pPr>
              <w:pStyle w:val="27"/>
              <w:bidi w:val="0"/>
              <w:ind w:firstLine="520" w:firstLineChars="200"/>
              <w:jc w:val="both"/>
              <w:rPr>
                <w:rFonts w:hint="default" w:ascii="Times New Roman" w:hAnsi="Times New Roman" w:eastAsia="宋体" w:cs="Times New Roman"/>
                <w:bCs/>
                <w:color w:val="auto"/>
                <w:kern w:val="2"/>
                <w:sz w:val="26"/>
                <w:szCs w:val="26"/>
                <w:lang w:val="en-US" w:eastAsia="zh-CN" w:bidi="ar-SA"/>
              </w:rPr>
            </w:pPr>
            <w:r>
              <w:rPr>
                <w:rFonts w:hint="default" w:ascii="Times New Roman" w:hAnsi="Times New Roman" w:eastAsia="宋体" w:cs="Times New Roman"/>
                <w:bCs/>
                <w:color w:val="auto"/>
                <w:kern w:val="2"/>
                <w:sz w:val="26"/>
                <w:szCs w:val="26"/>
                <w:lang w:val="en-US" w:eastAsia="zh-CN" w:bidi="ar-SA"/>
              </w:rPr>
              <w:t>表4.2-</w:t>
            </w:r>
            <w:r>
              <w:rPr>
                <w:rFonts w:hint="eastAsia" w:ascii="Times New Roman" w:hAnsi="Times New Roman" w:eastAsia="宋体" w:cs="Times New Roman"/>
                <w:bCs/>
                <w:color w:val="auto"/>
                <w:kern w:val="2"/>
                <w:sz w:val="26"/>
                <w:szCs w:val="26"/>
                <w:lang w:val="en-US" w:eastAsia="zh-CN" w:bidi="ar-SA"/>
              </w:rPr>
              <w:t>5</w:t>
            </w:r>
            <w:r>
              <w:rPr>
                <w:rFonts w:hint="default" w:ascii="Times New Roman" w:hAnsi="Times New Roman" w:eastAsia="宋体" w:cs="Times New Roman"/>
                <w:bCs/>
                <w:color w:val="auto"/>
                <w:kern w:val="2"/>
                <w:sz w:val="26"/>
                <w:szCs w:val="26"/>
                <w:lang w:val="en-US" w:eastAsia="zh-CN" w:bidi="ar-SA"/>
              </w:rPr>
              <w:t xml:space="preserve">  </w:t>
            </w:r>
            <w:r>
              <w:rPr>
                <w:rFonts w:hint="eastAsia" w:ascii="Times New Roman" w:hAnsi="Times New Roman" w:eastAsia="宋体" w:cs="Times New Roman"/>
                <w:bCs/>
                <w:color w:val="auto"/>
                <w:kern w:val="2"/>
                <w:sz w:val="26"/>
                <w:szCs w:val="26"/>
                <w:lang w:val="en-US" w:eastAsia="zh-CN" w:bidi="ar-SA"/>
              </w:rPr>
              <w:t xml:space="preserve">     </w:t>
            </w:r>
            <w:r>
              <w:rPr>
                <w:rFonts w:hint="default" w:ascii="Times New Roman" w:hAnsi="Times New Roman" w:eastAsia="宋体" w:cs="Times New Roman"/>
                <w:bCs/>
                <w:color w:val="auto"/>
                <w:kern w:val="2"/>
                <w:sz w:val="26"/>
                <w:szCs w:val="26"/>
                <w:lang w:val="en-US" w:eastAsia="zh-CN" w:bidi="ar-SA"/>
              </w:rPr>
              <w:t>非正常工况废气排放情况一览表</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899"/>
              <w:gridCol w:w="939"/>
              <w:gridCol w:w="1611"/>
              <w:gridCol w:w="1423"/>
              <w:gridCol w:w="925"/>
              <w:gridCol w:w="870"/>
            </w:tblGrid>
            <w:tr w14:paraId="7FE7E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42" w:type="pct"/>
                  <w:noWrap w:val="0"/>
                  <w:vAlign w:val="center"/>
                </w:tcPr>
                <w:p w14:paraId="0BFD0F8D">
                  <w:pPr>
                    <w:pStyle w:val="26"/>
                    <w:bidi w:val="0"/>
                    <w:jc w:val="center"/>
                    <w:rPr>
                      <w:rFonts w:hint="default"/>
                      <w:color w:val="auto"/>
                      <w:sz w:val="21"/>
                      <w:szCs w:val="21"/>
                      <w:lang w:val="en-US" w:eastAsia="zh-CN"/>
                    </w:rPr>
                  </w:pPr>
                  <w:r>
                    <w:rPr>
                      <w:rFonts w:hint="default"/>
                      <w:color w:val="auto"/>
                      <w:sz w:val="21"/>
                      <w:szCs w:val="21"/>
                      <w:lang w:val="en-US" w:eastAsia="zh-CN"/>
                    </w:rPr>
                    <w:t>非正常排放原因</w:t>
                  </w:r>
                </w:p>
              </w:tc>
              <w:tc>
                <w:tcPr>
                  <w:tcW w:w="574" w:type="pct"/>
                  <w:noWrap w:val="0"/>
                  <w:vAlign w:val="center"/>
                </w:tcPr>
                <w:p w14:paraId="326CDB96">
                  <w:pPr>
                    <w:pStyle w:val="26"/>
                    <w:bidi w:val="0"/>
                    <w:jc w:val="center"/>
                    <w:rPr>
                      <w:rFonts w:hint="default"/>
                      <w:color w:val="auto"/>
                      <w:sz w:val="21"/>
                      <w:szCs w:val="21"/>
                      <w:lang w:val="en-US" w:eastAsia="zh-CN"/>
                    </w:rPr>
                  </w:pPr>
                  <w:r>
                    <w:rPr>
                      <w:rFonts w:hint="default"/>
                      <w:color w:val="auto"/>
                      <w:sz w:val="21"/>
                      <w:szCs w:val="21"/>
                      <w:lang w:val="en-US" w:eastAsia="zh-CN"/>
                    </w:rPr>
                    <w:t>污染物</w:t>
                  </w:r>
                </w:p>
              </w:tc>
              <w:tc>
                <w:tcPr>
                  <w:tcW w:w="599" w:type="pct"/>
                  <w:noWrap w:val="0"/>
                  <w:vAlign w:val="center"/>
                </w:tcPr>
                <w:p w14:paraId="5D313C0B">
                  <w:pPr>
                    <w:pStyle w:val="26"/>
                    <w:bidi w:val="0"/>
                    <w:jc w:val="center"/>
                    <w:rPr>
                      <w:rFonts w:hint="default"/>
                      <w:color w:val="auto"/>
                      <w:sz w:val="21"/>
                      <w:szCs w:val="21"/>
                      <w:lang w:val="en-US" w:eastAsia="zh-CN"/>
                    </w:rPr>
                  </w:pPr>
                  <w:r>
                    <w:rPr>
                      <w:rFonts w:hint="default"/>
                      <w:color w:val="auto"/>
                      <w:sz w:val="21"/>
                      <w:szCs w:val="21"/>
                      <w:lang w:val="en-US" w:eastAsia="zh-CN"/>
                    </w:rPr>
                    <w:t>排气筒</w:t>
                  </w:r>
                </w:p>
              </w:tc>
              <w:tc>
                <w:tcPr>
                  <w:tcW w:w="1028" w:type="pct"/>
                  <w:noWrap w:val="0"/>
                  <w:vAlign w:val="center"/>
                </w:tcPr>
                <w:p w14:paraId="3CB976CC">
                  <w:pPr>
                    <w:pStyle w:val="26"/>
                    <w:bidi w:val="0"/>
                    <w:jc w:val="center"/>
                    <w:rPr>
                      <w:rFonts w:hint="default"/>
                      <w:color w:val="auto"/>
                      <w:sz w:val="21"/>
                      <w:szCs w:val="21"/>
                      <w:lang w:val="en-US" w:eastAsia="zh-CN"/>
                    </w:rPr>
                  </w:pPr>
                  <w:r>
                    <w:rPr>
                      <w:rFonts w:hint="default"/>
                      <w:color w:val="auto"/>
                      <w:sz w:val="21"/>
                      <w:szCs w:val="21"/>
                      <w:lang w:val="en-US" w:eastAsia="zh-CN"/>
                    </w:rPr>
                    <w:t>非正常排放浓度</w:t>
                  </w:r>
                  <w:r>
                    <w:rPr>
                      <w:rFonts w:hint="eastAsia"/>
                      <w:color w:val="auto"/>
                      <w:sz w:val="21"/>
                      <w:szCs w:val="21"/>
                      <w:lang w:val="en-US" w:eastAsia="zh-CN"/>
                    </w:rPr>
                    <w:t>（</w:t>
                  </w:r>
                  <w:r>
                    <w:rPr>
                      <w:rFonts w:hint="default"/>
                      <w:color w:val="auto"/>
                      <w:sz w:val="21"/>
                      <w:szCs w:val="21"/>
                      <w:lang w:val="en-US" w:eastAsia="zh-CN"/>
                    </w:rPr>
                    <w:t>mg/m</w:t>
                  </w:r>
                  <w:r>
                    <w:rPr>
                      <w:rFonts w:hint="default"/>
                      <w:color w:val="auto"/>
                      <w:sz w:val="21"/>
                      <w:szCs w:val="21"/>
                      <w:vertAlign w:val="superscript"/>
                      <w:lang w:val="en-US" w:eastAsia="zh-CN"/>
                    </w:rPr>
                    <w:t>3</w:t>
                  </w:r>
                  <w:r>
                    <w:rPr>
                      <w:rFonts w:hint="eastAsia"/>
                      <w:color w:val="auto"/>
                      <w:sz w:val="21"/>
                      <w:szCs w:val="21"/>
                      <w:lang w:val="en-US" w:eastAsia="zh-CN"/>
                    </w:rPr>
                    <w:t>）</w:t>
                  </w:r>
                </w:p>
              </w:tc>
              <w:tc>
                <w:tcPr>
                  <w:tcW w:w="908" w:type="pct"/>
                  <w:noWrap w:val="0"/>
                  <w:vAlign w:val="center"/>
                </w:tcPr>
                <w:p w14:paraId="36D19E00">
                  <w:pPr>
                    <w:pStyle w:val="26"/>
                    <w:bidi w:val="0"/>
                    <w:jc w:val="center"/>
                    <w:rPr>
                      <w:rFonts w:hint="default"/>
                      <w:color w:val="auto"/>
                      <w:sz w:val="21"/>
                      <w:szCs w:val="21"/>
                      <w:lang w:val="en-US" w:eastAsia="zh-CN"/>
                    </w:rPr>
                  </w:pPr>
                  <w:r>
                    <w:rPr>
                      <w:rFonts w:hint="default"/>
                      <w:color w:val="auto"/>
                      <w:sz w:val="21"/>
                      <w:szCs w:val="21"/>
                      <w:lang w:val="en-US" w:eastAsia="zh-CN"/>
                    </w:rPr>
                    <w:t>非正常排放速率</w:t>
                  </w:r>
                  <w:r>
                    <w:rPr>
                      <w:rFonts w:hint="eastAsia"/>
                      <w:color w:val="auto"/>
                      <w:sz w:val="21"/>
                      <w:szCs w:val="21"/>
                      <w:lang w:val="en-US" w:eastAsia="zh-CN"/>
                    </w:rPr>
                    <w:t>（</w:t>
                  </w:r>
                  <w:r>
                    <w:rPr>
                      <w:rFonts w:hint="default"/>
                      <w:color w:val="auto"/>
                      <w:sz w:val="21"/>
                      <w:szCs w:val="21"/>
                      <w:lang w:val="en-US" w:eastAsia="zh-CN"/>
                    </w:rPr>
                    <w:t>kg/h</w:t>
                  </w:r>
                  <w:r>
                    <w:rPr>
                      <w:rFonts w:hint="eastAsia"/>
                      <w:color w:val="auto"/>
                      <w:sz w:val="21"/>
                      <w:szCs w:val="21"/>
                      <w:lang w:val="en-US" w:eastAsia="zh-CN"/>
                    </w:rPr>
                    <w:t>）</w:t>
                  </w:r>
                </w:p>
              </w:tc>
              <w:tc>
                <w:tcPr>
                  <w:tcW w:w="590" w:type="pct"/>
                  <w:noWrap w:val="0"/>
                  <w:vAlign w:val="center"/>
                </w:tcPr>
                <w:p w14:paraId="7B8FB085">
                  <w:pPr>
                    <w:pStyle w:val="26"/>
                    <w:bidi w:val="0"/>
                    <w:jc w:val="center"/>
                    <w:rPr>
                      <w:rFonts w:hint="default"/>
                      <w:color w:val="auto"/>
                      <w:sz w:val="21"/>
                      <w:szCs w:val="21"/>
                      <w:lang w:val="en-US" w:eastAsia="zh-CN"/>
                    </w:rPr>
                  </w:pPr>
                  <w:r>
                    <w:rPr>
                      <w:rFonts w:hint="default"/>
                      <w:color w:val="auto"/>
                      <w:sz w:val="21"/>
                      <w:szCs w:val="21"/>
                      <w:lang w:val="en-US" w:eastAsia="zh-CN"/>
                    </w:rPr>
                    <w:t>持续时间</w:t>
                  </w:r>
                </w:p>
              </w:tc>
              <w:tc>
                <w:tcPr>
                  <w:tcW w:w="555" w:type="pct"/>
                  <w:noWrap w:val="0"/>
                  <w:vAlign w:val="center"/>
                </w:tcPr>
                <w:p w14:paraId="5FABCAB7">
                  <w:pPr>
                    <w:pStyle w:val="26"/>
                    <w:bidi w:val="0"/>
                    <w:jc w:val="center"/>
                    <w:rPr>
                      <w:rFonts w:hint="default"/>
                      <w:color w:val="auto"/>
                      <w:sz w:val="21"/>
                      <w:szCs w:val="21"/>
                      <w:lang w:val="en-US" w:eastAsia="zh-CN"/>
                    </w:rPr>
                  </w:pPr>
                  <w:r>
                    <w:rPr>
                      <w:rFonts w:hint="default"/>
                      <w:color w:val="auto"/>
                      <w:sz w:val="21"/>
                      <w:szCs w:val="21"/>
                      <w:lang w:val="en-US" w:eastAsia="zh-CN"/>
                    </w:rPr>
                    <w:t>排放量</w:t>
                  </w:r>
                  <w:r>
                    <w:rPr>
                      <w:rFonts w:hint="eastAsia"/>
                      <w:color w:val="auto"/>
                      <w:sz w:val="21"/>
                      <w:szCs w:val="21"/>
                      <w:lang w:val="en-US" w:eastAsia="zh-CN"/>
                    </w:rPr>
                    <w:t>（</w:t>
                  </w:r>
                  <w:r>
                    <w:rPr>
                      <w:rFonts w:hint="default"/>
                      <w:color w:val="auto"/>
                      <w:sz w:val="21"/>
                      <w:szCs w:val="21"/>
                      <w:lang w:val="en-US" w:eastAsia="zh-CN"/>
                    </w:rPr>
                    <w:t>t</w:t>
                  </w:r>
                  <w:r>
                    <w:rPr>
                      <w:rFonts w:hint="eastAsia"/>
                      <w:color w:val="auto"/>
                      <w:sz w:val="21"/>
                      <w:szCs w:val="21"/>
                      <w:lang w:val="en-US" w:eastAsia="zh-CN"/>
                    </w:rPr>
                    <w:t>）</w:t>
                  </w:r>
                </w:p>
              </w:tc>
            </w:tr>
            <w:tr w14:paraId="45BE7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42" w:type="pct"/>
                  <w:noWrap w:val="0"/>
                  <w:vAlign w:val="center"/>
                </w:tcPr>
                <w:p w14:paraId="28EA8DA6">
                  <w:pPr>
                    <w:pStyle w:val="26"/>
                    <w:bidi w:val="0"/>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布袋除尘器</w:t>
                  </w:r>
                </w:p>
              </w:tc>
              <w:tc>
                <w:tcPr>
                  <w:tcW w:w="574" w:type="pct"/>
                  <w:noWrap w:val="0"/>
                  <w:vAlign w:val="center"/>
                </w:tcPr>
                <w:p w14:paraId="456E288E">
                  <w:pPr>
                    <w:pStyle w:val="26"/>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lang w:val="en-US" w:eastAsia="zh-CN"/>
                    </w:rPr>
                    <w:t>颗粒物</w:t>
                  </w:r>
                </w:p>
              </w:tc>
              <w:tc>
                <w:tcPr>
                  <w:tcW w:w="599" w:type="pct"/>
                  <w:noWrap w:val="0"/>
                  <w:vAlign w:val="center"/>
                </w:tcPr>
                <w:p w14:paraId="2C32BDBA">
                  <w:pPr>
                    <w:pStyle w:val="26"/>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lang w:val="en-US" w:eastAsia="zh-CN"/>
                    </w:rPr>
                    <w:t>DA0</w:t>
                  </w:r>
                  <w:r>
                    <w:rPr>
                      <w:rFonts w:hint="eastAsia"/>
                      <w:color w:val="auto"/>
                      <w:sz w:val="21"/>
                      <w:szCs w:val="21"/>
                      <w:lang w:val="en-US" w:eastAsia="zh-CN"/>
                    </w:rPr>
                    <w:t>01</w:t>
                  </w:r>
                </w:p>
              </w:tc>
              <w:tc>
                <w:tcPr>
                  <w:tcW w:w="1028" w:type="pct"/>
                  <w:noWrap w:val="0"/>
                  <w:vAlign w:val="center"/>
                </w:tcPr>
                <w:p w14:paraId="55AA5F68">
                  <w:pPr>
                    <w:pStyle w:val="26"/>
                    <w:bidi w:val="0"/>
                    <w:jc w:val="center"/>
                    <w:rPr>
                      <w:rFonts w:hint="default"/>
                      <w:color w:val="auto"/>
                      <w:sz w:val="21"/>
                      <w:szCs w:val="21"/>
                      <w:lang w:val="en-US" w:eastAsia="zh-CN"/>
                    </w:rPr>
                  </w:pPr>
                  <w:r>
                    <w:rPr>
                      <w:rFonts w:hint="eastAsia"/>
                      <w:color w:val="auto"/>
                      <w:sz w:val="21"/>
                      <w:szCs w:val="21"/>
                      <w:lang w:val="en-US" w:eastAsia="zh-CN"/>
                    </w:rPr>
                    <w:t>46.98</w:t>
                  </w:r>
                </w:p>
              </w:tc>
              <w:tc>
                <w:tcPr>
                  <w:tcW w:w="908" w:type="pct"/>
                  <w:noWrap w:val="0"/>
                  <w:vAlign w:val="center"/>
                </w:tcPr>
                <w:p w14:paraId="68DDFD89">
                  <w:pPr>
                    <w:pStyle w:val="26"/>
                    <w:bidi w:val="0"/>
                    <w:jc w:val="center"/>
                    <w:rPr>
                      <w:rFonts w:hint="default"/>
                      <w:color w:val="auto"/>
                      <w:sz w:val="21"/>
                      <w:szCs w:val="21"/>
                      <w:lang w:val="en-US" w:eastAsia="zh-CN"/>
                    </w:rPr>
                  </w:pPr>
                  <w:r>
                    <w:rPr>
                      <w:rFonts w:hint="eastAsia"/>
                      <w:color w:val="auto"/>
                      <w:sz w:val="21"/>
                      <w:szCs w:val="21"/>
                      <w:lang w:val="en-US" w:eastAsia="zh-CN"/>
                    </w:rPr>
                    <w:t>1.41</w:t>
                  </w:r>
                </w:p>
              </w:tc>
              <w:tc>
                <w:tcPr>
                  <w:tcW w:w="590" w:type="pct"/>
                  <w:noWrap w:val="0"/>
                  <w:vAlign w:val="center"/>
                </w:tcPr>
                <w:p w14:paraId="3C811FB6">
                  <w:pPr>
                    <w:pStyle w:val="26"/>
                    <w:bidi w:val="0"/>
                    <w:jc w:val="center"/>
                    <w:rPr>
                      <w:rFonts w:hint="default"/>
                      <w:color w:val="auto"/>
                      <w:sz w:val="21"/>
                      <w:szCs w:val="21"/>
                      <w:lang w:val="en-US" w:eastAsia="zh-CN"/>
                    </w:rPr>
                  </w:pPr>
                  <w:r>
                    <w:rPr>
                      <w:rFonts w:hint="eastAsia"/>
                      <w:color w:val="auto"/>
                      <w:sz w:val="21"/>
                      <w:szCs w:val="21"/>
                      <w:lang w:val="en-US" w:eastAsia="zh-CN"/>
                    </w:rPr>
                    <w:t>30min</w:t>
                  </w:r>
                </w:p>
              </w:tc>
              <w:tc>
                <w:tcPr>
                  <w:tcW w:w="555" w:type="pct"/>
                  <w:noWrap w:val="0"/>
                  <w:vAlign w:val="center"/>
                </w:tcPr>
                <w:p w14:paraId="16A5F37E">
                  <w:pPr>
                    <w:pStyle w:val="26"/>
                    <w:bidi w:val="0"/>
                    <w:jc w:val="center"/>
                    <w:rPr>
                      <w:rFonts w:hint="default"/>
                      <w:color w:val="auto"/>
                      <w:sz w:val="21"/>
                      <w:szCs w:val="21"/>
                      <w:lang w:val="en-US" w:eastAsia="zh-CN"/>
                    </w:rPr>
                  </w:pPr>
                  <w:r>
                    <w:rPr>
                      <w:rFonts w:hint="eastAsia"/>
                      <w:color w:val="auto"/>
                      <w:sz w:val="21"/>
                      <w:szCs w:val="21"/>
                      <w:lang w:val="en-US" w:eastAsia="zh-CN"/>
                    </w:rPr>
                    <w:t>3.4</w:t>
                  </w:r>
                </w:p>
              </w:tc>
            </w:tr>
          </w:tbl>
          <w:p w14:paraId="050EAFB9">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jc w:val="left"/>
              <w:textAlignment w:val="auto"/>
              <w:rPr>
                <w:rFonts w:hint="eastAsia" w:ascii="Times New Roman" w:hAnsi="Times New Roman" w:cs="Times New Roman"/>
                <w:bCs/>
                <w:color w:val="auto"/>
                <w:sz w:val="26"/>
                <w:szCs w:val="26"/>
              </w:rPr>
            </w:pPr>
          </w:p>
          <w:p w14:paraId="281C3EAD">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jc w:val="left"/>
              <w:textAlignment w:val="auto"/>
              <w:rPr>
                <w:rFonts w:ascii="Times New Roman" w:hAnsi="Times New Roman" w:cs="Times New Roman"/>
                <w:bCs/>
                <w:color w:val="auto"/>
                <w:sz w:val="26"/>
                <w:szCs w:val="26"/>
              </w:rPr>
            </w:pPr>
            <w:r>
              <w:rPr>
                <w:rFonts w:hint="eastAsia" w:ascii="Times New Roman" w:hAnsi="Times New Roman" w:cs="Times New Roman"/>
                <w:bCs/>
                <w:color w:val="auto"/>
                <w:sz w:val="26"/>
                <w:szCs w:val="26"/>
              </w:rPr>
              <w:t>根据上表分析，本项目非正常工况下出现超标，环评要求项目一</w:t>
            </w:r>
            <w:r>
              <w:rPr>
                <w:rFonts w:ascii="Times New Roman" w:hAnsi="Times New Roman" w:cs="Times New Roman"/>
                <w:bCs/>
                <w:color w:val="auto"/>
                <w:sz w:val="26"/>
                <w:szCs w:val="26"/>
              </w:rPr>
              <w:t>旦发生非正常排放，必须立即停产，对废气处理设施进行及时检修。为杜绝废气非正常排放，应采取以下措施确保废气</w:t>
            </w:r>
            <w:r>
              <w:rPr>
                <w:rFonts w:hint="eastAsia" w:ascii="Times New Roman" w:hAnsi="Times New Roman" w:cs="Times New Roman"/>
                <w:bCs/>
                <w:color w:val="auto"/>
                <w:sz w:val="26"/>
                <w:szCs w:val="26"/>
              </w:rPr>
              <w:t>处理</w:t>
            </w:r>
            <w:r>
              <w:rPr>
                <w:rFonts w:ascii="Times New Roman" w:hAnsi="Times New Roman" w:cs="Times New Roman"/>
                <w:bCs/>
                <w:color w:val="auto"/>
                <w:sz w:val="26"/>
                <w:szCs w:val="26"/>
              </w:rPr>
              <w:t>达标排放：</w:t>
            </w:r>
          </w:p>
          <w:p w14:paraId="16E24E66">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jc w:val="left"/>
              <w:textAlignment w:val="auto"/>
              <w:rPr>
                <w:rFonts w:ascii="Times New Roman" w:hAnsi="Times New Roman" w:cs="Times New Roman"/>
                <w:bCs/>
                <w:color w:val="auto"/>
                <w:sz w:val="26"/>
                <w:szCs w:val="26"/>
              </w:rPr>
            </w:pPr>
            <w:r>
              <w:rPr>
                <w:rFonts w:ascii="Times New Roman" w:hAnsi="Times New Roman" w:cs="Times New Roman"/>
                <w:bCs/>
                <w:color w:val="auto"/>
                <w:sz w:val="26"/>
                <w:szCs w:val="26"/>
              </w:rPr>
              <w:t>①安排专人负责环保设备的日常维护和管理，固定时间检查、汇报情况，及时发现废气处理设备的隐患，确保废气处理系统正常运行；</w:t>
            </w:r>
          </w:p>
          <w:p w14:paraId="47965704">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jc w:val="left"/>
              <w:textAlignment w:val="auto"/>
              <w:rPr>
                <w:rFonts w:ascii="Times New Roman" w:hAnsi="Times New Roman" w:cs="Times New Roman"/>
                <w:bCs/>
                <w:color w:val="auto"/>
                <w:sz w:val="26"/>
                <w:szCs w:val="26"/>
              </w:rPr>
            </w:pPr>
            <w:r>
              <w:rPr>
                <w:rFonts w:ascii="Times New Roman" w:hAnsi="Times New Roman" w:cs="Times New Roman"/>
                <w:bCs/>
                <w:color w:val="auto"/>
                <w:sz w:val="26"/>
                <w:szCs w:val="26"/>
              </w:rPr>
              <w:t>②建立健全的环保管理机构，对环保管理人员和技术人员进行岗位培训，委托具有专业资质的</w:t>
            </w:r>
            <w:r>
              <w:rPr>
                <w:rFonts w:hint="eastAsia" w:cs="Times New Roman"/>
                <w:bCs/>
                <w:color w:val="auto"/>
                <w:sz w:val="26"/>
                <w:szCs w:val="26"/>
                <w:lang w:eastAsia="zh-CN"/>
              </w:rPr>
              <w:t>环境监测</w:t>
            </w:r>
            <w:r>
              <w:rPr>
                <w:rFonts w:ascii="Times New Roman" w:hAnsi="Times New Roman" w:cs="Times New Roman"/>
                <w:bCs/>
                <w:color w:val="auto"/>
                <w:sz w:val="26"/>
                <w:szCs w:val="26"/>
              </w:rPr>
              <w:t>单位对项目排放的各类污染物进行定期检测；</w:t>
            </w:r>
          </w:p>
          <w:p w14:paraId="56D9EB2A">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jc w:val="left"/>
              <w:textAlignment w:val="auto"/>
              <w:rPr>
                <w:rFonts w:ascii="Times New Roman" w:hAnsi="Times New Roman" w:cs="Times New Roman"/>
                <w:bCs/>
                <w:color w:val="auto"/>
                <w:sz w:val="26"/>
                <w:szCs w:val="26"/>
              </w:rPr>
            </w:pPr>
            <w:r>
              <w:rPr>
                <w:rFonts w:ascii="Times New Roman" w:hAnsi="Times New Roman" w:cs="Times New Roman"/>
                <w:bCs/>
                <w:color w:val="auto"/>
                <w:sz w:val="26"/>
                <w:szCs w:val="26"/>
              </w:rPr>
              <w:t>③应定期维护、检修废气处理装置，以保持废气处理装置的净化能力和净化容量。</w:t>
            </w:r>
          </w:p>
          <w:p w14:paraId="5678C5CB">
            <w:pPr>
              <w:pStyle w:val="4"/>
              <w:keepNext/>
              <w:keepLines/>
              <w:pageBreakBefore w:val="0"/>
              <w:widowControl w:val="0"/>
              <w:kinsoku/>
              <w:wordWrap/>
              <w:overflowPunct/>
              <w:topLinePunct w:val="0"/>
              <w:autoSpaceDE/>
              <w:autoSpaceDN/>
              <w:bidi w:val="0"/>
              <w:adjustRightInd w:val="0"/>
              <w:snapToGrid w:val="0"/>
              <w:spacing w:line="460" w:lineRule="exact"/>
              <w:textAlignment w:val="auto"/>
              <w:rPr>
                <w:rFonts w:hint="default"/>
                <w:color w:val="auto"/>
                <w:sz w:val="26"/>
                <w:szCs w:val="26"/>
                <w:lang w:val="en-US" w:eastAsia="zh-CN"/>
              </w:rPr>
            </w:pPr>
            <w:r>
              <w:rPr>
                <w:rFonts w:hint="eastAsia"/>
                <w:color w:val="auto"/>
                <w:sz w:val="26"/>
                <w:szCs w:val="26"/>
                <w:lang w:val="en-US" w:eastAsia="zh-CN"/>
              </w:rPr>
              <w:t>4.2.2废水影响分析及其防治措施</w:t>
            </w:r>
          </w:p>
          <w:p w14:paraId="434703BA">
            <w:pPr>
              <w:keepNext w:val="0"/>
              <w:keepLines w:val="0"/>
              <w:pageBreakBefore w:val="0"/>
              <w:widowControl w:val="0"/>
              <w:kinsoku/>
              <w:wordWrap/>
              <w:overflowPunct/>
              <w:topLinePunct w:val="0"/>
              <w:autoSpaceDE w:val="0"/>
              <w:autoSpaceDN w:val="0"/>
              <w:bidi w:val="0"/>
              <w:adjustRightInd w:val="0"/>
              <w:snapToGrid/>
              <w:spacing w:line="460" w:lineRule="exact"/>
              <w:ind w:left="0" w:leftChars="0" w:firstLine="0" w:firstLineChars="0"/>
              <w:jc w:val="left"/>
              <w:textAlignment w:val="auto"/>
              <w:rPr>
                <w:rFonts w:hint="eastAsia" w:ascii="Times New Roman" w:hAnsi="Times New Roman" w:eastAsia="宋体" w:cs="Times New Roman"/>
                <w:b/>
                <w:bCs w:val="0"/>
                <w:color w:val="auto"/>
                <w:sz w:val="26"/>
                <w:szCs w:val="26"/>
                <w:lang w:val="en-US" w:eastAsia="zh-CN"/>
              </w:rPr>
            </w:pPr>
            <w:r>
              <w:rPr>
                <w:rFonts w:hint="eastAsia" w:ascii="Times New Roman" w:hAnsi="Times New Roman" w:eastAsia="宋体" w:cs="Times New Roman"/>
                <w:b/>
                <w:bCs w:val="0"/>
                <w:color w:val="auto"/>
                <w:sz w:val="26"/>
                <w:szCs w:val="26"/>
                <w:lang w:val="en-US" w:eastAsia="zh-CN"/>
              </w:rPr>
              <w:t>4.2.2.1产排污分析</w:t>
            </w:r>
          </w:p>
          <w:p w14:paraId="1804D31B">
            <w:pPr>
              <w:keepNext w:val="0"/>
              <w:keepLines w:val="0"/>
              <w:pageBreakBefore w:val="0"/>
              <w:widowControl w:val="0"/>
              <w:kinsoku/>
              <w:wordWrap/>
              <w:overflowPunct/>
              <w:topLinePunct w:val="0"/>
              <w:autoSpaceDE w:val="0"/>
              <w:autoSpaceDN w:val="0"/>
              <w:bidi w:val="0"/>
              <w:adjustRightInd w:val="0"/>
              <w:snapToGrid/>
              <w:spacing w:line="460" w:lineRule="exact"/>
              <w:ind w:left="0" w:leftChars="0" w:firstLine="520" w:firstLineChars="200"/>
              <w:jc w:val="both"/>
              <w:textAlignment w:val="auto"/>
              <w:rPr>
                <w:rFonts w:hint="eastAsia" w:ascii="Times New Roman" w:hAnsi="Times New Roman" w:eastAsia="宋体" w:cs="Times New Roman"/>
                <w:b w:val="0"/>
                <w:bCs/>
                <w:color w:val="auto"/>
                <w:sz w:val="26"/>
                <w:szCs w:val="26"/>
                <w:lang w:val="en-US" w:eastAsia="zh-CN"/>
              </w:rPr>
            </w:pPr>
            <w:r>
              <w:rPr>
                <w:rFonts w:hint="eastAsia" w:ascii="Times New Roman" w:hAnsi="Times New Roman" w:eastAsia="宋体" w:cs="Times New Roman"/>
                <w:b w:val="0"/>
                <w:bCs/>
                <w:color w:val="auto"/>
                <w:sz w:val="26"/>
                <w:szCs w:val="26"/>
                <w:lang w:val="en-US" w:eastAsia="zh-CN"/>
              </w:rPr>
              <w:t>本项目废水为生活污水，不涉及生产废水的产生。</w:t>
            </w:r>
            <w:r>
              <w:rPr>
                <w:rFonts w:ascii="Times New Roman" w:hAnsi="Times New Roman" w:cs="Times New Roman"/>
                <w:bCs/>
                <w:color w:val="auto"/>
                <w:sz w:val="26"/>
                <w:szCs w:val="26"/>
              </w:rPr>
              <w:t>拟建项目劳动定员</w:t>
            </w:r>
            <w:r>
              <w:rPr>
                <w:rFonts w:hint="eastAsia" w:ascii="Times New Roman" w:hAnsi="Times New Roman" w:cs="Times New Roman"/>
                <w:bCs/>
                <w:color w:val="auto"/>
                <w:sz w:val="26"/>
                <w:szCs w:val="26"/>
                <w:lang w:val="en-US" w:eastAsia="zh-CN"/>
              </w:rPr>
              <w:t>20</w:t>
            </w:r>
            <w:r>
              <w:rPr>
                <w:rFonts w:ascii="Times New Roman" w:hAnsi="Times New Roman" w:cs="Times New Roman"/>
                <w:bCs/>
                <w:color w:val="auto"/>
                <w:sz w:val="26"/>
                <w:szCs w:val="26"/>
              </w:rPr>
              <w:t>人</w:t>
            </w:r>
            <w:r>
              <w:rPr>
                <w:rFonts w:hint="eastAsia" w:ascii="Times New Roman" w:hAnsi="Times New Roman" w:cs="Times New Roman"/>
                <w:bCs/>
                <w:color w:val="auto"/>
                <w:sz w:val="26"/>
                <w:szCs w:val="26"/>
              </w:rPr>
              <w:t>，</w:t>
            </w:r>
            <w:r>
              <w:rPr>
                <w:rFonts w:hint="eastAsia" w:ascii="Times New Roman"/>
                <w:bCs/>
                <w:color w:val="auto"/>
                <w:sz w:val="26"/>
                <w:szCs w:val="26"/>
              </w:rPr>
              <w:t>根据表2</w:t>
            </w:r>
            <w:r>
              <w:rPr>
                <w:rFonts w:hint="eastAsia" w:ascii="Times New Roman"/>
                <w:bCs/>
                <w:color w:val="auto"/>
                <w:sz w:val="26"/>
                <w:szCs w:val="26"/>
                <w:lang w:val="en-US" w:eastAsia="zh-CN"/>
              </w:rPr>
              <w:t>.1-6</w:t>
            </w:r>
            <w:r>
              <w:rPr>
                <w:rFonts w:hint="eastAsia" w:ascii="Times New Roman"/>
                <w:bCs/>
                <w:color w:val="auto"/>
                <w:sz w:val="26"/>
                <w:szCs w:val="26"/>
              </w:rPr>
              <w:t>核算</w:t>
            </w:r>
            <w:r>
              <w:rPr>
                <w:rFonts w:ascii="Times New Roman" w:hAnsi="Times New Roman" w:cs="Times New Roman"/>
                <w:bCs/>
                <w:color w:val="auto"/>
                <w:sz w:val="26"/>
                <w:szCs w:val="26"/>
              </w:rPr>
              <w:t>，生活污水</w:t>
            </w:r>
            <w:r>
              <w:rPr>
                <w:rFonts w:hint="eastAsia" w:cs="Times New Roman"/>
                <w:bCs/>
                <w:color w:val="auto"/>
                <w:sz w:val="26"/>
                <w:szCs w:val="26"/>
                <w:lang w:val="en-US" w:eastAsia="zh-CN"/>
              </w:rPr>
              <w:t>产生</w:t>
            </w:r>
            <w:r>
              <w:rPr>
                <w:rFonts w:ascii="Times New Roman" w:hAnsi="Times New Roman" w:cs="Times New Roman"/>
                <w:bCs/>
                <w:color w:val="auto"/>
                <w:sz w:val="26"/>
                <w:szCs w:val="26"/>
              </w:rPr>
              <w:t>量</w:t>
            </w:r>
            <w:r>
              <w:rPr>
                <w:rFonts w:hint="eastAsia" w:cs="Times New Roman"/>
                <w:bCs/>
                <w:color w:val="auto"/>
                <w:sz w:val="26"/>
                <w:szCs w:val="26"/>
                <w:lang w:val="en-US" w:eastAsia="zh-CN"/>
              </w:rPr>
              <w:t>为</w:t>
            </w:r>
            <w:r>
              <w:rPr>
                <w:rFonts w:hint="eastAsia" w:ascii="Times New Roman" w:hAnsi="Times New Roman" w:cs="Times New Roman"/>
                <w:bCs/>
                <w:color w:val="auto"/>
                <w:sz w:val="26"/>
                <w:szCs w:val="26"/>
                <w:lang w:val="en-US" w:eastAsia="zh-CN"/>
              </w:rPr>
              <w:t>2.16</w:t>
            </w:r>
            <w:r>
              <w:rPr>
                <w:rFonts w:ascii="Times New Roman" w:hAnsi="Times New Roman" w:cs="Times New Roman"/>
                <w:bCs/>
                <w:color w:val="auto"/>
                <w:sz w:val="26"/>
                <w:szCs w:val="26"/>
              </w:rPr>
              <w:t>m</w:t>
            </w:r>
            <w:r>
              <w:rPr>
                <w:rFonts w:ascii="Times New Roman" w:hAnsi="Times New Roman" w:cs="Times New Roman"/>
                <w:bCs/>
                <w:color w:val="auto"/>
                <w:sz w:val="26"/>
                <w:szCs w:val="26"/>
                <w:vertAlign w:val="superscript"/>
              </w:rPr>
              <w:t>3</w:t>
            </w:r>
            <w:r>
              <w:rPr>
                <w:rFonts w:ascii="Times New Roman" w:hAnsi="Times New Roman" w:cs="Times New Roman"/>
                <w:bCs/>
                <w:color w:val="auto"/>
                <w:sz w:val="26"/>
                <w:szCs w:val="26"/>
              </w:rPr>
              <w:t>/d，主要污染物浓度COD</w:t>
            </w:r>
            <w:r>
              <w:rPr>
                <w:rFonts w:hint="eastAsia" w:cs="Times New Roman"/>
                <w:bCs/>
                <w:color w:val="auto"/>
                <w:sz w:val="26"/>
                <w:szCs w:val="26"/>
                <w:lang w:val="en-US" w:eastAsia="zh-CN"/>
              </w:rPr>
              <w:t>55</w:t>
            </w:r>
            <w:r>
              <w:rPr>
                <w:rFonts w:ascii="Times New Roman" w:hAnsi="Times New Roman" w:cs="Times New Roman"/>
                <w:bCs/>
                <w:color w:val="auto"/>
                <w:sz w:val="26"/>
                <w:szCs w:val="26"/>
              </w:rPr>
              <w:t>0mg/L、BOD</w:t>
            </w:r>
            <w:r>
              <w:rPr>
                <w:rFonts w:ascii="Times New Roman" w:hAnsi="Times New Roman" w:cs="Times New Roman"/>
                <w:bCs/>
                <w:color w:val="auto"/>
                <w:sz w:val="26"/>
                <w:szCs w:val="26"/>
                <w:vertAlign w:val="subscript"/>
              </w:rPr>
              <w:t>5</w:t>
            </w:r>
            <w:r>
              <w:rPr>
                <w:rFonts w:hint="eastAsia" w:cs="Times New Roman"/>
                <w:bCs/>
                <w:color w:val="auto"/>
                <w:sz w:val="26"/>
                <w:szCs w:val="26"/>
                <w:lang w:val="en-US" w:eastAsia="zh-CN"/>
              </w:rPr>
              <w:t>3</w:t>
            </w:r>
            <w:r>
              <w:rPr>
                <w:rFonts w:ascii="Times New Roman" w:hAnsi="Times New Roman" w:cs="Times New Roman"/>
                <w:bCs/>
                <w:color w:val="auto"/>
                <w:sz w:val="26"/>
                <w:szCs w:val="26"/>
              </w:rPr>
              <w:t>50mg/L、SS</w:t>
            </w:r>
            <w:r>
              <w:rPr>
                <w:rFonts w:hint="eastAsia" w:cs="Times New Roman"/>
                <w:bCs/>
                <w:color w:val="auto"/>
                <w:sz w:val="26"/>
                <w:szCs w:val="26"/>
                <w:lang w:val="en-US" w:eastAsia="zh-CN"/>
              </w:rPr>
              <w:t>4</w:t>
            </w:r>
            <w:r>
              <w:rPr>
                <w:rFonts w:ascii="Times New Roman" w:hAnsi="Times New Roman" w:cs="Times New Roman"/>
                <w:bCs/>
                <w:color w:val="auto"/>
                <w:sz w:val="26"/>
                <w:szCs w:val="26"/>
              </w:rPr>
              <w:t>50mg/L、NH</w:t>
            </w:r>
            <w:r>
              <w:rPr>
                <w:rFonts w:ascii="Times New Roman" w:hAnsi="Times New Roman" w:cs="Times New Roman"/>
                <w:bCs/>
                <w:color w:val="auto"/>
                <w:sz w:val="26"/>
                <w:szCs w:val="26"/>
                <w:vertAlign w:val="subscript"/>
              </w:rPr>
              <w:t>3</w:t>
            </w:r>
            <w:r>
              <w:rPr>
                <w:rFonts w:ascii="Times New Roman" w:hAnsi="Times New Roman" w:cs="Times New Roman"/>
                <w:bCs/>
                <w:color w:val="auto"/>
                <w:sz w:val="26"/>
                <w:szCs w:val="26"/>
              </w:rPr>
              <w:t>-N</w:t>
            </w:r>
            <w:r>
              <w:rPr>
                <w:rFonts w:hint="eastAsia" w:cs="Times New Roman"/>
                <w:bCs/>
                <w:color w:val="auto"/>
                <w:sz w:val="26"/>
                <w:szCs w:val="26"/>
                <w:lang w:val="en-US" w:eastAsia="zh-CN"/>
              </w:rPr>
              <w:t>5</w:t>
            </w:r>
            <w:r>
              <w:rPr>
                <w:rFonts w:ascii="Times New Roman" w:hAnsi="Times New Roman" w:cs="Times New Roman"/>
                <w:bCs/>
                <w:color w:val="auto"/>
                <w:sz w:val="26"/>
                <w:szCs w:val="26"/>
              </w:rPr>
              <w:t>0mg/L</w:t>
            </w:r>
            <w:r>
              <w:rPr>
                <w:rFonts w:hint="eastAsia" w:ascii="Times New Roman" w:hAnsi="Times New Roman" w:cs="Times New Roman"/>
                <w:bCs/>
                <w:color w:val="auto"/>
                <w:sz w:val="26"/>
                <w:szCs w:val="26"/>
                <w:lang w:eastAsia="zh-CN"/>
              </w:rPr>
              <w:t>。</w:t>
            </w:r>
          </w:p>
          <w:p w14:paraId="7985CA14">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jc w:val="both"/>
              <w:textAlignment w:val="auto"/>
              <w:rPr>
                <w:rFonts w:hint="eastAsia" w:ascii="Times New Roman" w:hAnsi="Times New Roman" w:eastAsia="宋体" w:cs="Times New Roman"/>
                <w:bCs/>
                <w:color w:val="auto"/>
                <w:sz w:val="26"/>
                <w:szCs w:val="26"/>
                <w:lang w:val="en-US" w:eastAsia="zh-CN"/>
              </w:rPr>
            </w:pPr>
            <w:r>
              <w:rPr>
                <w:rFonts w:hint="eastAsia" w:ascii="Times New Roman" w:hAnsi="Times New Roman" w:eastAsia="宋体" w:cs="Times New Roman"/>
                <w:bCs/>
                <w:color w:val="auto"/>
                <w:sz w:val="26"/>
                <w:szCs w:val="26"/>
                <w:lang w:val="en-US" w:eastAsia="zh-CN"/>
              </w:rPr>
              <w:t>生活污水进厂区现有规模为</w:t>
            </w:r>
            <w:r>
              <w:rPr>
                <w:rFonts w:hint="eastAsia" w:cs="Times New Roman"/>
                <w:bCs/>
                <w:color w:val="auto"/>
                <w:sz w:val="26"/>
                <w:szCs w:val="26"/>
                <w:lang w:val="en-US" w:eastAsia="zh-CN"/>
              </w:rPr>
              <w:t>60</w:t>
            </w:r>
            <w:r>
              <w:rPr>
                <w:rFonts w:ascii="Times New Roman" w:hAnsi="Times New Roman" w:cs="Times New Roman"/>
                <w:bCs/>
                <w:color w:val="auto"/>
                <w:sz w:val="26"/>
                <w:szCs w:val="26"/>
              </w:rPr>
              <w:t>m</w:t>
            </w:r>
            <w:r>
              <w:rPr>
                <w:rFonts w:ascii="Times New Roman" w:hAnsi="Times New Roman" w:cs="Times New Roman"/>
                <w:bCs/>
                <w:color w:val="auto"/>
                <w:sz w:val="26"/>
                <w:szCs w:val="26"/>
                <w:vertAlign w:val="superscript"/>
              </w:rPr>
              <w:t>3</w:t>
            </w:r>
            <w:r>
              <w:rPr>
                <w:rFonts w:ascii="Times New Roman" w:hAnsi="Times New Roman" w:cs="Times New Roman"/>
                <w:bCs/>
                <w:color w:val="auto"/>
                <w:sz w:val="26"/>
                <w:szCs w:val="26"/>
              </w:rPr>
              <w:t>/d</w:t>
            </w:r>
            <w:r>
              <w:rPr>
                <w:rFonts w:hint="eastAsia" w:ascii="Times New Roman" w:hAnsi="Times New Roman" w:cs="Times New Roman"/>
                <w:bCs/>
                <w:color w:val="auto"/>
                <w:sz w:val="26"/>
                <w:szCs w:val="26"/>
                <w:lang w:val="en-US" w:eastAsia="zh-CN"/>
              </w:rPr>
              <w:t>的</w:t>
            </w:r>
            <w:r>
              <w:rPr>
                <w:rFonts w:hint="eastAsia" w:ascii="Times New Roman" w:hAnsi="Times New Roman" w:eastAsia="宋体" w:cs="Times New Roman"/>
                <w:bCs/>
                <w:color w:val="auto"/>
                <w:sz w:val="26"/>
                <w:szCs w:val="26"/>
                <w:lang w:val="en-US" w:eastAsia="zh-CN"/>
              </w:rPr>
              <w:t>生化池处理，处理达到《污水综合排放标准》（GB8978-1996）中三级标准后，依托厂区现有排放口排入园区污水管网，进入</w:t>
            </w:r>
            <w:r>
              <w:rPr>
                <w:rFonts w:hint="eastAsia" w:cs="Times New Roman"/>
                <w:bCs/>
                <w:color w:val="auto"/>
                <w:sz w:val="26"/>
                <w:szCs w:val="26"/>
                <w:lang w:val="en-US" w:eastAsia="zh-CN"/>
              </w:rPr>
              <w:t>农创园污水处理厂</w:t>
            </w:r>
            <w:r>
              <w:rPr>
                <w:rFonts w:hint="eastAsia" w:ascii="Times New Roman" w:hAnsi="Times New Roman" w:eastAsia="宋体" w:cs="Times New Roman"/>
                <w:bCs/>
                <w:color w:val="auto"/>
                <w:sz w:val="26"/>
                <w:szCs w:val="26"/>
                <w:lang w:val="en-US" w:eastAsia="zh-CN"/>
              </w:rPr>
              <w:t>进行处理，处理达到</w:t>
            </w:r>
            <w:r>
              <w:rPr>
                <w:rFonts w:hint="default" w:ascii="Times New Roman" w:hAnsi="Times New Roman" w:eastAsia="宋体" w:cs="Times New Roman"/>
                <w:bCs/>
                <w:color w:val="auto"/>
                <w:sz w:val="26"/>
                <w:szCs w:val="26"/>
                <w:lang w:val="en-US" w:eastAsia="zh-CN"/>
              </w:rPr>
              <w:t>《城镇污水处理厂污染物排放标准》</w:t>
            </w:r>
            <w:r>
              <w:rPr>
                <w:rFonts w:hint="eastAsia" w:ascii="Times New Roman" w:hAnsi="Times New Roman" w:eastAsia="宋体" w:cs="Times New Roman"/>
                <w:bCs/>
                <w:color w:val="auto"/>
                <w:sz w:val="26"/>
                <w:szCs w:val="26"/>
                <w:lang w:val="en-US" w:eastAsia="zh-CN"/>
              </w:rPr>
              <w:t>（</w:t>
            </w:r>
            <w:r>
              <w:rPr>
                <w:rFonts w:hint="default" w:ascii="Times New Roman" w:hAnsi="Times New Roman" w:eastAsia="宋体" w:cs="Times New Roman"/>
                <w:bCs/>
                <w:color w:val="auto"/>
                <w:sz w:val="26"/>
                <w:szCs w:val="26"/>
                <w:lang w:val="en-US" w:eastAsia="zh-CN"/>
              </w:rPr>
              <w:t>GB18918-2002</w:t>
            </w:r>
            <w:r>
              <w:rPr>
                <w:rFonts w:hint="eastAsia" w:ascii="Times New Roman" w:hAnsi="Times New Roman" w:eastAsia="宋体" w:cs="Times New Roman"/>
                <w:bCs/>
                <w:color w:val="auto"/>
                <w:sz w:val="26"/>
                <w:szCs w:val="26"/>
                <w:lang w:val="en-US" w:eastAsia="zh-CN"/>
              </w:rPr>
              <w:t>）</w:t>
            </w:r>
            <w:r>
              <w:rPr>
                <w:rFonts w:hint="default" w:ascii="Times New Roman" w:hAnsi="Times New Roman" w:eastAsia="宋体" w:cs="Times New Roman"/>
                <w:bCs/>
                <w:color w:val="auto"/>
                <w:sz w:val="26"/>
                <w:szCs w:val="26"/>
                <w:lang w:val="en-US" w:eastAsia="zh-CN"/>
              </w:rPr>
              <w:t>中一级</w:t>
            </w:r>
            <w:r>
              <w:rPr>
                <w:rFonts w:hint="eastAsia" w:ascii="Times New Roman" w:hAnsi="Times New Roman" w:eastAsia="宋体" w:cs="Times New Roman"/>
                <w:bCs/>
                <w:color w:val="auto"/>
                <w:sz w:val="26"/>
                <w:szCs w:val="26"/>
                <w:lang w:val="en-US" w:eastAsia="zh-CN"/>
              </w:rPr>
              <w:t>B</w:t>
            </w:r>
            <w:r>
              <w:rPr>
                <w:rFonts w:hint="default" w:ascii="Times New Roman" w:hAnsi="Times New Roman" w:eastAsia="宋体" w:cs="Times New Roman"/>
                <w:bCs/>
                <w:color w:val="auto"/>
                <w:sz w:val="26"/>
                <w:szCs w:val="26"/>
                <w:lang w:val="en-US" w:eastAsia="zh-CN"/>
              </w:rPr>
              <w:t>标准后排入</w:t>
            </w:r>
            <w:r>
              <w:rPr>
                <w:rFonts w:hint="eastAsia" w:ascii="Times New Roman" w:hAnsi="Times New Roman" w:eastAsia="宋体" w:cs="Times New Roman"/>
                <w:bCs/>
                <w:color w:val="auto"/>
                <w:sz w:val="26"/>
                <w:szCs w:val="26"/>
                <w:lang w:val="en-US" w:eastAsia="zh-CN"/>
              </w:rPr>
              <w:t>嘉陵江。</w:t>
            </w:r>
          </w:p>
          <w:p w14:paraId="78C07FDC">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jc w:val="left"/>
              <w:textAlignment w:val="auto"/>
              <w:rPr>
                <w:rFonts w:hint="default"/>
                <w:color w:val="auto"/>
                <w:lang w:val="en-US" w:eastAsia="zh-CN"/>
              </w:rPr>
            </w:pPr>
            <w:r>
              <w:rPr>
                <w:rFonts w:hint="default" w:ascii="Times New Roman" w:hAnsi="Times New Roman" w:eastAsia="宋体" w:cs="Times New Roman"/>
                <w:bCs/>
                <w:color w:val="auto"/>
                <w:sz w:val="26"/>
                <w:szCs w:val="26"/>
                <w:lang w:val="en-US" w:eastAsia="zh-CN"/>
              </w:rPr>
              <w:t>项目废水产生及排放情况见表4.2-</w:t>
            </w:r>
            <w:r>
              <w:rPr>
                <w:rFonts w:hint="eastAsia" w:ascii="Times New Roman" w:hAnsi="Times New Roman" w:eastAsia="宋体" w:cs="Times New Roman"/>
                <w:bCs/>
                <w:color w:val="auto"/>
                <w:sz w:val="26"/>
                <w:szCs w:val="26"/>
                <w:lang w:val="en-US" w:eastAsia="zh-CN"/>
              </w:rPr>
              <w:t>6</w:t>
            </w:r>
            <w:r>
              <w:rPr>
                <w:rFonts w:hint="default" w:ascii="Times New Roman" w:hAnsi="Times New Roman" w:eastAsia="宋体" w:cs="Times New Roman"/>
                <w:bCs/>
                <w:color w:val="auto"/>
                <w:sz w:val="26"/>
                <w:szCs w:val="26"/>
                <w:lang w:val="en-US" w:eastAsia="zh-CN"/>
              </w:rPr>
              <w:t>。</w:t>
            </w:r>
          </w:p>
        </w:tc>
      </w:tr>
    </w:tbl>
    <w:p w14:paraId="0E4B0DBB">
      <w:pPr>
        <w:numPr>
          <w:ilvl w:val="0"/>
          <w:numId w:val="0"/>
        </w:numPr>
        <w:ind w:leftChars="0"/>
        <w:rPr>
          <w:rFonts w:hint="default"/>
          <w:color w:val="auto"/>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p>
    <w:tbl>
      <w:tblPr>
        <w:tblStyle w:val="18"/>
        <w:tblW w:w="14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3650"/>
      </w:tblGrid>
      <w:tr w14:paraId="3748C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2" w:hRule="atLeast"/>
        </w:trPr>
        <w:tc>
          <w:tcPr>
            <w:tcW w:w="421" w:type="dxa"/>
            <w:vAlign w:val="center"/>
          </w:tcPr>
          <w:p w14:paraId="55F6BFF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vertAlign w:val="baseline"/>
                <w:lang w:val="en-US" w:eastAsia="zh-CN"/>
              </w:rPr>
            </w:pPr>
            <w:r>
              <w:rPr>
                <w:rFonts w:hint="default"/>
                <w:color w:val="auto"/>
                <w:vertAlign w:val="baseline"/>
                <w:lang w:val="en-US" w:eastAsia="zh-CN"/>
              </w:rPr>
              <w:t>营运期环境</w:t>
            </w:r>
            <w:r>
              <w:rPr>
                <w:rFonts w:hint="eastAsia"/>
                <w:color w:val="auto"/>
                <w:vertAlign w:val="baseline"/>
                <w:lang w:val="en-US" w:eastAsia="zh-CN"/>
              </w:rPr>
              <w:t>影响</w:t>
            </w:r>
            <w:r>
              <w:rPr>
                <w:rFonts w:hint="default"/>
                <w:color w:val="auto"/>
                <w:vertAlign w:val="baseline"/>
                <w:lang w:val="en-US" w:eastAsia="zh-CN"/>
              </w:rPr>
              <w:t>和保</w:t>
            </w:r>
            <w:r>
              <w:rPr>
                <w:rFonts w:hint="eastAsia"/>
                <w:color w:val="auto"/>
                <w:vertAlign w:val="baseline"/>
                <w:lang w:val="en-US" w:eastAsia="zh-CN"/>
              </w:rPr>
              <w:t>护</w:t>
            </w:r>
            <w:r>
              <w:rPr>
                <w:rFonts w:hint="default"/>
                <w:color w:val="auto"/>
                <w:vertAlign w:val="baseline"/>
                <w:lang w:val="en-US" w:eastAsia="zh-CN"/>
              </w:rPr>
              <w:t>措施</w:t>
            </w:r>
          </w:p>
        </w:tc>
        <w:tc>
          <w:tcPr>
            <w:tcW w:w="13650" w:type="dxa"/>
          </w:tcPr>
          <w:p w14:paraId="72702EAA">
            <w:pPr>
              <w:pStyle w:val="27"/>
              <w:bidi w:val="0"/>
              <w:ind w:firstLine="520" w:firstLineChars="200"/>
              <w:jc w:val="both"/>
              <w:rPr>
                <w:rFonts w:hint="default" w:ascii="Times New Roman" w:hAnsi="Times New Roman" w:eastAsia="宋体" w:cs="Times New Roman"/>
                <w:bCs/>
                <w:color w:val="auto"/>
                <w:kern w:val="2"/>
                <w:sz w:val="26"/>
                <w:szCs w:val="26"/>
                <w:lang w:val="en-US" w:eastAsia="zh-CN" w:bidi="ar-SA"/>
              </w:rPr>
            </w:pPr>
            <w:r>
              <w:rPr>
                <w:rFonts w:hint="eastAsia" w:ascii="Times New Roman" w:hAnsi="Times New Roman" w:eastAsia="宋体" w:cs="Times New Roman"/>
                <w:bCs/>
                <w:color w:val="auto"/>
                <w:kern w:val="2"/>
                <w:sz w:val="26"/>
                <w:szCs w:val="26"/>
                <w:lang w:val="en-US" w:eastAsia="zh-CN" w:bidi="ar-SA"/>
              </w:rPr>
              <w:t>表4.2-6               本项目营运期废水产生及排放情况一览表  单位：mg/L</w:t>
            </w:r>
          </w:p>
          <w:tbl>
            <w:tblPr>
              <w:tblStyle w:val="18"/>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602"/>
              <w:gridCol w:w="785"/>
              <w:gridCol w:w="584"/>
              <w:gridCol w:w="821"/>
              <w:gridCol w:w="778"/>
              <w:gridCol w:w="773"/>
              <w:gridCol w:w="785"/>
              <w:gridCol w:w="785"/>
              <w:gridCol w:w="803"/>
              <w:gridCol w:w="834"/>
              <w:gridCol w:w="602"/>
              <w:gridCol w:w="858"/>
              <w:gridCol w:w="498"/>
              <w:gridCol w:w="498"/>
              <w:gridCol w:w="498"/>
              <w:gridCol w:w="620"/>
              <w:gridCol w:w="381"/>
              <w:gridCol w:w="660"/>
              <w:gridCol w:w="633"/>
            </w:tblGrid>
            <w:tr w14:paraId="72BAA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6" w:type="pct"/>
                  <w:vMerge w:val="restart"/>
                  <w:vAlign w:val="center"/>
                </w:tcPr>
                <w:p w14:paraId="37EAD0E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r>
                    <w:rPr>
                      <w:rFonts w:hint="default" w:ascii="Times New Roman" w:hAnsi="Times New Roman" w:cs="Times New Roman"/>
                      <w:bCs/>
                      <w:color w:val="auto"/>
                      <w:spacing w:val="-10"/>
                      <w:sz w:val="22"/>
                      <w:szCs w:val="22"/>
                      <w:highlight w:val="none"/>
                    </w:rPr>
                    <w:t>产排污环节</w:t>
                  </w:r>
                </w:p>
              </w:tc>
              <w:tc>
                <w:tcPr>
                  <w:tcW w:w="224" w:type="pct"/>
                  <w:vMerge w:val="restart"/>
                  <w:vAlign w:val="center"/>
                </w:tcPr>
                <w:p w14:paraId="6C17860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bCs/>
                      <w:color w:val="auto"/>
                      <w:spacing w:val="-10"/>
                      <w:sz w:val="22"/>
                      <w:szCs w:val="22"/>
                      <w:highlight w:val="none"/>
                      <w:lang w:val="en-US" w:eastAsia="zh-CN"/>
                    </w:rPr>
                  </w:pPr>
                  <w:r>
                    <w:rPr>
                      <w:rFonts w:hint="eastAsia" w:ascii="Times New Roman" w:hAnsi="Times New Roman" w:cs="Times New Roman"/>
                      <w:bCs/>
                      <w:color w:val="auto"/>
                      <w:spacing w:val="-10"/>
                      <w:sz w:val="22"/>
                      <w:szCs w:val="22"/>
                      <w:highlight w:val="none"/>
                      <w:lang w:val="en-US" w:eastAsia="zh-CN"/>
                    </w:rPr>
                    <w:t>产生量</w:t>
                  </w:r>
                  <w:r>
                    <w:rPr>
                      <w:rFonts w:hint="default" w:ascii="Times New Roman" w:hAnsi="Times New Roman" w:cs="Times New Roman"/>
                      <w:color w:val="auto"/>
                      <w:sz w:val="22"/>
                      <w:szCs w:val="22"/>
                    </w:rPr>
                    <w:t>m</w:t>
                  </w:r>
                  <w:r>
                    <w:rPr>
                      <w:rFonts w:hint="default" w:ascii="Times New Roman" w:hAnsi="Times New Roman" w:cs="Times New Roman"/>
                      <w:color w:val="auto"/>
                      <w:sz w:val="22"/>
                      <w:szCs w:val="22"/>
                      <w:vertAlign w:val="superscript"/>
                    </w:rPr>
                    <w:t>3</w:t>
                  </w:r>
                  <w:r>
                    <w:rPr>
                      <w:rFonts w:hint="default" w:ascii="Times New Roman" w:hAnsi="Times New Roman" w:cs="Times New Roman"/>
                      <w:color w:val="auto"/>
                      <w:sz w:val="22"/>
                      <w:szCs w:val="22"/>
                    </w:rPr>
                    <w:t>/a</w:t>
                  </w:r>
                </w:p>
              </w:tc>
              <w:tc>
                <w:tcPr>
                  <w:tcW w:w="293" w:type="pct"/>
                  <w:vMerge w:val="restart"/>
                  <w:vAlign w:val="center"/>
                </w:tcPr>
                <w:p w14:paraId="7EE8F11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r>
                    <w:rPr>
                      <w:rFonts w:hint="default" w:ascii="Times New Roman" w:hAnsi="Times New Roman" w:cs="Times New Roman"/>
                      <w:bCs/>
                      <w:color w:val="auto"/>
                      <w:spacing w:val="-10"/>
                      <w:sz w:val="22"/>
                      <w:szCs w:val="22"/>
                      <w:highlight w:val="none"/>
                    </w:rPr>
                    <w:t>污染物项目</w:t>
                  </w:r>
                </w:p>
              </w:tc>
              <w:tc>
                <w:tcPr>
                  <w:tcW w:w="525" w:type="pct"/>
                  <w:gridSpan w:val="2"/>
                  <w:vAlign w:val="center"/>
                </w:tcPr>
                <w:p w14:paraId="30A37D5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r>
                    <w:rPr>
                      <w:rFonts w:hint="default" w:ascii="Times New Roman" w:hAnsi="Times New Roman" w:cs="Times New Roman"/>
                      <w:bCs/>
                      <w:color w:val="auto"/>
                      <w:spacing w:val="-10"/>
                      <w:sz w:val="22"/>
                      <w:szCs w:val="22"/>
                      <w:highlight w:val="none"/>
                    </w:rPr>
                    <w:t>产生情况</w:t>
                  </w:r>
                </w:p>
              </w:tc>
              <w:tc>
                <w:tcPr>
                  <w:tcW w:w="873" w:type="pct"/>
                  <w:gridSpan w:val="3"/>
                  <w:vAlign w:val="center"/>
                </w:tcPr>
                <w:p w14:paraId="694B868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r>
                    <w:rPr>
                      <w:rFonts w:hint="default" w:ascii="Times New Roman" w:hAnsi="Times New Roman" w:cs="Times New Roman"/>
                      <w:bCs/>
                      <w:color w:val="auto"/>
                      <w:spacing w:val="-10"/>
                      <w:sz w:val="22"/>
                      <w:szCs w:val="22"/>
                      <w:highlight w:val="none"/>
                    </w:rPr>
                    <w:t>污染防治设施</w:t>
                  </w:r>
                </w:p>
              </w:tc>
              <w:tc>
                <w:tcPr>
                  <w:tcW w:w="293" w:type="pct"/>
                  <w:vMerge w:val="restart"/>
                  <w:vAlign w:val="center"/>
                </w:tcPr>
                <w:p w14:paraId="311D546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pacing w:val="-10"/>
                      <w:sz w:val="22"/>
                      <w:szCs w:val="22"/>
                      <w:highlight w:val="none"/>
                      <w:lang w:eastAsia="zh-CN"/>
                    </w:rPr>
                  </w:pPr>
                  <w:r>
                    <w:rPr>
                      <w:rFonts w:hint="default" w:ascii="Times New Roman" w:hAnsi="Times New Roman" w:cs="Times New Roman"/>
                      <w:bCs/>
                      <w:color w:val="auto"/>
                      <w:spacing w:val="-10"/>
                      <w:sz w:val="22"/>
                      <w:szCs w:val="22"/>
                      <w:highlight w:val="none"/>
                    </w:rPr>
                    <w:t>废水排放量</w:t>
                  </w:r>
                  <w:r>
                    <w:rPr>
                      <w:rFonts w:hint="default" w:ascii="Times New Roman" w:hAnsi="Times New Roman" w:cs="Times New Roman"/>
                      <w:bCs/>
                      <w:color w:val="auto"/>
                      <w:spacing w:val="-10"/>
                      <w:sz w:val="22"/>
                      <w:szCs w:val="22"/>
                      <w:highlight w:val="none"/>
                      <w:lang w:eastAsia="zh-CN"/>
                    </w:rPr>
                    <w:t>（</w:t>
                  </w:r>
                  <w:r>
                    <w:rPr>
                      <w:rFonts w:hint="default" w:ascii="Times New Roman" w:hAnsi="Times New Roman" w:cs="Times New Roman"/>
                      <w:bCs/>
                      <w:color w:val="auto"/>
                      <w:spacing w:val="-10"/>
                      <w:sz w:val="22"/>
                      <w:szCs w:val="22"/>
                      <w:highlight w:val="none"/>
                    </w:rPr>
                    <w:t>m</w:t>
                  </w:r>
                  <w:r>
                    <w:rPr>
                      <w:rFonts w:hint="default" w:ascii="Times New Roman" w:hAnsi="Times New Roman" w:cs="Times New Roman"/>
                      <w:bCs/>
                      <w:color w:val="auto"/>
                      <w:spacing w:val="-10"/>
                      <w:sz w:val="22"/>
                      <w:szCs w:val="22"/>
                      <w:highlight w:val="none"/>
                      <w:vertAlign w:val="superscript"/>
                    </w:rPr>
                    <w:t>3</w:t>
                  </w:r>
                  <w:r>
                    <w:rPr>
                      <w:rFonts w:hint="default" w:ascii="Times New Roman" w:hAnsi="Times New Roman" w:cs="Times New Roman"/>
                      <w:bCs/>
                      <w:color w:val="auto"/>
                      <w:spacing w:val="-10"/>
                      <w:sz w:val="22"/>
                      <w:szCs w:val="22"/>
                      <w:highlight w:val="none"/>
                    </w:rPr>
                    <w:t>/a</w:t>
                  </w:r>
                  <w:r>
                    <w:rPr>
                      <w:rFonts w:hint="default" w:ascii="Times New Roman" w:hAnsi="Times New Roman" w:cs="Times New Roman"/>
                      <w:bCs/>
                      <w:color w:val="auto"/>
                      <w:spacing w:val="-10"/>
                      <w:sz w:val="22"/>
                      <w:szCs w:val="22"/>
                      <w:highlight w:val="none"/>
                      <w:lang w:eastAsia="zh-CN"/>
                    </w:rPr>
                    <w:t>）</w:t>
                  </w:r>
                </w:p>
              </w:tc>
              <w:tc>
                <w:tcPr>
                  <w:tcW w:w="611" w:type="pct"/>
                  <w:gridSpan w:val="2"/>
                  <w:vAlign w:val="center"/>
                </w:tcPr>
                <w:p w14:paraId="2146AF6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r>
                    <w:rPr>
                      <w:rFonts w:hint="default" w:ascii="Times New Roman" w:hAnsi="Times New Roman" w:cs="Times New Roman"/>
                      <w:bCs/>
                      <w:color w:val="auto"/>
                      <w:spacing w:val="-10"/>
                      <w:sz w:val="22"/>
                      <w:szCs w:val="22"/>
                      <w:highlight w:val="none"/>
                    </w:rPr>
                    <w:t>排放情况</w:t>
                  </w:r>
                </w:p>
              </w:tc>
              <w:tc>
                <w:tcPr>
                  <w:tcW w:w="224" w:type="pct"/>
                  <w:vMerge w:val="restart"/>
                  <w:vAlign w:val="center"/>
                </w:tcPr>
                <w:p w14:paraId="35196C5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r>
                    <w:rPr>
                      <w:rFonts w:hint="default" w:ascii="Times New Roman" w:hAnsi="Times New Roman" w:cs="Times New Roman"/>
                      <w:bCs/>
                      <w:color w:val="auto"/>
                      <w:spacing w:val="-10"/>
                      <w:sz w:val="22"/>
                      <w:szCs w:val="22"/>
                      <w:highlight w:val="none"/>
                    </w:rPr>
                    <w:t>排放方式</w:t>
                  </w:r>
                </w:p>
              </w:tc>
              <w:tc>
                <w:tcPr>
                  <w:tcW w:w="320" w:type="pct"/>
                  <w:vMerge w:val="restart"/>
                  <w:vAlign w:val="center"/>
                </w:tcPr>
                <w:p w14:paraId="4835524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r>
                    <w:rPr>
                      <w:rFonts w:hint="default" w:ascii="Times New Roman" w:hAnsi="Times New Roman" w:cs="Times New Roman"/>
                      <w:bCs/>
                      <w:color w:val="auto"/>
                      <w:spacing w:val="-10"/>
                      <w:sz w:val="22"/>
                      <w:szCs w:val="22"/>
                      <w:highlight w:val="none"/>
                    </w:rPr>
                    <w:t>排放去向</w:t>
                  </w:r>
                </w:p>
              </w:tc>
              <w:tc>
                <w:tcPr>
                  <w:tcW w:w="372" w:type="pct"/>
                  <w:gridSpan w:val="2"/>
                  <w:shd w:val="clear" w:color="auto" w:fill="auto"/>
                  <w:vAlign w:val="center"/>
                </w:tcPr>
                <w:p w14:paraId="2878D63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color w:val="auto"/>
                      <w:spacing w:val="-10"/>
                      <w:kern w:val="2"/>
                      <w:sz w:val="22"/>
                      <w:szCs w:val="22"/>
                      <w:highlight w:val="none"/>
                      <w:lang w:val="en-US" w:eastAsia="zh-CN" w:bidi="ar-SA"/>
                    </w:rPr>
                  </w:pPr>
                  <w:r>
                    <w:rPr>
                      <w:rFonts w:hint="eastAsia" w:ascii="Times New Roman" w:hAnsi="Times New Roman" w:cs="Times New Roman"/>
                      <w:bCs/>
                      <w:color w:val="auto"/>
                      <w:spacing w:val="-10"/>
                      <w:kern w:val="2"/>
                      <w:sz w:val="22"/>
                      <w:szCs w:val="22"/>
                      <w:highlight w:val="none"/>
                      <w:lang w:val="en-US" w:eastAsia="zh-CN" w:bidi="ar-SA"/>
                    </w:rPr>
                    <w:t>排入环境</w:t>
                  </w:r>
                </w:p>
              </w:tc>
              <w:tc>
                <w:tcPr>
                  <w:tcW w:w="186" w:type="pct"/>
                  <w:vMerge w:val="restart"/>
                  <w:vAlign w:val="center"/>
                </w:tcPr>
                <w:p w14:paraId="2C81346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r>
                    <w:rPr>
                      <w:rFonts w:hint="default" w:ascii="Times New Roman" w:hAnsi="Times New Roman" w:cs="Times New Roman"/>
                      <w:bCs/>
                      <w:color w:val="auto"/>
                      <w:spacing w:val="-10"/>
                      <w:sz w:val="22"/>
                      <w:szCs w:val="22"/>
                      <w:highlight w:val="none"/>
                    </w:rPr>
                    <w:t>排放规律</w:t>
                  </w:r>
                </w:p>
              </w:tc>
              <w:tc>
                <w:tcPr>
                  <w:tcW w:w="620" w:type="pct"/>
                  <w:gridSpan w:val="3"/>
                  <w:vAlign w:val="center"/>
                </w:tcPr>
                <w:p w14:paraId="75536C6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r>
                    <w:rPr>
                      <w:rFonts w:hint="default" w:ascii="Times New Roman" w:hAnsi="Times New Roman" w:cs="Times New Roman"/>
                      <w:bCs/>
                      <w:color w:val="auto"/>
                      <w:spacing w:val="-10"/>
                      <w:sz w:val="22"/>
                      <w:szCs w:val="22"/>
                      <w:highlight w:val="none"/>
                    </w:rPr>
                    <w:t>排放口</w:t>
                  </w:r>
                </w:p>
              </w:tc>
              <w:tc>
                <w:tcPr>
                  <w:tcW w:w="236" w:type="pct"/>
                  <w:vMerge w:val="restart"/>
                  <w:vAlign w:val="center"/>
                </w:tcPr>
                <w:p w14:paraId="7AA7458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r>
                    <w:rPr>
                      <w:rFonts w:hint="default" w:ascii="Times New Roman" w:hAnsi="Times New Roman" w:cs="Times New Roman"/>
                      <w:bCs/>
                      <w:color w:val="auto"/>
                      <w:spacing w:val="-10"/>
                      <w:sz w:val="22"/>
                      <w:szCs w:val="22"/>
                      <w:highlight w:val="none"/>
                    </w:rPr>
                    <w:t>排放标准</w:t>
                  </w:r>
                </w:p>
              </w:tc>
            </w:tr>
            <w:tr w14:paraId="6DA09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6" w:type="pct"/>
                  <w:vMerge w:val="continue"/>
                  <w:vAlign w:val="center"/>
                </w:tcPr>
                <w:p w14:paraId="13120AC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p>
              </w:tc>
              <w:tc>
                <w:tcPr>
                  <w:tcW w:w="224" w:type="pct"/>
                  <w:vMerge w:val="continue"/>
                  <w:vAlign w:val="center"/>
                </w:tcPr>
                <w:p w14:paraId="4B6CAC8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p>
              </w:tc>
              <w:tc>
                <w:tcPr>
                  <w:tcW w:w="293" w:type="pct"/>
                  <w:vMerge w:val="continue"/>
                  <w:vAlign w:val="center"/>
                </w:tcPr>
                <w:p w14:paraId="4048501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p>
              </w:tc>
              <w:tc>
                <w:tcPr>
                  <w:tcW w:w="218" w:type="pct"/>
                  <w:vAlign w:val="center"/>
                </w:tcPr>
                <w:p w14:paraId="5F0B396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pacing w:val="-10"/>
                      <w:sz w:val="22"/>
                      <w:szCs w:val="22"/>
                      <w:highlight w:val="none"/>
                      <w:lang w:eastAsia="zh-CN"/>
                    </w:rPr>
                  </w:pPr>
                  <w:r>
                    <w:rPr>
                      <w:rFonts w:hint="default" w:ascii="Times New Roman" w:hAnsi="Times New Roman" w:cs="Times New Roman"/>
                      <w:bCs/>
                      <w:color w:val="auto"/>
                      <w:spacing w:val="-10"/>
                      <w:sz w:val="22"/>
                      <w:szCs w:val="22"/>
                      <w:highlight w:val="none"/>
                    </w:rPr>
                    <w:t>浓度</w:t>
                  </w:r>
                </w:p>
              </w:tc>
              <w:tc>
                <w:tcPr>
                  <w:tcW w:w="306" w:type="pct"/>
                  <w:vAlign w:val="center"/>
                </w:tcPr>
                <w:p w14:paraId="2D3A151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color w:val="auto"/>
                      <w:spacing w:val="-10"/>
                      <w:sz w:val="22"/>
                      <w:szCs w:val="22"/>
                      <w:highlight w:val="none"/>
                      <w:lang w:eastAsia="zh-CN"/>
                    </w:rPr>
                  </w:pPr>
                  <w:r>
                    <w:rPr>
                      <w:rFonts w:hint="default" w:ascii="Times New Roman" w:hAnsi="Times New Roman" w:cs="Times New Roman"/>
                      <w:bCs/>
                      <w:color w:val="auto"/>
                      <w:spacing w:val="-10"/>
                      <w:sz w:val="22"/>
                      <w:szCs w:val="22"/>
                      <w:highlight w:val="none"/>
                    </w:rPr>
                    <w:t>产生量</w:t>
                  </w:r>
                  <w:r>
                    <w:rPr>
                      <w:rFonts w:hint="default" w:ascii="Times New Roman" w:hAnsi="Times New Roman" w:cs="Times New Roman"/>
                      <w:bCs/>
                      <w:color w:val="auto"/>
                      <w:spacing w:val="-10"/>
                      <w:sz w:val="22"/>
                      <w:szCs w:val="22"/>
                      <w:highlight w:val="none"/>
                      <w:lang w:eastAsia="zh-CN"/>
                    </w:rPr>
                    <w:t>（</w:t>
                  </w:r>
                  <w:r>
                    <w:rPr>
                      <w:rFonts w:hint="default" w:ascii="Times New Roman" w:hAnsi="Times New Roman" w:cs="Times New Roman"/>
                      <w:bCs/>
                      <w:color w:val="auto"/>
                      <w:spacing w:val="-10"/>
                      <w:sz w:val="22"/>
                      <w:szCs w:val="22"/>
                      <w:highlight w:val="none"/>
                    </w:rPr>
                    <w:t>t/a</w:t>
                  </w:r>
                  <w:r>
                    <w:rPr>
                      <w:rFonts w:hint="default" w:ascii="Times New Roman" w:hAnsi="Times New Roman" w:cs="Times New Roman"/>
                      <w:bCs/>
                      <w:color w:val="auto"/>
                      <w:spacing w:val="-10"/>
                      <w:sz w:val="22"/>
                      <w:szCs w:val="22"/>
                      <w:highlight w:val="none"/>
                      <w:lang w:eastAsia="zh-CN"/>
                    </w:rPr>
                    <w:t>）</w:t>
                  </w:r>
                </w:p>
              </w:tc>
              <w:tc>
                <w:tcPr>
                  <w:tcW w:w="290" w:type="pct"/>
                  <w:vAlign w:val="center"/>
                </w:tcPr>
                <w:p w14:paraId="742E5C5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r>
                    <w:rPr>
                      <w:rFonts w:hint="default" w:ascii="Times New Roman" w:hAnsi="Times New Roman" w:cs="Times New Roman"/>
                      <w:bCs/>
                      <w:color w:val="auto"/>
                      <w:spacing w:val="-10"/>
                      <w:sz w:val="22"/>
                      <w:szCs w:val="22"/>
                      <w:highlight w:val="none"/>
                    </w:rPr>
                    <w:t>处理能力m</w:t>
                  </w:r>
                  <w:r>
                    <w:rPr>
                      <w:rFonts w:hint="default" w:ascii="Times New Roman" w:hAnsi="Times New Roman" w:cs="Times New Roman"/>
                      <w:bCs/>
                      <w:color w:val="auto"/>
                      <w:spacing w:val="-10"/>
                      <w:sz w:val="22"/>
                      <w:szCs w:val="22"/>
                      <w:highlight w:val="none"/>
                      <w:vertAlign w:val="superscript"/>
                    </w:rPr>
                    <w:t>3</w:t>
                  </w:r>
                  <w:r>
                    <w:rPr>
                      <w:rFonts w:hint="default" w:ascii="Times New Roman" w:hAnsi="Times New Roman" w:cs="Times New Roman"/>
                      <w:bCs/>
                      <w:color w:val="auto"/>
                      <w:spacing w:val="-10"/>
                      <w:sz w:val="22"/>
                      <w:szCs w:val="22"/>
                      <w:highlight w:val="none"/>
                    </w:rPr>
                    <w:t>/d</w:t>
                  </w:r>
                </w:p>
              </w:tc>
              <w:tc>
                <w:tcPr>
                  <w:tcW w:w="288" w:type="pct"/>
                  <w:vAlign w:val="center"/>
                </w:tcPr>
                <w:p w14:paraId="720AA1A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r>
                    <w:rPr>
                      <w:rFonts w:hint="default" w:ascii="Times New Roman" w:hAnsi="Times New Roman" w:cs="Times New Roman"/>
                      <w:bCs/>
                      <w:color w:val="auto"/>
                      <w:spacing w:val="-10"/>
                      <w:sz w:val="22"/>
                      <w:szCs w:val="22"/>
                      <w:highlight w:val="none"/>
                    </w:rPr>
                    <w:t>治理工艺</w:t>
                  </w:r>
                </w:p>
              </w:tc>
              <w:tc>
                <w:tcPr>
                  <w:tcW w:w="293" w:type="pct"/>
                  <w:vAlign w:val="center"/>
                </w:tcPr>
                <w:p w14:paraId="25883FB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r>
                    <w:rPr>
                      <w:rFonts w:hint="default" w:ascii="Times New Roman" w:hAnsi="Times New Roman" w:cs="Times New Roman"/>
                      <w:bCs/>
                      <w:color w:val="auto"/>
                      <w:spacing w:val="-10"/>
                      <w:sz w:val="22"/>
                      <w:szCs w:val="22"/>
                      <w:highlight w:val="none"/>
                    </w:rPr>
                    <w:t>是否为可行技术</w:t>
                  </w:r>
                </w:p>
              </w:tc>
              <w:tc>
                <w:tcPr>
                  <w:tcW w:w="293" w:type="pct"/>
                  <w:vMerge w:val="continue"/>
                  <w:vAlign w:val="center"/>
                </w:tcPr>
                <w:p w14:paraId="03F9C0E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p>
              </w:tc>
              <w:tc>
                <w:tcPr>
                  <w:tcW w:w="300" w:type="pct"/>
                  <w:shd w:val="clear" w:color="auto" w:fill="auto"/>
                  <w:vAlign w:val="center"/>
                </w:tcPr>
                <w:p w14:paraId="4347671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color w:val="auto"/>
                      <w:spacing w:val="-10"/>
                      <w:kern w:val="2"/>
                      <w:sz w:val="22"/>
                      <w:szCs w:val="22"/>
                      <w:highlight w:val="none"/>
                      <w:lang w:val="en-US" w:eastAsia="zh-CN" w:bidi="ar-SA"/>
                    </w:rPr>
                  </w:pPr>
                  <w:r>
                    <w:rPr>
                      <w:rFonts w:hint="default" w:ascii="Times New Roman" w:hAnsi="Times New Roman" w:cs="Times New Roman"/>
                      <w:bCs/>
                      <w:color w:val="auto"/>
                      <w:spacing w:val="-10"/>
                      <w:sz w:val="22"/>
                      <w:szCs w:val="22"/>
                      <w:highlight w:val="none"/>
                    </w:rPr>
                    <w:t>浓</w:t>
                  </w:r>
                  <w:r>
                    <w:rPr>
                      <w:rFonts w:hint="default" w:ascii="Times New Roman" w:hAnsi="Times New Roman" w:cs="Times New Roman"/>
                      <w:bCs/>
                      <w:color w:val="auto"/>
                      <w:spacing w:val="-10"/>
                      <w:sz w:val="22"/>
                      <w:szCs w:val="22"/>
                      <w:highlight w:val="none"/>
                      <w:lang w:val="en-US" w:eastAsia="zh-CN"/>
                    </w:rPr>
                    <w:t>度</w:t>
                  </w:r>
                </w:p>
              </w:tc>
              <w:tc>
                <w:tcPr>
                  <w:tcW w:w="311" w:type="pct"/>
                  <w:shd w:val="clear" w:color="auto" w:fill="auto"/>
                  <w:vAlign w:val="center"/>
                </w:tcPr>
                <w:p w14:paraId="50BB1BA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color w:val="auto"/>
                      <w:spacing w:val="-10"/>
                      <w:kern w:val="2"/>
                      <w:sz w:val="22"/>
                      <w:szCs w:val="22"/>
                      <w:highlight w:val="none"/>
                      <w:lang w:val="en-US" w:eastAsia="zh-CN" w:bidi="ar-SA"/>
                    </w:rPr>
                  </w:pPr>
                  <w:r>
                    <w:rPr>
                      <w:rFonts w:hint="default" w:ascii="Times New Roman" w:hAnsi="Times New Roman" w:cs="Times New Roman"/>
                      <w:bCs/>
                      <w:color w:val="auto"/>
                      <w:spacing w:val="-10"/>
                      <w:sz w:val="22"/>
                      <w:szCs w:val="22"/>
                      <w:highlight w:val="none"/>
                    </w:rPr>
                    <w:t>排放量</w:t>
                  </w:r>
                  <w:r>
                    <w:rPr>
                      <w:rFonts w:hint="default" w:ascii="Times New Roman" w:hAnsi="Times New Roman" w:cs="Times New Roman"/>
                      <w:bCs/>
                      <w:color w:val="auto"/>
                      <w:spacing w:val="-10"/>
                      <w:sz w:val="22"/>
                      <w:szCs w:val="22"/>
                      <w:highlight w:val="none"/>
                      <w:lang w:eastAsia="zh-CN"/>
                    </w:rPr>
                    <w:t>（</w:t>
                  </w:r>
                  <w:r>
                    <w:rPr>
                      <w:rFonts w:hint="default" w:ascii="Times New Roman" w:hAnsi="Times New Roman" w:cs="Times New Roman"/>
                      <w:bCs/>
                      <w:color w:val="auto"/>
                      <w:spacing w:val="-10"/>
                      <w:sz w:val="22"/>
                      <w:szCs w:val="22"/>
                      <w:highlight w:val="none"/>
                    </w:rPr>
                    <w:t>t/a</w:t>
                  </w:r>
                  <w:r>
                    <w:rPr>
                      <w:rFonts w:hint="default" w:ascii="Times New Roman" w:hAnsi="Times New Roman" w:cs="Times New Roman"/>
                      <w:bCs/>
                      <w:color w:val="auto"/>
                      <w:spacing w:val="-10"/>
                      <w:sz w:val="22"/>
                      <w:szCs w:val="22"/>
                      <w:highlight w:val="none"/>
                      <w:lang w:eastAsia="zh-CN"/>
                    </w:rPr>
                    <w:t>）</w:t>
                  </w:r>
                </w:p>
              </w:tc>
              <w:tc>
                <w:tcPr>
                  <w:tcW w:w="224" w:type="pct"/>
                  <w:vMerge w:val="continue"/>
                  <w:vAlign w:val="center"/>
                </w:tcPr>
                <w:p w14:paraId="6463373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p>
              </w:tc>
              <w:tc>
                <w:tcPr>
                  <w:tcW w:w="320" w:type="pct"/>
                  <w:vMerge w:val="continue"/>
                  <w:vAlign w:val="center"/>
                </w:tcPr>
                <w:p w14:paraId="5F5AFF6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p>
              </w:tc>
              <w:tc>
                <w:tcPr>
                  <w:tcW w:w="186" w:type="pct"/>
                  <w:shd w:val="clear" w:color="auto" w:fill="auto"/>
                  <w:vAlign w:val="center"/>
                </w:tcPr>
                <w:p w14:paraId="4ADB348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color w:val="auto"/>
                      <w:spacing w:val="-10"/>
                      <w:kern w:val="2"/>
                      <w:sz w:val="22"/>
                      <w:szCs w:val="22"/>
                      <w:highlight w:val="none"/>
                      <w:lang w:val="en-US" w:eastAsia="zh-CN" w:bidi="ar-SA"/>
                    </w:rPr>
                  </w:pPr>
                  <w:r>
                    <w:rPr>
                      <w:rFonts w:hint="default" w:ascii="Times New Roman" w:hAnsi="Times New Roman" w:cs="Times New Roman"/>
                      <w:bCs/>
                      <w:color w:val="auto"/>
                      <w:spacing w:val="-10"/>
                      <w:sz w:val="22"/>
                      <w:szCs w:val="22"/>
                      <w:highlight w:val="none"/>
                    </w:rPr>
                    <w:t>浓</w:t>
                  </w:r>
                  <w:r>
                    <w:rPr>
                      <w:rFonts w:hint="default" w:ascii="Times New Roman" w:hAnsi="Times New Roman" w:cs="Times New Roman"/>
                      <w:bCs/>
                      <w:color w:val="auto"/>
                      <w:spacing w:val="-10"/>
                      <w:sz w:val="22"/>
                      <w:szCs w:val="22"/>
                      <w:highlight w:val="none"/>
                      <w:lang w:val="en-US" w:eastAsia="zh-CN"/>
                    </w:rPr>
                    <w:t>度</w:t>
                  </w:r>
                </w:p>
              </w:tc>
              <w:tc>
                <w:tcPr>
                  <w:tcW w:w="186" w:type="pct"/>
                  <w:shd w:val="clear" w:color="auto" w:fill="auto"/>
                  <w:vAlign w:val="center"/>
                </w:tcPr>
                <w:p w14:paraId="2D4D3C0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color w:val="auto"/>
                      <w:spacing w:val="-10"/>
                      <w:kern w:val="2"/>
                      <w:sz w:val="22"/>
                      <w:szCs w:val="22"/>
                      <w:highlight w:val="none"/>
                      <w:lang w:val="en-US" w:eastAsia="zh-CN" w:bidi="ar-SA"/>
                    </w:rPr>
                  </w:pPr>
                  <w:r>
                    <w:rPr>
                      <w:rFonts w:hint="default" w:ascii="Times New Roman" w:hAnsi="Times New Roman" w:cs="Times New Roman"/>
                      <w:bCs/>
                      <w:color w:val="auto"/>
                      <w:spacing w:val="-10"/>
                      <w:sz w:val="22"/>
                      <w:szCs w:val="22"/>
                      <w:highlight w:val="none"/>
                    </w:rPr>
                    <w:t>排放量</w:t>
                  </w:r>
                  <w:r>
                    <w:rPr>
                      <w:rFonts w:hint="default" w:ascii="Times New Roman" w:hAnsi="Times New Roman" w:cs="Times New Roman"/>
                      <w:bCs/>
                      <w:color w:val="auto"/>
                      <w:spacing w:val="-10"/>
                      <w:sz w:val="22"/>
                      <w:szCs w:val="22"/>
                      <w:highlight w:val="none"/>
                      <w:lang w:eastAsia="zh-CN"/>
                    </w:rPr>
                    <w:t>（</w:t>
                  </w:r>
                  <w:r>
                    <w:rPr>
                      <w:rFonts w:hint="default" w:ascii="Times New Roman" w:hAnsi="Times New Roman" w:cs="Times New Roman"/>
                      <w:bCs/>
                      <w:color w:val="auto"/>
                      <w:spacing w:val="-10"/>
                      <w:sz w:val="22"/>
                      <w:szCs w:val="22"/>
                      <w:highlight w:val="none"/>
                    </w:rPr>
                    <w:t>t/a</w:t>
                  </w:r>
                  <w:r>
                    <w:rPr>
                      <w:rFonts w:hint="default" w:ascii="Times New Roman" w:hAnsi="Times New Roman" w:cs="Times New Roman"/>
                      <w:bCs/>
                      <w:color w:val="auto"/>
                      <w:spacing w:val="-10"/>
                      <w:sz w:val="22"/>
                      <w:szCs w:val="22"/>
                      <w:highlight w:val="none"/>
                      <w:lang w:eastAsia="zh-CN"/>
                    </w:rPr>
                    <w:t>）</w:t>
                  </w:r>
                </w:p>
              </w:tc>
              <w:tc>
                <w:tcPr>
                  <w:tcW w:w="186" w:type="pct"/>
                  <w:vMerge w:val="continue"/>
                  <w:vAlign w:val="center"/>
                </w:tcPr>
                <w:p w14:paraId="6A67AE6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p>
              </w:tc>
              <w:tc>
                <w:tcPr>
                  <w:tcW w:w="231" w:type="pct"/>
                  <w:vAlign w:val="center"/>
                </w:tcPr>
                <w:p w14:paraId="7617D5B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r>
                    <w:rPr>
                      <w:rFonts w:hint="default" w:ascii="Times New Roman" w:hAnsi="Times New Roman" w:cs="Times New Roman"/>
                      <w:bCs/>
                      <w:color w:val="auto"/>
                      <w:spacing w:val="-10"/>
                      <w:sz w:val="22"/>
                      <w:szCs w:val="22"/>
                      <w:highlight w:val="none"/>
                    </w:rPr>
                    <w:t>编号及名称</w:t>
                  </w:r>
                </w:p>
              </w:tc>
              <w:tc>
                <w:tcPr>
                  <w:tcW w:w="142" w:type="pct"/>
                  <w:vAlign w:val="center"/>
                </w:tcPr>
                <w:p w14:paraId="515D3E2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r>
                    <w:rPr>
                      <w:rFonts w:hint="default" w:ascii="Times New Roman" w:hAnsi="Times New Roman" w:cs="Times New Roman"/>
                      <w:bCs/>
                      <w:color w:val="auto"/>
                      <w:spacing w:val="-10"/>
                      <w:sz w:val="22"/>
                      <w:szCs w:val="22"/>
                      <w:highlight w:val="none"/>
                    </w:rPr>
                    <w:t>类型</w:t>
                  </w:r>
                </w:p>
              </w:tc>
              <w:tc>
                <w:tcPr>
                  <w:tcW w:w="246" w:type="pct"/>
                  <w:vAlign w:val="center"/>
                </w:tcPr>
                <w:p w14:paraId="3B55775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r>
                    <w:rPr>
                      <w:rFonts w:hint="default" w:ascii="Times New Roman" w:hAnsi="Times New Roman" w:cs="Times New Roman"/>
                      <w:bCs/>
                      <w:color w:val="auto"/>
                      <w:spacing w:val="-10"/>
                      <w:sz w:val="22"/>
                      <w:szCs w:val="22"/>
                      <w:highlight w:val="none"/>
                    </w:rPr>
                    <w:t>地理坐标</w:t>
                  </w:r>
                </w:p>
              </w:tc>
              <w:tc>
                <w:tcPr>
                  <w:tcW w:w="236" w:type="pct"/>
                  <w:vMerge w:val="continue"/>
                  <w:vAlign w:val="center"/>
                </w:tcPr>
                <w:p w14:paraId="455AB23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p>
              </w:tc>
            </w:tr>
            <w:tr w14:paraId="250C7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6" w:type="pct"/>
                  <w:vMerge w:val="restart"/>
                  <w:vAlign w:val="center"/>
                </w:tcPr>
                <w:p w14:paraId="48A1174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r>
                    <w:rPr>
                      <w:rFonts w:hint="default" w:ascii="Times New Roman" w:hAnsi="Times New Roman" w:cs="Times New Roman"/>
                      <w:i w:val="0"/>
                      <w:strike w:val="0"/>
                      <w:dstrike w:val="0"/>
                      <w:color w:val="auto"/>
                      <w:kern w:val="0"/>
                      <w:sz w:val="22"/>
                      <w:szCs w:val="22"/>
                      <w:highlight w:val="none"/>
                      <w:u w:val="none"/>
                      <w:lang w:val="en-US" w:eastAsia="zh-CN" w:bidi="ar"/>
                    </w:rPr>
                    <w:t>生活污水</w:t>
                  </w:r>
                </w:p>
              </w:tc>
              <w:tc>
                <w:tcPr>
                  <w:tcW w:w="224" w:type="pct"/>
                  <w:vMerge w:val="restart"/>
                  <w:vAlign w:val="center"/>
                </w:tcPr>
                <w:p w14:paraId="108EAB1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i w:val="0"/>
                      <w:strike w:val="0"/>
                      <w:dstrike w:val="0"/>
                      <w:color w:val="auto"/>
                      <w:kern w:val="0"/>
                      <w:sz w:val="22"/>
                      <w:szCs w:val="22"/>
                      <w:highlight w:val="none"/>
                      <w:u w:val="none"/>
                      <w:lang w:val="en-US" w:eastAsia="zh-CN" w:bidi="ar"/>
                    </w:rPr>
                  </w:pPr>
                  <w:r>
                    <w:rPr>
                      <w:rFonts w:hint="eastAsia" w:ascii="Times New Roman" w:hAnsi="Times New Roman" w:cs="Times New Roman"/>
                      <w:color w:val="auto"/>
                      <w:sz w:val="22"/>
                      <w:szCs w:val="22"/>
                      <w:lang w:val="en-US" w:eastAsia="zh-CN"/>
                    </w:rPr>
                    <w:t>648</w:t>
                  </w:r>
                </w:p>
              </w:tc>
              <w:tc>
                <w:tcPr>
                  <w:tcW w:w="293" w:type="pct"/>
                  <w:vAlign w:val="center"/>
                </w:tcPr>
                <w:p w14:paraId="1C7F4A2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highlight w:val="none"/>
                    </w:rPr>
                    <w:t>COD</w:t>
                  </w:r>
                </w:p>
              </w:tc>
              <w:tc>
                <w:tcPr>
                  <w:tcW w:w="218" w:type="pct"/>
                  <w:vAlign w:val="center"/>
                </w:tcPr>
                <w:p w14:paraId="2E9F0CA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eastAsia" w:ascii="Times New Roman" w:hAnsi="Times New Roman" w:cs="Times New Roman"/>
                      <w:i w:val="0"/>
                      <w:color w:val="auto"/>
                      <w:kern w:val="0"/>
                      <w:sz w:val="22"/>
                      <w:szCs w:val="22"/>
                      <w:highlight w:val="none"/>
                      <w:u w:val="none"/>
                      <w:lang w:val="en-US" w:eastAsia="zh-CN" w:bidi="ar"/>
                    </w:rPr>
                    <w:t>550</w:t>
                  </w:r>
                </w:p>
              </w:tc>
              <w:tc>
                <w:tcPr>
                  <w:tcW w:w="306" w:type="pct"/>
                  <w:vAlign w:val="center"/>
                </w:tcPr>
                <w:p w14:paraId="436435F5">
                  <w:pPr>
                    <w:pStyle w:val="28"/>
                    <w:keepNext w:val="0"/>
                    <w:keepLines w:val="0"/>
                    <w:pageBreakBefore w:val="0"/>
                    <w:kinsoku/>
                    <w:wordWrap/>
                    <w:overflowPunct/>
                    <w:topLinePunct w:val="0"/>
                    <w:autoSpaceDE/>
                    <w:autoSpaceDN/>
                    <w:bidi w:val="0"/>
                    <w:adjustRightInd w:val="0"/>
                    <w:snapToGrid w:val="0"/>
                    <w:ind w:left="0" w:leftChars="0"/>
                    <w:jc w:val="center"/>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0.356</w:t>
                  </w:r>
                </w:p>
              </w:tc>
              <w:tc>
                <w:tcPr>
                  <w:tcW w:w="290" w:type="pct"/>
                  <w:vMerge w:val="restart"/>
                  <w:vAlign w:val="center"/>
                </w:tcPr>
                <w:p w14:paraId="13C9AA2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r>
                    <w:rPr>
                      <w:rFonts w:hint="eastAsia" w:cs="Times New Roman"/>
                      <w:bCs/>
                      <w:color w:val="auto"/>
                      <w:spacing w:val="-10"/>
                      <w:sz w:val="22"/>
                      <w:szCs w:val="22"/>
                      <w:highlight w:val="none"/>
                      <w:lang w:val="en-US" w:eastAsia="zh-CN"/>
                    </w:rPr>
                    <w:t>60</w:t>
                  </w:r>
                  <w:bookmarkStart w:id="3" w:name="_GoBack"/>
                  <w:bookmarkEnd w:id="3"/>
                </w:p>
              </w:tc>
              <w:tc>
                <w:tcPr>
                  <w:tcW w:w="288" w:type="pct"/>
                  <w:vMerge w:val="restart"/>
                  <w:vAlign w:val="center"/>
                </w:tcPr>
                <w:p w14:paraId="0330988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r>
                    <w:rPr>
                      <w:rFonts w:hint="default" w:ascii="Times New Roman" w:hAnsi="Times New Roman" w:cs="Times New Roman"/>
                      <w:bCs/>
                      <w:color w:val="auto"/>
                      <w:spacing w:val="-10"/>
                      <w:sz w:val="22"/>
                      <w:szCs w:val="22"/>
                      <w:highlight w:val="none"/>
                      <w:lang w:val="en-US" w:eastAsia="zh-CN"/>
                    </w:rPr>
                    <w:t>生化池</w:t>
                  </w:r>
                </w:p>
              </w:tc>
              <w:tc>
                <w:tcPr>
                  <w:tcW w:w="293" w:type="pct"/>
                  <w:vMerge w:val="restart"/>
                  <w:vAlign w:val="center"/>
                </w:tcPr>
                <w:p w14:paraId="0A5A60E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r>
                    <w:rPr>
                      <w:rFonts w:hint="default" w:ascii="Times New Roman" w:hAnsi="Times New Roman" w:cs="Times New Roman"/>
                      <w:bCs/>
                      <w:color w:val="auto"/>
                      <w:spacing w:val="-10"/>
                      <w:sz w:val="22"/>
                      <w:szCs w:val="22"/>
                      <w:highlight w:val="none"/>
                    </w:rPr>
                    <w:t>是</w:t>
                  </w:r>
                </w:p>
              </w:tc>
              <w:tc>
                <w:tcPr>
                  <w:tcW w:w="293" w:type="pct"/>
                  <w:vMerge w:val="restart"/>
                  <w:vAlign w:val="center"/>
                </w:tcPr>
                <w:p w14:paraId="1477B23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i w:val="0"/>
                      <w:color w:val="auto"/>
                      <w:kern w:val="0"/>
                      <w:sz w:val="22"/>
                      <w:szCs w:val="22"/>
                      <w:highlight w:val="none"/>
                      <w:u w:val="none"/>
                      <w:lang w:val="en-US" w:eastAsia="zh-CN" w:bidi="ar"/>
                    </w:rPr>
                  </w:pPr>
                  <w:r>
                    <w:rPr>
                      <w:rFonts w:hint="eastAsia" w:ascii="Times New Roman" w:hAnsi="Times New Roman" w:cs="Times New Roman"/>
                      <w:i w:val="0"/>
                      <w:color w:val="auto"/>
                      <w:kern w:val="0"/>
                      <w:sz w:val="22"/>
                      <w:szCs w:val="22"/>
                      <w:highlight w:val="none"/>
                      <w:u w:val="none"/>
                      <w:lang w:val="en-US" w:eastAsia="zh-CN" w:bidi="ar"/>
                    </w:rPr>
                    <w:t>648</w:t>
                  </w:r>
                </w:p>
              </w:tc>
              <w:tc>
                <w:tcPr>
                  <w:tcW w:w="300" w:type="pct"/>
                  <w:vAlign w:val="center"/>
                </w:tcPr>
                <w:p w14:paraId="0A93FE1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500</w:t>
                  </w:r>
                </w:p>
              </w:tc>
              <w:tc>
                <w:tcPr>
                  <w:tcW w:w="311" w:type="pct"/>
                  <w:vAlign w:val="center"/>
                </w:tcPr>
                <w:p w14:paraId="3F758C4C">
                  <w:pPr>
                    <w:pStyle w:val="28"/>
                    <w:keepNext w:val="0"/>
                    <w:keepLines w:val="0"/>
                    <w:pageBreakBefore w:val="0"/>
                    <w:kinsoku/>
                    <w:wordWrap/>
                    <w:overflowPunct/>
                    <w:topLinePunct w:val="0"/>
                    <w:autoSpaceDE/>
                    <w:autoSpaceDN/>
                    <w:bidi w:val="0"/>
                    <w:adjustRightInd w:val="0"/>
                    <w:snapToGrid w:val="0"/>
                    <w:ind w:left="0" w:leftChars="0"/>
                    <w:jc w:val="center"/>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0.324</w:t>
                  </w:r>
                </w:p>
              </w:tc>
              <w:tc>
                <w:tcPr>
                  <w:tcW w:w="224" w:type="pct"/>
                  <w:vMerge w:val="restart"/>
                  <w:vAlign w:val="center"/>
                </w:tcPr>
                <w:p w14:paraId="417D130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r>
                    <w:rPr>
                      <w:rFonts w:hint="default" w:ascii="Times New Roman" w:hAnsi="Times New Roman" w:cs="Times New Roman"/>
                      <w:bCs/>
                      <w:color w:val="auto"/>
                      <w:spacing w:val="-10"/>
                      <w:sz w:val="22"/>
                      <w:szCs w:val="22"/>
                      <w:highlight w:val="none"/>
                    </w:rPr>
                    <w:t>连续排放</w:t>
                  </w:r>
                </w:p>
              </w:tc>
              <w:tc>
                <w:tcPr>
                  <w:tcW w:w="320" w:type="pct"/>
                  <w:vMerge w:val="restart"/>
                  <w:vAlign w:val="center"/>
                </w:tcPr>
                <w:p w14:paraId="07ECDE0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color w:val="auto"/>
                      <w:spacing w:val="-10"/>
                      <w:kern w:val="2"/>
                      <w:sz w:val="22"/>
                      <w:szCs w:val="22"/>
                      <w:highlight w:val="none"/>
                      <w:lang w:val="en-US" w:eastAsia="zh-CN" w:bidi="ar-SA"/>
                    </w:rPr>
                  </w:pPr>
                  <w:r>
                    <w:rPr>
                      <w:rFonts w:hint="default" w:ascii="Times New Roman" w:hAnsi="Times New Roman" w:cs="Times New Roman"/>
                      <w:bCs/>
                      <w:color w:val="auto"/>
                      <w:spacing w:val="-10"/>
                      <w:sz w:val="22"/>
                      <w:szCs w:val="22"/>
                      <w:highlight w:val="none"/>
                      <w:lang w:val="en-US" w:eastAsia="zh-CN"/>
                    </w:rPr>
                    <w:t>进入</w:t>
                  </w:r>
                  <w:r>
                    <w:rPr>
                      <w:rFonts w:hint="eastAsia" w:cs="Times New Roman"/>
                      <w:bCs/>
                      <w:color w:val="auto"/>
                      <w:spacing w:val="-10"/>
                      <w:sz w:val="22"/>
                      <w:szCs w:val="22"/>
                      <w:highlight w:val="none"/>
                      <w:lang w:val="en-US" w:eastAsia="zh-CN"/>
                    </w:rPr>
                    <w:t>农创园污水处理厂</w:t>
                  </w:r>
                </w:p>
              </w:tc>
              <w:tc>
                <w:tcPr>
                  <w:tcW w:w="186" w:type="pct"/>
                  <w:vAlign w:val="center"/>
                </w:tcPr>
                <w:p w14:paraId="357E0B5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r>
                    <w:rPr>
                      <w:rFonts w:hint="eastAsia" w:ascii="Times New Roman" w:hAnsi="Times New Roman" w:cs="Times New Roman"/>
                      <w:bCs/>
                      <w:color w:val="auto"/>
                      <w:spacing w:val="-10"/>
                      <w:sz w:val="22"/>
                      <w:szCs w:val="22"/>
                      <w:highlight w:val="none"/>
                      <w:lang w:val="en-US" w:eastAsia="zh-CN"/>
                    </w:rPr>
                    <w:t>60</w:t>
                  </w:r>
                </w:p>
              </w:tc>
              <w:tc>
                <w:tcPr>
                  <w:tcW w:w="186" w:type="pct"/>
                  <w:vAlign w:val="center"/>
                </w:tcPr>
                <w:p w14:paraId="00A3C17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r>
                    <w:rPr>
                      <w:rFonts w:hint="eastAsia" w:ascii="Times New Roman" w:hAnsi="Times New Roman" w:cs="Times New Roman"/>
                      <w:bCs/>
                      <w:color w:val="auto"/>
                      <w:spacing w:val="-10"/>
                      <w:sz w:val="22"/>
                      <w:szCs w:val="22"/>
                      <w:highlight w:val="none"/>
                      <w:lang w:val="en-US" w:eastAsia="zh-CN"/>
                    </w:rPr>
                    <w:t>0.039</w:t>
                  </w:r>
                </w:p>
              </w:tc>
              <w:tc>
                <w:tcPr>
                  <w:tcW w:w="186" w:type="pct"/>
                  <w:vMerge w:val="restart"/>
                  <w:vAlign w:val="center"/>
                </w:tcPr>
                <w:p w14:paraId="4A04C7E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r>
                    <w:rPr>
                      <w:rFonts w:hint="default" w:ascii="Times New Roman" w:hAnsi="Times New Roman" w:cs="Times New Roman"/>
                      <w:bCs/>
                      <w:color w:val="auto"/>
                      <w:spacing w:val="-10"/>
                      <w:sz w:val="22"/>
                      <w:szCs w:val="22"/>
                      <w:highlight w:val="none"/>
                      <w:lang w:val="en-US" w:eastAsia="zh-CN"/>
                    </w:rPr>
                    <w:t>连续</w:t>
                  </w:r>
                </w:p>
              </w:tc>
              <w:tc>
                <w:tcPr>
                  <w:tcW w:w="231" w:type="pct"/>
                  <w:vMerge w:val="restart"/>
                  <w:vAlign w:val="center"/>
                </w:tcPr>
                <w:p w14:paraId="0DBAC48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r>
                    <w:rPr>
                      <w:rFonts w:hint="default" w:ascii="Times New Roman" w:hAnsi="Times New Roman" w:cs="Times New Roman"/>
                      <w:bCs/>
                      <w:color w:val="auto"/>
                      <w:spacing w:val="-10"/>
                      <w:sz w:val="22"/>
                      <w:szCs w:val="22"/>
                      <w:highlight w:val="none"/>
                      <w:lang w:val="en-US" w:eastAsia="zh-CN"/>
                    </w:rPr>
                    <w:t>DW001</w:t>
                  </w:r>
                  <w:r>
                    <w:rPr>
                      <w:rFonts w:hint="eastAsia" w:ascii="Times New Roman" w:hAnsi="Times New Roman" w:cs="Times New Roman"/>
                      <w:bCs/>
                      <w:color w:val="auto"/>
                      <w:spacing w:val="-10"/>
                      <w:sz w:val="22"/>
                      <w:szCs w:val="22"/>
                      <w:highlight w:val="none"/>
                      <w:lang w:val="en-US" w:eastAsia="zh-CN"/>
                    </w:rPr>
                    <w:t>（依托现有排口）</w:t>
                  </w:r>
                </w:p>
              </w:tc>
              <w:tc>
                <w:tcPr>
                  <w:tcW w:w="142" w:type="pct"/>
                  <w:vMerge w:val="restart"/>
                  <w:vAlign w:val="center"/>
                </w:tcPr>
                <w:p w14:paraId="6A2EDA5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r>
                    <w:rPr>
                      <w:rFonts w:hint="default" w:ascii="Times New Roman" w:hAnsi="Times New Roman" w:cs="Times New Roman"/>
                      <w:bCs/>
                      <w:color w:val="auto"/>
                      <w:spacing w:val="-10"/>
                      <w:sz w:val="22"/>
                      <w:szCs w:val="22"/>
                      <w:highlight w:val="none"/>
                      <w:lang w:val="en-US" w:eastAsia="zh-CN"/>
                    </w:rPr>
                    <w:t>一般排放口</w:t>
                  </w:r>
                </w:p>
              </w:tc>
              <w:tc>
                <w:tcPr>
                  <w:tcW w:w="246" w:type="pct"/>
                  <w:vMerge w:val="restart"/>
                  <w:vAlign w:val="center"/>
                </w:tcPr>
                <w:p w14:paraId="04CD689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sz w:val="22"/>
                      <w:szCs w:val="22"/>
                      <w:highlight w:val="none"/>
                      <w:lang w:val="en-US" w:eastAsia="zh-CN"/>
                    </w:rPr>
                  </w:pPr>
                  <w:r>
                    <w:rPr>
                      <w:rFonts w:hint="default" w:ascii="Times New Roman" w:hAnsi="Times New Roman" w:cs="Times New Roman"/>
                      <w:color w:val="auto"/>
                      <w:sz w:val="22"/>
                      <w:szCs w:val="22"/>
                      <w:highlight w:val="none"/>
                      <w:lang w:val="en-US" w:eastAsia="zh-CN"/>
                    </w:rPr>
                    <w:t>106.396926633,29.997710295</w:t>
                  </w:r>
                </w:p>
              </w:tc>
              <w:tc>
                <w:tcPr>
                  <w:tcW w:w="236" w:type="pct"/>
                  <w:vMerge w:val="restart"/>
                  <w:vAlign w:val="center"/>
                </w:tcPr>
                <w:p w14:paraId="43E6039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color w:val="auto"/>
                      <w:spacing w:val="-10"/>
                      <w:kern w:val="2"/>
                      <w:sz w:val="22"/>
                      <w:szCs w:val="22"/>
                      <w:highlight w:val="none"/>
                      <w:lang w:val="en-US" w:eastAsia="zh-CN" w:bidi="ar-SA"/>
                    </w:rPr>
                  </w:pPr>
                  <w:r>
                    <w:rPr>
                      <w:rFonts w:hint="default" w:ascii="Times New Roman" w:hAnsi="Times New Roman" w:cs="Times New Roman"/>
                      <w:bCs/>
                      <w:color w:val="auto"/>
                      <w:spacing w:val="-10"/>
                      <w:sz w:val="22"/>
                      <w:szCs w:val="22"/>
                      <w:highlight w:val="none"/>
                      <w:lang w:val="en-US" w:eastAsia="zh-CN"/>
                    </w:rPr>
                    <w:t>《污水综合排放标准》（GB8978-1996）三级标准</w:t>
                  </w:r>
                </w:p>
              </w:tc>
            </w:tr>
            <w:tr w14:paraId="128A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6" w:type="pct"/>
                  <w:vMerge w:val="continue"/>
                  <w:vAlign w:val="center"/>
                </w:tcPr>
                <w:p w14:paraId="1146CB5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p>
              </w:tc>
              <w:tc>
                <w:tcPr>
                  <w:tcW w:w="224" w:type="pct"/>
                  <w:vMerge w:val="continue"/>
                  <w:vAlign w:val="center"/>
                </w:tcPr>
                <w:p w14:paraId="5AF98AC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i w:val="0"/>
                      <w:strike w:val="0"/>
                      <w:dstrike w:val="0"/>
                      <w:color w:val="auto"/>
                      <w:kern w:val="0"/>
                      <w:sz w:val="22"/>
                      <w:szCs w:val="22"/>
                      <w:highlight w:val="none"/>
                      <w:u w:val="none"/>
                      <w:lang w:val="en-US" w:eastAsia="zh-CN" w:bidi="ar"/>
                    </w:rPr>
                  </w:pPr>
                </w:p>
              </w:tc>
              <w:tc>
                <w:tcPr>
                  <w:tcW w:w="293" w:type="pct"/>
                  <w:vAlign w:val="center"/>
                </w:tcPr>
                <w:p w14:paraId="1AEDE4C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highlight w:val="none"/>
                    </w:rPr>
                    <w:t>BOD</w:t>
                  </w:r>
                  <w:r>
                    <w:rPr>
                      <w:rFonts w:hint="default" w:ascii="Times New Roman" w:hAnsi="Times New Roman" w:cs="Times New Roman"/>
                      <w:color w:val="auto"/>
                      <w:sz w:val="22"/>
                      <w:szCs w:val="22"/>
                      <w:highlight w:val="none"/>
                      <w:vertAlign w:val="subscript"/>
                    </w:rPr>
                    <w:t>5</w:t>
                  </w:r>
                </w:p>
              </w:tc>
              <w:tc>
                <w:tcPr>
                  <w:tcW w:w="218" w:type="pct"/>
                  <w:vAlign w:val="center"/>
                </w:tcPr>
                <w:p w14:paraId="21B3C76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eastAsia" w:ascii="Times New Roman" w:hAnsi="Times New Roman" w:cs="Times New Roman"/>
                      <w:i w:val="0"/>
                      <w:color w:val="auto"/>
                      <w:kern w:val="0"/>
                      <w:sz w:val="22"/>
                      <w:szCs w:val="22"/>
                      <w:highlight w:val="none"/>
                      <w:u w:val="none"/>
                      <w:lang w:val="en-US" w:eastAsia="zh-CN" w:bidi="ar"/>
                    </w:rPr>
                    <w:t>3</w:t>
                  </w:r>
                  <w:r>
                    <w:rPr>
                      <w:rFonts w:hint="default" w:ascii="Times New Roman" w:hAnsi="Times New Roman" w:eastAsia="宋体" w:cs="Times New Roman"/>
                      <w:i w:val="0"/>
                      <w:color w:val="auto"/>
                      <w:kern w:val="0"/>
                      <w:sz w:val="22"/>
                      <w:szCs w:val="22"/>
                      <w:highlight w:val="none"/>
                      <w:u w:val="none"/>
                      <w:lang w:val="en-US" w:eastAsia="zh-CN" w:bidi="ar"/>
                    </w:rPr>
                    <w:t>50</w:t>
                  </w:r>
                </w:p>
              </w:tc>
              <w:tc>
                <w:tcPr>
                  <w:tcW w:w="306" w:type="pct"/>
                  <w:vAlign w:val="center"/>
                </w:tcPr>
                <w:p w14:paraId="79C3A8A8">
                  <w:pPr>
                    <w:pStyle w:val="28"/>
                    <w:keepNext w:val="0"/>
                    <w:keepLines w:val="0"/>
                    <w:pageBreakBefore w:val="0"/>
                    <w:kinsoku/>
                    <w:wordWrap/>
                    <w:overflowPunct/>
                    <w:topLinePunct w:val="0"/>
                    <w:autoSpaceDE/>
                    <w:autoSpaceDN/>
                    <w:bidi w:val="0"/>
                    <w:adjustRightInd w:val="0"/>
                    <w:snapToGrid w:val="0"/>
                    <w:ind w:left="0" w:leftChars="0"/>
                    <w:jc w:val="center"/>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0.227</w:t>
                  </w:r>
                </w:p>
              </w:tc>
              <w:tc>
                <w:tcPr>
                  <w:tcW w:w="290" w:type="pct"/>
                  <w:vMerge w:val="continue"/>
                  <w:vAlign w:val="center"/>
                </w:tcPr>
                <w:p w14:paraId="23E59FC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p>
              </w:tc>
              <w:tc>
                <w:tcPr>
                  <w:tcW w:w="288" w:type="pct"/>
                  <w:vMerge w:val="continue"/>
                  <w:vAlign w:val="center"/>
                </w:tcPr>
                <w:p w14:paraId="668B974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p>
              </w:tc>
              <w:tc>
                <w:tcPr>
                  <w:tcW w:w="293" w:type="pct"/>
                  <w:vMerge w:val="continue"/>
                  <w:vAlign w:val="center"/>
                </w:tcPr>
                <w:p w14:paraId="74ED279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p>
              </w:tc>
              <w:tc>
                <w:tcPr>
                  <w:tcW w:w="293" w:type="pct"/>
                  <w:vMerge w:val="continue"/>
                  <w:vAlign w:val="center"/>
                </w:tcPr>
                <w:p w14:paraId="73EA2E1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i w:val="0"/>
                      <w:color w:val="auto"/>
                      <w:kern w:val="0"/>
                      <w:sz w:val="22"/>
                      <w:szCs w:val="22"/>
                      <w:highlight w:val="none"/>
                      <w:u w:val="none"/>
                      <w:lang w:val="en-US" w:eastAsia="zh-CN" w:bidi="ar"/>
                    </w:rPr>
                  </w:pPr>
                </w:p>
              </w:tc>
              <w:tc>
                <w:tcPr>
                  <w:tcW w:w="300" w:type="pct"/>
                  <w:vAlign w:val="center"/>
                </w:tcPr>
                <w:p w14:paraId="011CAB9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300</w:t>
                  </w:r>
                </w:p>
              </w:tc>
              <w:tc>
                <w:tcPr>
                  <w:tcW w:w="311" w:type="pct"/>
                  <w:vAlign w:val="center"/>
                </w:tcPr>
                <w:p w14:paraId="59C1E27F">
                  <w:pPr>
                    <w:pStyle w:val="28"/>
                    <w:keepNext w:val="0"/>
                    <w:keepLines w:val="0"/>
                    <w:pageBreakBefore w:val="0"/>
                    <w:kinsoku/>
                    <w:wordWrap/>
                    <w:overflowPunct/>
                    <w:topLinePunct w:val="0"/>
                    <w:autoSpaceDE/>
                    <w:autoSpaceDN/>
                    <w:bidi w:val="0"/>
                    <w:adjustRightInd w:val="0"/>
                    <w:snapToGrid w:val="0"/>
                    <w:ind w:left="0" w:leftChars="0"/>
                    <w:jc w:val="center"/>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0.194</w:t>
                  </w:r>
                </w:p>
              </w:tc>
              <w:tc>
                <w:tcPr>
                  <w:tcW w:w="224" w:type="pct"/>
                  <w:vMerge w:val="continue"/>
                  <w:vAlign w:val="center"/>
                </w:tcPr>
                <w:p w14:paraId="747AA21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p>
              </w:tc>
              <w:tc>
                <w:tcPr>
                  <w:tcW w:w="320" w:type="pct"/>
                  <w:vMerge w:val="continue"/>
                  <w:vAlign w:val="center"/>
                </w:tcPr>
                <w:p w14:paraId="0DB3C7D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p>
              </w:tc>
              <w:tc>
                <w:tcPr>
                  <w:tcW w:w="186" w:type="pct"/>
                  <w:vAlign w:val="center"/>
                </w:tcPr>
                <w:p w14:paraId="2539BB9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r>
                    <w:rPr>
                      <w:rFonts w:hint="eastAsia" w:ascii="Times New Roman" w:hAnsi="Times New Roman" w:cs="Times New Roman"/>
                      <w:bCs/>
                      <w:color w:val="auto"/>
                      <w:spacing w:val="-10"/>
                      <w:sz w:val="22"/>
                      <w:szCs w:val="22"/>
                      <w:highlight w:val="none"/>
                      <w:lang w:val="en-US" w:eastAsia="zh-CN"/>
                    </w:rPr>
                    <w:t>20</w:t>
                  </w:r>
                </w:p>
              </w:tc>
              <w:tc>
                <w:tcPr>
                  <w:tcW w:w="186" w:type="pct"/>
                  <w:vAlign w:val="center"/>
                </w:tcPr>
                <w:p w14:paraId="51C9DA2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r>
                    <w:rPr>
                      <w:rFonts w:hint="eastAsia" w:ascii="Times New Roman" w:hAnsi="Times New Roman" w:cs="Times New Roman"/>
                      <w:bCs/>
                      <w:color w:val="auto"/>
                      <w:spacing w:val="-10"/>
                      <w:sz w:val="22"/>
                      <w:szCs w:val="22"/>
                      <w:highlight w:val="none"/>
                      <w:lang w:val="en-US" w:eastAsia="zh-CN"/>
                    </w:rPr>
                    <w:t>0.013</w:t>
                  </w:r>
                </w:p>
              </w:tc>
              <w:tc>
                <w:tcPr>
                  <w:tcW w:w="186" w:type="pct"/>
                  <w:vMerge w:val="continue"/>
                  <w:vAlign w:val="center"/>
                </w:tcPr>
                <w:p w14:paraId="686C28B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p>
              </w:tc>
              <w:tc>
                <w:tcPr>
                  <w:tcW w:w="231" w:type="pct"/>
                  <w:vMerge w:val="continue"/>
                  <w:vAlign w:val="center"/>
                </w:tcPr>
                <w:p w14:paraId="71063D3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p>
              </w:tc>
              <w:tc>
                <w:tcPr>
                  <w:tcW w:w="142" w:type="pct"/>
                  <w:vMerge w:val="continue"/>
                  <w:vAlign w:val="center"/>
                </w:tcPr>
                <w:p w14:paraId="2FD3320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p>
              </w:tc>
              <w:tc>
                <w:tcPr>
                  <w:tcW w:w="246" w:type="pct"/>
                  <w:vMerge w:val="continue"/>
                  <w:vAlign w:val="center"/>
                </w:tcPr>
                <w:p w14:paraId="32B66FD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sz w:val="22"/>
                      <w:szCs w:val="22"/>
                      <w:highlight w:val="none"/>
                      <w:lang w:eastAsia="zh-CN"/>
                    </w:rPr>
                  </w:pPr>
                </w:p>
              </w:tc>
              <w:tc>
                <w:tcPr>
                  <w:tcW w:w="236" w:type="pct"/>
                  <w:vMerge w:val="continue"/>
                  <w:vAlign w:val="center"/>
                </w:tcPr>
                <w:p w14:paraId="6162A1D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p>
              </w:tc>
            </w:tr>
            <w:tr w14:paraId="7A7F5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6" w:type="pct"/>
                  <w:vMerge w:val="continue"/>
                  <w:vAlign w:val="center"/>
                </w:tcPr>
                <w:p w14:paraId="61840E6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p>
              </w:tc>
              <w:tc>
                <w:tcPr>
                  <w:tcW w:w="224" w:type="pct"/>
                  <w:vMerge w:val="continue"/>
                  <w:vAlign w:val="center"/>
                </w:tcPr>
                <w:p w14:paraId="7D13025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i w:val="0"/>
                      <w:strike w:val="0"/>
                      <w:dstrike w:val="0"/>
                      <w:color w:val="auto"/>
                      <w:kern w:val="0"/>
                      <w:sz w:val="22"/>
                      <w:szCs w:val="22"/>
                      <w:highlight w:val="none"/>
                      <w:u w:val="none"/>
                      <w:lang w:val="en-US" w:eastAsia="zh-CN" w:bidi="ar"/>
                    </w:rPr>
                  </w:pPr>
                </w:p>
              </w:tc>
              <w:tc>
                <w:tcPr>
                  <w:tcW w:w="293" w:type="pct"/>
                  <w:vAlign w:val="center"/>
                </w:tcPr>
                <w:p w14:paraId="114E890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highlight w:val="none"/>
                    </w:rPr>
                    <w:t>SS</w:t>
                  </w:r>
                </w:p>
              </w:tc>
              <w:tc>
                <w:tcPr>
                  <w:tcW w:w="218" w:type="pct"/>
                  <w:vAlign w:val="center"/>
                </w:tcPr>
                <w:p w14:paraId="6329763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eastAsia" w:ascii="Times New Roman" w:hAnsi="Times New Roman" w:cs="Times New Roman"/>
                      <w:i w:val="0"/>
                      <w:color w:val="auto"/>
                      <w:kern w:val="0"/>
                      <w:sz w:val="22"/>
                      <w:szCs w:val="22"/>
                      <w:highlight w:val="none"/>
                      <w:u w:val="none"/>
                      <w:lang w:val="en-US" w:eastAsia="zh-CN" w:bidi="ar"/>
                    </w:rPr>
                    <w:t>45</w:t>
                  </w:r>
                  <w:r>
                    <w:rPr>
                      <w:rFonts w:hint="default" w:ascii="Times New Roman" w:hAnsi="Times New Roman" w:eastAsia="宋体" w:cs="Times New Roman"/>
                      <w:i w:val="0"/>
                      <w:color w:val="auto"/>
                      <w:kern w:val="0"/>
                      <w:sz w:val="22"/>
                      <w:szCs w:val="22"/>
                      <w:highlight w:val="none"/>
                      <w:u w:val="none"/>
                      <w:lang w:val="en-US" w:eastAsia="zh-CN" w:bidi="ar"/>
                    </w:rPr>
                    <w:t>0</w:t>
                  </w:r>
                </w:p>
              </w:tc>
              <w:tc>
                <w:tcPr>
                  <w:tcW w:w="306" w:type="pct"/>
                  <w:vAlign w:val="center"/>
                </w:tcPr>
                <w:p w14:paraId="3BBF9C67">
                  <w:pPr>
                    <w:pStyle w:val="28"/>
                    <w:keepNext w:val="0"/>
                    <w:keepLines w:val="0"/>
                    <w:pageBreakBefore w:val="0"/>
                    <w:kinsoku/>
                    <w:wordWrap/>
                    <w:overflowPunct/>
                    <w:topLinePunct w:val="0"/>
                    <w:autoSpaceDE/>
                    <w:autoSpaceDN/>
                    <w:bidi w:val="0"/>
                    <w:adjustRightInd w:val="0"/>
                    <w:snapToGrid w:val="0"/>
                    <w:ind w:left="0" w:leftChars="0"/>
                    <w:jc w:val="center"/>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0.292</w:t>
                  </w:r>
                </w:p>
              </w:tc>
              <w:tc>
                <w:tcPr>
                  <w:tcW w:w="290" w:type="pct"/>
                  <w:vMerge w:val="continue"/>
                  <w:vAlign w:val="center"/>
                </w:tcPr>
                <w:p w14:paraId="5BBAB3B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p>
              </w:tc>
              <w:tc>
                <w:tcPr>
                  <w:tcW w:w="288" w:type="pct"/>
                  <w:vMerge w:val="continue"/>
                  <w:vAlign w:val="center"/>
                </w:tcPr>
                <w:p w14:paraId="7ED081B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p>
              </w:tc>
              <w:tc>
                <w:tcPr>
                  <w:tcW w:w="293" w:type="pct"/>
                  <w:vMerge w:val="continue"/>
                  <w:vAlign w:val="center"/>
                </w:tcPr>
                <w:p w14:paraId="0B3C18F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p>
              </w:tc>
              <w:tc>
                <w:tcPr>
                  <w:tcW w:w="293" w:type="pct"/>
                  <w:vMerge w:val="continue"/>
                  <w:vAlign w:val="center"/>
                </w:tcPr>
                <w:p w14:paraId="1421934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i w:val="0"/>
                      <w:color w:val="auto"/>
                      <w:kern w:val="0"/>
                      <w:sz w:val="22"/>
                      <w:szCs w:val="22"/>
                      <w:highlight w:val="none"/>
                      <w:u w:val="none"/>
                      <w:lang w:val="en-US" w:eastAsia="zh-CN" w:bidi="ar"/>
                    </w:rPr>
                  </w:pPr>
                </w:p>
              </w:tc>
              <w:tc>
                <w:tcPr>
                  <w:tcW w:w="300" w:type="pct"/>
                  <w:vAlign w:val="center"/>
                </w:tcPr>
                <w:p w14:paraId="0888359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400</w:t>
                  </w:r>
                </w:p>
              </w:tc>
              <w:tc>
                <w:tcPr>
                  <w:tcW w:w="311" w:type="pct"/>
                  <w:vAlign w:val="center"/>
                </w:tcPr>
                <w:p w14:paraId="5F477405">
                  <w:pPr>
                    <w:pStyle w:val="28"/>
                    <w:keepNext w:val="0"/>
                    <w:keepLines w:val="0"/>
                    <w:pageBreakBefore w:val="0"/>
                    <w:kinsoku/>
                    <w:wordWrap/>
                    <w:overflowPunct/>
                    <w:topLinePunct w:val="0"/>
                    <w:autoSpaceDE/>
                    <w:autoSpaceDN/>
                    <w:bidi w:val="0"/>
                    <w:adjustRightInd w:val="0"/>
                    <w:snapToGrid w:val="0"/>
                    <w:ind w:left="0" w:leftChars="0"/>
                    <w:jc w:val="center"/>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0.259</w:t>
                  </w:r>
                </w:p>
              </w:tc>
              <w:tc>
                <w:tcPr>
                  <w:tcW w:w="224" w:type="pct"/>
                  <w:vMerge w:val="continue"/>
                  <w:vAlign w:val="center"/>
                </w:tcPr>
                <w:p w14:paraId="7194FCA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p>
              </w:tc>
              <w:tc>
                <w:tcPr>
                  <w:tcW w:w="320" w:type="pct"/>
                  <w:vMerge w:val="continue"/>
                  <w:vAlign w:val="center"/>
                </w:tcPr>
                <w:p w14:paraId="3DC766C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p>
              </w:tc>
              <w:tc>
                <w:tcPr>
                  <w:tcW w:w="186" w:type="pct"/>
                  <w:vAlign w:val="center"/>
                </w:tcPr>
                <w:p w14:paraId="254C331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r>
                    <w:rPr>
                      <w:rFonts w:hint="eastAsia" w:ascii="Times New Roman" w:hAnsi="Times New Roman" w:cs="Times New Roman"/>
                      <w:bCs/>
                      <w:color w:val="auto"/>
                      <w:spacing w:val="-10"/>
                      <w:sz w:val="22"/>
                      <w:szCs w:val="22"/>
                      <w:highlight w:val="none"/>
                      <w:lang w:val="en-US" w:eastAsia="zh-CN"/>
                    </w:rPr>
                    <w:t>20</w:t>
                  </w:r>
                </w:p>
              </w:tc>
              <w:tc>
                <w:tcPr>
                  <w:tcW w:w="186" w:type="pct"/>
                  <w:vAlign w:val="center"/>
                </w:tcPr>
                <w:p w14:paraId="74DB59A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r>
                    <w:rPr>
                      <w:rFonts w:hint="eastAsia" w:ascii="Times New Roman" w:hAnsi="Times New Roman" w:cs="Times New Roman"/>
                      <w:bCs/>
                      <w:color w:val="auto"/>
                      <w:spacing w:val="-10"/>
                      <w:sz w:val="22"/>
                      <w:szCs w:val="22"/>
                      <w:highlight w:val="none"/>
                      <w:lang w:val="en-US" w:eastAsia="zh-CN"/>
                    </w:rPr>
                    <w:t>0.013</w:t>
                  </w:r>
                </w:p>
              </w:tc>
              <w:tc>
                <w:tcPr>
                  <w:tcW w:w="186" w:type="pct"/>
                  <w:vMerge w:val="continue"/>
                  <w:vAlign w:val="center"/>
                </w:tcPr>
                <w:p w14:paraId="3C7B013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p>
              </w:tc>
              <w:tc>
                <w:tcPr>
                  <w:tcW w:w="231" w:type="pct"/>
                  <w:vMerge w:val="continue"/>
                  <w:vAlign w:val="center"/>
                </w:tcPr>
                <w:p w14:paraId="3F9320C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p>
              </w:tc>
              <w:tc>
                <w:tcPr>
                  <w:tcW w:w="142" w:type="pct"/>
                  <w:vMerge w:val="continue"/>
                  <w:vAlign w:val="center"/>
                </w:tcPr>
                <w:p w14:paraId="120A03D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p>
              </w:tc>
              <w:tc>
                <w:tcPr>
                  <w:tcW w:w="246" w:type="pct"/>
                  <w:vMerge w:val="continue"/>
                  <w:vAlign w:val="center"/>
                </w:tcPr>
                <w:p w14:paraId="3197BA6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sz w:val="22"/>
                      <w:szCs w:val="22"/>
                      <w:highlight w:val="none"/>
                      <w:lang w:eastAsia="zh-CN"/>
                    </w:rPr>
                  </w:pPr>
                </w:p>
              </w:tc>
              <w:tc>
                <w:tcPr>
                  <w:tcW w:w="236" w:type="pct"/>
                  <w:vMerge w:val="continue"/>
                  <w:vAlign w:val="center"/>
                </w:tcPr>
                <w:p w14:paraId="702A545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p>
              </w:tc>
            </w:tr>
            <w:tr w14:paraId="05C13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6" w:type="pct"/>
                  <w:vMerge w:val="continue"/>
                  <w:vAlign w:val="center"/>
                </w:tcPr>
                <w:p w14:paraId="57395A4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p>
              </w:tc>
              <w:tc>
                <w:tcPr>
                  <w:tcW w:w="224" w:type="pct"/>
                  <w:vMerge w:val="continue"/>
                  <w:vAlign w:val="center"/>
                </w:tcPr>
                <w:p w14:paraId="7B84615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i w:val="0"/>
                      <w:strike w:val="0"/>
                      <w:dstrike w:val="0"/>
                      <w:color w:val="auto"/>
                      <w:kern w:val="0"/>
                      <w:sz w:val="22"/>
                      <w:szCs w:val="22"/>
                      <w:highlight w:val="none"/>
                      <w:u w:val="none"/>
                      <w:lang w:val="en-US" w:eastAsia="zh-CN" w:bidi="ar"/>
                    </w:rPr>
                  </w:pPr>
                </w:p>
              </w:tc>
              <w:tc>
                <w:tcPr>
                  <w:tcW w:w="293" w:type="pct"/>
                  <w:vAlign w:val="center"/>
                </w:tcPr>
                <w:p w14:paraId="674802B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highlight w:val="none"/>
                    </w:rPr>
                    <w:t>NH</w:t>
                  </w:r>
                  <w:r>
                    <w:rPr>
                      <w:rFonts w:hint="default" w:ascii="Times New Roman" w:hAnsi="Times New Roman" w:cs="Times New Roman"/>
                      <w:color w:val="auto"/>
                      <w:sz w:val="22"/>
                      <w:szCs w:val="22"/>
                      <w:highlight w:val="none"/>
                      <w:vertAlign w:val="subscript"/>
                    </w:rPr>
                    <w:t>3</w:t>
                  </w:r>
                  <w:r>
                    <w:rPr>
                      <w:rFonts w:hint="default" w:ascii="Times New Roman" w:hAnsi="Times New Roman" w:cs="Times New Roman"/>
                      <w:color w:val="auto"/>
                      <w:sz w:val="22"/>
                      <w:szCs w:val="22"/>
                      <w:highlight w:val="none"/>
                    </w:rPr>
                    <w:t>-N</w:t>
                  </w:r>
                </w:p>
              </w:tc>
              <w:tc>
                <w:tcPr>
                  <w:tcW w:w="218" w:type="pct"/>
                  <w:vAlign w:val="center"/>
                </w:tcPr>
                <w:p w14:paraId="5D70B3FD">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eastAsia" w:ascii="Times New Roman" w:hAnsi="Times New Roman" w:cs="Times New Roman"/>
                      <w:i w:val="0"/>
                      <w:color w:val="auto"/>
                      <w:kern w:val="0"/>
                      <w:sz w:val="22"/>
                      <w:szCs w:val="22"/>
                      <w:highlight w:val="none"/>
                      <w:u w:val="none"/>
                      <w:lang w:val="en-US" w:eastAsia="zh-CN" w:bidi="ar"/>
                    </w:rPr>
                    <w:t>50</w:t>
                  </w:r>
                </w:p>
              </w:tc>
              <w:tc>
                <w:tcPr>
                  <w:tcW w:w="306" w:type="pct"/>
                  <w:vAlign w:val="center"/>
                </w:tcPr>
                <w:p w14:paraId="66DAFB46">
                  <w:pPr>
                    <w:pStyle w:val="28"/>
                    <w:keepNext w:val="0"/>
                    <w:keepLines w:val="0"/>
                    <w:pageBreakBefore w:val="0"/>
                    <w:kinsoku/>
                    <w:wordWrap/>
                    <w:overflowPunct/>
                    <w:topLinePunct w:val="0"/>
                    <w:autoSpaceDE/>
                    <w:autoSpaceDN/>
                    <w:bidi w:val="0"/>
                    <w:adjustRightInd w:val="0"/>
                    <w:snapToGrid w:val="0"/>
                    <w:ind w:left="0" w:leftChars="0"/>
                    <w:jc w:val="center"/>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0.0324</w:t>
                  </w:r>
                </w:p>
              </w:tc>
              <w:tc>
                <w:tcPr>
                  <w:tcW w:w="290" w:type="pct"/>
                  <w:vMerge w:val="continue"/>
                  <w:vAlign w:val="center"/>
                </w:tcPr>
                <w:p w14:paraId="4C1FF5C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p>
              </w:tc>
              <w:tc>
                <w:tcPr>
                  <w:tcW w:w="288" w:type="pct"/>
                  <w:vMerge w:val="continue"/>
                  <w:vAlign w:val="center"/>
                </w:tcPr>
                <w:p w14:paraId="40A4D8A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p>
              </w:tc>
              <w:tc>
                <w:tcPr>
                  <w:tcW w:w="293" w:type="pct"/>
                  <w:vMerge w:val="continue"/>
                  <w:vAlign w:val="center"/>
                </w:tcPr>
                <w:p w14:paraId="47E748E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p>
              </w:tc>
              <w:tc>
                <w:tcPr>
                  <w:tcW w:w="293" w:type="pct"/>
                  <w:vMerge w:val="continue"/>
                  <w:vAlign w:val="center"/>
                </w:tcPr>
                <w:p w14:paraId="3AFAC38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i w:val="0"/>
                      <w:color w:val="auto"/>
                      <w:kern w:val="0"/>
                      <w:sz w:val="22"/>
                      <w:szCs w:val="22"/>
                      <w:highlight w:val="none"/>
                      <w:u w:val="none"/>
                      <w:lang w:val="en-US" w:eastAsia="zh-CN" w:bidi="ar"/>
                    </w:rPr>
                  </w:pPr>
                </w:p>
              </w:tc>
              <w:tc>
                <w:tcPr>
                  <w:tcW w:w="300" w:type="pct"/>
                  <w:vAlign w:val="center"/>
                </w:tcPr>
                <w:p w14:paraId="718EA83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45</w:t>
                  </w:r>
                </w:p>
              </w:tc>
              <w:tc>
                <w:tcPr>
                  <w:tcW w:w="311" w:type="pct"/>
                  <w:vAlign w:val="center"/>
                </w:tcPr>
                <w:p w14:paraId="140428C9">
                  <w:pPr>
                    <w:pStyle w:val="28"/>
                    <w:keepNext w:val="0"/>
                    <w:keepLines w:val="0"/>
                    <w:pageBreakBefore w:val="0"/>
                    <w:kinsoku/>
                    <w:wordWrap/>
                    <w:overflowPunct/>
                    <w:topLinePunct w:val="0"/>
                    <w:autoSpaceDE/>
                    <w:autoSpaceDN/>
                    <w:bidi w:val="0"/>
                    <w:adjustRightInd w:val="0"/>
                    <w:snapToGrid w:val="0"/>
                    <w:ind w:left="0" w:leftChars="0"/>
                    <w:jc w:val="center"/>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0.0292</w:t>
                  </w:r>
                </w:p>
              </w:tc>
              <w:tc>
                <w:tcPr>
                  <w:tcW w:w="224" w:type="pct"/>
                  <w:vMerge w:val="continue"/>
                  <w:vAlign w:val="center"/>
                </w:tcPr>
                <w:p w14:paraId="35FBC30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p>
              </w:tc>
              <w:tc>
                <w:tcPr>
                  <w:tcW w:w="320" w:type="pct"/>
                  <w:vMerge w:val="continue"/>
                  <w:vAlign w:val="center"/>
                </w:tcPr>
                <w:p w14:paraId="4B73CE0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p>
              </w:tc>
              <w:tc>
                <w:tcPr>
                  <w:tcW w:w="186" w:type="pct"/>
                  <w:vAlign w:val="center"/>
                </w:tcPr>
                <w:p w14:paraId="2BF4980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r>
                    <w:rPr>
                      <w:rFonts w:hint="eastAsia" w:ascii="Times New Roman" w:hAnsi="Times New Roman" w:cs="Times New Roman"/>
                      <w:bCs/>
                      <w:color w:val="auto"/>
                      <w:spacing w:val="-10"/>
                      <w:sz w:val="22"/>
                      <w:szCs w:val="22"/>
                      <w:highlight w:val="none"/>
                      <w:lang w:val="en-US" w:eastAsia="zh-CN"/>
                    </w:rPr>
                    <w:t>8</w:t>
                  </w:r>
                </w:p>
              </w:tc>
              <w:tc>
                <w:tcPr>
                  <w:tcW w:w="186" w:type="pct"/>
                  <w:vAlign w:val="center"/>
                </w:tcPr>
                <w:p w14:paraId="05B088A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r>
                    <w:rPr>
                      <w:rFonts w:hint="eastAsia" w:ascii="Times New Roman" w:hAnsi="Times New Roman" w:cs="Times New Roman"/>
                      <w:bCs/>
                      <w:color w:val="auto"/>
                      <w:spacing w:val="-10"/>
                      <w:sz w:val="22"/>
                      <w:szCs w:val="22"/>
                      <w:highlight w:val="none"/>
                      <w:lang w:val="en-US" w:eastAsia="zh-CN"/>
                    </w:rPr>
                    <w:t>0.0052</w:t>
                  </w:r>
                </w:p>
              </w:tc>
              <w:tc>
                <w:tcPr>
                  <w:tcW w:w="186" w:type="pct"/>
                  <w:vMerge w:val="continue"/>
                  <w:vAlign w:val="center"/>
                </w:tcPr>
                <w:p w14:paraId="2E65430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p>
              </w:tc>
              <w:tc>
                <w:tcPr>
                  <w:tcW w:w="231" w:type="pct"/>
                  <w:vMerge w:val="continue"/>
                  <w:vAlign w:val="center"/>
                </w:tcPr>
                <w:p w14:paraId="70F7463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p>
              </w:tc>
              <w:tc>
                <w:tcPr>
                  <w:tcW w:w="142" w:type="pct"/>
                  <w:vMerge w:val="continue"/>
                  <w:vAlign w:val="center"/>
                </w:tcPr>
                <w:p w14:paraId="6B7EB95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lang w:val="en-US" w:eastAsia="zh-CN"/>
                    </w:rPr>
                  </w:pPr>
                </w:p>
              </w:tc>
              <w:tc>
                <w:tcPr>
                  <w:tcW w:w="246" w:type="pct"/>
                  <w:vMerge w:val="continue"/>
                  <w:vAlign w:val="center"/>
                </w:tcPr>
                <w:p w14:paraId="739B4BB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sz w:val="22"/>
                      <w:szCs w:val="22"/>
                      <w:highlight w:val="none"/>
                      <w:lang w:eastAsia="zh-CN"/>
                    </w:rPr>
                  </w:pPr>
                </w:p>
              </w:tc>
              <w:tc>
                <w:tcPr>
                  <w:tcW w:w="236" w:type="pct"/>
                  <w:vMerge w:val="continue"/>
                  <w:vAlign w:val="center"/>
                </w:tcPr>
                <w:p w14:paraId="0EF3962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color w:val="auto"/>
                      <w:spacing w:val="-10"/>
                      <w:sz w:val="22"/>
                      <w:szCs w:val="22"/>
                      <w:highlight w:val="none"/>
                    </w:rPr>
                  </w:pPr>
                </w:p>
              </w:tc>
            </w:tr>
          </w:tbl>
          <w:p w14:paraId="306C6632">
            <w:pPr>
              <w:pStyle w:val="5"/>
              <w:bidi w:val="0"/>
              <w:rPr>
                <w:rFonts w:hint="eastAsia"/>
                <w:color w:val="auto"/>
                <w:lang w:val="en-US" w:eastAsia="zh-CN"/>
              </w:rPr>
            </w:pPr>
          </w:p>
          <w:p w14:paraId="7D851F3A">
            <w:pPr>
              <w:ind w:left="0" w:leftChars="0" w:firstLine="0" w:firstLineChars="0"/>
              <w:jc w:val="both"/>
              <w:rPr>
                <w:rFonts w:hint="default"/>
                <w:color w:val="auto"/>
                <w:vertAlign w:val="baseline"/>
                <w:lang w:val="en-US" w:eastAsia="zh-CN"/>
              </w:rPr>
            </w:pPr>
          </w:p>
        </w:tc>
      </w:tr>
    </w:tbl>
    <w:p w14:paraId="133184AF">
      <w:pPr>
        <w:rPr>
          <w:rFonts w:hint="default"/>
          <w:color w:val="auto"/>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7810"/>
      </w:tblGrid>
      <w:tr w14:paraId="6E8C9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1" w:hRule="atLeast"/>
        </w:trPr>
        <w:tc>
          <w:tcPr>
            <w:tcW w:w="479" w:type="dxa"/>
          </w:tcPr>
          <w:p w14:paraId="6A53C0EC">
            <w:pPr>
              <w:jc w:val="both"/>
              <w:rPr>
                <w:rFonts w:hint="default"/>
                <w:color w:val="auto"/>
                <w:vertAlign w:val="baseline"/>
                <w:lang w:val="en-US" w:eastAsia="zh-CN"/>
              </w:rPr>
            </w:pPr>
          </w:p>
        </w:tc>
        <w:tc>
          <w:tcPr>
            <w:tcW w:w="7810" w:type="dxa"/>
          </w:tcPr>
          <w:p w14:paraId="1BD1C5B8">
            <w:pPr>
              <w:pStyle w:val="5"/>
              <w:pageBreakBefore w:val="0"/>
              <w:widowControl w:val="0"/>
              <w:kinsoku/>
              <w:wordWrap/>
              <w:overflowPunct/>
              <w:topLinePunct w:val="0"/>
              <w:autoSpaceDE/>
              <w:autoSpaceDN/>
              <w:bidi w:val="0"/>
              <w:adjustRightInd w:val="0"/>
              <w:snapToGrid w:val="0"/>
              <w:spacing w:beforeLines="0" w:afterLines="0" w:line="460" w:lineRule="exact"/>
              <w:textAlignment w:val="auto"/>
              <w:rPr>
                <w:rFonts w:hint="default" w:ascii="Times New Roman" w:hAnsi="Times New Roman" w:cs="Times New Roman"/>
                <w:b/>
                <w:bCs/>
                <w:color w:val="auto"/>
                <w:sz w:val="26"/>
                <w:szCs w:val="26"/>
                <w:lang w:val="en-US" w:eastAsia="zh-CN"/>
              </w:rPr>
            </w:pPr>
            <w:r>
              <w:rPr>
                <w:rFonts w:hint="default" w:ascii="Times New Roman" w:hAnsi="Times New Roman" w:cs="Times New Roman"/>
                <w:b/>
                <w:bCs/>
                <w:color w:val="auto"/>
                <w:sz w:val="26"/>
                <w:szCs w:val="26"/>
                <w:lang w:val="en-US" w:eastAsia="zh-CN"/>
              </w:rPr>
              <w:t>4.2.2.2</w:t>
            </w:r>
            <w:r>
              <w:rPr>
                <w:rFonts w:hint="eastAsia" w:ascii="Times New Roman" w:hAnsi="Times New Roman" w:cs="Times New Roman"/>
                <w:b/>
                <w:bCs/>
                <w:color w:val="auto"/>
                <w:sz w:val="26"/>
                <w:szCs w:val="26"/>
                <w:lang w:val="en-US" w:eastAsia="zh-CN"/>
              </w:rPr>
              <w:t>废水防治措施</w:t>
            </w:r>
            <w:r>
              <w:rPr>
                <w:rFonts w:hint="default" w:ascii="Times New Roman" w:hAnsi="Times New Roman" w:cs="Times New Roman"/>
                <w:b/>
                <w:bCs/>
                <w:color w:val="auto"/>
                <w:sz w:val="26"/>
                <w:szCs w:val="26"/>
                <w:lang w:val="en-US" w:eastAsia="zh-CN"/>
              </w:rPr>
              <w:t>可行性分析</w:t>
            </w:r>
          </w:p>
          <w:p w14:paraId="78A5CF63">
            <w:pPr>
              <w:pageBreakBefore w:val="0"/>
              <w:widowControl w:val="0"/>
              <w:kinsoku/>
              <w:wordWrap/>
              <w:overflowPunct/>
              <w:topLinePunct w:val="0"/>
              <w:autoSpaceDE/>
              <w:autoSpaceDN/>
              <w:bidi w:val="0"/>
              <w:adjustRightInd w:val="0"/>
              <w:snapToGrid w:val="0"/>
              <w:spacing w:line="460" w:lineRule="exact"/>
              <w:textAlignment w:val="auto"/>
              <w:rPr>
                <w:rFonts w:hint="eastAsia" w:ascii="Times New Roman" w:hAnsi="Times New Roman" w:cs="Times New Roman"/>
                <w:color w:val="auto"/>
                <w:sz w:val="26"/>
                <w:szCs w:val="26"/>
                <w:lang w:val="en-US" w:eastAsia="zh-CN"/>
              </w:rPr>
            </w:pPr>
            <w:r>
              <w:rPr>
                <w:rFonts w:hint="eastAsia" w:ascii="Times New Roman" w:hAnsi="Times New Roman" w:cs="Times New Roman"/>
                <w:color w:val="auto"/>
                <w:sz w:val="26"/>
                <w:szCs w:val="26"/>
                <w:lang w:val="en-US" w:eastAsia="zh-CN"/>
              </w:rPr>
              <w:t>本项目生活污水依托厂区现有污水管网收集后排入厂区现有处理规模为</w:t>
            </w:r>
            <w:r>
              <w:rPr>
                <w:rFonts w:hint="eastAsia" w:cs="Times New Roman"/>
                <w:color w:val="auto"/>
                <w:sz w:val="26"/>
                <w:szCs w:val="26"/>
                <w:lang w:val="en-US" w:eastAsia="zh-CN"/>
              </w:rPr>
              <w:t>60</w:t>
            </w:r>
            <w:r>
              <w:rPr>
                <w:rFonts w:hint="default" w:ascii="Times New Roman" w:hAnsi="Times New Roman" w:cs="Times New Roman"/>
                <w:color w:val="auto"/>
                <w:sz w:val="26"/>
                <w:szCs w:val="26"/>
              </w:rPr>
              <w:t>m</w:t>
            </w:r>
            <w:r>
              <w:rPr>
                <w:rFonts w:hint="default" w:ascii="Times New Roman" w:hAnsi="Times New Roman" w:cs="Times New Roman"/>
                <w:color w:val="auto"/>
                <w:sz w:val="26"/>
                <w:szCs w:val="26"/>
                <w:vertAlign w:val="superscript"/>
              </w:rPr>
              <w:t>3</w:t>
            </w:r>
            <w:r>
              <w:rPr>
                <w:rFonts w:hint="default" w:ascii="Times New Roman" w:hAnsi="Times New Roman" w:cs="Times New Roman"/>
                <w:color w:val="auto"/>
                <w:sz w:val="26"/>
                <w:szCs w:val="26"/>
              </w:rPr>
              <w:t>/d</w:t>
            </w:r>
            <w:r>
              <w:rPr>
                <w:rFonts w:hint="eastAsia" w:ascii="Times New Roman" w:hAnsi="Times New Roman" w:cs="Times New Roman"/>
                <w:color w:val="auto"/>
                <w:sz w:val="26"/>
                <w:szCs w:val="26"/>
                <w:lang w:val="en-US" w:eastAsia="zh-CN"/>
              </w:rPr>
              <w:t>的生化池处理后，经市政管网排入</w:t>
            </w:r>
            <w:r>
              <w:rPr>
                <w:rFonts w:hint="eastAsia" w:cs="Times New Roman"/>
                <w:color w:val="auto"/>
                <w:sz w:val="26"/>
                <w:szCs w:val="26"/>
                <w:lang w:val="en-US" w:eastAsia="zh-CN"/>
              </w:rPr>
              <w:t>农创园污水处理厂</w:t>
            </w:r>
            <w:r>
              <w:rPr>
                <w:rFonts w:hint="eastAsia" w:ascii="Times New Roman" w:hAnsi="Times New Roman" w:cs="Times New Roman"/>
                <w:color w:val="auto"/>
                <w:sz w:val="26"/>
                <w:szCs w:val="26"/>
                <w:lang w:val="en-US" w:eastAsia="zh-CN"/>
              </w:rPr>
              <w:t>处理达标后排入嘉陵江。</w:t>
            </w:r>
          </w:p>
          <w:p w14:paraId="19DED0A4">
            <w:pPr>
              <w:pageBreakBefore w:val="0"/>
              <w:widowControl w:val="0"/>
              <w:kinsoku/>
              <w:wordWrap/>
              <w:overflowPunct/>
              <w:topLinePunct w:val="0"/>
              <w:autoSpaceDE/>
              <w:autoSpaceDN/>
              <w:bidi w:val="0"/>
              <w:adjustRightInd w:val="0"/>
              <w:snapToGrid w:val="0"/>
              <w:spacing w:line="460" w:lineRule="exact"/>
              <w:textAlignment w:val="auto"/>
              <w:rPr>
                <w:rFonts w:hint="default" w:ascii="Times New Roman" w:hAnsi="Times New Roman" w:cs="Times New Roman"/>
                <w:color w:val="auto"/>
                <w:sz w:val="26"/>
                <w:szCs w:val="26"/>
                <w:lang w:val="en-US" w:eastAsia="zh-CN"/>
              </w:rPr>
            </w:pPr>
            <w:r>
              <w:rPr>
                <w:rFonts w:hint="eastAsia" w:ascii="Times New Roman" w:hAnsi="Times New Roman" w:cs="Times New Roman"/>
                <w:color w:val="auto"/>
                <w:sz w:val="26"/>
                <w:szCs w:val="26"/>
                <w:lang w:val="en-US" w:eastAsia="zh-CN"/>
              </w:rPr>
              <w:t>（1）生化池</w:t>
            </w:r>
          </w:p>
          <w:p w14:paraId="74CA9D18">
            <w:pPr>
              <w:pageBreakBefore w:val="0"/>
              <w:widowControl w:val="0"/>
              <w:kinsoku/>
              <w:wordWrap/>
              <w:overflowPunct/>
              <w:topLinePunct w:val="0"/>
              <w:autoSpaceDE/>
              <w:autoSpaceDN/>
              <w:bidi w:val="0"/>
              <w:adjustRightInd w:val="0"/>
              <w:snapToGrid w:val="0"/>
              <w:spacing w:line="460" w:lineRule="exact"/>
              <w:textAlignment w:val="auto"/>
              <w:rPr>
                <w:rFonts w:hint="default" w:ascii="Times New Roman" w:hAnsi="Times New Roman" w:cs="Times New Roman"/>
                <w:color w:val="auto"/>
                <w:sz w:val="26"/>
                <w:szCs w:val="26"/>
                <w:lang w:val="en-US" w:eastAsia="zh-CN"/>
              </w:rPr>
            </w:pPr>
            <w:r>
              <w:rPr>
                <w:rFonts w:hint="default" w:ascii="Times New Roman" w:hAnsi="Times New Roman" w:cs="Times New Roman"/>
                <w:color w:val="auto"/>
                <w:sz w:val="26"/>
                <w:szCs w:val="26"/>
                <w:lang w:val="en-US" w:eastAsia="zh-CN"/>
              </w:rPr>
              <w:t>本项目生活污水排放量为</w:t>
            </w:r>
            <w:r>
              <w:rPr>
                <w:rFonts w:hint="eastAsia" w:ascii="Times New Roman" w:hAnsi="Times New Roman" w:cs="Times New Roman"/>
                <w:color w:val="auto"/>
                <w:sz w:val="26"/>
                <w:szCs w:val="26"/>
                <w:lang w:val="en-US" w:eastAsia="zh-CN"/>
              </w:rPr>
              <w:t>2.16</w:t>
            </w:r>
            <w:r>
              <w:rPr>
                <w:rFonts w:hint="default" w:ascii="Times New Roman" w:hAnsi="Times New Roman" w:cs="Times New Roman"/>
                <w:color w:val="auto"/>
                <w:sz w:val="26"/>
                <w:szCs w:val="26"/>
              </w:rPr>
              <w:t>m</w:t>
            </w:r>
            <w:r>
              <w:rPr>
                <w:rFonts w:hint="default" w:ascii="Times New Roman" w:hAnsi="Times New Roman" w:cs="Times New Roman"/>
                <w:color w:val="auto"/>
                <w:sz w:val="26"/>
                <w:szCs w:val="26"/>
                <w:vertAlign w:val="superscript"/>
              </w:rPr>
              <w:t>3</w:t>
            </w:r>
            <w:r>
              <w:rPr>
                <w:rFonts w:hint="default" w:ascii="Times New Roman" w:hAnsi="Times New Roman" w:cs="Times New Roman"/>
                <w:color w:val="auto"/>
                <w:sz w:val="26"/>
                <w:szCs w:val="26"/>
              </w:rPr>
              <w:t>/d</w:t>
            </w:r>
            <w:r>
              <w:rPr>
                <w:rFonts w:hint="default" w:ascii="Times New Roman" w:hAnsi="Times New Roman" w:cs="Times New Roman"/>
                <w:color w:val="auto"/>
                <w:sz w:val="26"/>
                <w:szCs w:val="26"/>
                <w:lang w:eastAsia="zh-CN"/>
              </w:rPr>
              <w:t>，</w:t>
            </w:r>
            <w:r>
              <w:rPr>
                <w:rFonts w:hint="eastAsia" w:ascii="Times New Roman" w:hAnsi="Times New Roman" w:cs="Times New Roman"/>
                <w:color w:val="auto"/>
                <w:sz w:val="26"/>
                <w:szCs w:val="26"/>
                <w:lang w:val="en-US" w:eastAsia="zh-CN"/>
              </w:rPr>
              <w:t>现有生化池处理规模为</w:t>
            </w:r>
            <w:r>
              <w:rPr>
                <w:rFonts w:hint="eastAsia" w:cs="Times New Roman"/>
                <w:color w:val="auto"/>
                <w:sz w:val="26"/>
                <w:szCs w:val="26"/>
                <w:lang w:val="en-US" w:eastAsia="zh-CN"/>
              </w:rPr>
              <w:t>60</w:t>
            </w:r>
            <w:r>
              <w:rPr>
                <w:rFonts w:hint="default" w:ascii="Times New Roman" w:hAnsi="Times New Roman" w:cs="Times New Roman"/>
                <w:color w:val="auto"/>
                <w:sz w:val="26"/>
                <w:szCs w:val="26"/>
              </w:rPr>
              <w:t>m</w:t>
            </w:r>
            <w:r>
              <w:rPr>
                <w:rFonts w:hint="default" w:ascii="Times New Roman" w:hAnsi="Times New Roman" w:cs="Times New Roman"/>
                <w:color w:val="auto"/>
                <w:sz w:val="26"/>
                <w:szCs w:val="26"/>
                <w:vertAlign w:val="superscript"/>
              </w:rPr>
              <w:t>3</w:t>
            </w:r>
            <w:r>
              <w:rPr>
                <w:rFonts w:hint="default" w:ascii="Times New Roman" w:hAnsi="Times New Roman" w:cs="Times New Roman"/>
                <w:color w:val="auto"/>
                <w:sz w:val="26"/>
                <w:szCs w:val="26"/>
              </w:rPr>
              <w:t>/d</w:t>
            </w:r>
            <w:r>
              <w:rPr>
                <w:rFonts w:hint="default" w:ascii="Times New Roman" w:hAnsi="Times New Roman" w:cs="Times New Roman"/>
                <w:color w:val="auto"/>
                <w:sz w:val="26"/>
                <w:szCs w:val="26"/>
                <w:lang w:eastAsia="zh-CN"/>
              </w:rPr>
              <w:t>，厂区环评满负荷废水排放为55</w:t>
            </w:r>
            <w:r>
              <w:rPr>
                <w:rFonts w:hint="default" w:ascii="Times New Roman" w:hAnsi="Times New Roman" w:cs="Times New Roman"/>
                <w:color w:val="auto"/>
                <w:sz w:val="26"/>
                <w:szCs w:val="26"/>
              </w:rPr>
              <w:t>m</w:t>
            </w:r>
            <w:r>
              <w:rPr>
                <w:rFonts w:hint="default" w:ascii="Times New Roman" w:hAnsi="Times New Roman" w:cs="Times New Roman"/>
                <w:color w:val="auto"/>
                <w:sz w:val="26"/>
                <w:szCs w:val="26"/>
                <w:vertAlign w:val="superscript"/>
              </w:rPr>
              <w:t>3</w:t>
            </w:r>
            <w:r>
              <w:rPr>
                <w:rFonts w:hint="default" w:ascii="Times New Roman" w:hAnsi="Times New Roman" w:cs="Times New Roman"/>
                <w:color w:val="auto"/>
                <w:sz w:val="26"/>
                <w:szCs w:val="26"/>
              </w:rPr>
              <w:t>/d</w:t>
            </w:r>
            <w:r>
              <w:rPr>
                <w:rFonts w:hint="eastAsia" w:ascii="Times New Roman" w:hAnsi="Times New Roman" w:cs="Times New Roman"/>
                <w:color w:val="auto"/>
                <w:sz w:val="26"/>
                <w:szCs w:val="26"/>
                <w:lang w:eastAsia="zh-CN"/>
              </w:rPr>
              <w:t>，</w:t>
            </w:r>
            <w:r>
              <w:rPr>
                <w:rFonts w:hint="eastAsia" w:ascii="Times New Roman" w:hAnsi="Times New Roman" w:cs="Times New Roman"/>
                <w:color w:val="auto"/>
                <w:sz w:val="26"/>
                <w:szCs w:val="26"/>
                <w:lang w:val="en-US" w:eastAsia="zh-CN"/>
              </w:rPr>
              <w:t>剩余处理为5</w:t>
            </w:r>
            <w:r>
              <w:rPr>
                <w:rFonts w:hint="default" w:ascii="Times New Roman" w:hAnsi="Times New Roman" w:cs="Times New Roman"/>
                <w:color w:val="auto"/>
                <w:sz w:val="26"/>
                <w:szCs w:val="26"/>
              </w:rPr>
              <w:t>m</w:t>
            </w:r>
            <w:r>
              <w:rPr>
                <w:rFonts w:hint="default" w:ascii="Times New Roman" w:hAnsi="Times New Roman" w:cs="Times New Roman"/>
                <w:color w:val="auto"/>
                <w:sz w:val="26"/>
                <w:szCs w:val="26"/>
                <w:vertAlign w:val="superscript"/>
              </w:rPr>
              <w:t>3</w:t>
            </w:r>
            <w:r>
              <w:rPr>
                <w:rFonts w:hint="default" w:ascii="Times New Roman" w:hAnsi="Times New Roman" w:cs="Times New Roman"/>
                <w:color w:val="auto"/>
                <w:sz w:val="26"/>
                <w:szCs w:val="26"/>
              </w:rPr>
              <w:t>/d</w:t>
            </w:r>
            <w:r>
              <w:rPr>
                <w:rFonts w:hint="default" w:ascii="Times New Roman" w:hAnsi="Times New Roman" w:cs="Times New Roman"/>
                <w:color w:val="auto"/>
                <w:sz w:val="26"/>
                <w:szCs w:val="26"/>
                <w:lang w:val="en-US" w:eastAsia="zh-CN"/>
              </w:rPr>
              <w:t>。</w:t>
            </w:r>
            <w:r>
              <w:rPr>
                <w:rFonts w:hint="eastAsia" w:ascii="Times New Roman" w:hAnsi="Times New Roman" w:cs="Times New Roman"/>
                <w:color w:val="auto"/>
                <w:sz w:val="26"/>
                <w:szCs w:val="26"/>
                <w:lang w:val="en-US" w:eastAsia="zh-CN"/>
              </w:rPr>
              <w:t>因此现有生化池可依托。</w:t>
            </w:r>
            <w:r>
              <w:rPr>
                <w:rFonts w:hint="default" w:ascii="Times New Roman" w:hAnsi="Times New Roman" w:cs="Times New Roman"/>
                <w:color w:val="auto"/>
                <w:sz w:val="26"/>
                <w:szCs w:val="26"/>
                <w:lang w:val="en-US" w:eastAsia="zh-CN"/>
              </w:rPr>
              <w:t>生活污水经废水处理设施处理达到《污水综合排放标准》（GB8978-1996）三级标准后排入园区污水管网，进入</w:t>
            </w:r>
            <w:r>
              <w:rPr>
                <w:rFonts w:hint="eastAsia" w:cs="Times New Roman"/>
                <w:color w:val="auto"/>
                <w:sz w:val="26"/>
                <w:szCs w:val="26"/>
                <w:lang w:val="en-US" w:eastAsia="zh-CN"/>
              </w:rPr>
              <w:t>农创园污水处理厂</w:t>
            </w:r>
            <w:r>
              <w:rPr>
                <w:rFonts w:hint="default" w:ascii="Times New Roman" w:hAnsi="Times New Roman" w:cs="Times New Roman"/>
                <w:color w:val="auto"/>
                <w:sz w:val="26"/>
                <w:szCs w:val="26"/>
                <w:lang w:val="en-US" w:eastAsia="zh-CN"/>
              </w:rPr>
              <w:t>处理达到《城镇污水处理厂污染物排放标准》（GB18918-2002）</w:t>
            </w:r>
            <w:r>
              <w:rPr>
                <w:rFonts w:hint="eastAsia" w:cs="Times New Roman"/>
                <w:color w:val="auto"/>
                <w:sz w:val="26"/>
                <w:szCs w:val="26"/>
                <w:lang w:val="en-US" w:eastAsia="zh-CN"/>
              </w:rPr>
              <w:t>一级B表后排入嘉陵江</w:t>
            </w:r>
            <w:r>
              <w:rPr>
                <w:rFonts w:hint="default" w:ascii="Times New Roman" w:hAnsi="Times New Roman" w:cs="Times New Roman"/>
                <w:color w:val="auto"/>
                <w:sz w:val="26"/>
                <w:szCs w:val="26"/>
                <w:lang w:val="en-US" w:eastAsia="zh-CN"/>
              </w:rPr>
              <w:t>。</w:t>
            </w:r>
          </w:p>
          <w:p w14:paraId="1FB4BC5E">
            <w:pPr>
              <w:pageBreakBefore w:val="0"/>
              <w:widowControl w:val="0"/>
              <w:kinsoku/>
              <w:wordWrap/>
              <w:overflowPunct/>
              <w:topLinePunct w:val="0"/>
              <w:autoSpaceDE/>
              <w:autoSpaceDN/>
              <w:bidi w:val="0"/>
              <w:adjustRightInd w:val="0"/>
              <w:snapToGrid w:val="0"/>
              <w:spacing w:line="460" w:lineRule="exact"/>
              <w:textAlignment w:val="auto"/>
              <w:rPr>
                <w:rFonts w:hint="default" w:ascii="Times New Roman" w:hAnsi="Times New Roman" w:cs="Times New Roman"/>
                <w:color w:val="auto"/>
                <w:sz w:val="26"/>
                <w:szCs w:val="26"/>
                <w:lang w:val="en-US" w:eastAsia="zh-CN"/>
              </w:rPr>
            </w:pPr>
            <w:r>
              <w:rPr>
                <w:rFonts w:hint="eastAsia" w:ascii="Times New Roman" w:hAnsi="Times New Roman" w:cs="Times New Roman"/>
                <w:color w:val="auto"/>
                <w:sz w:val="26"/>
                <w:szCs w:val="26"/>
                <w:lang w:val="en-US" w:eastAsia="zh-CN"/>
              </w:rPr>
              <w:t>（2）</w:t>
            </w:r>
            <w:r>
              <w:rPr>
                <w:rFonts w:hint="eastAsia" w:cs="Times New Roman"/>
                <w:color w:val="auto"/>
                <w:sz w:val="26"/>
                <w:szCs w:val="26"/>
                <w:lang w:val="en-US" w:eastAsia="zh-CN"/>
              </w:rPr>
              <w:t>农创园污水处理厂</w:t>
            </w:r>
          </w:p>
          <w:p w14:paraId="767D93C9">
            <w:pPr>
              <w:pageBreakBefore w:val="0"/>
              <w:widowControl w:val="0"/>
              <w:kinsoku/>
              <w:wordWrap/>
              <w:overflowPunct/>
              <w:topLinePunct w:val="0"/>
              <w:autoSpaceDE/>
              <w:autoSpaceDN/>
              <w:bidi w:val="0"/>
              <w:adjustRightInd w:val="0"/>
              <w:snapToGrid w:val="0"/>
              <w:spacing w:line="460" w:lineRule="exact"/>
              <w:textAlignment w:val="auto"/>
              <w:rPr>
                <w:rFonts w:hint="default" w:ascii="Times New Roman" w:hAnsi="Times New Roman" w:cs="Times New Roman"/>
                <w:color w:val="auto"/>
                <w:sz w:val="26"/>
                <w:szCs w:val="26"/>
                <w:lang w:val="en-US" w:eastAsia="zh-CN"/>
              </w:rPr>
            </w:pPr>
            <w:r>
              <w:rPr>
                <w:rFonts w:hint="eastAsia" w:cs="Times New Roman"/>
                <w:color w:val="auto"/>
                <w:sz w:val="26"/>
                <w:szCs w:val="26"/>
                <w:lang w:val="en-US" w:eastAsia="zh-CN"/>
              </w:rPr>
              <w:t>农创园污水处理厂</w:t>
            </w:r>
            <w:r>
              <w:rPr>
                <w:rFonts w:hint="default" w:ascii="Times New Roman" w:hAnsi="Times New Roman" w:cs="Times New Roman"/>
                <w:color w:val="auto"/>
                <w:sz w:val="26"/>
                <w:szCs w:val="26"/>
                <w:lang w:val="en-US" w:eastAsia="zh-CN"/>
              </w:rPr>
              <w:t>位于重庆市合川区草街街道百岁村6社，主要处理对象为合</w:t>
            </w:r>
            <w:r>
              <w:rPr>
                <w:rFonts w:hint="eastAsia" w:cs="Times New Roman"/>
                <w:color w:val="auto"/>
                <w:sz w:val="26"/>
                <w:szCs w:val="26"/>
                <w:lang w:val="en-US" w:eastAsia="zh-CN"/>
              </w:rPr>
              <w:t>川区</w:t>
            </w:r>
            <w:r>
              <w:rPr>
                <w:rFonts w:hint="default" w:ascii="Times New Roman" w:hAnsi="Times New Roman" w:cs="Times New Roman"/>
                <w:color w:val="auto"/>
                <w:sz w:val="26"/>
                <w:szCs w:val="26"/>
                <w:lang w:val="en-US" w:eastAsia="zh-CN"/>
              </w:rPr>
              <w:t>草街信息安全产业城的城市生活污水和达标排放的工业废水。一期设计处理能力为2万m</w:t>
            </w:r>
            <w:r>
              <w:rPr>
                <w:rFonts w:hint="default" w:ascii="Times New Roman" w:hAnsi="Times New Roman" w:cs="Times New Roman"/>
                <w:color w:val="auto"/>
                <w:sz w:val="26"/>
                <w:szCs w:val="26"/>
                <w:vertAlign w:val="superscript"/>
                <w:lang w:val="en-US" w:eastAsia="zh-CN"/>
              </w:rPr>
              <w:t>3</w:t>
            </w:r>
            <w:r>
              <w:rPr>
                <w:rFonts w:hint="default" w:ascii="Times New Roman" w:hAnsi="Times New Roman" w:cs="Times New Roman"/>
                <w:color w:val="auto"/>
                <w:sz w:val="26"/>
                <w:szCs w:val="26"/>
                <w:lang w:val="en-US" w:eastAsia="zh-CN"/>
              </w:rPr>
              <w:t>/d，采用A</w:t>
            </w:r>
            <w:r>
              <w:rPr>
                <w:rFonts w:hint="default" w:ascii="Times New Roman" w:hAnsi="Times New Roman" w:cs="Times New Roman"/>
                <w:color w:val="auto"/>
                <w:sz w:val="26"/>
                <w:szCs w:val="26"/>
                <w:vertAlign w:val="superscript"/>
                <w:lang w:val="en-US" w:eastAsia="zh-CN"/>
              </w:rPr>
              <w:t>2</w:t>
            </w:r>
            <w:r>
              <w:rPr>
                <w:rFonts w:hint="default" w:ascii="Times New Roman" w:hAnsi="Times New Roman" w:cs="Times New Roman"/>
                <w:color w:val="auto"/>
                <w:sz w:val="26"/>
                <w:szCs w:val="26"/>
                <w:lang w:val="en-US" w:eastAsia="zh-CN"/>
              </w:rPr>
              <w:t>/O+次氯酸钠处理工艺，出水执行《城镇污水处理厂污染物排放标准》（GB18918-2002）一级B标准。目前农创园</w:t>
            </w:r>
            <w:r>
              <w:rPr>
                <w:rFonts w:hint="eastAsia" w:cs="Times New Roman"/>
                <w:color w:val="auto"/>
                <w:sz w:val="26"/>
                <w:szCs w:val="26"/>
                <w:lang w:val="en-US" w:eastAsia="zh-CN"/>
              </w:rPr>
              <w:t>污水处理厂</w:t>
            </w:r>
            <w:r>
              <w:rPr>
                <w:rFonts w:hint="default" w:ascii="Times New Roman" w:hAnsi="Times New Roman" w:cs="Times New Roman"/>
                <w:color w:val="auto"/>
                <w:sz w:val="26"/>
                <w:szCs w:val="26"/>
                <w:lang w:val="en-US" w:eastAsia="zh-CN"/>
              </w:rPr>
              <w:t>已建成运行，实际污水处理量约1000m</w:t>
            </w:r>
            <w:r>
              <w:rPr>
                <w:rFonts w:hint="default" w:ascii="Times New Roman" w:hAnsi="Times New Roman" w:cs="Times New Roman"/>
                <w:color w:val="auto"/>
                <w:sz w:val="26"/>
                <w:szCs w:val="26"/>
                <w:vertAlign w:val="superscript"/>
                <w:lang w:val="en-US" w:eastAsia="zh-CN"/>
              </w:rPr>
              <w:t>3</w:t>
            </w:r>
            <w:r>
              <w:rPr>
                <w:rFonts w:hint="default" w:ascii="Times New Roman" w:hAnsi="Times New Roman" w:cs="Times New Roman"/>
                <w:color w:val="auto"/>
                <w:sz w:val="26"/>
                <w:szCs w:val="26"/>
                <w:lang w:val="en-US" w:eastAsia="zh-CN"/>
              </w:rPr>
              <w:t>/d，处理后废水排入嘉陵江。本项目废水排放量共</w:t>
            </w:r>
            <w:r>
              <w:rPr>
                <w:rFonts w:hint="eastAsia" w:ascii="Times New Roman" w:hAnsi="Times New Roman" w:cs="Times New Roman"/>
                <w:color w:val="auto"/>
                <w:sz w:val="26"/>
                <w:szCs w:val="26"/>
                <w:lang w:val="en-US" w:eastAsia="zh-CN"/>
              </w:rPr>
              <w:t>2.16</w:t>
            </w:r>
            <w:r>
              <w:rPr>
                <w:rFonts w:hint="default" w:ascii="Times New Roman" w:hAnsi="Times New Roman" w:cs="Times New Roman"/>
                <w:color w:val="auto"/>
                <w:sz w:val="26"/>
                <w:szCs w:val="26"/>
                <w:lang w:val="en-US" w:eastAsia="zh-CN"/>
              </w:rPr>
              <w:t>m</w:t>
            </w:r>
            <w:r>
              <w:rPr>
                <w:rFonts w:hint="default" w:ascii="Times New Roman" w:hAnsi="Times New Roman" w:cs="Times New Roman"/>
                <w:color w:val="auto"/>
                <w:sz w:val="26"/>
                <w:szCs w:val="26"/>
                <w:vertAlign w:val="superscript"/>
                <w:lang w:val="en-US" w:eastAsia="zh-CN"/>
              </w:rPr>
              <w:t>3</w:t>
            </w:r>
            <w:r>
              <w:rPr>
                <w:rFonts w:hint="default" w:ascii="Times New Roman" w:hAnsi="Times New Roman" w:cs="Times New Roman"/>
                <w:color w:val="auto"/>
                <w:sz w:val="26"/>
                <w:szCs w:val="26"/>
                <w:lang w:val="en-US" w:eastAsia="zh-CN"/>
              </w:rPr>
              <w:t>/d，在</w:t>
            </w:r>
            <w:r>
              <w:rPr>
                <w:rFonts w:hint="eastAsia" w:cs="Times New Roman"/>
                <w:color w:val="auto"/>
                <w:sz w:val="26"/>
                <w:szCs w:val="26"/>
                <w:lang w:val="en-US" w:eastAsia="zh-CN"/>
              </w:rPr>
              <w:t>农创园污水处理厂</w:t>
            </w:r>
            <w:r>
              <w:rPr>
                <w:rFonts w:hint="default" w:ascii="Times New Roman" w:hAnsi="Times New Roman" w:cs="Times New Roman"/>
                <w:color w:val="auto"/>
                <w:sz w:val="26"/>
                <w:szCs w:val="26"/>
                <w:lang w:val="en-US" w:eastAsia="zh-CN"/>
              </w:rPr>
              <w:t>可接受能力内。</w:t>
            </w:r>
          </w:p>
          <w:p w14:paraId="7A98CF6D">
            <w:pPr>
              <w:pageBreakBefore w:val="0"/>
              <w:widowControl w:val="0"/>
              <w:kinsoku/>
              <w:wordWrap/>
              <w:overflowPunct/>
              <w:topLinePunct w:val="0"/>
              <w:autoSpaceDE/>
              <w:autoSpaceDN/>
              <w:bidi w:val="0"/>
              <w:adjustRightInd w:val="0"/>
              <w:snapToGrid w:val="0"/>
              <w:spacing w:line="460" w:lineRule="exact"/>
              <w:textAlignment w:val="auto"/>
              <w:rPr>
                <w:rFonts w:hint="default" w:ascii="Times New Roman" w:hAnsi="Times New Roman" w:cs="Times New Roman"/>
                <w:color w:val="auto"/>
                <w:sz w:val="26"/>
                <w:szCs w:val="26"/>
                <w:highlight w:val="none"/>
                <w:lang w:val="en-US" w:eastAsia="zh-CN"/>
              </w:rPr>
            </w:pPr>
            <w:r>
              <w:rPr>
                <w:rFonts w:hint="default" w:ascii="Times New Roman" w:hAnsi="Times New Roman" w:cs="Times New Roman"/>
                <w:color w:val="auto"/>
                <w:sz w:val="26"/>
                <w:szCs w:val="26"/>
                <w:highlight w:val="none"/>
                <w:vertAlign w:val="baseline"/>
                <w:lang w:val="en-US" w:eastAsia="zh-CN"/>
              </w:rPr>
              <w:t>综上，</w:t>
            </w:r>
            <w:r>
              <w:rPr>
                <w:rFonts w:hint="default" w:ascii="Times New Roman" w:hAnsi="Times New Roman" w:cs="Times New Roman"/>
                <w:color w:val="auto"/>
                <w:sz w:val="26"/>
                <w:szCs w:val="26"/>
                <w:highlight w:val="none"/>
                <w:lang w:val="en-US" w:eastAsia="zh-CN"/>
              </w:rPr>
              <w:t>本项目</w:t>
            </w:r>
            <w:r>
              <w:rPr>
                <w:rFonts w:hint="eastAsia" w:ascii="Times New Roman" w:hAnsi="Times New Roman" w:cs="Times New Roman"/>
                <w:color w:val="auto"/>
                <w:sz w:val="26"/>
                <w:szCs w:val="26"/>
                <w:highlight w:val="none"/>
                <w:lang w:val="en-US" w:eastAsia="zh-CN"/>
              </w:rPr>
              <w:t>生活污水</w:t>
            </w:r>
            <w:r>
              <w:rPr>
                <w:rFonts w:hint="default" w:ascii="Times New Roman" w:hAnsi="Times New Roman" w:cs="Times New Roman"/>
                <w:color w:val="auto"/>
                <w:sz w:val="26"/>
                <w:szCs w:val="26"/>
                <w:highlight w:val="none"/>
                <w:lang w:val="en-US" w:eastAsia="zh-CN"/>
              </w:rPr>
              <w:t>处理措施合理可行。</w:t>
            </w:r>
          </w:p>
          <w:p w14:paraId="1593CF51">
            <w:pPr>
              <w:pStyle w:val="5"/>
              <w:pageBreakBefore w:val="0"/>
              <w:widowControl w:val="0"/>
              <w:kinsoku/>
              <w:wordWrap/>
              <w:overflowPunct/>
              <w:topLinePunct w:val="0"/>
              <w:autoSpaceDE/>
              <w:autoSpaceDN/>
              <w:bidi w:val="0"/>
              <w:adjustRightInd w:val="0"/>
              <w:snapToGrid w:val="0"/>
              <w:spacing w:beforeLines="0" w:afterLines="0" w:line="460" w:lineRule="exact"/>
              <w:textAlignment w:val="auto"/>
              <w:rPr>
                <w:rFonts w:hint="default" w:ascii="Times New Roman" w:hAnsi="Times New Roman" w:cs="Times New Roman"/>
                <w:b/>
                <w:bCs/>
                <w:color w:val="auto"/>
                <w:sz w:val="26"/>
                <w:szCs w:val="26"/>
                <w:lang w:val="en-US" w:eastAsia="zh-CN"/>
              </w:rPr>
            </w:pPr>
            <w:r>
              <w:rPr>
                <w:rFonts w:hint="default" w:ascii="Times New Roman" w:hAnsi="Times New Roman" w:cs="Times New Roman"/>
                <w:b/>
                <w:bCs/>
                <w:color w:val="auto"/>
                <w:sz w:val="26"/>
                <w:szCs w:val="26"/>
                <w:lang w:val="en-US" w:eastAsia="zh-CN"/>
              </w:rPr>
              <w:t>4.2.2.3监测计划</w:t>
            </w:r>
          </w:p>
          <w:p w14:paraId="6703A850">
            <w:pPr>
              <w:pageBreakBefore w:val="0"/>
              <w:widowControl w:val="0"/>
              <w:kinsoku/>
              <w:wordWrap/>
              <w:overflowPunct/>
              <w:topLinePunct w:val="0"/>
              <w:autoSpaceDE/>
              <w:autoSpaceDN/>
              <w:bidi w:val="0"/>
              <w:adjustRightInd w:val="0"/>
              <w:snapToGrid w:val="0"/>
              <w:spacing w:line="460" w:lineRule="exact"/>
              <w:textAlignment w:val="auto"/>
              <w:rPr>
                <w:rFonts w:hint="default" w:ascii="Times New Roman" w:hAnsi="Times New Roman" w:cs="Times New Roman"/>
                <w:color w:val="auto"/>
                <w:sz w:val="26"/>
                <w:szCs w:val="26"/>
                <w:lang w:val="en-US" w:eastAsia="zh-CN"/>
              </w:rPr>
            </w:pPr>
            <w:r>
              <w:rPr>
                <w:rFonts w:hint="default" w:ascii="Times New Roman" w:hAnsi="Times New Roman" w:cs="Times New Roman"/>
                <w:color w:val="auto"/>
                <w:sz w:val="26"/>
                <w:szCs w:val="26"/>
                <w:lang w:val="en-US" w:eastAsia="zh-CN"/>
              </w:rPr>
              <w:t>本项目无生产废水，生活污水经生化池处理后，排放至市政污水管网，进入</w:t>
            </w:r>
            <w:r>
              <w:rPr>
                <w:rFonts w:hint="eastAsia" w:cs="Times New Roman"/>
                <w:color w:val="auto"/>
                <w:sz w:val="26"/>
                <w:szCs w:val="26"/>
                <w:lang w:val="en-US" w:eastAsia="zh-CN"/>
              </w:rPr>
              <w:t>农创园污水处理厂</w:t>
            </w:r>
            <w:r>
              <w:rPr>
                <w:rFonts w:hint="default" w:ascii="Times New Roman" w:hAnsi="Times New Roman" w:cs="Times New Roman"/>
                <w:color w:val="auto"/>
                <w:sz w:val="26"/>
                <w:szCs w:val="26"/>
                <w:lang w:val="en-US" w:eastAsia="zh-CN"/>
              </w:rPr>
              <w:t>，经污水处理厂处理后，排放至嘉陵江。参照《排污单位自行监测技术指南 水处理通用工序》（HJ1120-2020）表12所有行业</w:t>
            </w:r>
            <w:r>
              <w:rPr>
                <w:rFonts w:hint="eastAsia" w:cs="Times New Roman"/>
                <w:color w:val="auto"/>
                <w:sz w:val="26"/>
                <w:szCs w:val="26"/>
                <w:lang w:val="en-US" w:eastAsia="zh-CN"/>
              </w:rPr>
              <w:t>－</w:t>
            </w:r>
            <w:r>
              <w:rPr>
                <w:rFonts w:hint="default" w:ascii="Times New Roman" w:hAnsi="Times New Roman" w:cs="Times New Roman"/>
                <w:color w:val="auto"/>
                <w:sz w:val="26"/>
                <w:szCs w:val="26"/>
                <w:lang w:val="en-US" w:eastAsia="zh-CN"/>
              </w:rPr>
              <w:t>生活污水排口</w:t>
            </w:r>
            <w:r>
              <w:rPr>
                <w:rFonts w:hint="eastAsia" w:cs="Times New Roman"/>
                <w:color w:val="auto"/>
                <w:sz w:val="26"/>
                <w:szCs w:val="26"/>
                <w:lang w:val="en-US" w:eastAsia="zh-CN"/>
              </w:rPr>
              <w:t>－</w:t>
            </w:r>
            <w:r>
              <w:rPr>
                <w:rFonts w:hint="default" w:ascii="Times New Roman" w:hAnsi="Times New Roman" w:cs="Times New Roman"/>
                <w:color w:val="auto"/>
                <w:sz w:val="26"/>
                <w:szCs w:val="26"/>
                <w:lang w:val="en-US" w:eastAsia="zh-CN"/>
              </w:rPr>
              <w:t>非重点排污单位</w:t>
            </w:r>
            <w:r>
              <w:rPr>
                <w:rFonts w:hint="eastAsia" w:cs="Times New Roman"/>
                <w:color w:val="auto"/>
                <w:sz w:val="26"/>
                <w:szCs w:val="26"/>
                <w:lang w:val="en-US" w:eastAsia="zh-CN"/>
              </w:rPr>
              <w:t>－</w:t>
            </w:r>
            <w:r>
              <w:rPr>
                <w:rFonts w:hint="default" w:ascii="Times New Roman" w:hAnsi="Times New Roman" w:cs="Times New Roman"/>
                <w:color w:val="auto"/>
                <w:sz w:val="26"/>
                <w:szCs w:val="26"/>
                <w:lang w:val="en-US" w:eastAsia="zh-CN"/>
              </w:rPr>
              <w:t>间接排放无需进行监测。</w:t>
            </w:r>
          </w:p>
          <w:p w14:paraId="60E7AFB4">
            <w:pPr>
              <w:pStyle w:val="4"/>
              <w:pageBreakBefore w:val="0"/>
              <w:widowControl w:val="0"/>
              <w:kinsoku/>
              <w:wordWrap/>
              <w:overflowPunct/>
              <w:topLinePunct w:val="0"/>
              <w:autoSpaceDE/>
              <w:autoSpaceDN/>
              <w:bidi w:val="0"/>
              <w:adjustRightInd w:val="0"/>
              <w:snapToGrid w:val="0"/>
              <w:spacing w:beforeLines="0" w:afterLines="0" w:line="460" w:lineRule="exact"/>
              <w:textAlignment w:val="auto"/>
              <w:rPr>
                <w:rFonts w:hint="default" w:ascii="Times New Roman" w:hAnsi="Times New Roman" w:cs="Times New Roman"/>
                <w:color w:val="auto"/>
                <w:sz w:val="26"/>
                <w:szCs w:val="26"/>
                <w:lang w:val="en-US" w:eastAsia="zh-CN"/>
              </w:rPr>
            </w:pPr>
            <w:r>
              <w:rPr>
                <w:rFonts w:hint="default" w:ascii="Times New Roman" w:hAnsi="Times New Roman" w:cs="Times New Roman"/>
                <w:color w:val="auto"/>
                <w:sz w:val="26"/>
                <w:szCs w:val="26"/>
                <w:lang w:val="en-US" w:eastAsia="zh-CN"/>
              </w:rPr>
              <w:t>4.2.3噪声</w:t>
            </w:r>
            <w:r>
              <w:rPr>
                <w:rFonts w:hint="eastAsia" w:ascii="Times New Roman" w:hAnsi="Times New Roman" w:cs="Times New Roman"/>
                <w:color w:val="auto"/>
                <w:sz w:val="26"/>
                <w:szCs w:val="26"/>
                <w:lang w:val="en-US" w:eastAsia="zh-CN"/>
              </w:rPr>
              <w:t>影响分析及其防治措施</w:t>
            </w:r>
          </w:p>
          <w:p w14:paraId="28611027">
            <w:pPr>
              <w:adjustRightInd w:val="0"/>
              <w:snapToGrid w:val="0"/>
              <w:spacing w:line="460" w:lineRule="exact"/>
              <w:ind w:firstLine="520" w:firstLineChars="200"/>
              <w:rPr>
                <w:bCs/>
                <w:color w:val="auto"/>
                <w:sz w:val="26"/>
                <w:szCs w:val="26"/>
              </w:rPr>
            </w:pPr>
            <w:r>
              <w:rPr>
                <w:bCs/>
                <w:color w:val="auto"/>
                <w:sz w:val="26"/>
                <w:szCs w:val="26"/>
              </w:rPr>
              <w:t>（1）源强分析</w:t>
            </w:r>
          </w:p>
          <w:p w14:paraId="673E7B0A">
            <w:pPr>
              <w:spacing w:line="460" w:lineRule="exact"/>
              <w:ind w:firstLine="520" w:firstLineChars="200"/>
              <w:rPr>
                <w:color w:val="auto"/>
                <w:kern w:val="0"/>
                <w:sz w:val="26"/>
                <w:szCs w:val="26"/>
              </w:rPr>
            </w:pPr>
            <w:r>
              <w:rPr>
                <w:color w:val="auto"/>
                <w:kern w:val="0"/>
                <w:sz w:val="26"/>
                <w:szCs w:val="26"/>
              </w:rPr>
              <w:t>项目</w:t>
            </w:r>
            <w:r>
              <w:rPr>
                <w:rFonts w:hint="eastAsia"/>
                <w:color w:val="auto"/>
                <w:kern w:val="0"/>
                <w:sz w:val="26"/>
                <w:szCs w:val="26"/>
              </w:rPr>
              <w:t>运营期</w:t>
            </w:r>
            <w:r>
              <w:rPr>
                <w:color w:val="auto"/>
                <w:kern w:val="0"/>
                <w:sz w:val="26"/>
                <w:szCs w:val="26"/>
              </w:rPr>
              <w:t>噪声主要</w:t>
            </w:r>
            <w:r>
              <w:rPr>
                <w:rFonts w:hint="eastAsia"/>
                <w:color w:val="auto"/>
                <w:kern w:val="0"/>
                <w:sz w:val="26"/>
                <w:szCs w:val="26"/>
                <w:lang w:val="en-US" w:eastAsia="zh-CN"/>
              </w:rPr>
              <w:t>为开松机、大仓混棉机、振动给棉机、梳理机、铺网机、预刺机、下刺机、横切收卷机、裁断机、烘箱、膨化机、织网机</w:t>
            </w:r>
            <w:r>
              <w:rPr>
                <w:color w:val="auto"/>
                <w:kern w:val="0"/>
                <w:sz w:val="26"/>
                <w:szCs w:val="26"/>
              </w:rPr>
              <w:t>等相关设备</w:t>
            </w:r>
            <w:r>
              <w:rPr>
                <w:rFonts w:hint="eastAsia"/>
                <w:color w:val="auto"/>
                <w:kern w:val="0"/>
                <w:sz w:val="26"/>
                <w:szCs w:val="26"/>
                <w:lang w:val="en-US" w:eastAsia="zh-CN"/>
              </w:rPr>
              <w:t>以及环保设施风机</w:t>
            </w:r>
            <w:r>
              <w:rPr>
                <w:color w:val="auto"/>
                <w:kern w:val="0"/>
                <w:sz w:val="26"/>
                <w:szCs w:val="26"/>
              </w:rPr>
              <w:t>运行时产生的噪声，噪声值</w:t>
            </w:r>
            <w:r>
              <w:rPr>
                <w:rFonts w:hint="eastAsia"/>
                <w:color w:val="auto"/>
                <w:kern w:val="0"/>
                <w:sz w:val="26"/>
                <w:szCs w:val="26"/>
                <w:lang w:val="en-US" w:eastAsia="zh-CN"/>
              </w:rPr>
              <w:t>75-95</w:t>
            </w:r>
            <w:r>
              <w:rPr>
                <w:color w:val="auto"/>
                <w:kern w:val="0"/>
                <w:sz w:val="26"/>
                <w:szCs w:val="26"/>
              </w:rPr>
              <w:t>dB（A）。</w:t>
            </w:r>
          </w:p>
          <w:p w14:paraId="60E610BB">
            <w:pPr>
              <w:spacing w:line="460" w:lineRule="exact"/>
              <w:ind w:firstLine="520" w:firstLineChars="200"/>
              <w:rPr>
                <w:color w:val="auto"/>
                <w:kern w:val="0"/>
                <w:sz w:val="26"/>
                <w:szCs w:val="26"/>
              </w:rPr>
            </w:pPr>
            <w:r>
              <w:rPr>
                <w:color w:val="auto"/>
                <w:kern w:val="0"/>
                <w:sz w:val="26"/>
                <w:szCs w:val="26"/>
              </w:rPr>
              <w:t>项目</w:t>
            </w:r>
            <w:r>
              <w:rPr>
                <w:rFonts w:hint="eastAsia"/>
                <w:color w:val="auto"/>
                <w:kern w:val="0"/>
                <w:sz w:val="26"/>
                <w:szCs w:val="26"/>
              </w:rPr>
              <w:t>采取</w:t>
            </w:r>
            <w:r>
              <w:rPr>
                <w:color w:val="auto"/>
                <w:kern w:val="0"/>
                <w:sz w:val="26"/>
                <w:szCs w:val="26"/>
              </w:rPr>
              <w:t>的噪声防治措施主要有选用低噪设备、</w:t>
            </w:r>
            <w:r>
              <w:rPr>
                <w:rFonts w:hint="eastAsia"/>
                <w:color w:val="auto"/>
                <w:kern w:val="0"/>
                <w:sz w:val="26"/>
                <w:szCs w:val="26"/>
              </w:rPr>
              <w:t>基础减振</w:t>
            </w:r>
            <w:r>
              <w:rPr>
                <w:color w:val="auto"/>
                <w:kern w:val="0"/>
                <w:sz w:val="26"/>
                <w:szCs w:val="26"/>
              </w:rPr>
              <w:t>、厂房隔声、合理布局等，主要产噪设备</w:t>
            </w:r>
            <w:r>
              <w:rPr>
                <w:rFonts w:hint="eastAsia"/>
                <w:color w:val="auto"/>
                <w:kern w:val="0"/>
                <w:sz w:val="26"/>
                <w:szCs w:val="26"/>
              </w:rPr>
              <w:t>尽量</w:t>
            </w:r>
            <w:r>
              <w:rPr>
                <w:color w:val="auto"/>
                <w:kern w:val="0"/>
                <w:sz w:val="26"/>
                <w:szCs w:val="26"/>
              </w:rPr>
              <w:t>远离大门布置，</w:t>
            </w:r>
            <w:r>
              <w:rPr>
                <w:rFonts w:hint="eastAsia"/>
                <w:color w:val="auto"/>
                <w:kern w:val="0"/>
                <w:sz w:val="26"/>
                <w:szCs w:val="26"/>
              </w:rPr>
              <w:t>车间为</w:t>
            </w:r>
            <w:r>
              <w:rPr>
                <w:rFonts w:hint="eastAsia"/>
                <w:color w:val="auto"/>
                <w:kern w:val="0"/>
                <w:sz w:val="26"/>
                <w:szCs w:val="26"/>
                <w:lang w:val="en-US" w:eastAsia="zh-CN"/>
              </w:rPr>
              <w:t>混凝土</w:t>
            </w:r>
            <w:r>
              <w:rPr>
                <w:rFonts w:hint="eastAsia"/>
                <w:color w:val="auto"/>
                <w:kern w:val="0"/>
                <w:sz w:val="26"/>
                <w:szCs w:val="26"/>
              </w:rPr>
              <w:t>结构</w:t>
            </w:r>
            <w:r>
              <w:rPr>
                <w:rFonts w:hint="eastAsia"/>
                <w:color w:val="auto"/>
                <w:kern w:val="0"/>
                <w:sz w:val="26"/>
                <w:szCs w:val="26"/>
                <w:lang w:eastAsia="zh-CN"/>
              </w:rPr>
              <w:t>，</w:t>
            </w:r>
            <w:r>
              <w:rPr>
                <w:rFonts w:hint="eastAsia"/>
                <w:color w:val="auto"/>
                <w:kern w:val="0"/>
                <w:sz w:val="26"/>
                <w:szCs w:val="26"/>
                <w:lang w:val="en-US" w:eastAsia="zh-CN"/>
              </w:rPr>
              <w:t>降噪效果可达10</w:t>
            </w:r>
            <w:r>
              <w:rPr>
                <w:color w:val="auto"/>
                <w:kern w:val="0"/>
                <w:sz w:val="26"/>
                <w:szCs w:val="26"/>
              </w:rPr>
              <w:t>dB（A）</w:t>
            </w:r>
            <w:r>
              <w:rPr>
                <w:rFonts w:hint="eastAsia"/>
                <w:color w:val="auto"/>
                <w:kern w:val="0"/>
                <w:sz w:val="26"/>
                <w:szCs w:val="26"/>
              </w:rPr>
              <w:t>。</w:t>
            </w:r>
          </w:p>
          <w:p w14:paraId="4D11C759">
            <w:pPr>
              <w:spacing w:line="460" w:lineRule="exact"/>
              <w:ind w:firstLine="520" w:firstLineChars="200"/>
              <w:rPr>
                <w:color w:val="auto"/>
                <w:sz w:val="26"/>
                <w:szCs w:val="26"/>
              </w:rPr>
            </w:pPr>
            <w:r>
              <w:rPr>
                <w:rFonts w:hint="eastAsia"/>
                <w:color w:val="auto"/>
                <w:sz w:val="26"/>
                <w:szCs w:val="26"/>
              </w:rPr>
              <w:t>（2）</w:t>
            </w:r>
            <w:r>
              <w:rPr>
                <w:color w:val="auto"/>
                <w:sz w:val="26"/>
                <w:szCs w:val="26"/>
              </w:rPr>
              <w:t>预测模式</w:t>
            </w:r>
          </w:p>
          <w:p w14:paraId="7C9A41FE">
            <w:pPr>
              <w:spacing w:line="460" w:lineRule="exact"/>
              <w:ind w:firstLine="520" w:firstLineChars="200"/>
              <w:rPr>
                <w:rFonts w:eastAsiaTheme="minorEastAsia"/>
                <w:color w:val="auto"/>
                <w:sz w:val="26"/>
                <w:szCs w:val="26"/>
              </w:rPr>
            </w:pPr>
            <w:r>
              <w:rPr>
                <w:rFonts w:eastAsiaTheme="minorEastAsia"/>
                <w:color w:val="auto"/>
                <w:sz w:val="26"/>
                <w:szCs w:val="26"/>
              </w:rPr>
              <w:t>噪声影响预测采用《环境影响评价技术导 声环境》（HJ2.4-2021）中室内声源等效室外声源声功率级计算和户外声传播衰减计算的方法来预测室内噪声设备运营过程中对室外声环境影响情况。</w:t>
            </w:r>
          </w:p>
          <w:p w14:paraId="05DBF575">
            <w:pPr>
              <w:spacing w:line="460" w:lineRule="exact"/>
              <w:ind w:firstLine="520" w:firstLineChars="200"/>
              <w:rPr>
                <w:rFonts w:eastAsiaTheme="minorEastAsia"/>
                <w:color w:val="auto"/>
                <w:sz w:val="26"/>
                <w:szCs w:val="26"/>
              </w:rPr>
            </w:pPr>
            <w:r>
              <w:rPr>
                <w:rFonts w:eastAsiaTheme="minorEastAsia"/>
                <w:color w:val="auto"/>
                <w:sz w:val="26"/>
                <w:szCs w:val="26"/>
              </w:rPr>
              <w:t>1）室内噪声预测模式</w:t>
            </w:r>
          </w:p>
          <w:p w14:paraId="7AEA391E">
            <w:pPr>
              <w:spacing w:line="460" w:lineRule="exact"/>
              <w:ind w:firstLine="520" w:firstLineChars="200"/>
              <w:rPr>
                <w:rFonts w:eastAsiaTheme="minorEastAsia"/>
                <w:color w:val="auto"/>
                <w:sz w:val="26"/>
                <w:szCs w:val="26"/>
              </w:rPr>
            </w:pPr>
            <w:r>
              <w:rPr>
                <w:rFonts w:hint="eastAsia" w:ascii="宋体" w:hAnsi="宋体" w:cs="宋体"/>
                <w:color w:val="auto"/>
                <w:sz w:val="26"/>
                <w:szCs w:val="26"/>
              </w:rPr>
              <w:t>①</w:t>
            </w:r>
            <w:r>
              <w:rPr>
                <w:rFonts w:eastAsiaTheme="minorEastAsia"/>
                <w:color w:val="auto"/>
                <w:sz w:val="26"/>
                <w:szCs w:val="26"/>
              </w:rPr>
              <w:t>首先计算出某个室内靠近围护结构处的倍频带声压级：</w:t>
            </w:r>
          </w:p>
          <w:p w14:paraId="18B1C1C0">
            <w:pPr>
              <w:spacing w:line="460" w:lineRule="exact"/>
              <w:ind w:firstLine="520" w:firstLineChars="200"/>
              <w:rPr>
                <w:rFonts w:eastAsiaTheme="minorEastAsia"/>
                <w:color w:val="auto"/>
                <w:sz w:val="26"/>
                <w:szCs w:val="26"/>
              </w:rPr>
            </w:pPr>
            <w:r>
              <w:rPr>
                <w:rFonts w:eastAsiaTheme="minorEastAsia"/>
                <w:color w:val="auto"/>
                <w:sz w:val="26"/>
                <w:szCs w:val="26"/>
              </w:rPr>
              <w:drawing>
                <wp:anchor distT="0" distB="0" distL="114300" distR="114300" simplePos="0" relativeHeight="251664384" behindDoc="0" locked="0" layoutInCell="1" allowOverlap="1">
                  <wp:simplePos x="0" y="0"/>
                  <wp:positionH relativeFrom="column">
                    <wp:posOffset>1136650</wp:posOffset>
                  </wp:positionH>
                  <wp:positionV relativeFrom="paragraph">
                    <wp:posOffset>99695</wp:posOffset>
                  </wp:positionV>
                  <wp:extent cx="2509520" cy="648335"/>
                  <wp:effectExtent l="0" t="0" r="5080" b="1841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509520" cy="648335"/>
                          </a:xfrm>
                          <a:prstGeom prst="rect">
                            <a:avLst/>
                          </a:prstGeom>
                          <a:noFill/>
                          <a:ln>
                            <a:noFill/>
                          </a:ln>
                        </pic:spPr>
                      </pic:pic>
                    </a:graphicData>
                  </a:graphic>
                </wp:anchor>
              </w:drawing>
            </w:r>
          </w:p>
          <w:p w14:paraId="6B04787D">
            <w:pPr>
              <w:pStyle w:val="9"/>
              <w:rPr>
                <w:color w:val="auto"/>
              </w:rPr>
            </w:pPr>
          </w:p>
          <w:p w14:paraId="1ADBE95B">
            <w:pPr>
              <w:pStyle w:val="9"/>
              <w:rPr>
                <w:color w:val="auto"/>
              </w:rPr>
            </w:pPr>
          </w:p>
          <w:p w14:paraId="640C0B91">
            <w:pPr>
              <w:spacing w:line="460" w:lineRule="exact"/>
              <w:ind w:firstLine="520" w:firstLineChars="200"/>
              <w:rPr>
                <w:rFonts w:eastAsiaTheme="minorEastAsia"/>
                <w:color w:val="auto"/>
                <w:sz w:val="26"/>
                <w:szCs w:val="26"/>
              </w:rPr>
            </w:pPr>
            <w:r>
              <w:rPr>
                <w:rFonts w:eastAsiaTheme="minorEastAsia"/>
                <w:color w:val="auto"/>
                <w:sz w:val="26"/>
                <w:szCs w:val="26"/>
              </w:rPr>
              <w:t>式中：</w:t>
            </w:r>
          </w:p>
          <w:p w14:paraId="56E1CC4B">
            <w:pPr>
              <w:spacing w:line="460" w:lineRule="exact"/>
              <w:ind w:firstLine="520" w:firstLineChars="200"/>
              <w:rPr>
                <w:rFonts w:eastAsiaTheme="minorEastAsia"/>
                <w:color w:val="auto"/>
                <w:sz w:val="26"/>
                <w:szCs w:val="26"/>
              </w:rPr>
            </w:pPr>
            <w:r>
              <w:rPr>
                <w:rFonts w:eastAsiaTheme="minorEastAsia"/>
                <w:color w:val="auto"/>
                <w:sz w:val="26"/>
                <w:szCs w:val="26"/>
              </w:rPr>
              <w:t>Lpi-为某个室内声源在靠近围护结构处产生的倍频带声压级；</w:t>
            </w:r>
          </w:p>
          <w:p w14:paraId="21AB5C96">
            <w:pPr>
              <w:spacing w:line="460" w:lineRule="exact"/>
              <w:ind w:firstLine="520" w:firstLineChars="200"/>
              <w:rPr>
                <w:rFonts w:eastAsiaTheme="minorEastAsia"/>
                <w:color w:val="auto"/>
                <w:sz w:val="26"/>
                <w:szCs w:val="26"/>
              </w:rPr>
            </w:pPr>
            <w:r>
              <w:rPr>
                <w:rFonts w:eastAsiaTheme="minorEastAsia"/>
                <w:color w:val="auto"/>
                <w:sz w:val="26"/>
                <w:szCs w:val="26"/>
              </w:rPr>
              <w:t>Lw-为某个声源的倍频带声功率级；</w:t>
            </w:r>
          </w:p>
          <w:p w14:paraId="25BCC9FA">
            <w:pPr>
              <w:spacing w:line="460" w:lineRule="exact"/>
              <w:ind w:firstLine="520" w:firstLineChars="200"/>
              <w:rPr>
                <w:rFonts w:eastAsiaTheme="minorEastAsia"/>
                <w:color w:val="auto"/>
                <w:sz w:val="26"/>
                <w:szCs w:val="26"/>
              </w:rPr>
            </w:pPr>
            <w:r>
              <w:rPr>
                <w:rFonts w:eastAsiaTheme="minorEastAsia"/>
                <w:color w:val="auto"/>
                <w:sz w:val="26"/>
                <w:szCs w:val="26"/>
              </w:rPr>
              <w:t>r</w:t>
            </w:r>
            <w:r>
              <w:rPr>
                <w:rFonts w:hint="eastAsia" w:eastAsiaTheme="minorEastAsia"/>
                <w:color w:val="auto"/>
                <w:sz w:val="26"/>
                <w:szCs w:val="26"/>
                <w:lang w:eastAsia="zh-CN"/>
              </w:rPr>
              <w:t>－</w:t>
            </w:r>
            <w:r>
              <w:rPr>
                <w:rFonts w:eastAsiaTheme="minorEastAsia"/>
                <w:color w:val="auto"/>
                <w:sz w:val="26"/>
                <w:szCs w:val="26"/>
              </w:rPr>
              <w:t>为室内某个声源与靠近围护结构处的距离；</w:t>
            </w:r>
          </w:p>
          <w:p w14:paraId="51E04AF7">
            <w:pPr>
              <w:spacing w:line="460" w:lineRule="exact"/>
              <w:ind w:firstLine="520" w:firstLineChars="200"/>
              <w:rPr>
                <w:color w:val="auto"/>
              </w:rPr>
            </w:pPr>
            <w:r>
              <w:rPr>
                <w:rFonts w:eastAsiaTheme="minorEastAsia"/>
                <w:color w:val="auto"/>
                <w:sz w:val="26"/>
                <w:szCs w:val="26"/>
              </w:rPr>
              <w:t>R为房间常数，Q为方向因子。</w:t>
            </w:r>
          </w:p>
          <w:p w14:paraId="227F21F5">
            <w:pPr>
              <w:pStyle w:val="9"/>
              <w:rPr>
                <w:color w:val="auto"/>
              </w:rPr>
            </w:pPr>
            <w:r>
              <w:rPr>
                <w:rFonts w:eastAsiaTheme="minorEastAsia"/>
                <w:color w:val="auto"/>
                <w:sz w:val="26"/>
                <w:szCs w:val="26"/>
              </w:rPr>
              <w:drawing>
                <wp:anchor distT="0" distB="0" distL="114300" distR="114300" simplePos="0" relativeHeight="251665408" behindDoc="0" locked="0" layoutInCell="1" allowOverlap="1">
                  <wp:simplePos x="0" y="0"/>
                  <wp:positionH relativeFrom="column">
                    <wp:posOffset>1051560</wp:posOffset>
                  </wp:positionH>
                  <wp:positionV relativeFrom="paragraph">
                    <wp:posOffset>63500</wp:posOffset>
                  </wp:positionV>
                  <wp:extent cx="2466975" cy="1424940"/>
                  <wp:effectExtent l="0" t="0" r="9525" b="381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466975" cy="1424940"/>
                          </a:xfrm>
                          <a:prstGeom prst="rect">
                            <a:avLst/>
                          </a:prstGeom>
                          <a:noFill/>
                          <a:ln>
                            <a:noFill/>
                          </a:ln>
                        </pic:spPr>
                      </pic:pic>
                    </a:graphicData>
                  </a:graphic>
                </wp:anchor>
              </w:drawing>
            </w:r>
          </w:p>
          <w:p w14:paraId="0934099E">
            <w:pPr>
              <w:pStyle w:val="9"/>
              <w:rPr>
                <w:color w:val="auto"/>
              </w:rPr>
            </w:pPr>
          </w:p>
          <w:p w14:paraId="259D2468">
            <w:pPr>
              <w:pStyle w:val="9"/>
              <w:rPr>
                <w:color w:val="auto"/>
              </w:rPr>
            </w:pPr>
          </w:p>
          <w:p w14:paraId="204739BF">
            <w:pPr>
              <w:pStyle w:val="9"/>
              <w:rPr>
                <w:color w:val="auto"/>
              </w:rPr>
            </w:pPr>
          </w:p>
          <w:p w14:paraId="4CC8ADA2">
            <w:pPr>
              <w:pStyle w:val="9"/>
              <w:rPr>
                <w:color w:val="auto"/>
              </w:rPr>
            </w:pPr>
          </w:p>
          <w:p w14:paraId="256A343F">
            <w:pPr>
              <w:pStyle w:val="9"/>
              <w:rPr>
                <w:color w:val="auto"/>
              </w:rPr>
            </w:pPr>
          </w:p>
          <w:p w14:paraId="5B7A86C6">
            <w:pPr>
              <w:spacing w:line="460" w:lineRule="exact"/>
              <w:ind w:firstLine="520" w:firstLineChars="200"/>
              <w:rPr>
                <w:rFonts w:eastAsiaTheme="minorEastAsia"/>
                <w:color w:val="auto"/>
                <w:sz w:val="26"/>
                <w:szCs w:val="26"/>
              </w:rPr>
            </w:pPr>
            <w:r>
              <w:rPr>
                <w:rFonts w:hint="eastAsia" w:ascii="宋体" w:hAnsi="宋体" w:cs="宋体"/>
                <w:color w:val="auto"/>
                <w:sz w:val="26"/>
                <w:szCs w:val="26"/>
              </w:rPr>
              <w:t>②</w:t>
            </w:r>
            <w:r>
              <w:rPr>
                <w:rFonts w:eastAsiaTheme="minorEastAsia"/>
                <w:color w:val="auto"/>
                <w:sz w:val="26"/>
                <w:szCs w:val="26"/>
              </w:rPr>
              <w:t>计算出所有室内声源在靠近围护结构处产生的总倍频带声压级：</w:t>
            </w:r>
          </w:p>
          <w:p w14:paraId="434847C7">
            <w:pPr>
              <w:spacing w:line="460" w:lineRule="exact"/>
              <w:ind w:firstLine="520" w:firstLineChars="200"/>
              <w:rPr>
                <w:rFonts w:eastAsiaTheme="minorEastAsia"/>
                <w:color w:val="auto"/>
                <w:sz w:val="26"/>
                <w:szCs w:val="26"/>
              </w:rPr>
            </w:pPr>
            <w:r>
              <w:rPr>
                <w:rFonts w:eastAsiaTheme="minorEastAsia"/>
                <w:color w:val="auto"/>
                <w:sz w:val="26"/>
                <w:szCs w:val="26"/>
              </w:rPr>
              <w:drawing>
                <wp:anchor distT="0" distB="0" distL="114300" distR="114300" simplePos="0" relativeHeight="251666432" behindDoc="0" locked="0" layoutInCell="1" allowOverlap="1">
                  <wp:simplePos x="0" y="0"/>
                  <wp:positionH relativeFrom="column">
                    <wp:posOffset>935355</wp:posOffset>
                  </wp:positionH>
                  <wp:positionV relativeFrom="paragraph">
                    <wp:posOffset>8890</wp:posOffset>
                  </wp:positionV>
                  <wp:extent cx="2924175" cy="733425"/>
                  <wp:effectExtent l="0" t="0" r="9525" b="952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924175" cy="733425"/>
                          </a:xfrm>
                          <a:prstGeom prst="rect">
                            <a:avLst/>
                          </a:prstGeom>
                          <a:noFill/>
                          <a:ln>
                            <a:noFill/>
                          </a:ln>
                        </pic:spPr>
                      </pic:pic>
                    </a:graphicData>
                  </a:graphic>
                </wp:anchor>
              </w:drawing>
            </w:r>
          </w:p>
          <w:p w14:paraId="525B0609">
            <w:pPr>
              <w:pStyle w:val="9"/>
              <w:rPr>
                <w:color w:val="auto"/>
              </w:rPr>
            </w:pPr>
          </w:p>
          <w:p w14:paraId="05F29AB7">
            <w:pPr>
              <w:pStyle w:val="9"/>
              <w:rPr>
                <w:color w:val="auto"/>
              </w:rPr>
            </w:pPr>
          </w:p>
          <w:p w14:paraId="1C93F6E4">
            <w:pPr>
              <w:spacing w:line="460" w:lineRule="exact"/>
              <w:ind w:firstLine="520" w:firstLineChars="200"/>
              <w:rPr>
                <w:rFonts w:eastAsiaTheme="minorEastAsia"/>
                <w:color w:val="auto"/>
                <w:sz w:val="26"/>
                <w:szCs w:val="26"/>
              </w:rPr>
            </w:pPr>
            <w:r>
              <w:rPr>
                <w:rFonts w:eastAsiaTheme="minorEastAsia"/>
                <w:color w:val="auto"/>
                <w:sz w:val="26"/>
                <w:szCs w:val="26"/>
              </w:rPr>
              <w:t>式中：Lp1i（T）</w:t>
            </w:r>
            <w:r>
              <w:rPr>
                <w:rFonts w:hint="eastAsia" w:eastAsiaTheme="minorEastAsia"/>
                <w:color w:val="auto"/>
                <w:sz w:val="26"/>
                <w:szCs w:val="26"/>
                <w:lang w:eastAsia="zh-CN"/>
              </w:rPr>
              <w:t>－</w:t>
            </w:r>
            <w:r>
              <w:rPr>
                <w:rFonts w:eastAsiaTheme="minorEastAsia"/>
                <w:color w:val="auto"/>
                <w:sz w:val="26"/>
                <w:szCs w:val="26"/>
              </w:rPr>
              <w:t>靠近围护结构处室内N个声源i倍频带的叠加声压级，dB；</w:t>
            </w:r>
          </w:p>
          <w:p w14:paraId="3C01FB56">
            <w:pPr>
              <w:spacing w:line="460" w:lineRule="exact"/>
              <w:ind w:firstLine="520" w:firstLineChars="200"/>
              <w:rPr>
                <w:rFonts w:eastAsiaTheme="minorEastAsia"/>
                <w:color w:val="auto"/>
                <w:sz w:val="26"/>
                <w:szCs w:val="26"/>
              </w:rPr>
            </w:pPr>
            <w:r>
              <w:rPr>
                <w:rFonts w:eastAsiaTheme="minorEastAsia"/>
                <w:color w:val="auto"/>
                <w:sz w:val="26"/>
                <w:szCs w:val="26"/>
              </w:rPr>
              <w:t>Lp1ij-室内j声源i倍频带的声压级，dB；</w:t>
            </w:r>
          </w:p>
          <w:p w14:paraId="10F14CC9">
            <w:pPr>
              <w:spacing w:line="460" w:lineRule="exact"/>
              <w:ind w:firstLine="520" w:firstLineChars="200"/>
              <w:rPr>
                <w:rFonts w:eastAsiaTheme="minorEastAsia"/>
                <w:color w:val="auto"/>
                <w:sz w:val="26"/>
                <w:szCs w:val="26"/>
              </w:rPr>
            </w:pPr>
            <w:r>
              <w:rPr>
                <w:rFonts w:eastAsiaTheme="minorEastAsia"/>
                <w:color w:val="auto"/>
                <w:sz w:val="26"/>
                <w:szCs w:val="26"/>
              </w:rPr>
              <w:t>N</w:t>
            </w:r>
            <w:r>
              <w:rPr>
                <w:rFonts w:hint="eastAsia" w:eastAsiaTheme="minorEastAsia"/>
                <w:color w:val="auto"/>
                <w:sz w:val="26"/>
                <w:szCs w:val="26"/>
                <w:lang w:eastAsia="zh-CN"/>
              </w:rPr>
              <w:t>－</w:t>
            </w:r>
            <w:r>
              <w:rPr>
                <w:rFonts w:eastAsiaTheme="minorEastAsia"/>
                <w:color w:val="auto"/>
                <w:sz w:val="26"/>
                <w:szCs w:val="26"/>
              </w:rPr>
              <w:t>室内声源总数。</w:t>
            </w:r>
          </w:p>
          <w:p w14:paraId="48BF51AA">
            <w:pPr>
              <w:spacing w:line="460" w:lineRule="exact"/>
              <w:ind w:firstLine="520" w:firstLineChars="200"/>
              <w:rPr>
                <w:rFonts w:eastAsiaTheme="minorEastAsia"/>
                <w:color w:val="auto"/>
                <w:sz w:val="26"/>
                <w:szCs w:val="26"/>
              </w:rPr>
            </w:pPr>
            <w:r>
              <w:rPr>
                <w:rFonts w:eastAsiaTheme="minorEastAsia"/>
                <w:color w:val="auto"/>
                <w:sz w:val="26"/>
                <w:szCs w:val="26"/>
              </w:rPr>
              <w:t>2）室外噪声影响预测模式</w:t>
            </w:r>
          </w:p>
          <w:p w14:paraId="6E80DF95">
            <w:pPr>
              <w:spacing w:line="460" w:lineRule="exact"/>
              <w:ind w:firstLine="520" w:firstLineChars="200"/>
              <w:rPr>
                <w:rFonts w:eastAsiaTheme="minorEastAsia"/>
                <w:color w:val="auto"/>
                <w:sz w:val="26"/>
                <w:szCs w:val="26"/>
              </w:rPr>
            </w:pPr>
            <w:r>
              <w:rPr>
                <w:rFonts w:hint="eastAsia" w:ascii="宋体" w:hAnsi="宋体" w:cs="宋体"/>
                <w:color w:val="auto"/>
                <w:sz w:val="26"/>
                <w:szCs w:val="26"/>
              </w:rPr>
              <w:t>①</w:t>
            </w:r>
            <w:r>
              <w:rPr>
                <w:rFonts w:eastAsiaTheme="minorEastAsia"/>
                <w:color w:val="auto"/>
                <w:sz w:val="26"/>
                <w:szCs w:val="26"/>
              </w:rPr>
              <w:t>靠近室外围护结构处的声压级</w:t>
            </w:r>
          </w:p>
          <w:p w14:paraId="4D402348">
            <w:pPr>
              <w:spacing w:line="460" w:lineRule="exact"/>
              <w:ind w:firstLine="520" w:firstLineChars="200"/>
              <w:jc w:val="center"/>
              <w:rPr>
                <w:rFonts w:eastAsiaTheme="minorEastAsia"/>
                <w:color w:val="auto"/>
                <w:sz w:val="26"/>
                <w:szCs w:val="26"/>
              </w:rPr>
            </w:pPr>
            <w:r>
              <w:rPr>
                <w:rFonts w:eastAsiaTheme="minorEastAsia"/>
                <w:color w:val="auto"/>
                <w:sz w:val="26"/>
                <w:szCs w:val="26"/>
              </w:rPr>
              <w:drawing>
                <wp:anchor distT="0" distB="0" distL="114300" distR="114300" simplePos="0" relativeHeight="251667456" behindDoc="0" locked="0" layoutInCell="1" allowOverlap="1">
                  <wp:simplePos x="0" y="0"/>
                  <wp:positionH relativeFrom="column">
                    <wp:posOffset>880745</wp:posOffset>
                  </wp:positionH>
                  <wp:positionV relativeFrom="paragraph">
                    <wp:posOffset>129540</wp:posOffset>
                  </wp:positionV>
                  <wp:extent cx="2976880" cy="499745"/>
                  <wp:effectExtent l="0" t="0" r="13970" b="14605"/>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976880" cy="499745"/>
                          </a:xfrm>
                          <a:prstGeom prst="rect">
                            <a:avLst/>
                          </a:prstGeom>
                          <a:noFill/>
                          <a:ln>
                            <a:noFill/>
                          </a:ln>
                        </pic:spPr>
                      </pic:pic>
                    </a:graphicData>
                  </a:graphic>
                </wp:anchor>
              </w:drawing>
            </w:r>
          </w:p>
          <w:p w14:paraId="16449A9E">
            <w:pPr>
              <w:pStyle w:val="9"/>
              <w:rPr>
                <w:color w:val="auto"/>
              </w:rPr>
            </w:pPr>
          </w:p>
          <w:p w14:paraId="2708C6EA">
            <w:pPr>
              <w:pStyle w:val="9"/>
              <w:rPr>
                <w:color w:val="auto"/>
              </w:rPr>
            </w:pPr>
          </w:p>
          <w:p w14:paraId="5677230E">
            <w:pPr>
              <w:spacing w:line="460" w:lineRule="exact"/>
              <w:ind w:firstLine="520" w:firstLineChars="200"/>
              <w:rPr>
                <w:rFonts w:eastAsiaTheme="minorEastAsia"/>
                <w:color w:val="auto"/>
                <w:sz w:val="26"/>
                <w:szCs w:val="26"/>
              </w:rPr>
            </w:pPr>
            <w:r>
              <w:rPr>
                <w:rFonts w:eastAsiaTheme="minorEastAsia"/>
                <w:color w:val="auto"/>
                <w:sz w:val="26"/>
                <w:szCs w:val="26"/>
              </w:rPr>
              <w:t>式中：Lp2i（T）</w:t>
            </w:r>
            <w:r>
              <w:rPr>
                <w:rFonts w:hint="eastAsia" w:eastAsiaTheme="minorEastAsia"/>
                <w:color w:val="auto"/>
                <w:sz w:val="26"/>
                <w:szCs w:val="26"/>
                <w:lang w:eastAsia="zh-CN"/>
              </w:rPr>
              <w:t>－</w:t>
            </w:r>
            <w:r>
              <w:rPr>
                <w:rFonts w:eastAsiaTheme="minorEastAsia"/>
                <w:color w:val="auto"/>
                <w:sz w:val="26"/>
                <w:szCs w:val="26"/>
              </w:rPr>
              <w:t>靠近围护结构处室外N个声源i倍频带的叠加声压级，dB；</w:t>
            </w:r>
          </w:p>
          <w:p w14:paraId="1FAC3AAE">
            <w:pPr>
              <w:spacing w:line="460" w:lineRule="exact"/>
              <w:ind w:firstLine="520" w:firstLineChars="200"/>
              <w:rPr>
                <w:rFonts w:eastAsiaTheme="minorEastAsia"/>
                <w:color w:val="auto"/>
                <w:sz w:val="26"/>
                <w:szCs w:val="26"/>
              </w:rPr>
            </w:pPr>
            <w:r>
              <w:rPr>
                <w:rFonts w:eastAsiaTheme="minorEastAsia"/>
                <w:color w:val="auto"/>
                <w:sz w:val="26"/>
                <w:szCs w:val="26"/>
              </w:rPr>
              <w:t>TLi-围护结构i倍频带的隔声量，dB。</w:t>
            </w:r>
          </w:p>
          <w:p w14:paraId="70C57EFB">
            <w:pPr>
              <w:pStyle w:val="9"/>
              <w:rPr>
                <w:color w:val="auto"/>
              </w:rPr>
            </w:pPr>
          </w:p>
          <w:p w14:paraId="1FC6218E">
            <w:pPr>
              <w:spacing w:line="460" w:lineRule="exact"/>
              <w:ind w:firstLine="520" w:firstLineChars="200"/>
              <w:rPr>
                <w:rFonts w:eastAsiaTheme="minorEastAsia"/>
                <w:color w:val="auto"/>
                <w:sz w:val="26"/>
                <w:szCs w:val="26"/>
              </w:rPr>
            </w:pPr>
            <w:r>
              <w:rPr>
                <w:rFonts w:hint="eastAsia" w:ascii="宋体" w:hAnsi="宋体" w:cs="宋体"/>
                <w:color w:val="auto"/>
                <w:sz w:val="26"/>
                <w:szCs w:val="26"/>
              </w:rPr>
              <w:t>②</w:t>
            </w:r>
            <w:r>
              <w:rPr>
                <w:rFonts w:eastAsiaTheme="minorEastAsia"/>
                <w:color w:val="auto"/>
                <w:sz w:val="26"/>
                <w:szCs w:val="26"/>
              </w:rPr>
              <w:t>中心位置位于透声面积（S）处的声效声源的倍频带声功率级</w:t>
            </w:r>
          </w:p>
          <w:p w14:paraId="36CEA131">
            <w:pPr>
              <w:spacing w:line="460" w:lineRule="exact"/>
              <w:ind w:firstLine="520" w:firstLineChars="200"/>
              <w:rPr>
                <w:rFonts w:eastAsiaTheme="minorEastAsia"/>
                <w:color w:val="auto"/>
                <w:sz w:val="26"/>
                <w:szCs w:val="26"/>
              </w:rPr>
            </w:pPr>
            <w:r>
              <w:rPr>
                <w:rFonts w:eastAsiaTheme="minorEastAsia"/>
                <w:color w:val="auto"/>
                <w:sz w:val="26"/>
                <w:szCs w:val="26"/>
              </w:rPr>
              <w:drawing>
                <wp:anchor distT="0" distB="0" distL="114300" distR="114300" simplePos="0" relativeHeight="251668480" behindDoc="0" locked="0" layoutInCell="1" allowOverlap="1">
                  <wp:simplePos x="0" y="0"/>
                  <wp:positionH relativeFrom="column">
                    <wp:posOffset>1327785</wp:posOffset>
                  </wp:positionH>
                  <wp:positionV relativeFrom="paragraph">
                    <wp:posOffset>89535</wp:posOffset>
                  </wp:positionV>
                  <wp:extent cx="2105025" cy="414655"/>
                  <wp:effectExtent l="0" t="0" r="9525" b="444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105025" cy="414655"/>
                          </a:xfrm>
                          <a:prstGeom prst="rect">
                            <a:avLst/>
                          </a:prstGeom>
                          <a:noFill/>
                          <a:ln>
                            <a:noFill/>
                          </a:ln>
                        </pic:spPr>
                      </pic:pic>
                    </a:graphicData>
                  </a:graphic>
                </wp:anchor>
              </w:drawing>
            </w:r>
          </w:p>
          <w:p w14:paraId="1A974F90">
            <w:pPr>
              <w:pStyle w:val="9"/>
              <w:rPr>
                <w:color w:val="auto"/>
              </w:rPr>
            </w:pPr>
          </w:p>
          <w:p w14:paraId="2A5706F6">
            <w:pPr>
              <w:spacing w:line="460" w:lineRule="exact"/>
              <w:ind w:firstLine="520" w:firstLineChars="200"/>
              <w:rPr>
                <w:rFonts w:eastAsiaTheme="minorEastAsia"/>
                <w:color w:val="auto"/>
                <w:sz w:val="26"/>
                <w:szCs w:val="26"/>
              </w:rPr>
            </w:pPr>
            <w:r>
              <w:rPr>
                <w:rFonts w:hint="eastAsia" w:ascii="宋体" w:hAnsi="宋体" w:cs="宋体"/>
                <w:color w:val="auto"/>
                <w:sz w:val="26"/>
                <w:szCs w:val="26"/>
              </w:rPr>
              <w:t>③</w:t>
            </w:r>
            <w:r>
              <w:rPr>
                <w:rFonts w:eastAsiaTheme="minorEastAsia"/>
                <w:color w:val="auto"/>
                <w:sz w:val="26"/>
                <w:szCs w:val="26"/>
              </w:rPr>
              <w:t>点声源的几何发散衰减</w:t>
            </w:r>
          </w:p>
          <w:p w14:paraId="7FB59051">
            <w:pPr>
              <w:spacing w:line="460" w:lineRule="exact"/>
              <w:ind w:firstLine="520" w:firstLineChars="200"/>
              <w:rPr>
                <w:rFonts w:eastAsiaTheme="minorEastAsia"/>
                <w:color w:val="auto"/>
                <w:sz w:val="26"/>
                <w:szCs w:val="26"/>
              </w:rPr>
            </w:pPr>
            <w:r>
              <w:rPr>
                <w:rFonts w:eastAsiaTheme="minorEastAsia"/>
                <w:color w:val="auto"/>
                <w:sz w:val="26"/>
                <w:szCs w:val="26"/>
              </w:rPr>
              <w:drawing>
                <wp:anchor distT="0" distB="0" distL="114300" distR="114300" simplePos="0" relativeHeight="251669504" behindDoc="0" locked="0" layoutInCell="1" allowOverlap="1">
                  <wp:simplePos x="0" y="0"/>
                  <wp:positionH relativeFrom="column">
                    <wp:posOffset>785495</wp:posOffset>
                  </wp:positionH>
                  <wp:positionV relativeFrom="paragraph">
                    <wp:posOffset>77470</wp:posOffset>
                  </wp:positionV>
                  <wp:extent cx="2966720" cy="499745"/>
                  <wp:effectExtent l="0" t="0" r="5080" b="1460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966720" cy="499745"/>
                          </a:xfrm>
                          <a:prstGeom prst="rect">
                            <a:avLst/>
                          </a:prstGeom>
                          <a:noFill/>
                          <a:ln>
                            <a:noFill/>
                          </a:ln>
                        </pic:spPr>
                      </pic:pic>
                    </a:graphicData>
                  </a:graphic>
                </wp:anchor>
              </w:drawing>
            </w:r>
          </w:p>
          <w:p w14:paraId="65077403">
            <w:pPr>
              <w:pStyle w:val="9"/>
              <w:rPr>
                <w:color w:val="auto"/>
              </w:rPr>
            </w:pPr>
          </w:p>
          <w:p w14:paraId="37EA0BED">
            <w:pPr>
              <w:spacing w:line="460" w:lineRule="exact"/>
              <w:ind w:firstLine="520" w:firstLineChars="200"/>
              <w:rPr>
                <w:rFonts w:eastAsiaTheme="minorEastAsia"/>
                <w:color w:val="auto"/>
                <w:sz w:val="26"/>
                <w:szCs w:val="26"/>
              </w:rPr>
            </w:pPr>
            <w:r>
              <w:rPr>
                <w:rFonts w:eastAsiaTheme="minorEastAsia"/>
                <w:color w:val="auto"/>
                <w:sz w:val="26"/>
                <w:szCs w:val="26"/>
              </w:rPr>
              <w:t>式中：Lp（r）</w:t>
            </w:r>
            <w:r>
              <w:rPr>
                <w:rFonts w:hint="eastAsia" w:eastAsiaTheme="minorEastAsia"/>
                <w:color w:val="auto"/>
                <w:sz w:val="26"/>
                <w:szCs w:val="26"/>
                <w:lang w:eastAsia="zh-CN"/>
              </w:rPr>
              <w:t>－</w:t>
            </w:r>
            <w:r>
              <w:rPr>
                <w:rFonts w:eastAsiaTheme="minorEastAsia"/>
                <w:color w:val="auto"/>
                <w:sz w:val="26"/>
                <w:szCs w:val="26"/>
              </w:rPr>
              <w:t>距离声源r处的倍频带声压级，dB；</w:t>
            </w:r>
          </w:p>
          <w:p w14:paraId="631D3619">
            <w:pPr>
              <w:spacing w:line="460" w:lineRule="exact"/>
              <w:ind w:firstLine="520" w:firstLineChars="200"/>
              <w:rPr>
                <w:rFonts w:eastAsiaTheme="minorEastAsia"/>
                <w:color w:val="auto"/>
                <w:sz w:val="26"/>
                <w:szCs w:val="26"/>
              </w:rPr>
            </w:pPr>
            <w:r>
              <w:rPr>
                <w:rFonts w:eastAsiaTheme="minorEastAsia"/>
                <w:color w:val="auto"/>
                <w:sz w:val="26"/>
                <w:szCs w:val="26"/>
              </w:rPr>
              <w:t>Lp（r</w:t>
            </w:r>
            <w:r>
              <w:rPr>
                <w:rFonts w:eastAsiaTheme="minorEastAsia"/>
                <w:color w:val="auto"/>
                <w:sz w:val="26"/>
                <w:szCs w:val="26"/>
                <w:vertAlign w:val="subscript"/>
              </w:rPr>
              <w:t>0</w:t>
            </w:r>
            <w:r>
              <w:rPr>
                <w:rFonts w:eastAsiaTheme="minorEastAsia"/>
                <w:color w:val="auto"/>
                <w:sz w:val="26"/>
                <w:szCs w:val="26"/>
              </w:rPr>
              <w:t>）</w:t>
            </w:r>
            <w:r>
              <w:rPr>
                <w:rFonts w:hint="eastAsia" w:eastAsiaTheme="minorEastAsia"/>
                <w:color w:val="auto"/>
                <w:sz w:val="26"/>
                <w:szCs w:val="26"/>
                <w:lang w:eastAsia="zh-CN"/>
              </w:rPr>
              <w:t>－</w:t>
            </w:r>
            <w:r>
              <w:rPr>
                <w:rFonts w:eastAsiaTheme="minorEastAsia"/>
                <w:color w:val="auto"/>
                <w:sz w:val="26"/>
                <w:szCs w:val="26"/>
              </w:rPr>
              <w:t>参考位置r0处的倍频带声压级，dB；</w:t>
            </w:r>
          </w:p>
          <w:p w14:paraId="337B81E6">
            <w:pPr>
              <w:spacing w:line="460" w:lineRule="exact"/>
              <w:ind w:firstLine="520" w:firstLineChars="200"/>
              <w:rPr>
                <w:rFonts w:eastAsiaTheme="minorEastAsia"/>
                <w:color w:val="auto"/>
                <w:sz w:val="26"/>
                <w:szCs w:val="26"/>
              </w:rPr>
            </w:pPr>
            <w:r>
              <w:rPr>
                <w:rFonts w:eastAsiaTheme="minorEastAsia"/>
                <w:color w:val="auto"/>
                <w:sz w:val="26"/>
                <w:szCs w:val="26"/>
              </w:rPr>
              <w:t>r</w:t>
            </w:r>
            <w:r>
              <w:rPr>
                <w:rFonts w:hint="eastAsia" w:eastAsiaTheme="minorEastAsia"/>
                <w:color w:val="auto"/>
                <w:sz w:val="26"/>
                <w:szCs w:val="26"/>
                <w:lang w:eastAsia="zh-CN"/>
              </w:rPr>
              <w:t>－</w:t>
            </w:r>
            <w:r>
              <w:rPr>
                <w:rFonts w:eastAsiaTheme="minorEastAsia"/>
                <w:color w:val="auto"/>
                <w:sz w:val="26"/>
                <w:szCs w:val="26"/>
              </w:rPr>
              <w:t>预测点距离声源的距离，m；</w:t>
            </w:r>
          </w:p>
          <w:p w14:paraId="6F176BDA">
            <w:pPr>
              <w:spacing w:line="460" w:lineRule="exact"/>
              <w:ind w:firstLine="520" w:firstLineChars="200"/>
              <w:rPr>
                <w:rFonts w:eastAsiaTheme="minorEastAsia"/>
                <w:color w:val="auto"/>
                <w:sz w:val="26"/>
                <w:szCs w:val="26"/>
              </w:rPr>
            </w:pPr>
            <w:r>
              <w:rPr>
                <w:rFonts w:eastAsiaTheme="minorEastAsia"/>
                <w:color w:val="auto"/>
                <w:sz w:val="26"/>
                <w:szCs w:val="26"/>
              </w:rPr>
              <w:t>r</w:t>
            </w:r>
            <w:r>
              <w:rPr>
                <w:rFonts w:eastAsiaTheme="minorEastAsia"/>
                <w:color w:val="auto"/>
                <w:sz w:val="26"/>
                <w:szCs w:val="26"/>
                <w:vertAlign w:val="subscript"/>
              </w:rPr>
              <w:t>0</w:t>
            </w:r>
            <w:r>
              <w:rPr>
                <w:rFonts w:eastAsiaTheme="minorEastAsia"/>
                <w:color w:val="auto"/>
                <w:sz w:val="26"/>
                <w:szCs w:val="26"/>
              </w:rPr>
              <w:t>-参考位置距离声源的距离，m。</w:t>
            </w:r>
          </w:p>
          <w:p w14:paraId="2E5228DE">
            <w:pPr>
              <w:spacing w:line="460" w:lineRule="exact"/>
              <w:ind w:firstLine="520" w:firstLineChars="200"/>
              <w:rPr>
                <w:rFonts w:eastAsiaTheme="minorEastAsia"/>
                <w:color w:val="auto"/>
                <w:sz w:val="26"/>
                <w:szCs w:val="26"/>
              </w:rPr>
            </w:pPr>
            <w:r>
              <w:rPr>
                <w:rFonts w:hint="eastAsia" w:ascii="宋体" w:hAnsi="宋体" w:cs="宋体"/>
                <w:color w:val="auto"/>
                <w:sz w:val="26"/>
                <w:szCs w:val="26"/>
              </w:rPr>
              <w:t>④</w:t>
            </w:r>
            <w:r>
              <w:rPr>
                <w:rFonts w:eastAsiaTheme="minorEastAsia"/>
                <w:color w:val="auto"/>
                <w:sz w:val="26"/>
                <w:szCs w:val="26"/>
              </w:rPr>
              <w:t>预测点的预测等效声级</w:t>
            </w:r>
          </w:p>
          <w:p w14:paraId="185BB558">
            <w:pPr>
              <w:spacing w:line="460" w:lineRule="exact"/>
              <w:ind w:firstLine="520" w:firstLineChars="200"/>
              <w:rPr>
                <w:rFonts w:eastAsiaTheme="minorEastAsia"/>
                <w:color w:val="auto"/>
                <w:sz w:val="26"/>
                <w:szCs w:val="26"/>
              </w:rPr>
            </w:pPr>
            <w:r>
              <w:rPr>
                <w:rFonts w:eastAsiaTheme="minorEastAsia"/>
                <w:color w:val="auto"/>
                <w:sz w:val="26"/>
                <w:szCs w:val="26"/>
              </w:rPr>
              <w:drawing>
                <wp:anchor distT="0" distB="0" distL="114300" distR="114300" simplePos="0" relativeHeight="251670528" behindDoc="0" locked="0" layoutInCell="1" allowOverlap="1">
                  <wp:simplePos x="0" y="0"/>
                  <wp:positionH relativeFrom="column">
                    <wp:posOffset>945515</wp:posOffset>
                  </wp:positionH>
                  <wp:positionV relativeFrom="paragraph">
                    <wp:posOffset>121285</wp:posOffset>
                  </wp:positionV>
                  <wp:extent cx="2519680" cy="414655"/>
                  <wp:effectExtent l="0" t="0" r="13970"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519680" cy="414655"/>
                          </a:xfrm>
                          <a:prstGeom prst="rect">
                            <a:avLst/>
                          </a:prstGeom>
                          <a:noFill/>
                          <a:ln>
                            <a:noFill/>
                          </a:ln>
                        </pic:spPr>
                      </pic:pic>
                    </a:graphicData>
                  </a:graphic>
                </wp:anchor>
              </w:drawing>
            </w:r>
          </w:p>
          <w:p w14:paraId="307C787D">
            <w:pPr>
              <w:pStyle w:val="9"/>
              <w:rPr>
                <w:color w:val="auto"/>
              </w:rPr>
            </w:pPr>
          </w:p>
          <w:p w14:paraId="7F2710DC">
            <w:pPr>
              <w:spacing w:line="460" w:lineRule="exact"/>
              <w:ind w:firstLine="520" w:firstLineChars="200"/>
              <w:rPr>
                <w:rFonts w:eastAsiaTheme="minorEastAsia"/>
                <w:color w:val="auto"/>
                <w:sz w:val="26"/>
                <w:szCs w:val="26"/>
              </w:rPr>
            </w:pPr>
            <w:r>
              <w:rPr>
                <w:rFonts w:eastAsiaTheme="minorEastAsia"/>
                <w:color w:val="auto"/>
                <w:sz w:val="26"/>
                <w:szCs w:val="26"/>
              </w:rPr>
              <w:t>式中：Leq-预测点的预测等效声级，dB（A）；</w:t>
            </w:r>
          </w:p>
          <w:p w14:paraId="61793399">
            <w:pPr>
              <w:spacing w:line="460" w:lineRule="exact"/>
              <w:ind w:firstLine="520" w:firstLineChars="200"/>
              <w:rPr>
                <w:rFonts w:eastAsiaTheme="minorEastAsia"/>
                <w:color w:val="auto"/>
                <w:sz w:val="26"/>
                <w:szCs w:val="26"/>
              </w:rPr>
            </w:pPr>
            <w:r>
              <w:rPr>
                <w:rFonts w:eastAsiaTheme="minorEastAsia"/>
                <w:color w:val="auto"/>
                <w:sz w:val="26"/>
                <w:szCs w:val="26"/>
              </w:rPr>
              <w:t>Leqg-建设项目声源在预测点的等效声级贡献值，dB（A）；</w:t>
            </w:r>
          </w:p>
          <w:p w14:paraId="6140E454">
            <w:pPr>
              <w:spacing w:line="460" w:lineRule="exact"/>
              <w:ind w:firstLine="520" w:firstLineChars="200"/>
              <w:rPr>
                <w:color w:val="auto"/>
              </w:rPr>
            </w:pPr>
            <w:r>
              <w:rPr>
                <w:rFonts w:eastAsiaTheme="minorEastAsia"/>
                <w:color w:val="auto"/>
                <w:sz w:val="26"/>
                <w:szCs w:val="26"/>
              </w:rPr>
              <w:t>Leqb-预测点的背景值，dB（A）。</w:t>
            </w:r>
          </w:p>
          <w:p w14:paraId="5E715EA0">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color w:val="auto"/>
                <w:lang w:val="en-US" w:eastAsia="zh-CN"/>
              </w:rPr>
            </w:pPr>
            <w:r>
              <w:rPr>
                <w:rFonts w:hint="default" w:ascii="Times New Roman" w:hAnsi="Times New Roman" w:eastAsia="宋体" w:cs="Times New Roman"/>
                <w:color w:val="auto"/>
                <w:sz w:val="26"/>
                <w:szCs w:val="26"/>
                <w:lang w:val="en-US" w:eastAsia="zh-CN"/>
              </w:rPr>
              <w:t>噪声源强产排情况</w:t>
            </w:r>
            <w:r>
              <w:rPr>
                <w:rFonts w:hint="default" w:ascii="Times New Roman" w:hAnsi="Times New Roman" w:cs="Times New Roman"/>
                <w:color w:val="auto"/>
                <w:sz w:val="26"/>
                <w:szCs w:val="26"/>
                <w:lang w:val="en-US" w:eastAsia="zh-CN"/>
              </w:rPr>
              <w:t>见表4.2-</w:t>
            </w:r>
            <w:r>
              <w:rPr>
                <w:rFonts w:hint="eastAsia" w:ascii="Times New Roman" w:hAnsi="Times New Roman" w:cs="Times New Roman"/>
                <w:color w:val="auto"/>
                <w:sz w:val="26"/>
                <w:szCs w:val="26"/>
                <w:lang w:val="en-US" w:eastAsia="zh-CN"/>
              </w:rPr>
              <w:t>7</w:t>
            </w:r>
            <w:r>
              <w:rPr>
                <w:rFonts w:hint="default" w:ascii="Times New Roman" w:hAnsi="Times New Roman" w:cs="Times New Roman"/>
                <w:color w:val="auto"/>
                <w:sz w:val="26"/>
                <w:szCs w:val="26"/>
                <w:lang w:val="en-US" w:eastAsia="zh-CN"/>
              </w:rPr>
              <w:t>。</w:t>
            </w:r>
          </w:p>
        </w:tc>
      </w:tr>
    </w:tbl>
    <w:p w14:paraId="43411E69">
      <w:pPr>
        <w:rPr>
          <w:rFonts w:hint="default"/>
          <w:color w:val="auto"/>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p>
    <w:p w14:paraId="613E977C">
      <w:pPr>
        <w:adjustRightInd w:val="0"/>
        <w:snapToGrid w:val="0"/>
        <w:spacing w:line="460" w:lineRule="exact"/>
        <w:ind w:firstLine="520" w:firstLineChars="200"/>
        <w:rPr>
          <w:color w:val="auto"/>
          <w:sz w:val="26"/>
          <w:szCs w:val="26"/>
        </w:rPr>
      </w:pPr>
      <w:r>
        <w:rPr>
          <w:color w:val="auto"/>
          <w:sz w:val="26"/>
          <w:szCs w:val="26"/>
        </w:rPr>
        <w:t>表4.2-</w:t>
      </w:r>
      <w:r>
        <w:rPr>
          <w:rFonts w:hint="eastAsia"/>
          <w:color w:val="auto"/>
          <w:sz w:val="26"/>
          <w:szCs w:val="26"/>
          <w:lang w:val="en-US" w:eastAsia="zh-CN"/>
        </w:rPr>
        <w:t>7.1</w:t>
      </w:r>
      <w:r>
        <w:rPr>
          <w:rFonts w:hint="eastAsia"/>
          <w:color w:val="auto"/>
          <w:sz w:val="26"/>
          <w:szCs w:val="26"/>
        </w:rPr>
        <w:t xml:space="preserve">   </w:t>
      </w:r>
      <w:r>
        <w:rPr>
          <w:color w:val="auto"/>
          <w:sz w:val="26"/>
          <w:szCs w:val="26"/>
        </w:rPr>
        <w:t xml:space="preserve">  </w:t>
      </w:r>
      <w:r>
        <w:rPr>
          <w:rFonts w:hint="eastAsia"/>
          <w:color w:val="auto"/>
          <w:sz w:val="26"/>
          <w:szCs w:val="26"/>
        </w:rPr>
        <w:t xml:space="preserve">                  项目</w:t>
      </w:r>
      <w:r>
        <w:rPr>
          <w:color w:val="auto"/>
          <w:sz w:val="26"/>
          <w:szCs w:val="26"/>
        </w:rPr>
        <w:t>室内噪声源调查清单</w:t>
      </w:r>
      <w:r>
        <w:rPr>
          <w:rFonts w:hint="eastAsia"/>
          <w:color w:val="auto"/>
          <w:sz w:val="26"/>
          <w:szCs w:val="26"/>
        </w:rPr>
        <w:t xml:space="preserve">  </w:t>
      </w:r>
      <w:r>
        <w:rPr>
          <w:color w:val="auto"/>
          <w:sz w:val="26"/>
          <w:szCs w:val="26"/>
        </w:rPr>
        <w:t xml:space="preserve">  </w:t>
      </w:r>
      <w:r>
        <w:rPr>
          <w:rFonts w:hint="eastAsia"/>
          <w:color w:val="auto"/>
          <w:sz w:val="26"/>
          <w:szCs w:val="26"/>
        </w:rPr>
        <w:t>单位</w:t>
      </w:r>
      <w:r>
        <w:rPr>
          <w:color w:val="auto"/>
          <w:sz w:val="26"/>
          <w:szCs w:val="26"/>
        </w:rPr>
        <w:t>：dB</w:t>
      </w:r>
      <w:r>
        <w:rPr>
          <w:rFonts w:hint="eastAsia"/>
          <w:color w:val="auto"/>
          <w:sz w:val="26"/>
          <w:szCs w:val="26"/>
        </w:rPr>
        <w:t>（A）</w:t>
      </w:r>
    </w:p>
    <w:tbl>
      <w:tblPr>
        <w:tblStyle w:val="42"/>
        <w:tblW w:w="48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1"/>
        <w:gridCol w:w="115"/>
        <w:gridCol w:w="1524"/>
        <w:gridCol w:w="1982"/>
        <w:gridCol w:w="999"/>
        <w:gridCol w:w="531"/>
        <w:gridCol w:w="575"/>
        <w:gridCol w:w="711"/>
        <w:gridCol w:w="577"/>
        <w:gridCol w:w="581"/>
        <w:gridCol w:w="543"/>
        <w:gridCol w:w="641"/>
        <w:gridCol w:w="513"/>
        <w:gridCol w:w="682"/>
        <w:gridCol w:w="673"/>
        <w:gridCol w:w="52"/>
        <w:gridCol w:w="698"/>
        <w:gridCol w:w="715"/>
        <w:gridCol w:w="717"/>
      </w:tblGrid>
      <w:tr w14:paraId="6E389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1" w:type="dxa"/>
            <w:vMerge w:val="restart"/>
            <w:vAlign w:val="center"/>
          </w:tcPr>
          <w:p w14:paraId="28E0A2F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r>
              <w:rPr>
                <w:rFonts w:hint="default" w:ascii="Times New Roman" w:hAnsi="Times New Roman" w:cs="Times New Roman" w:eastAsiaTheme="minorEastAsia"/>
                <w:color w:val="auto"/>
                <w:sz w:val="22"/>
                <w:szCs w:val="22"/>
                <w:lang w:eastAsia="en-US"/>
              </w:rPr>
              <w:t>建筑物名称</w:t>
            </w:r>
          </w:p>
        </w:tc>
        <w:tc>
          <w:tcPr>
            <w:tcW w:w="1637" w:type="dxa"/>
            <w:gridSpan w:val="2"/>
            <w:vMerge w:val="restart"/>
            <w:vAlign w:val="center"/>
          </w:tcPr>
          <w:p w14:paraId="30458F28">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r>
              <w:rPr>
                <w:rFonts w:hint="default" w:ascii="Times New Roman" w:hAnsi="Times New Roman" w:cs="Times New Roman" w:eastAsiaTheme="minorEastAsia"/>
                <w:color w:val="auto"/>
                <w:sz w:val="22"/>
                <w:szCs w:val="22"/>
                <w:lang w:eastAsia="en-US"/>
              </w:rPr>
              <w:t>声源</w:t>
            </w:r>
          </w:p>
          <w:p w14:paraId="07E88B94">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r>
              <w:rPr>
                <w:rFonts w:hint="default" w:ascii="Times New Roman" w:hAnsi="Times New Roman" w:cs="Times New Roman" w:eastAsiaTheme="minorEastAsia"/>
                <w:color w:val="auto"/>
                <w:sz w:val="22"/>
                <w:szCs w:val="22"/>
                <w:lang w:eastAsia="en-US"/>
              </w:rPr>
              <w:t>名称</w:t>
            </w:r>
          </w:p>
        </w:tc>
        <w:tc>
          <w:tcPr>
            <w:tcW w:w="1979" w:type="dxa"/>
            <w:vMerge w:val="restart"/>
            <w:vAlign w:val="center"/>
          </w:tcPr>
          <w:p w14:paraId="3B05CCEB">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r>
              <w:rPr>
                <w:rFonts w:hint="default" w:ascii="Times New Roman" w:hAnsi="Times New Roman" w:cs="Times New Roman" w:eastAsiaTheme="minorEastAsia"/>
                <w:color w:val="auto"/>
                <w:sz w:val="22"/>
                <w:szCs w:val="22"/>
                <w:lang w:eastAsia="en-US"/>
              </w:rPr>
              <w:t>声源源强</w:t>
            </w:r>
          </w:p>
        </w:tc>
        <w:tc>
          <w:tcPr>
            <w:tcW w:w="998" w:type="dxa"/>
            <w:vMerge w:val="restart"/>
            <w:vAlign w:val="center"/>
          </w:tcPr>
          <w:p w14:paraId="5FAB7B47">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r>
              <w:rPr>
                <w:rFonts w:hint="default" w:ascii="Times New Roman" w:hAnsi="Times New Roman" w:cs="Times New Roman" w:eastAsiaTheme="minorEastAsia"/>
                <w:color w:val="auto"/>
                <w:sz w:val="22"/>
                <w:szCs w:val="22"/>
                <w:lang w:eastAsia="en-US"/>
              </w:rPr>
              <w:t>声源控制措施</w:t>
            </w:r>
          </w:p>
        </w:tc>
        <w:tc>
          <w:tcPr>
            <w:tcW w:w="1817" w:type="dxa"/>
            <w:gridSpan w:val="3"/>
            <w:vMerge w:val="restart"/>
            <w:vAlign w:val="center"/>
          </w:tcPr>
          <w:p w14:paraId="44C9430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r>
              <w:rPr>
                <w:rFonts w:hint="default" w:ascii="Times New Roman" w:hAnsi="Times New Roman" w:cs="Times New Roman" w:eastAsiaTheme="minorEastAsia"/>
                <w:color w:val="auto"/>
                <w:sz w:val="22"/>
                <w:szCs w:val="22"/>
                <w:lang w:eastAsia="en-US"/>
              </w:rPr>
              <w:t>空间相对位置/m</w:t>
            </w:r>
          </w:p>
        </w:tc>
        <w:tc>
          <w:tcPr>
            <w:tcW w:w="1158" w:type="dxa"/>
            <w:gridSpan w:val="2"/>
            <w:vMerge w:val="restart"/>
            <w:vAlign w:val="center"/>
          </w:tcPr>
          <w:p w14:paraId="709C6F81">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r>
              <w:rPr>
                <w:rFonts w:hint="default" w:ascii="Times New Roman" w:hAnsi="Times New Roman" w:cs="Times New Roman" w:eastAsiaTheme="minorEastAsia"/>
                <w:color w:val="auto"/>
                <w:sz w:val="22"/>
                <w:szCs w:val="22"/>
                <w:lang w:eastAsia="en-US"/>
              </w:rPr>
              <w:t>距室内最近边界距离/m</w:t>
            </w:r>
          </w:p>
        </w:tc>
        <w:tc>
          <w:tcPr>
            <w:tcW w:w="1184" w:type="dxa"/>
            <w:gridSpan w:val="2"/>
            <w:vMerge w:val="restart"/>
            <w:vAlign w:val="center"/>
          </w:tcPr>
          <w:p w14:paraId="6AF51B70">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r>
              <w:rPr>
                <w:rFonts w:hint="default" w:ascii="Times New Roman" w:hAnsi="Times New Roman" w:cs="Times New Roman" w:eastAsiaTheme="minorEastAsia"/>
                <w:color w:val="auto"/>
                <w:sz w:val="22"/>
                <w:szCs w:val="22"/>
                <w:lang w:eastAsia="en-US"/>
              </w:rPr>
              <w:t>室内边界</w:t>
            </w:r>
          </w:p>
          <w:p w14:paraId="06FE8B49">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2"/>
                <w:szCs w:val="22"/>
                <w:lang w:val="en-US" w:eastAsia="zh-CN"/>
              </w:rPr>
            </w:pPr>
            <w:r>
              <w:rPr>
                <w:rFonts w:hint="default" w:ascii="Times New Roman" w:hAnsi="Times New Roman" w:cs="Times New Roman" w:eastAsiaTheme="minorEastAsia"/>
                <w:color w:val="auto"/>
                <w:sz w:val="22"/>
                <w:szCs w:val="22"/>
                <w:lang w:eastAsia="en-US"/>
              </w:rPr>
              <w:t>声级/dB(A</w:t>
            </w:r>
            <w:r>
              <w:rPr>
                <w:rFonts w:hint="eastAsia" w:cs="Times New Roman" w:eastAsiaTheme="minorEastAsia"/>
                <w:color w:val="auto"/>
                <w:sz w:val="22"/>
                <w:szCs w:val="22"/>
                <w:lang w:val="en-US" w:eastAsia="zh-CN"/>
              </w:rPr>
              <w:t>)</w:t>
            </w:r>
          </w:p>
        </w:tc>
        <w:tc>
          <w:tcPr>
            <w:tcW w:w="513" w:type="dxa"/>
            <w:vMerge w:val="restart"/>
            <w:vAlign w:val="center"/>
          </w:tcPr>
          <w:p w14:paraId="222E6BC6">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r>
              <w:rPr>
                <w:rFonts w:hint="default" w:ascii="Times New Roman" w:hAnsi="Times New Roman" w:cs="Times New Roman" w:eastAsiaTheme="minorEastAsia"/>
                <w:color w:val="auto"/>
                <w:sz w:val="22"/>
                <w:szCs w:val="22"/>
                <w:lang w:eastAsia="en-US"/>
              </w:rPr>
              <w:t>运行</w:t>
            </w:r>
          </w:p>
          <w:p w14:paraId="65FEDF9B">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r>
              <w:rPr>
                <w:rFonts w:hint="default" w:ascii="Times New Roman" w:hAnsi="Times New Roman" w:cs="Times New Roman" w:eastAsiaTheme="minorEastAsia"/>
                <w:color w:val="auto"/>
                <w:sz w:val="22"/>
                <w:szCs w:val="22"/>
                <w:lang w:eastAsia="en-US"/>
              </w:rPr>
              <w:t>时段</w:t>
            </w:r>
          </w:p>
        </w:tc>
        <w:tc>
          <w:tcPr>
            <w:tcW w:w="682" w:type="dxa"/>
            <w:vMerge w:val="restart"/>
            <w:vAlign w:val="center"/>
          </w:tcPr>
          <w:p w14:paraId="4D7CE921">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r>
              <w:rPr>
                <w:rFonts w:hint="default" w:ascii="Times New Roman" w:hAnsi="Times New Roman" w:cs="Times New Roman" w:eastAsiaTheme="minorEastAsia"/>
                <w:color w:val="auto"/>
                <w:sz w:val="22"/>
                <w:szCs w:val="22"/>
                <w:lang w:eastAsia="en-US"/>
              </w:rPr>
              <w:t>建筑物插入损失</w:t>
            </w:r>
          </w:p>
        </w:tc>
        <w:tc>
          <w:tcPr>
            <w:tcW w:w="2855" w:type="dxa"/>
            <w:gridSpan w:val="5"/>
            <w:vAlign w:val="center"/>
          </w:tcPr>
          <w:p w14:paraId="31CC941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建筑外噪声</w:t>
            </w:r>
          </w:p>
        </w:tc>
      </w:tr>
      <w:tr w14:paraId="1E270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1" w:type="dxa"/>
            <w:vMerge w:val="continue"/>
            <w:vAlign w:val="center"/>
          </w:tcPr>
          <w:p w14:paraId="13E2093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2"/>
                <w:szCs w:val="22"/>
              </w:rPr>
            </w:pPr>
          </w:p>
        </w:tc>
        <w:tc>
          <w:tcPr>
            <w:tcW w:w="1637" w:type="dxa"/>
            <w:gridSpan w:val="2"/>
            <w:vMerge w:val="continue"/>
            <w:vAlign w:val="center"/>
          </w:tcPr>
          <w:p w14:paraId="787A4E33">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2"/>
                <w:szCs w:val="22"/>
              </w:rPr>
            </w:pPr>
          </w:p>
        </w:tc>
        <w:tc>
          <w:tcPr>
            <w:tcW w:w="1979" w:type="dxa"/>
            <w:vMerge w:val="continue"/>
            <w:vAlign w:val="center"/>
          </w:tcPr>
          <w:p w14:paraId="2E5FCA16">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2"/>
                <w:szCs w:val="22"/>
              </w:rPr>
            </w:pPr>
          </w:p>
        </w:tc>
        <w:tc>
          <w:tcPr>
            <w:tcW w:w="998" w:type="dxa"/>
            <w:vMerge w:val="continue"/>
            <w:vAlign w:val="center"/>
          </w:tcPr>
          <w:p w14:paraId="2B209C33">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2"/>
                <w:szCs w:val="22"/>
              </w:rPr>
            </w:pPr>
          </w:p>
        </w:tc>
        <w:tc>
          <w:tcPr>
            <w:tcW w:w="1817" w:type="dxa"/>
            <w:gridSpan w:val="3"/>
            <w:vMerge w:val="continue"/>
            <w:vAlign w:val="center"/>
          </w:tcPr>
          <w:p w14:paraId="5D8B186D">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2"/>
                <w:szCs w:val="22"/>
              </w:rPr>
            </w:pPr>
          </w:p>
        </w:tc>
        <w:tc>
          <w:tcPr>
            <w:tcW w:w="1158" w:type="dxa"/>
            <w:gridSpan w:val="2"/>
            <w:vMerge w:val="continue"/>
            <w:vAlign w:val="center"/>
          </w:tcPr>
          <w:p w14:paraId="36B001DC">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2"/>
                <w:szCs w:val="22"/>
              </w:rPr>
            </w:pPr>
          </w:p>
        </w:tc>
        <w:tc>
          <w:tcPr>
            <w:tcW w:w="1184" w:type="dxa"/>
            <w:gridSpan w:val="2"/>
            <w:vMerge w:val="continue"/>
            <w:vAlign w:val="center"/>
          </w:tcPr>
          <w:p w14:paraId="7EED1873">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2"/>
                <w:szCs w:val="22"/>
              </w:rPr>
            </w:pPr>
          </w:p>
        </w:tc>
        <w:tc>
          <w:tcPr>
            <w:tcW w:w="513" w:type="dxa"/>
            <w:vMerge w:val="continue"/>
            <w:vAlign w:val="center"/>
          </w:tcPr>
          <w:p w14:paraId="3E19F8B5">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2"/>
                <w:szCs w:val="22"/>
              </w:rPr>
            </w:pPr>
          </w:p>
        </w:tc>
        <w:tc>
          <w:tcPr>
            <w:tcW w:w="682" w:type="dxa"/>
            <w:vMerge w:val="continue"/>
            <w:vAlign w:val="center"/>
          </w:tcPr>
          <w:p w14:paraId="4ADF05D1">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2"/>
                <w:szCs w:val="22"/>
              </w:rPr>
            </w:pPr>
          </w:p>
        </w:tc>
        <w:tc>
          <w:tcPr>
            <w:tcW w:w="673" w:type="dxa"/>
            <w:vAlign w:val="center"/>
          </w:tcPr>
          <w:p w14:paraId="30169216">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声压级/dB（A）</w:t>
            </w:r>
          </w:p>
        </w:tc>
        <w:tc>
          <w:tcPr>
            <w:tcW w:w="750" w:type="dxa"/>
            <w:gridSpan w:val="2"/>
            <w:vAlign w:val="center"/>
          </w:tcPr>
          <w:p w14:paraId="727DBD23">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建筑物外距离</w:t>
            </w:r>
          </w:p>
        </w:tc>
        <w:tc>
          <w:tcPr>
            <w:tcW w:w="715" w:type="dxa"/>
            <w:shd w:val="clear" w:color="auto" w:fill="auto"/>
            <w:vAlign w:val="center"/>
          </w:tcPr>
          <w:p w14:paraId="09C780DB">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cs="Times New Roman" w:eastAsiaTheme="minorEastAsia"/>
                <w:color w:val="auto"/>
                <w:sz w:val="22"/>
                <w:szCs w:val="22"/>
                <w:lang w:val="en-US" w:eastAsia="zh-CN"/>
              </w:rPr>
              <w:t>声压级/dB（A）</w:t>
            </w:r>
          </w:p>
        </w:tc>
        <w:tc>
          <w:tcPr>
            <w:tcW w:w="717" w:type="dxa"/>
            <w:shd w:val="clear" w:color="auto" w:fill="auto"/>
            <w:vAlign w:val="center"/>
          </w:tcPr>
          <w:p w14:paraId="320B675C">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cs="Times New Roman" w:eastAsiaTheme="minorEastAsia"/>
                <w:color w:val="auto"/>
                <w:sz w:val="22"/>
                <w:szCs w:val="22"/>
                <w:lang w:val="en-US" w:eastAsia="zh-CN"/>
              </w:rPr>
              <w:t>建筑物外距离</w:t>
            </w:r>
          </w:p>
        </w:tc>
      </w:tr>
      <w:tr w14:paraId="1C6D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1" w:type="dxa"/>
            <w:vMerge w:val="continue"/>
            <w:vAlign w:val="center"/>
          </w:tcPr>
          <w:p w14:paraId="6707FBC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1637" w:type="dxa"/>
            <w:gridSpan w:val="2"/>
            <w:vMerge w:val="continue"/>
            <w:vAlign w:val="center"/>
          </w:tcPr>
          <w:p w14:paraId="2841F834">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1979" w:type="dxa"/>
            <w:vAlign w:val="center"/>
          </w:tcPr>
          <w:p w14:paraId="403F7385">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r>
              <w:rPr>
                <w:rFonts w:hint="default" w:ascii="Times New Roman" w:hAnsi="Times New Roman" w:cs="Times New Roman" w:eastAsiaTheme="minorEastAsia"/>
                <w:color w:val="auto"/>
                <w:sz w:val="22"/>
                <w:szCs w:val="22"/>
                <w:lang w:eastAsia="en-US"/>
              </w:rPr>
              <w:t>（声压级/距声源距离1m）/（dB(A)/m）</w:t>
            </w:r>
          </w:p>
        </w:tc>
        <w:tc>
          <w:tcPr>
            <w:tcW w:w="998" w:type="dxa"/>
            <w:vMerge w:val="continue"/>
            <w:vAlign w:val="center"/>
          </w:tcPr>
          <w:p w14:paraId="09492D9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531" w:type="dxa"/>
            <w:vAlign w:val="center"/>
          </w:tcPr>
          <w:p w14:paraId="3AA2838D">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r>
              <w:rPr>
                <w:rFonts w:hint="default" w:ascii="Times New Roman" w:hAnsi="Times New Roman" w:cs="Times New Roman" w:eastAsiaTheme="minorEastAsia"/>
                <w:color w:val="auto"/>
                <w:sz w:val="22"/>
                <w:szCs w:val="22"/>
                <w:lang w:eastAsia="en-US"/>
              </w:rPr>
              <w:t>X</w:t>
            </w:r>
          </w:p>
        </w:tc>
        <w:tc>
          <w:tcPr>
            <w:tcW w:w="575" w:type="dxa"/>
            <w:vAlign w:val="center"/>
          </w:tcPr>
          <w:p w14:paraId="7057DF6C">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r>
              <w:rPr>
                <w:rFonts w:hint="default" w:ascii="Times New Roman" w:hAnsi="Times New Roman" w:cs="Times New Roman" w:eastAsiaTheme="minorEastAsia"/>
                <w:color w:val="auto"/>
                <w:sz w:val="22"/>
                <w:szCs w:val="22"/>
                <w:lang w:eastAsia="en-US"/>
              </w:rPr>
              <w:t>Y</w:t>
            </w:r>
          </w:p>
        </w:tc>
        <w:tc>
          <w:tcPr>
            <w:tcW w:w="711" w:type="dxa"/>
            <w:vAlign w:val="center"/>
          </w:tcPr>
          <w:p w14:paraId="1191409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r>
              <w:rPr>
                <w:rFonts w:hint="default" w:ascii="Times New Roman" w:hAnsi="Times New Roman" w:cs="Times New Roman" w:eastAsiaTheme="minorEastAsia"/>
                <w:color w:val="auto"/>
                <w:sz w:val="22"/>
                <w:szCs w:val="22"/>
                <w:lang w:eastAsia="en-US"/>
              </w:rPr>
              <w:t>Z</w:t>
            </w:r>
          </w:p>
        </w:tc>
        <w:tc>
          <w:tcPr>
            <w:tcW w:w="577" w:type="dxa"/>
            <w:shd w:val="clear" w:color="auto" w:fill="auto"/>
            <w:vAlign w:val="center"/>
          </w:tcPr>
          <w:p w14:paraId="05CA9454">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东南</w:t>
            </w:r>
          </w:p>
        </w:tc>
        <w:tc>
          <w:tcPr>
            <w:tcW w:w="581" w:type="dxa"/>
            <w:shd w:val="clear" w:color="auto" w:fill="auto"/>
            <w:vAlign w:val="center"/>
          </w:tcPr>
          <w:p w14:paraId="6EB6BA5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cs="Times New Roman" w:eastAsiaTheme="minorEastAsia"/>
                <w:color w:val="auto"/>
                <w:kern w:val="2"/>
                <w:sz w:val="22"/>
                <w:szCs w:val="22"/>
                <w:lang w:val="en-US" w:eastAsia="zh-CN" w:bidi="ar-SA"/>
              </w:rPr>
              <w:t>西南</w:t>
            </w:r>
          </w:p>
        </w:tc>
        <w:tc>
          <w:tcPr>
            <w:tcW w:w="543" w:type="dxa"/>
            <w:shd w:val="clear" w:color="auto" w:fill="auto"/>
            <w:vAlign w:val="center"/>
          </w:tcPr>
          <w:p w14:paraId="2AB58886">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cs="Times New Roman" w:eastAsiaTheme="minorEastAsia"/>
                <w:color w:val="auto"/>
                <w:kern w:val="2"/>
                <w:sz w:val="22"/>
                <w:szCs w:val="22"/>
                <w:lang w:val="en-US" w:eastAsia="zh-CN" w:bidi="ar-SA"/>
              </w:rPr>
              <w:t>东南</w:t>
            </w:r>
          </w:p>
        </w:tc>
        <w:tc>
          <w:tcPr>
            <w:tcW w:w="641" w:type="dxa"/>
            <w:shd w:val="clear" w:color="auto" w:fill="auto"/>
            <w:vAlign w:val="center"/>
          </w:tcPr>
          <w:p w14:paraId="6B255691">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cs="Times New Roman" w:eastAsiaTheme="minorEastAsia"/>
                <w:color w:val="auto"/>
                <w:kern w:val="2"/>
                <w:sz w:val="22"/>
                <w:szCs w:val="22"/>
                <w:lang w:val="en-US" w:eastAsia="zh-CN" w:bidi="ar-SA"/>
              </w:rPr>
              <w:t>西南</w:t>
            </w:r>
          </w:p>
        </w:tc>
        <w:tc>
          <w:tcPr>
            <w:tcW w:w="513" w:type="dxa"/>
            <w:vMerge w:val="continue"/>
            <w:vAlign w:val="center"/>
          </w:tcPr>
          <w:p w14:paraId="0ED40B99">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682" w:type="dxa"/>
            <w:vMerge w:val="continue"/>
            <w:vAlign w:val="center"/>
          </w:tcPr>
          <w:p w14:paraId="7B8A341B">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1423" w:type="dxa"/>
            <w:gridSpan w:val="3"/>
            <w:shd w:val="clear" w:color="auto" w:fill="auto"/>
            <w:vAlign w:val="center"/>
          </w:tcPr>
          <w:p w14:paraId="1F88846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cs="Times New Roman" w:eastAsiaTheme="minorEastAsia"/>
                <w:color w:val="auto"/>
                <w:kern w:val="2"/>
                <w:sz w:val="22"/>
                <w:szCs w:val="22"/>
                <w:lang w:val="en-US" w:eastAsia="zh-CN" w:bidi="ar-SA"/>
              </w:rPr>
              <w:t>东南</w:t>
            </w:r>
          </w:p>
        </w:tc>
        <w:tc>
          <w:tcPr>
            <w:tcW w:w="1432" w:type="dxa"/>
            <w:gridSpan w:val="2"/>
            <w:shd w:val="clear" w:color="auto" w:fill="auto"/>
            <w:vAlign w:val="center"/>
          </w:tcPr>
          <w:p w14:paraId="4E9D9384">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cs="Times New Roman" w:eastAsiaTheme="minorEastAsia"/>
                <w:color w:val="auto"/>
                <w:kern w:val="2"/>
                <w:sz w:val="22"/>
                <w:szCs w:val="22"/>
                <w:lang w:val="en-US" w:eastAsia="zh-CN" w:bidi="ar-SA"/>
              </w:rPr>
              <w:t>西南</w:t>
            </w:r>
          </w:p>
        </w:tc>
      </w:tr>
      <w:tr w14:paraId="5F26A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1" w:type="dxa"/>
            <w:vMerge w:val="restart"/>
            <w:vAlign w:val="center"/>
          </w:tcPr>
          <w:p w14:paraId="68A76DC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生产厂房</w:t>
            </w:r>
          </w:p>
        </w:tc>
        <w:tc>
          <w:tcPr>
            <w:tcW w:w="1637" w:type="dxa"/>
            <w:gridSpan w:val="2"/>
            <w:shd w:val="clear" w:color="auto" w:fill="auto"/>
            <w:vAlign w:val="center"/>
          </w:tcPr>
          <w:p w14:paraId="6CFC4160">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开松机</w:t>
            </w:r>
          </w:p>
        </w:tc>
        <w:tc>
          <w:tcPr>
            <w:tcW w:w="1979" w:type="dxa"/>
            <w:shd w:val="clear" w:color="auto" w:fill="auto"/>
            <w:vAlign w:val="center"/>
          </w:tcPr>
          <w:p w14:paraId="00C8A951">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75</w:t>
            </w:r>
          </w:p>
        </w:tc>
        <w:tc>
          <w:tcPr>
            <w:tcW w:w="998" w:type="dxa"/>
            <w:vMerge w:val="restart"/>
            <w:vAlign w:val="center"/>
          </w:tcPr>
          <w:p w14:paraId="0225187B">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基础减振</w:t>
            </w:r>
          </w:p>
        </w:tc>
        <w:tc>
          <w:tcPr>
            <w:tcW w:w="531" w:type="dxa"/>
            <w:vAlign w:val="center"/>
          </w:tcPr>
          <w:p w14:paraId="4B2E1E3F">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13</w:t>
            </w:r>
          </w:p>
        </w:tc>
        <w:tc>
          <w:tcPr>
            <w:tcW w:w="575" w:type="dxa"/>
            <w:vAlign w:val="center"/>
          </w:tcPr>
          <w:p w14:paraId="59B38BBD">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3</w:t>
            </w:r>
          </w:p>
        </w:tc>
        <w:tc>
          <w:tcPr>
            <w:tcW w:w="711" w:type="dxa"/>
            <w:vAlign w:val="center"/>
          </w:tcPr>
          <w:p w14:paraId="0D716178">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0.5</w:t>
            </w:r>
          </w:p>
        </w:tc>
        <w:tc>
          <w:tcPr>
            <w:tcW w:w="577" w:type="dxa"/>
            <w:shd w:val="clear" w:color="auto" w:fill="auto"/>
            <w:vAlign w:val="center"/>
          </w:tcPr>
          <w:p w14:paraId="4388D5B9">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27</w:t>
            </w:r>
          </w:p>
        </w:tc>
        <w:tc>
          <w:tcPr>
            <w:tcW w:w="581" w:type="dxa"/>
            <w:shd w:val="clear" w:color="auto" w:fill="auto"/>
            <w:vAlign w:val="center"/>
          </w:tcPr>
          <w:p w14:paraId="75307F58">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30</w:t>
            </w:r>
          </w:p>
        </w:tc>
        <w:tc>
          <w:tcPr>
            <w:tcW w:w="543" w:type="dxa"/>
            <w:vAlign w:val="center"/>
          </w:tcPr>
          <w:p w14:paraId="31E2C55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46.3</w:t>
            </w:r>
          </w:p>
        </w:tc>
        <w:tc>
          <w:tcPr>
            <w:tcW w:w="641" w:type="dxa"/>
            <w:vAlign w:val="center"/>
          </w:tcPr>
          <w:p w14:paraId="12956376">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45.4</w:t>
            </w:r>
          </w:p>
        </w:tc>
        <w:tc>
          <w:tcPr>
            <w:tcW w:w="513" w:type="dxa"/>
            <w:vMerge w:val="restart"/>
            <w:vAlign w:val="center"/>
          </w:tcPr>
          <w:p w14:paraId="076D4967">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昼间、夜间</w:t>
            </w:r>
          </w:p>
        </w:tc>
        <w:tc>
          <w:tcPr>
            <w:tcW w:w="682" w:type="dxa"/>
            <w:shd w:val="clear" w:color="auto" w:fill="auto"/>
            <w:vAlign w:val="center"/>
          </w:tcPr>
          <w:p w14:paraId="3E1F1BF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10</w:t>
            </w:r>
          </w:p>
        </w:tc>
        <w:tc>
          <w:tcPr>
            <w:tcW w:w="725" w:type="dxa"/>
            <w:gridSpan w:val="2"/>
            <w:shd w:val="clear" w:color="auto" w:fill="auto"/>
            <w:vAlign w:val="center"/>
          </w:tcPr>
          <w:p w14:paraId="461EAC10">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30.3</w:t>
            </w:r>
          </w:p>
        </w:tc>
        <w:tc>
          <w:tcPr>
            <w:tcW w:w="698" w:type="dxa"/>
            <w:shd w:val="clear" w:color="auto" w:fill="auto"/>
            <w:vAlign w:val="center"/>
          </w:tcPr>
          <w:p w14:paraId="527EDD6B">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sz w:val="22"/>
                <w:szCs w:val="22"/>
                <w:lang w:val="en-US" w:eastAsia="zh-CN"/>
              </w:rPr>
              <w:t>13</w:t>
            </w:r>
          </w:p>
        </w:tc>
        <w:tc>
          <w:tcPr>
            <w:tcW w:w="715" w:type="dxa"/>
            <w:shd w:val="clear" w:color="auto" w:fill="auto"/>
            <w:vAlign w:val="center"/>
          </w:tcPr>
          <w:p w14:paraId="682C655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29.4</w:t>
            </w:r>
          </w:p>
        </w:tc>
        <w:tc>
          <w:tcPr>
            <w:tcW w:w="717" w:type="dxa"/>
            <w:shd w:val="clear" w:color="auto" w:fill="auto"/>
            <w:vAlign w:val="center"/>
          </w:tcPr>
          <w:p w14:paraId="6ADD70E0">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sz w:val="22"/>
                <w:szCs w:val="22"/>
                <w:lang w:val="en-US" w:eastAsia="zh-CN"/>
              </w:rPr>
              <w:t>16</w:t>
            </w:r>
          </w:p>
        </w:tc>
      </w:tr>
      <w:tr w14:paraId="5FE5C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1" w:type="dxa"/>
            <w:vMerge w:val="continue"/>
            <w:vAlign w:val="center"/>
          </w:tcPr>
          <w:p w14:paraId="110AE25F">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1637" w:type="dxa"/>
            <w:gridSpan w:val="2"/>
            <w:shd w:val="clear" w:color="auto" w:fill="auto"/>
            <w:vAlign w:val="center"/>
          </w:tcPr>
          <w:p w14:paraId="0EF256CB">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大仓混棉机</w:t>
            </w:r>
          </w:p>
        </w:tc>
        <w:tc>
          <w:tcPr>
            <w:tcW w:w="1979" w:type="dxa"/>
            <w:shd w:val="clear" w:color="auto" w:fill="auto"/>
            <w:vAlign w:val="center"/>
          </w:tcPr>
          <w:p w14:paraId="1FAF437D">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80</w:t>
            </w:r>
          </w:p>
        </w:tc>
        <w:tc>
          <w:tcPr>
            <w:tcW w:w="998" w:type="dxa"/>
            <w:vMerge w:val="continue"/>
            <w:vAlign w:val="center"/>
          </w:tcPr>
          <w:p w14:paraId="29DBF8B5">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531" w:type="dxa"/>
            <w:vAlign w:val="center"/>
          </w:tcPr>
          <w:p w14:paraId="73FAA564">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15</w:t>
            </w:r>
          </w:p>
        </w:tc>
        <w:tc>
          <w:tcPr>
            <w:tcW w:w="575" w:type="dxa"/>
            <w:vAlign w:val="center"/>
          </w:tcPr>
          <w:p w14:paraId="3D19B250">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3</w:t>
            </w:r>
          </w:p>
        </w:tc>
        <w:tc>
          <w:tcPr>
            <w:tcW w:w="711" w:type="dxa"/>
            <w:vAlign w:val="center"/>
          </w:tcPr>
          <w:p w14:paraId="5ABCDC86">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0.6</w:t>
            </w:r>
          </w:p>
        </w:tc>
        <w:tc>
          <w:tcPr>
            <w:tcW w:w="577" w:type="dxa"/>
            <w:vAlign w:val="center"/>
          </w:tcPr>
          <w:p w14:paraId="7274B694">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27</w:t>
            </w:r>
          </w:p>
        </w:tc>
        <w:tc>
          <w:tcPr>
            <w:tcW w:w="581" w:type="dxa"/>
            <w:vAlign w:val="center"/>
          </w:tcPr>
          <w:p w14:paraId="57146F0C">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32</w:t>
            </w:r>
          </w:p>
        </w:tc>
        <w:tc>
          <w:tcPr>
            <w:tcW w:w="543" w:type="dxa"/>
            <w:vAlign w:val="center"/>
          </w:tcPr>
          <w:p w14:paraId="694553E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51.4</w:t>
            </w:r>
          </w:p>
        </w:tc>
        <w:tc>
          <w:tcPr>
            <w:tcW w:w="641" w:type="dxa"/>
            <w:vAlign w:val="center"/>
          </w:tcPr>
          <w:p w14:paraId="3B613B8C">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50.0</w:t>
            </w:r>
          </w:p>
        </w:tc>
        <w:tc>
          <w:tcPr>
            <w:tcW w:w="513" w:type="dxa"/>
            <w:vMerge w:val="continue"/>
            <w:vAlign w:val="center"/>
          </w:tcPr>
          <w:p w14:paraId="0D8D1896">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682" w:type="dxa"/>
            <w:shd w:val="clear" w:color="auto" w:fill="auto"/>
            <w:vAlign w:val="center"/>
          </w:tcPr>
          <w:p w14:paraId="6DB2EEC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r>
              <w:rPr>
                <w:rFonts w:hint="eastAsia" w:ascii="Times New Roman" w:hAnsi="Times New Roman" w:cs="Times New Roman" w:eastAsiaTheme="minorEastAsia"/>
                <w:color w:val="auto"/>
                <w:sz w:val="22"/>
                <w:szCs w:val="22"/>
                <w:lang w:val="en-US" w:eastAsia="zh-CN"/>
              </w:rPr>
              <w:t>10</w:t>
            </w:r>
          </w:p>
        </w:tc>
        <w:tc>
          <w:tcPr>
            <w:tcW w:w="725" w:type="dxa"/>
            <w:gridSpan w:val="2"/>
            <w:shd w:val="clear" w:color="auto" w:fill="auto"/>
            <w:vAlign w:val="center"/>
          </w:tcPr>
          <w:p w14:paraId="0DF32A43">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35.4</w:t>
            </w:r>
          </w:p>
        </w:tc>
        <w:tc>
          <w:tcPr>
            <w:tcW w:w="698" w:type="dxa"/>
            <w:shd w:val="clear" w:color="auto" w:fill="auto"/>
            <w:vAlign w:val="center"/>
          </w:tcPr>
          <w:p w14:paraId="3C967F67">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sz w:val="22"/>
                <w:szCs w:val="22"/>
                <w:lang w:val="en-US" w:eastAsia="zh-CN"/>
              </w:rPr>
              <w:t>13</w:t>
            </w:r>
          </w:p>
        </w:tc>
        <w:tc>
          <w:tcPr>
            <w:tcW w:w="715" w:type="dxa"/>
            <w:shd w:val="clear" w:color="auto" w:fill="auto"/>
            <w:vAlign w:val="center"/>
          </w:tcPr>
          <w:p w14:paraId="4C9B601C">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34.0</w:t>
            </w:r>
          </w:p>
        </w:tc>
        <w:tc>
          <w:tcPr>
            <w:tcW w:w="717" w:type="dxa"/>
            <w:shd w:val="clear" w:color="auto" w:fill="auto"/>
            <w:vAlign w:val="center"/>
          </w:tcPr>
          <w:p w14:paraId="65C817F0">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sz w:val="22"/>
                <w:szCs w:val="22"/>
                <w:lang w:val="en-US" w:eastAsia="zh-CN"/>
              </w:rPr>
              <w:t>16</w:t>
            </w:r>
          </w:p>
        </w:tc>
      </w:tr>
      <w:tr w14:paraId="16DA2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1" w:type="dxa"/>
            <w:vMerge w:val="continue"/>
            <w:vAlign w:val="center"/>
          </w:tcPr>
          <w:p w14:paraId="6BE640D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1637" w:type="dxa"/>
            <w:gridSpan w:val="2"/>
            <w:shd w:val="clear" w:color="auto" w:fill="auto"/>
            <w:vAlign w:val="center"/>
          </w:tcPr>
          <w:p w14:paraId="0603E227">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大仓混棉机</w:t>
            </w:r>
          </w:p>
        </w:tc>
        <w:tc>
          <w:tcPr>
            <w:tcW w:w="1979" w:type="dxa"/>
            <w:shd w:val="clear" w:color="auto" w:fill="auto"/>
            <w:vAlign w:val="center"/>
          </w:tcPr>
          <w:p w14:paraId="1197438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80</w:t>
            </w:r>
          </w:p>
        </w:tc>
        <w:tc>
          <w:tcPr>
            <w:tcW w:w="998" w:type="dxa"/>
            <w:vMerge w:val="continue"/>
            <w:vAlign w:val="center"/>
          </w:tcPr>
          <w:p w14:paraId="7250BE0D">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531" w:type="dxa"/>
            <w:vAlign w:val="center"/>
          </w:tcPr>
          <w:p w14:paraId="1F305FFC">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17</w:t>
            </w:r>
          </w:p>
        </w:tc>
        <w:tc>
          <w:tcPr>
            <w:tcW w:w="575" w:type="dxa"/>
            <w:vAlign w:val="center"/>
          </w:tcPr>
          <w:p w14:paraId="78C9B863">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3</w:t>
            </w:r>
          </w:p>
        </w:tc>
        <w:tc>
          <w:tcPr>
            <w:tcW w:w="711" w:type="dxa"/>
            <w:vAlign w:val="center"/>
          </w:tcPr>
          <w:p w14:paraId="0D73C25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0.6</w:t>
            </w:r>
          </w:p>
        </w:tc>
        <w:tc>
          <w:tcPr>
            <w:tcW w:w="577" w:type="dxa"/>
            <w:shd w:val="clear" w:color="auto" w:fill="auto"/>
            <w:vAlign w:val="center"/>
          </w:tcPr>
          <w:p w14:paraId="03FB2805">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27</w:t>
            </w:r>
          </w:p>
        </w:tc>
        <w:tc>
          <w:tcPr>
            <w:tcW w:w="581" w:type="dxa"/>
            <w:shd w:val="clear" w:color="auto" w:fill="auto"/>
            <w:vAlign w:val="center"/>
          </w:tcPr>
          <w:p w14:paraId="07D9C977">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34</w:t>
            </w:r>
          </w:p>
        </w:tc>
        <w:tc>
          <w:tcPr>
            <w:tcW w:w="543" w:type="dxa"/>
            <w:vAlign w:val="center"/>
          </w:tcPr>
          <w:p w14:paraId="75E34474">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51.4</w:t>
            </w:r>
          </w:p>
        </w:tc>
        <w:tc>
          <w:tcPr>
            <w:tcW w:w="641" w:type="dxa"/>
            <w:vAlign w:val="center"/>
          </w:tcPr>
          <w:p w14:paraId="1B4734D7">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49.4</w:t>
            </w:r>
          </w:p>
        </w:tc>
        <w:tc>
          <w:tcPr>
            <w:tcW w:w="513" w:type="dxa"/>
            <w:vMerge w:val="continue"/>
            <w:vAlign w:val="center"/>
          </w:tcPr>
          <w:p w14:paraId="05B7BEB1">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682" w:type="dxa"/>
            <w:shd w:val="clear" w:color="auto" w:fill="auto"/>
            <w:vAlign w:val="center"/>
          </w:tcPr>
          <w:p w14:paraId="1A2850A0">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10</w:t>
            </w:r>
          </w:p>
        </w:tc>
        <w:tc>
          <w:tcPr>
            <w:tcW w:w="725" w:type="dxa"/>
            <w:gridSpan w:val="2"/>
            <w:shd w:val="clear" w:color="auto" w:fill="auto"/>
            <w:vAlign w:val="center"/>
          </w:tcPr>
          <w:p w14:paraId="00642F2C">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35.4</w:t>
            </w:r>
          </w:p>
        </w:tc>
        <w:tc>
          <w:tcPr>
            <w:tcW w:w="698" w:type="dxa"/>
            <w:shd w:val="clear" w:color="auto" w:fill="auto"/>
            <w:vAlign w:val="center"/>
          </w:tcPr>
          <w:p w14:paraId="6C3CF754">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13</w:t>
            </w:r>
          </w:p>
        </w:tc>
        <w:tc>
          <w:tcPr>
            <w:tcW w:w="715" w:type="dxa"/>
            <w:shd w:val="clear" w:color="auto" w:fill="auto"/>
            <w:vAlign w:val="center"/>
          </w:tcPr>
          <w:p w14:paraId="437F2F7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33.4</w:t>
            </w:r>
          </w:p>
        </w:tc>
        <w:tc>
          <w:tcPr>
            <w:tcW w:w="717" w:type="dxa"/>
            <w:shd w:val="clear" w:color="auto" w:fill="auto"/>
            <w:vAlign w:val="center"/>
          </w:tcPr>
          <w:p w14:paraId="465110B4">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sz w:val="22"/>
                <w:szCs w:val="22"/>
                <w:lang w:val="en-US" w:eastAsia="zh-CN"/>
              </w:rPr>
              <w:t>16</w:t>
            </w:r>
          </w:p>
        </w:tc>
      </w:tr>
      <w:tr w14:paraId="7E10C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1" w:type="dxa"/>
            <w:vMerge w:val="continue"/>
            <w:vAlign w:val="center"/>
          </w:tcPr>
          <w:p w14:paraId="28FF2003">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1637" w:type="dxa"/>
            <w:gridSpan w:val="2"/>
            <w:vAlign w:val="center"/>
          </w:tcPr>
          <w:p w14:paraId="37D916E1">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r>
              <w:rPr>
                <w:rFonts w:hint="default" w:ascii="Times New Roman" w:hAnsi="Times New Roman" w:cs="Times New Roman" w:eastAsiaTheme="minorEastAsia"/>
                <w:color w:val="auto"/>
                <w:sz w:val="22"/>
                <w:szCs w:val="22"/>
                <w:lang w:eastAsia="en-US"/>
              </w:rPr>
              <w:t>振动给棉机</w:t>
            </w:r>
          </w:p>
        </w:tc>
        <w:tc>
          <w:tcPr>
            <w:tcW w:w="1979" w:type="dxa"/>
            <w:vAlign w:val="center"/>
          </w:tcPr>
          <w:p w14:paraId="3528CF1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85</w:t>
            </w:r>
          </w:p>
        </w:tc>
        <w:tc>
          <w:tcPr>
            <w:tcW w:w="998" w:type="dxa"/>
            <w:vMerge w:val="continue"/>
            <w:vAlign w:val="center"/>
          </w:tcPr>
          <w:p w14:paraId="6CAD206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531" w:type="dxa"/>
            <w:vAlign w:val="center"/>
          </w:tcPr>
          <w:p w14:paraId="035D150F">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20</w:t>
            </w:r>
          </w:p>
        </w:tc>
        <w:tc>
          <w:tcPr>
            <w:tcW w:w="575" w:type="dxa"/>
            <w:vAlign w:val="center"/>
          </w:tcPr>
          <w:p w14:paraId="0AEBBDB4">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1</w:t>
            </w:r>
          </w:p>
        </w:tc>
        <w:tc>
          <w:tcPr>
            <w:tcW w:w="711" w:type="dxa"/>
            <w:vAlign w:val="center"/>
          </w:tcPr>
          <w:p w14:paraId="5EF63548">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0.4</w:t>
            </w:r>
          </w:p>
        </w:tc>
        <w:tc>
          <w:tcPr>
            <w:tcW w:w="577" w:type="dxa"/>
            <w:shd w:val="clear" w:color="auto" w:fill="auto"/>
            <w:vAlign w:val="center"/>
          </w:tcPr>
          <w:p w14:paraId="7A5EFA01">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25</w:t>
            </w:r>
          </w:p>
        </w:tc>
        <w:tc>
          <w:tcPr>
            <w:tcW w:w="581" w:type="dxa"/>
            <w:shd w:val="clear" w:color="auto" w:fill="auto"/>
            <w:vAlign w:val="center"/>
          </w:tcPr>
          <w:p w14:paraId="14E5E73D">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37</w:t>
            </w:r>
          </w:p>
        </w:tc>
        <w:tc>
          <w:tcPr>
            <w:tcW w:w="543" w:type="dxa"/>
            <w:vAlign w:val="center"/>
          </w:tcPr>
          <w:p w14:paraId="34DFBD8F">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57.0</w:t>
            </w:r>
          </w:p>
        </w:tc>
        <w:tc>
          <w:tcPr>
            <w:tcW w:w="641" w:type="dxa"/>
            <w:vAlign w:val="center"/>
          </w:tcPr>
          <w:p w14:paraId="4D93626C">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53.6</w:t>
            </w:r>
          </w:p>
        </w:tc>
        <w:tc>
          <w:tcPr>
            <w:tcW w:w="513" w:type="dxa"/>
            <w:vMerge w:val="continue"/>
            <w:vAlign w:val="center"/>
          </w:tcPr>
          <w:p w14:paraId="116BBB1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682" w:type="dxa"/>
            <w:shd w:val="clear" w:color="auto" w:fill="auto"/>
            <w:vAlign w:val="center"/>
          </w:tcPr>
          <w:p w14:paraId="24DCFAA7">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10</w:t>
            </w:r>
          </w:p>
        </w:tc>
        <w:tc>
          <w:tcPr>
            <w:tcW w:w="725" w:type="dxa"/>
            <w:gridSpan w:val="2"/>
            <w:shd w:val="clear" w:color="auto" w:fill="auto"/>
            <w:vAlign w:val="center"/>
          </w:tcPr>
          <w:p w14:paraId="18B39749">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41.0</w:t>
            </w:r>
          </w:p>
        </w:tc>
        <w:tc>
          <w:tcPr>
            <w:tcW w:w="698" w:type="dxa"/>
            <w:shd w:val="clear" w:color="auto" w:fill="auto"/>
            <w:vAlign w:val="center"/>
          </w:tcPr>
          <w:p w14:paraId="6B30673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13</w:t>
            </w:r>
          </w:p>
        </w:tc>
        <w:tc>
          <w:tcPr>
            <w:tcW w:w="715" w:type="dxa"/>
            <w:shd w:val="clear" w:color="auto" w:fill="auto"/>
            <w:vAlign w:val="center"/>
          </w:tcPr>
          <w:p w14:paraId="24865064">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37.6</w:t>
            </w:r>
          </w:p>
        </w:tc>
        <w:tc>
          <w:tcPr>
            <w:tcW w:w="717" w:type="dxa"/>
            <w:shd w:val="clear" w:color="auto" w:fill="auto"/>
            <w:vAlign w:val="center"/>
          </w:tcPr>
          <w:p w14:paraId="6EA43A96">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sz w:val="22"/>
                <w:szCs w:val="22"/>
                <w:lang w:val="en-US" w:eastAsia="zh-CN"/>
              </w:rPr>
              <w:t>16</w:t>
            </w:r>
          </w:p>
        </w:tc>
      </w:tr>
      <w:tr w14:paraId="4A65A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1" w:type="dxa"/>
            <w:vMerge w:val="continue"/>
            <w:vAlign w:val="center"/>
          </w:tcPr>
          <w:p w14:paraId="5A1A9F86">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1637" w:type="dxa"/>
            <w:gridSpan w:val="2"/>
            <w:vAlign w:val="center"/>
          </w:tcPr>
          <w:p w14:paraId="122D3C8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r>
              <w:rPr>
                <w:rFonts w:hint="default" w:ascii="Times New Roman" w:hAnsi="Times New Roman" w:cs="Times New Roman" w:eastAsiaTheme="minorEastAsia"/>
                <w:color w:val="auto"/>
                <w:sz w:val="22"/>
                <w:szCs w:val="22"/>
                <w:lang w:eastAsia="en-US"/>
              </w:rPr>
              <w:t>单锡林双道夫梳理机</w:t>
            </w:r>
          </w:p>
        </w:tc>
        <w:tc>
          <w:tcPr>
            <w:tcW w:w="1979" w:type="dxa"/>
            <w:vAlign w:val="center"/>
          </w:tcPr>
          <w:p w14:paraId="00AF8294">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85</w:t>
            </w:r>
          </w:p>
        </w:tc>
        <w:tc>
          <w:tcPr>
            <w:tcW w:w="998" w:type="dxa"/>
            <w:vMerge w:val="continue"/>
            <w:vAlign w:val="center"/>
          </w:tcPr>
          <w:p w14:paraId="2C0A3AF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531" w:type="dxa"/>
            <w:shd w:val="clear" w:color="auto" w:fill="auto"/>
            <w:vAlign w:val="center"/>
          </w:tcPr>
          <w:p w14:paraId="41BD8D5F">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20</w:t>
            </w:r>
          </w:p>
        </w:tc>
        <w:tc>
          <w:tcPr>
            <w:tcW w:w="575" w:type="dxa"/>
            <w:shd w:val="clear" w:color="auto" w:fill="auto"/>
            <w:vAlign w:val="center"/>
          </w:tcPr>
          <w:p w14:paraId="468FEAC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6</w:t>
            </w:r>
          </w:p>
        </w:tc>
        <w:tc>
          <w:tcPr>
            <w:tcW w:w="711" w:type="dxa"/>
            <w:shd w:val="clear" w:color="auto" w:fill="auto"/>
            <w:vAlign w:val="center"/>
          </w:tcPr>
          <w:p w14:paraId="396131D6">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0.6</w:t>
            </w:r>
          </w:p>
        </w:tc>
        <w:tc>
          <w:tcPr>
            <w:tcW w:w="577" w:type="dxa"/>
            <w:shd w:val="clear" w:color="auto" w:fill="auto"/>
            <w:vAlign w:val="center"/>
          </w:tcPr>
          <w:p w14:paraId="6BDD6F43">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30</w:t>
            </w:r>
          </w:p>
        </w:tc>
        <w:tc>
          <w:tcPr>
            <w:tcW w:w="581" w:type="dxa"/>
            <w:shd w:val="clear" w:color="auto" w:fill="auto"/>
            <w:vAlign w:val="center"/>
          </w:tcPr>
          <w:p w14:paraId="6148D51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37</w:t>
            </w:r>
          </w:p>
        </w:tc>
        <w:tc>
          <w:tcPr>
            <w:tcW w:w="543" w:type="dxa"/>
            <w:vAlign w:val="center"/>
          </w:tcPr>
          <w:p w14:paraId="5C2CC931">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55.4</w:t>
            </w:r>
          </w:p>
        </w:tc>
        <w:tc>
          <w:tcPr>
            <w:tcW w:w="641" w:type="dxa"/>
            <w:vAlign w:val="center"/>
          </w:tcPr>
          <w:p w14:paraId="2995B2FB">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53.6</w:t>
            </w:r>
          </w:p>
        </w:tc>
        <w:tc>
          <w:tcPr>
            <w:tcW w:w="513" w:type="dxa"/>
            <w:vMerge w:val="continue"/>
            <w:vAlign w:val="center"/>
          </w:tcPr>
          <w:p w14:paraId="74B5EBE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682" w:type="dxa"/>
            <w:shd w:val="clear" w:color="auto" w:fill="auto"/>
            <w:vAlign w:val="center"/>
          </w:tcPr>
          <w:p w14:paraId="5098C54B">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10</w:t>
            </w:r>
          </w:p>
        </w:tc>
        <w:tc>
          <w:tcPr>
            <w:tcW w:w="725" w:type="dxa"/>
            <w:gridSpan w:val="2"/>
            <w:shd w:val="clear" w:color="auto" w:fill="auto"/>
            <w:vAlign w:val="center"/>
          </w:tcPr>
          <w:p w14:paraId="741A02C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39.4</w:t>
            </w:r>
          </w:p>
        </w:tc>
        <w:tc>
          <w:tcPr>
            <w:tcW w:w="698" w:type="dxa"/>
            <w:shd w:val="clear" w:color="auto" w:fill="auto"/>
            <w:vAlign w:val="center"/>
          </w:tcPr>
          <w:p w14:paraId="426AF1C5">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13</w:t>
            </w:r>
          </w:p>
        </w:tc>
        <w:tc>
          <w:tcPr>
            <w:tcW w:w="715" w:type="dxa"/>
            <w:shd w:val="clear" w:color="auto" w:fill="auto"/>
            <w:vAlign w:val="center"/>
          </w:tcPr>
          <w:p w14:paraId="59213EB9">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37.6</w:t>
            </w:r>
          </w:p>
        </w:tc>
        <w:tc>
          <w:tcPr>
            <w:tcW w:w="717" w:type="dxa"/>
            <w:shd w:val="clear" w:color="auto" w:fill="auto"/>
            <w:vAlign w:val="center"/>
          </w:tcPr>
          <w:p w14:paraId="6CCA1B17">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sz w:val="22"/>
                <w:szCs w:val="22"/>
                <w:lang w:val="en-US" w:eastAsia="zh-CN"/>
              </w:rPr>
              <w:t>16</w:t>
            </w:r>
          </w:p>
        </w:tc>
      </w:tr>
      <w:tr w14:paraId="40D95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1" w:type="dxa"/>
            <w:vMerge w:val="continue"/>
            <w:vAlign w:val="center"/>
          </w:tcPr>
          <w:p w14:paraId="09E16669">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1637" w:type="dxa"/>
            <w:gridSpan w:val="2"/>
            <w:vAlign w:val="center"/>
          </w:tcPr>
          <w:p w14:paraId="0E09818B">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r>
              <w:rPr>
                <w:rFonts w:hint="default" w:ascii="Times New Roman" w:hAnsi="Times New Roman" w:cs="Times New Roman" w:eastAsiaTheme="minorEastAsia"/>
                <w:color w:val="auto"/>
                <w:sz w:val="22"/>
                <w:szCs w:val="22"/>
                <w:lang w:eastAsia="en-US"/>
              </w:rPr>
              <w:t>铺网机</w:t>
            </w:r>
          </w:p>
        </w:tc>
        <w:tc>
          <w:tcPr>
            <w:tcW w:w="1979" w:type="dxa"/>
            <w:vAlign w:val="center"/>
          </w:tcPr>
          <w:p w14:paraId="1BCF7D5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82</w:t>
            </w:r>
          </w:p>
        </w:tc>
        <w:tc>
          <w:tcPr>
            <w:tcW w:w="998" w:type="dxa"/>
            <w:vMerge w:val="continue"/>
            <w:vAlign w:val="center"/>
          </w:tcPr>
          <w:p w14:paraId="5D3A538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531" w:type="dxa"/>
            <w:vAlign w:val="center"/>
          </w:tcPr>
          <w:p w14:paraId="6DACEB70">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20</w:t>
            </w:r>
          </w:p>
        </w:tc>
        <w:tc>
          <w:tcPr>
            <w:tcW w:w="575" w:type="dxa"/>
            <w:vAlign w:val="center"/>
          </w:tcPr>
          <w:p w14:paraId="26B6FA54">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13</w:t>
            </w:r>
          </w:p>
        </w:tc>
        <w:tc>
          <w:tcPr>
            <w:tcW w:w="711" w:type="dxa"/>
            <w:vAlign w:val="center"/>
          </w:tcPr>
          <w:p w14:paraId="277A7356">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0.4</w:t>
            </w:r>
          </w:p>
        </w:tc>
        <w:tc>
          <w:tcPr>
            <w:tcW w:w="577" w:type="dxa"/>
            <w:shd w:val="clear" w:color="auto" w:fill="auto"/>
            <w:vAlign w:val="center"/>
          </w:tcPr>
          <w:p w14:paraId="5B5E21E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37</w:t>
            </w:r>
          </w:p>
        </w:tc>
        <w:tc>
          <w:tcPr>
            <w:tcW w:w="581" w:type="dxa"/>
            <w:shd w:val="clear" w:color="auto" w:fill="auto"/>
            <w:vAlign w:val="center"/>
          </w:tcPr>
          <w:p w14:paraId="4A904096">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37</w:t>
            </w:r>
          </w:p>
        </w:tc>
        <w:tc>
          <w:tcPr>
            <w:tcW w:w="543" w:type="dxa"/>
            <w:vAlign w:val="center"/>
          </w:tcPr>
          <w:p w14:paraId="71EAEE8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50.6</w:t>
            </w:r>
          </w:p>
        </w:tc>
        <w:tc>
          <w:tcPr>
            <w:tcW w:w="641" w:type="dxa"/>
            <w:vAlign w:val="center"/>
          </w:tcPr>
          <w:p w14:paraId="3EE714A9">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50.6</w:t>
            </w:r>
          </w:p>
        </w:tc>
        <w:tc>
          <w:tcPr>
            <w:tcW w:w="513" w:type="dxa"/>
            <w:vMerge w:val="continue"/>
            <w:vAlign w:val="center"/>
          </w:tcPr>
          <w:p w14:paraId="32C02747">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682" w:type="dxa"/>
            <w:shd w:val="clear" w:color="auto" w:fill="auto"/>
            <w:vAlign w:val="center"/>
          </w:tcPr>
          <w:p w14:paraId="2634E829">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10</w:t>
            </w:r>
          </w:p>
        </w:tc>
        <w:tc>
          <w:tcPr>
            <w:tcW w:w="725" w:type="dxa"/>
            <w:gridSpan w:val="2"/>
            <w:shd w:val="clear" w:color="auto" w:fill="auto"/>
            <w:vAlign w:val="center"/>
          </w:tcPr>
          <w:p w14:paraId="01D9084D">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34.6</w:t>
            </w:r>
          </w:p>
        </w:tc>
        <w:tc>
          <w:tcPr>
            <w:tcW w:w="698" w:type="dxa"/>
            <w:shd w:val="clear" w:color="auto" w:fill="auto"/>
            <w:vAlign w:val="center"/>
          </w:tcPr>
          <w:p w14:paraId="1374B21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13</w:t>
            </w:r>
          </w:p>
        </w:tc>
        <w:tc>
          <w:tcPr>
            <w:tcW w:w="715" w:type="dxa"/>
            <w:shd w:val="clear" w:color="auto" w:fill="auto"/>
            <w:vAlign w:val="center"/>
          </w:tcPr>
          <w:p w14:paraId="3F5F9AA5">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34.6</w:t>
            </w:r>
          </w:p>
        </w:tc>
        <w:tc>
          <w:tcPr>
            <w:tcW w:w="717" w:type="dxa"/>
            <w:shd w:val="clear" w:color="auto" w:fill="auto"/>
            <w:vAlign w:val="center"/>
          </w:tcPr>
          <w:p w14:paraId="71EE0BE9">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sz w:val="22"/>
                <w:szCs w:val="22"/>
                <w:lang w:val="en-US" w:eastAsia="zh-CN"/>
              </w:rPr>
              <w:t>16</w:t>
            </w:r>
          </w:p>
        </w:tc>
      </w:tr>
      <w:tr w14:paraId="5C239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1" w:type="dxa"/>
            <w:vMerge w:val="continue"/>
            <w:vAlign w:val="center"/>
          </w:tcPr>
          <w:p w14:paraId="637A69B5">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1637" w:type="dxa"/>
            <w:gridSpan w:val="2"/>
            <w:vAlign w:val="center"/>
          </w:tcPr>
          <w:p w14:paraId="4F557310">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r>
              <w:rPr>
                <w:rFonts w:hint="default" w:ascii="Times New Roman" w:hAnsi="Times New Roman" w:cs="Times New Roman" w:eastAsiaTheme="minorEastAsia"/>
                <w:color w:val="auto"/>
                <w:sz w:val="22"/>
                <w:szCs w:val="22"/>
                <w:lang w:eastAsia="en-US"/>
              </w:rPr>
              <w:t>中速预刺机</w:t>
            </w:r>
          </w:p>
        </w:tc>
        <w:tc>
          <w:tcPr>
            <w:tcW w:w="1979" w:type="dxa"/>
            <w:vAlign w:val="center"/>
          </w:tcPr>
          <w:p w14:paraId="6D1E42C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80</w:t>
            </w:r>
          </w:p>
        </w:tc>
        <w:tc>
          <w:tcPr>
            <w:tcW w:w="998" w:type="dxa"/>
            <w:vMerge w:val="continue"/>
            <w:vAlign w:val="center"/>
          </w:tcPr>
          <w:p w14:paraId="2F6C9261">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531" w:type="dxa"/>
            <w:vAlign w:val="center"/>
          </w:tcPr>
          <w:p w14:paraId="10CA5583">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15</w:t>
            </w:r>
          </w:p>
        </w:tc>
        <w:tc>
          <w:tcPr>
            <w:tcW w:w="575" w:type="dxa"/>
            <w:vAlign w:val="center"/>
          </w:tcPr>
          <w:p w14:paraId="56BE079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13</w:t>
            </w:r>
          </w:p>
        </w:tc>
        <w:tc>
          <w:tcPr>
            <w:tcW w:w="711" w:type="dxa"/>
            <w:vAlign w:val="center"/>
          </w:tcPr>
          <w:p w14:paraId="35D3174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0.4</w:t>
            </w:r>
          </w:p>
        </w:tc>
        <w:tc>
          <w:tcPr>
            <w:tcW w:w="577" w:type="dxa"/>
            <w:shd w:val="clear" w:color="auto" w:fill="auto"/>
            <w:vAlign w:val="center"/>
          </w:tcPr>
          <w:p w14:paraId="2B247B63">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sz w:val="22"/>
                <w:szCs w:val="22"/>
                <w:lang w:val="en-US" w:eastAsia="zh-CN"/>
              </w:rPr>
              <w:t>37</w:t>
            </w:r>
          </w:p>
        </w:tc>
        <w:tc>
          <w:tcPr>
            <w:tcW w:w="581" w:type="dxa"/>
            <w:shd w:val="clear" w:color="auto" w:fill="auto"/>
            <w:vAlign w:val="center"/>
          </w:tcPr>
          <w:p w14:paraId="55C385E3">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32</w:t>
            </w:r>
          </w:p>
        </w:tc>
        <w:tc>
          <w:tcPr>
            <w:tcW w:w="543" w:type="dxa"/>
            <w:vAlign w:val="center"/>
          </w:tcPr>
          <w:p w14:paraId="7B84088F">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58.6</w:t>
            </w:r>
          </w:p>
        </w:tc>
        <w:tc>
          <w:tcPr>
            <w:tcW w:w="641" w:type="dxa"/>
            <w:vAlign w:val="center"/>
          </w:tcPr>
          <w:p w14:paraId="63ED62EB">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50.0</w:t>
            </w:r>
          </w:p>
        </w:tc>
        <w:tc>
          <w:tcPr>
            <w:tcW w:w="513" w:type="dxa"/>
            <w:vMerge w:val="continue"/>
            <w:vAlign w:val="center"/>
          </w:tcPr>
          <w:p w14:paraId="322DADE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682" w:type="dxa"/>
            <w:shd w:val="clear" w:color="auto" w:fill="auto"/>
            <w:vAlign w:val="center"/>
          </w:tcPr>
          <w:p w14:paraId="57111071">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10</w:t>
            </w:r>
          </w:p>
        </w:tc>
        <w:tc>
          <w:tcPr>
            <w:tcW w:w="725" w:type="dxa"/>
            <w:gridSpan w:val="2"/>
            <w:shd w:val="clear" w:color="auto" w:fill="auto"/>
            <w:vAlign w:val="center"/>
          </w:tcPr>
          <w:p w14:paraId="1829D0AB">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32.6</w:t>
            </w:r>
          </w:p>
        </w:tc>
        <w:tc>
          <w:tcPr>
            <w:tcW w:w="698" w:type="dxa"/>
            <w:shd w:val="clear" w:color="auto" w:fill="auto"/>
            <w:vAlign w:val="center"/>
          </w:tcPr>
          <w:p w14:paraId="27C31406">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13</w:t>
            </w:r>
          </w:p>
        </w:tc>
        <w:tc>
          <w:tcPr>
            <w:tcW w:w="715" w:type="dxa"/>
            <w:shd w:val="clear" w:color="auto" w:fill="auto"/>
            <w:vAlign w:val="center"/>
          </w:tcPr>
          <w:p w14:paraId="2570FD36">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34.0</w:t>
            </w:r>
          </w:p>
        </w:tc>
        <w:tc>
          <w:tcPr>
            <w:tcW w:w="717" w:type="dxa"/>
            <w:shd w:val="clear" w:color="auto" w:fill="auto"/>
            <w:vAlign w:val="center"/>
          </w:tcPr>
          <w:p w14:paraId="1254B510">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sz w:val="22"/>
                <w:szCs w:val="22"/>
                <w:lang w:val="en-US" w:eastAsia="zh-CN"/>
              </w:rPr>
              <w:t>16</w:t>
            </w:r>
          </w:p>
        </w:tc>
      </w:tr>
      <w:tr w14:paraId="52FE8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1" w:type="dxa"/>
            <w:vMerge w:val="continue"/>
            <w:vAlign w:val="center"/>
          </w:tcPr>
          <w:p w14:paraId="40B2DE4D">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1637" w:type="dxa"/>
            <w:gridSpan w:val="2"/>
            <w:shd w:val="clear" w:color="auto" w:fill="auto"/>
            <w:vAlign w:val="center"/>
          </w:tcPr>
          <w:p w14:paraId="11CC1241">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r>
              <w:rPr>
                <w:rFonts w:hint="default" w:ascii="Times New Roman" w:hAnsi="Times New Roman" w:cs="Times New Roman" w:eastAsiaTheme="minorEastAsia"/>
                <w:color w:val="auto"/>
                <w:sz w:val="22"/>
                <w:szCs w:val="22"/>
                <w:lang w:eastAsia="en-US"/>
              </w:rPr>
              <w:t>中速下刺机</w:t>
            </w:r>
          </w:p>
        </w:tc>
        <w:tc>
          <w:tcPr>
            <w:tcW w:w="1979" w:type="dxa"/>
            <w:shd w:val="clear" w:color="auto" w:fill="auto"/>
            <w:vAlign w:val="center"/>
          </w:tcPr>
          <w:p w14:paraId="532B3A7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80</w:t>
            </w:r>
          </w:p>
        </w:tc>
        <w:tc>
          <w:tcPr>
            <w:tcW w:w="998" w:type="dxa"/>
            <w:vMerge w:val="continue"/>
            <w:vAlign w:val="center"/>
          </w:tcPr>
          <w:p w14:paraId="46F20850">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531" w:type="dxa"/>
            <w:vAlign w:val="center"/>
          </w:tcPr>
          <w:p w14:paraId="3767ABCB">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13</w:t>
            </w:r>
          </w:p>
        </w:tc>
        <w:tc>
          <w:tcPr>
            <w:tcW w:w="575" w:type="dxa"/>
            <w:vAlign w:val="center"/>
          </w:tcPr>
          <w:p w14:paraId="374F518F">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13</w:t>
            </w:r>
          </w:p>
        </w:tc>
        <w:tc>
          <w:tcPr>
            <w:tcW w:w="711" w:type="dxa"/>
            <w:vAlign w:val="center"/>
          </w:tcPr>
          <w:p w14:paraId="198C692D">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0.4</w:t>
            </w:r>
          </w:p>
        </w:tc>
        <w:tc>
          <w:tcPr>
            <w:tcW w:w="577" w:type="dxa"/>
            <w:shd w:val="clear" w:color="auto" w:fill="auto"/>
            <w:vAlign w:val="center"/>
          </w:tcPr>
          <w:p w14:paraId="7C2A68F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sz w:val="22"/>
                <w:szCs w:val="22"/>
                <w:lang w:val="en-US" w:eastAsia="zh-CN"/>
              </w:rPr>
              <w:t>37</w:t>
            </w:r>
          </w:p>
        </w:tc>
        <w:tc>
          <w:tcPr>
            <w:tcW w:w="581" w:type="dxa"/>
            <w:vAlign w:val="center"/>
          </w:tcPr>
          <w:p w14:paraId="0D5A74CC">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30</w:t>
            </w:r>
          </w:p>
        </w:tc>
        <w:tc>
          <w:tcPr>
            <w:tcW w:w="543" w:type="dxa"/>
            <w:vAlign w:val="center"/>
          </w:tcPr>
          <w:p w14:paraId="3079C223">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48.6</w:t>
            </w:r>
          </w:p>
        </w:tc>
        <w:tc>
          <w:tcPr>
            <w:tcW w:w="641" w:type="dxa"/>
            <w:vAlign w:val="center"/>
          </w:tcPr>
          <w:p w14:paraId="0AE8BFA3">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50.5</w:t>
            </w:r>
          </w:p>
        </w:tc>
        <w:tc>
          <w:tcPr>
            <w:tcW w:w="513" w:type="dxa"/>
            <w:vMerge w:val="continue"/>
            <w:vAlign w:val="center"/>
          </w:tcPr>
          <w:p w14:paraId="004978DC">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682" w:type="dxa"/>
            <w:shd w:val="clear" w:color="auto" w:fill="auto"/>
            <w:vAlign w:val="center"/>
          </w:tcPr>
          <w:p w14:paraId="70ECF749">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10</w:t>
            </w:r>
          </w:p>
        </w:tc>
        <w:tc>
          <w:tcPr>
            <w:tcW w:w="725" w:type="dxa"/>
            <w:gridSpan w:val="2"/>
            <w:shd w:val="clear" w:color="auto" w:fill="auto"/>
            <w:vAlign w:val="center"/>
          </w:tcPr>
          <w:p w14:paraId="1990556C">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32.6</w:t>
            </w:r>
          </w:p>
        </w:tc>
        <w:tc>
          <w:tcPr>
            <w:tcW w:w="698" w:type="dxa"/>
            <w:shd w:val="clear" w:color="auto" w:fill="auto"/>
            <w:vAlign w:val="center"/>
          </w:tcPr>
          <w:p w14:paraId="0D29B553">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13</w:t>
            </w:r>
          </w:p>
        </w:tc>
        <w:tc>
          <w:tcPr>
            <w:tcW w:w="715" w:type="dxa"/>
            <w:shd w:val="clear" w:color="auto" w:fill="auto"/>
            <w:vAlign w:val="center"/>
          </w:tcPr>
          <w:p w14:paraId="79759F61">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34.5</w:t>
            </w:r>
          </w:p>
        </w:tc>
        <w:tc>
          <w:tcPr>
            <w:tcW w:w="717" w:type="dxa"/>
            <w:shd w:val="clear" w:color="auto" w:fill="auto"/>
            <w:vAlign w:val="center"/>
          </w:tcPr>
          <w:p w14:paraId="58FFF9C9">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sz w:val="22"/>
                <w:szCs w:val="22"/>
                <w:lang w:val="en-US" w:eastAsia="zh-CN"/>
              </w:rPr>
              <w:t>16</w:t>
            </w:r>
          </w:p>
        </w:tc>
      </w:tr>
      <w:tr w14:paraId="524F8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1" w:type="dxa"/>
            <w:vMerge w:val="continue"/>
            <w:vAlign w:val="center"/>
          </w:tcPr>
          <w:p w14:paraId="3AEBDCF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1637" w:type="dxa"/>
            <w:gridSpan w:val="2"/>
            <w:shd w:val="clear" w:color="auto" w:fill="auto"/>
            <w:vAlign w:val="center"/>
          </w:tcPr>
          <w:p w14:paraId="5DB1F9C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r>
              <w:rPr>
                <w:rFonts w:hint="default" w:ascii="Times New Roman" w:hAnsi="Times New Roman" w:cs="Times New Roman" w:eastAsiaTheme="minorEastAsia"/>
                <w:color w:val="auto"/>
                <w:sz w:val="22"/>
                <w:szCs w:val="22"/>
                <w:lang w:eastAsia="en-US"/>
              </w:rPr>
              <w:t>横切收卷机</w:t>
            </w:r>
          </w:p>
        </w:tc>
        <w:tc>
          <w:tcPr>
            <w:tcW w:w="1979" w:type="dxa"/>
            <w:shd w:val="clear" w:color="auto" w:fill="auto"/>
            <w:vAlign w:val="center"/>
          </w:tcPr>
          <w:p w14:paraId="3C795ADC">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75</w:t>
            </w:r>
          </w:p>
        </w:tc>
        <w:tc>
          <w:tcPr>
            <w:tcW w:w="998" w:type="dxa"/>
            <w:vMerge w:val="continue"/>
            <w:vAlign w:val="center"/>
          </w:tcPr>
          <w:p w14:paraId="1FBDEA34">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531" w:type="dxa"/>
            <w:vAlign w:val="center"/>
          </w:tcPr>
          <w:p w14:paraId="6938517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10</w:t>
            </w:r>
          </w:p>
        </w:tc>
        <w:tc>
          <w:tcPr>
            <w:tcW w:w="575" w:type="dxa"/>
            <w:vAlign w:val="center"/>
          </w:tcPr>
          <w:p w14:paraId="0049F8B8">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13</w:t>
            </w:r>
          </w:p>
        </w:tc>
        <w:tc>
          <w:tcPr>
            <w:tcW w:w="711" w:type="dxa"/>
            <w:vAlign w:val="center"/>
          </w:tcPr>
          <w:p w14:paraId="09B5C14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0.5</w:t>
            </w:r>
          </w:p>
        </w:tc>
        <w:tc>
          <w:tcPr>
            <w:tcW w:w="577" w:type="dxa"/>
            <w:shd w:val="clear" w:color="auto" w:fill="auto"/>
            <w:vAlign w:val="center"/>
          </w:tcPr>
          <w:p w14:paraId="1C5D69E1">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37</w:t>
            </w:r>
          </w:p>
        </w:tc>
        <w:tc>
          <w:tcPr>
            <w:tcW w:w="581" w:type="dxa"/>
            <w:shd w:val="clear" w:color="auto" w:fill="auto"/>
            <w:vAlign w:val="center"/>
          </w:tcPr>
          <w:p w14:paraId="0F72825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27</w:t>
            </w:r>
          </w:p>
        </w:tc>
        <w:tc>
          <w:tcPr>
            <w:tcW w:w="543" w:type="dxa"/>
            <w:vAlign w:val="center"/>
          </w:tcPr>
          <w:p w14:paraId="005B3716">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43.6</w:t>
            </w:r>
          </w:p>
        </w:tc>
        <w:tc>
          <w:tcPr>
            <w:tcW w:w="641" w:type="dxa"/>
            <w:vAlign w:val="center"/>
          </w:tcPr>
          <w:p w14:paraId="627D4344">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46.4</w:t>
            </w:r>
          </w:p>
        </w:tc>
        <w:tc>
          <w:tcPr>
            <w:tcW w:w="513" w:type="dxa"/>
            <w:vMerge w:val="continue"/>
            <w:vAlign w:val="center"/>
          </w:tcPr>
          <w:p w14:paraId="0C623167">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682" w:type="dxa"/>
            <w:shd w:val="clear" w:color="auto" w:fill="auto"/>
            <w:vAlign w:val="center"/>
          </w:tcPr>
          <w:p w14:paraId="4B37D8C4">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10</w:t>
            </w:r>
          </w:p>
        </w:tc>
        <w:tc>
          <w:tcPr>
            <w:tcW w:w="725" w:type="dxa"/>
            <w:gridSpan w:val="2"/>
            <w:shd w:val="clear" w:color="auto" w:fill="auto"/>
            <w:vAlign w:val="center"/>
          </w:tcPr>
          <w:p w14:paraId="20B87488">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27.6</w:t>
            </w:r>
          </w:p>
        </w:tc>
        <w:tc>
          <w:tcPr>
            <w:tcW w:w="698" w:type="dxa"/>
            <w:shd w:val="clear" w:color="auto" w:fill="auto"/>
            <w:vAlign w:val="center"/>
          </w:tcPr>
          <w:p w14:paraId="33DD7DA7">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13</w:t>
            </w:r>
          </w:p>
        </w:tc>
        <w:tc>
          <w:tcPr>
            <w:tcW w:w="715" w:type="dxa"/>
            <w:shd w:val="clear" w:color="auto" w:fill="auto"/>
            <w:vAlign w:val="center"/>
          </w:tcPr>
          <w:p w14:paraId="5F8CF5FC">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30.4</w:t>
            </w:r>
          </w:p>
        </w:tc>
        <w:tc>
          <w:tcPr>
            <w:tcW w:w="717" w:type="dxa"/>
            <w:shd w:val="clear" w:color="auto" w:fill="auto"/>
            <w:vAlign w:val="center"/>
          </w:tcPr>
          <w:p w14:paraId="4A292D78">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sz w:val="22"/>
                <w:szCs w:val="22"/>
                <w:lang w:val="en-US" w:eastAsia="zh-CN"/>
              </w:rPr>
              <w:t>16</w:t>
            </w:r>
          </w:p>
        </w:tc>
      </w:tr>
      <w:tr w14:paraId="258D6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1" w:type="dxa"/>
            <w:vMerge w:val="continue"/>
            <w:vAlign w:val="center"/>
          </w:tcPr>
          <w:p w14:paraId="74AB6A1C">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1637" w:type="dxa"/>
            <w:gridSpan w:val="2"/>
            <w:shd w:val="clear" w:color="auto" w:fill="auto"/>
            <w:vAlign w:val="center"/>
          </w:tcPr>
          <w:p w14:paraId="19AAE78D">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r>
              <w:rPr>
                <w:rFonts w:hint="eastAsia" w:cs="Times New Roman" w:eastAsiaTheme="minorEastAsia"/>
                <w:color w:val="auto"/>
                <w:sz w:val="22"/>
                <w:szCs w:val="22"/>
                <w:lang w:val="en-US" w:eastAsia="zh-CN"/>
              </w:rPr>
              <w:t>精密</w:t>
            </w:r>
            <w:r>
              <w:rPr>
                <w:rFonts w:hint="default" w:ascii="Times New Roman" w:hAnsi="Times New Roman" w:cs="Times New Roman" w:eastAsiaTheme="minorEastAsia"/>
                <w:color w:val="auto"/>
                <w:sz w:val="22"/>
                <w:szCs w:val="22"/>
                <w:lang w:eastAsia="en-US"/>
              </w:rPr>
              <w:t>气动裁</w:t>
            </w:r>
            <w:r>
              <w:rPr>
                <w:rFonts w:hint="eastAsia" w:cs="Times New Roman" w:eastAsiaTheme="minorEastAsia"/>
                <w:color w:val="auto"/>
                <w:sz w:val="22"/>
                <w:szCs w:val="22"/>
                <w:lang w:val="en-US" w:eastAsia="zh-CN"/>
              </w:rPr>
              <w:t>切</w:t>
            </w:r>
            <w:r>
              <w:rPr>
                <w:rFonts w:hint="default" w:ascii="Times New Roman" w:hAnsi="Times New Roman" w:cs="Times New Roman" w:eastAsiaTheme="minorEastAsia"/>
                <w:color w:val="auto"/>
                <w:sz w:val="22"/>
                <w:szCs w:val="22"/>
                <w:lang w:eastAsia="en-US"/>
              </w:rPr>
              <w:t>机</w:t>
            </w:r>
          </w:p>
        </w:tc>
        <w:tc>
          <w:tcPr>
            <w:tcW w:w="1979" w:type="dxa"/>
            <w:shd w:val="clear" w:color="auto" w:fill="auto"/>
            <w:vAlign w:val="center"/>
          </w:tcPr>
          <w:p w14:paraId="764D7A3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90</w:t>
            </w:r>
          </w:p>
        </w:tc>
        <w:tc>
          <w:tcPr>
            <w:tcW w:w="998" w:type="dxa"/>
            <w:vMerge w:val="continue"/>
            <w:vAlign w:val="center"/>
          </w:tcPr>
          <w:p w14:paraId="769A7CB7">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531" w:type="dxa"/>
            <w:vAlign w:val="center"/>
          </w:tcPr>
          <w:p w14:paraId="1CB7DF31">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3.5</w:t>
            </w:r>
          </w:p>
        </w:tc>
        <w:tc>
          <w:tcPr>
            <w:tcW w:w="575" w:type="dxa"/>
            <w:vAlign w:val="center"/>
          </w:tcPr>
          <w:p w14:paraId="30EB41C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-2</w:t>
            </w:r>
          </w:p>
        </w:tc>
        <w:tc>
          <w:tcPr>
            <w:tcW w:w="711" w:type="dxa"/>
            <w:vAlign w:val="center"/>
          </w:tcPr>
          <w:p w14:paraId="396D98B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0.5</w:t>
            </w:r>
          </w:p>
        </w:tc>
        <w:tc>
          <w:tcPr>
            <w:tcW w:w="577" w:type="dxa"/>
            <w:shd w:val="clear" w:color="auto" w:fill="auto"/>
            <w:vAlign w:val="center"/>
          </w:tcPr>
          <w:p w14:paraId="5503B51F">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24</w:t>
            </w:r>
          </w:p>
        </w:tc>
        <w:tc>
          <w:tcPr>
            <w:tcW w:w="581" w:type="dxa"/>
            <w:shd w:val="clear" w:color="auto" w:fill="auto"/>
            <w:vAlign w:val="center"/>
          </w:tcPr>
          <w:p w14:paraId="4A14FE59">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18</w:t>
            </w:r>
          </w:p>
        </w:tc>
        <w:tc>
          <w:tcPr>
            <w:tcW w:w="543" w:type="dxa"/>
            <w:vAlign w:val="center"/>
          </w:tcPr>
          <w:p w14:paraId="48D7F65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62.4</w:t>
            </w:r>
          </w:p>
        </w:tc>
        <w:tc>
          <w:tcPr>
            <w:tcW w:w="641" w:type="dxa"/>
            <w:shd w:val="clear" w:color="auto" w:fill="auto"/>
            <w:vAlign w:val="center"/>
          </w:tcPr>
          <w:p w14:paraId="3CE3C6F0">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sz w:val="22"/>
                <w:szCs w:val="22"/>
                <w:lang w:val="en-US" w:eastAsia="zh-CN"/>
              </w:rPr>
              <w:t>64.9</w:t>
            </w:r>
          </w:p>
        </w:tc>
        <w:tc>
          <w:tcPr>
            <w:tcW w:w="513" w:type="dxa"/>
            <w:vMerge w:val="continue"/>
            <w:vAlign w:val="center"/>
          </w:tcPr>
          <w:p w14:paraId="5CF5874C">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682" w:type="dxa"/>
            <w:shd w:val="clear" w:color="auto" w:fill="auto"/>
            <w:vAlign w:val="center"/>
          </w:tcPr>
          <w:p w14:paraId="265B4457">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10</w:t>
            </w:r>
          </w:p>
        </w:tc>
        <w:tc>
          <w:tcPr>
            <w:tcW w:w="725" w:type="dxa"/>
            <w:gridSpan w:val="2"/>
            <w:shd w:val="clear" w:color="auto" w:fill="auto"/>
            <w:vAlign w:val="center"/>
          </w:tcPr>
          <w:p w14:paraId="1E2D4283">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46.4</w:t>
            </w:r>
          </w:p>
        </w:tc>
        <w:tc>
          <w:tcPr>
            <w:tcW w:w="698" w:type="dxa"/>
            <w:shd w:val="clear" w:color="auto" w:fill="auto"/>
            <w:vAlign w:val="center"/>
          </w:tcPr>
          <w:p w14:paraId="7EE234C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13</w:t>
            </w:r>
          </w:p>
        </w:tc>
        <w:tc>
          <w:tcPr>
            <w:tcW w:w="715" w:type="dxa"/>
            <w:shd w:val="clear" w:color="auto" w:fill="auto"/>
            <w:vAlign w:val="center"/>
          </w:tcPr>
          <w:p w14:paraId="66A74F5F">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48.9</w:t>
            </w:r>
          </w:p>
        </w:tc>
        <w:tc>
          <w:tcPr>
            <w:tcW w:w="717" w:type="dxa"/>
            <w:shd w:val="clear" w:color="auto" w:fill="auto"/>
            <w:vAlign w:val="center"/>
          </w:tcPr>
          <w:p w14:paraId="450E4003">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sz w:val="22"/>
                <w:szCs w:val="22"/>
                <w:lang w:val="en-US" w:eastAsia="zh-CN"/>
              </w:rPr>
              <w:t>16</w:t>
            </w:r>
          </w:p>
        </w:tc>
      </w:tr>
      <w:tr w14:paraId="11933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1" w:type="dxa"/>
            <w:vMerge w:val="continue"/>
            <w:vAlign w:val="center"/>
          </w:tcPr>
          <w:p w14:paraId="5251745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1637" w:type="dxa"/>
            <w:gridSpan w:val="2"/>
            <w:shd w:val="clear" w:color="auto" w:fill="auto"/>
            <w:vAlign w:val="center"/>
          </w:tcPr>
          <w:p w14:paraId="224A4CF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r>
              <w:rPr>
                <w:rFonts w:hint="eastAsia" w:cs="Times New Roman" w:eastAsiaTheme="minorEastAsia"/>
                <w:color w:val="auto"/>
                <w:sz w:val="22"/>
                <w:szCs w:val="22"/>
                <w:lang w:val="en-US" w:eastAsia="zh-CN"/>
              </w:rPr>
              <w:t>精密</w:t>
            </w:r>
            <w:r>
              <w:rPr>
                <w:rFonts w:hint="default" w:ascii="Times New Roman" w:hAnsi="Times New Roman" w:cs="Times New Roman" w:eastAsiaTheme="minorEastAsia"/>
                <w:color w:val="auto"/>
                <w:sz w:val="22"/>
                <w:szCs w:val="22"/>
                <w:lang w:eastAsia="en-US"/>
              </w:rPr>
              <w:t>气动裁</w:t>
            </w:r>
            <w:r>
              <w:rPr>
                <w:rFonts w:hint="eastAsia" w:cs="Times New Roman" w:eastAsiaTheme="minorEastAsia"/>
                <w:color w:val="auto"/>
                <w:sz w:val="22"/>
                <w:szCs w:val="22"/>
                <w:lang w:val="en-US" w:eastAsia="zh-CN"/>
              </w:rPr>
              <w:t>切</w:t>
            </w:r>
            <w:r>
              <w:rPr>
                <w:rFonts w:hint="default" w:ascii="Times New Roman" w:hAnsi="Times New Roman" w:cs="Times New Roman" w:eastAsiaTheme="minorEastAsia"/>
                <w:color w:val="auto"/>
                <w:sz w:val="22"/>
                <w:szCs w:val="22"/>
                <w:lang w:eastAsia="en-US"/>
              </w:rPr>
              <w:t>机</w:t>
            </w:r>
          </w:p>
        </w:tc>
        <w:tc>
          <w:tcPr>
            <w:tcW w:w="1979" w:type="dxa"/>
            <w:shd w:val="clear" w:color="auto" w:fill="auto"/>
            <w:vAlign w:val="center"/>
          </w:tcPr>
          <w:p w14:paraId="627D8620">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90</w:t>
            </w:r>
          </w:p>
        </w:tc>
        <w:tc>
          <w:tcPr>
            <w:tcW w:w="998" w:type="dxa"/>
            <w:vMerge w:val="continue"/>
            <w:vAlign w:val="center"/>
          </w:tcPr>
          <w:p w14:paraId="2642F399">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531" w:type="dxa"/>
            <w:vAlign w:val="center"/>
          </w:tcPr>
          <w:p w14:paraId="22E15344">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3.5</w:t>
            </w:r>
          </w:p>
        </w:tc>
        <w:tc>
          <w:tcPr>
            <w:tcW w:w="575" w:type="dxa"/>
            <w:vAlign w:val="center"/>
          </w:tcPr>
          <w:p w14:paraId="630E7386">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-4</w:t>
            </w:r>
          </w:p>
        </w:tc>
        <w:tc>
          <w:tcPr>
            <w:tcW w:w="711" w:type="dxa"/>
            <w:vAlign w:val="center"/>
          </w:tcPr>
          <w:p w14:paraId="376DB1BF">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0.5</w:t>
            </w:r>
          </w:p>
        </w:tc>
        <w:tc>
          <w:tcPr>
            <w:tcW w:w="577" w:type="dxa"/>
            <w:shd w:val="clear" w:color="auto" w:fill="auto"/>
            <w:vAlign w:val="center"/>
          </w:tcPr>
          <w:p w14:paraId="7D18EA47">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22</w:t>
            </w:r>
          </w:p>
        </w:tc>
        <w:tc>
          <w:tcPr>
            <w:tcW w:w="581" w:type="dxa"/>
            <w:shd w:val="clear" w:color="auto" w:fill="auto"/>
            <w:vAlign w:val="center"/>
          </w:tcPr>
          <w:p w14:paraId="4FBC4C6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18</w:t>
            </w:r>
          </w:p>
        </w:tc>
        <w:tc>
          <w:tcPr>
            <w:tcW w:w="543" w:type="dxa"/>
            <w:vAlign w:val="center"/>
          </w:tcPr>
          <w:p w14:paraId="0E66416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63.2</w:t>
            </w:r>
          </w:p>
        </w:tc>
        <w:tc>
          <w:tcPr>
            <w:tcW w:w="641" w:type="dxa"/>
            <w:shd w:val="clear" w:color="auto" w:fill="auto"/>
            <w:vAlign w:val="center"/>
          </w:tcPr>
          <w:p w14:paraId="76B6F259">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sz w:val="22"/>
                <w:szCs w:val="22"/>
                <w:lang w:val="en-US" w:eastAsia="zh-CN"/>
              </w:rPr>
              <w:t>64.9</w:t>
            </w:r>
          </w:p>
        </w:tc>
        <w:tc>
          <w:tcPr>
            <w:tcW w:w="513" w:type="dxa"/>
            <w:vMerge w:val="continue"/>
            <w:vAlign w:val="center"/>
          </w:tcPr>
          <w:p w14:paraId="6BF4393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682" w:type="dxa"/>
            <w:shd w:val="clear" w:color="auto" w:fill="auto"/>
            <w:vAlign w:val="center"/>
          </w:tcPr>
          <w:p w14:paraId="1F322F2C">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10</w:t>
            </w:r>
          </w:p>
        </w:tc>
        <w:tc>
          <w:tcPr>
            <w:tcW w:w="725" w:type="dxa"/>
            <w:gridSpan w:val="2"/>
            <w:shd w:val="clear" w:color="auto" w:fill="auto"/>
            <w:vAlign w:val="center"/>
          </w:tcPr>
          <w:p w14:paraId="08B56C7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47.2</w:t>
            </w:r>
          </w:p>
        </w:tc>
        <w:tc>
          <w:tcPr>
            <w:tcW w:w="698" w:type="dxa"/>
            <w:shd w:val="clear" w:color="auto" w:fill="auto"/>
            <w:vAlign w:val="center"/>
          </w:tcPr>
          <w:p w14:paraId="57233571">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13</w:t>
            </w:r>
          </w:p>
        </w:tc>
        <w:tc>
          <w:tcPr>
            <w:tcW w:w="715" w:type="dxa"/>
            <w:shd w:val="clear" w:color="auto" w:fill="auto"/>
            <w:vAlign w:val="center"/>
          </w:tcPr>
          <w:p w14:paraId="668FFF68">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48.9</w:t>
            </w:r>
          </w:p>
        </w:tc>
        <w:tc>
          <w:tcPr>
            <w:tcW w:w="717" w:type="dxa"/>
            <w:shd w:val="clear" w:color="auto" w:fill="auto"/>
            <w:vAlign w:val="center"/>
          </w:tcPr>
          <w:p w14:paraId="1EE0CAB6">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sz w:val="22"/>
                <w:szCs w:val="22"/>
                <w:lang w:val="en-US" w:eastAsia="zh-CN"/>
              </w:rPr>
              <w:t>16</w:t>
            </w:r>
          </w:p>
        </w:tc>
      </w:tr>
      <w:tr w14:paraId="22A1E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1" w:type="dxa"/>
            <w:vMerge w:val="continue"/>
            <w:vAlign w:val="center"/>
          </w:tcPr>
          <w:p w14:paraId="0C1EB733">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1637" w:type="dxa"/>
            <w:gridSpan w:val="2"/>
            <w:shd w:val="clear" w:color="auto" w:fill="auto"/>
            <w:vAlign w:val="center"/>
          </w:tcPr>
          <w:p w14:paraId="5DDE5D51">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r>
              <w:rPr>
                <w:rFonts w:hint="eastAsia" w:cs="Times New Roman" w:eastAsiaTheme="minorEastAsia"/>
                <w:color w:val="auto"/>
                <w:sz w:val="22"/>
                <w:szCs w:val="22"/>
                <w:lang w:val="en-US" w:eastAsia="zh-CN"/>
              </w:rPr>
              <w:t>精密</w:t>
            </w:r>
            <w:r>
              <w:rPr>
                <w:rFonts w:hint="default" w:ascii="Times New Roman" w:hAnsi="Times New Roman" w:cs="Times New Roman" w:eastAsiaTheme="minorEastAsia"/>
                <w:color w:val="auto"/>
                <w:sz w:val="22"/>
                <w:szCs w:val="22"/>
                <w:lang w:eastAsia="en-US"/>
              </w:rPr>
              <w:t>气动裁</w:t>
            </w:r>
            <w:r>
              <w:rPr>
                <w:rFonts w:hint="eastAsia" w:cs="Times New Roman" w:eastAsiaTheme="minorEastAsia"/>
                <w:color w:val="auto"/>
                <w:sz w:val="22"/>
                <w:szCs w:val="22"/>
                <w:lang w:val="en-US" w:eastAsia="zh-CN"/>
              </w:rPr>
              <w:t>切</w:t>
            </w:r>
            <w:r>
              <w:rPr>
                <w:rFonts w:hint="default" w:ascii="Times New Roman" w:hAnsi="Times New Roman" w:cs="Times New Roman" w:eastAsiaTheme="minorEastAsia"/>
                <w:color w:val="auto"/>
                <w:sz w:val="22"/>
                <w:szCs w:val="22"/>
                <w:lang w:eastAsia="en-US"/>
              </w:rPr>
              <w:t>机</w:t>
            </w:r>
          </w:p>
        </w:tc>
        <w:tc>
          <w:tcPr>
            <w:tcW w:w="1979" w:type="dxa"/>
            <w:shd w:val="clear" w:color="auto" w:fill="auto"/>
            <w:vAlign w:val="center"/>
          </w:tcPr>
          <w:p w14:paraId="75C3FFF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90</w:t>
            </w:r>
          </w:p>
        </w:tc>
        <w:tc>
          <w:tcPr>
            <w:tcW w:w="998" w:type="dxa"/>
            <w:vMerge w:val="continue"/>
            <w:vAlign w:val="center"/>
          </w:tcPr>
          <w:p w14:paraId="02DEABF0">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531" w:type="dxa"/>
            <w:shd w:val="clear" w:color="auto" w:fill="auto"/>
            <w:vAlign w:val="center"/>
          </w:tcPr>
          <w:p w14:paraId="4AA77E1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3.5</w:t>
            </w:r>
          </w:p>
        </w:tc>
        <w:tc>
          <w:tcPr>
            <w:tcW w:w="575" w:type="dxa"/>
            <w:shd w:val="clear" w:color="auto" w:fill="auto"/>
            <w:vAlign w:val="center"/>
          </w:tcPr>
          <w:p w14:paraId="1D1A7F1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-6</w:t>
            </w:r>
          </w:p>
        </w:tc>
        <w:tc>
          <w:tcPr>
            <w:tcW w:w="711" w:type="dxa"/>
            <w:shd w:val="clear" w:color="auto" w:fill="auto"/>
            <w:vAlign w:val="center"/>
          </w:tcPr>
          <w:p w14:paraId="4835ADA0">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0.5</w:t>
            </w:r>
          </w:p>
        </w:tc>
        <w:tc>
          <w:tcPr>
            <w:tcW w:w="577" w:type="dxa"/>
            <w:shd w:val="clear" w:color="auto" w:fill="auto"/>
            <w:vAlign w:val="center"/>
          </w:tcPr>
          <w:p w14:paraId="6FB1C58F">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20</w:t>
            </w:r>
          </w:p>
        </w:tc>
        <w:tc>
          <w:tcPr>
            <w:tcW w:w="581" w:type="dxa"/>
            <w:shd w:val="clear" w:color="auto" w:fill="auto"/>
            <w:vAlign w:val="center"/>
          </w:tcPr>
          <w:p w14:paraId="6660488B">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18</w:t>
            </w:r>
          </w:p>
        </w:tc>
        <w:tc>
          <w:tcPr>
            <w:tcW w:w="543" w:type="dxa"/>
            <w:vAlign w:val="center"/>
          </w:tcPr>
          <w:p w14:paraId="660B45C1">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64.0</w:t>
            </w:r>
          </w:p>
        </w:tc>
        <w:tc>
          <w:tcPr>
            <w:tcW w:w="641" w:type="dxa"/>
            <w:shd w:val="clear" w:color="auto" w:fill="auto"/>
            <w:vAlign w:val="center"/>
          </w:tcPr>
          <w:p w14:paraId="2613C507">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sz w:val="22"/>
                <w:szCs w:val="22"/>
                <w:lang w:val="en-US" w:eastAsia="zh-CN"/>
              </w:rPr>
              <w:t>64.9</w:t>
            </w:r>
          </w:p>
        </w:tc>
        <w:tc>
          <w:tcPr>
            <w:tcW w:w="513" w:type="dxa"/>
            <w:vMerge w:val="continue"/>
            <w:vAlign w:val="center"/>
          </w:tcPr>
          <w:p w14:paraId="40C834A5">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682" w:type="dxa"/>
            <w:shd w:val="clear" w:color="auto" w:fill="auto"/>
            <w:vAlign w:val="center"/>
          </w:tcPr>
          <w:p w14:paraId="48465C8C">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10</w:t>
            </w:r>
          </w:p>
        </w:tc>
        <w:tc>
          <w:tcPr>
            <w:tcW w:w="725" w:type="dxa"/>
            <w:gridSpan w:val="2"/>
            <w:shd w:val="clear" w:color="auto" w:fill="auto"/>
            <w:vAlign w:val="center"/>
          </w:tcPr>
          <w:p w14:paraId="635F3100">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48.0</w:t>
            </w:r>
          </w:p>
        </w:tc>
        <w:tc>
          <w:tcPr>
            <w:tcW w:w="698" w:type="dxa"/>
            <w:shd w:val="clear" w:color="auto" w:fill="auto"/>
            <w:vAlign w:val="center"/>
          </w:tcPr>
          <w:p w14:paraId="1F629F3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13</w:t>
            </w:r>
          </w:p>
        </w:tc>
        <w:tc>
          <w:tcPr>
            <w:tcW w:w="715" w:type="dxa"/>
            <w:shd w:val="clear" w:color="auto" w:fill="auto"/>
            <w:vAlign w:val="center"/>
          </w:tcPr>
          <w:p w14:paraId="3F6FEA05">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48.9</w:t>
            </w:r>
          </w:p>
        </w:tc>
        <w:tc>
          <w:tcPr>
            <w:tcW w:w="717" w:type="dxa"/>
            <w:shd w:val="clear" w:color="auto" w:fill="auto"/>
            <w:vAlign w:val="center"/>
          </w:tcPr>
          <w:p w14:paraId="34DF5555">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sz w:val="22"/>
                <w:szCs w:val="22"/>
                <w:lang w:val="en-US" w:eastAsia="zh-CN"/>
              </w:rPr>
              <w:t>16</w:t>
            </w:r>
          </w:p>
        </w:tc>
      </w:tr>
      <w:tr w14:paraId="33CF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1" w:type="dxa"/>
            <w:vMerge w:val="continue"/>
            <w:vAlign w:val="center"/>
          </w:tcPr>
          <w:p w14:paraId="789F4B9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1637" w:type="dxa"/>
            <w:gridSpan w:val="2"/>
            <w:vAlign w:val="center"/>
          </w:tcPr>
          <w:p w14:paraId="69D2F7F7">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r>
              <w:rPr>
                <w:rFonts w:hint="default" w:ascii="Times New Roman" w:hAnsi="Times New Roman" w:cs="Times New Roman" w:eastAsiaTheme="minorEastAsia"/>
                <w:color w:val="auto"/>
                <w:sz w:val="22"/>
                <w:szCs w:val="22"/>
                <w:lang w:eastAsia="en-US"/>
              </w:rPr>
              <w:t>热风循环烘箱</w:t>
            </w:r>
          </w:p>
        </w:tc>
        <w:tc>
          <w:tcPr>
            <w:tcW w:w="1979" w:type="dxa"/>
            <w:vAlign w:val="center"/>
          </w:tcPr>
          <w:p w14:paraId="50FC3B7C">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82</w:t>
            </w:r>
          </w:p>
        </w:tc>
        <w:tc>
          <w:tcPr>
            <w:tcW w:w="998" w:type="dxa"/>
            <w:vMerge w:val="continue"/>
            <w:vAlign w:val="center"/>
          </w:tcPr>
          <w:p w14:paraId="358B0C3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531" w:type="dxa"/>
            <w:shd w:val="clear" w:color="auto" w:fill="auto"/>
            <w:vAlign w:val="center"/>
          </w:tcPr>
          <w:p w14:paraId="707EE6A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7</w:t>
            </w:r>
          </w:p>
        </w:tc>
        <w:tc>
          <w:tcPr>
            <w:tcW w:w="575" w:type="dxa"/>
            <w:shd w:val="clear" w:color="auto" w:fill="auto"/>
            <w:vAlign w:val="center"/>
          </w:tcPr>
          <w:p w14:paraId="53D14CB0">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24</w:t>
            </w:r>
          </w:p>
        </w:tc>
        <w:tc>
          <w:tcPr>
            <w:tcW w:w="711" w:type="dxa"/>
            <w:shd w:val="clear" w:color="auto" w:fill="auto"/>
            <w:vAlign w:val="center"/>
          </w:tcPr>
          <w:p w14:paraId="2A05C41B">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kern w:val="2"/>
                <w:sz w:val="22"/>
                <w:szCs w:val="22"/>
                <w:lang w:val="en-US" w:eastAsia="zh-CN" w:bidi="ar-SA"/>
              </w:rPr>
              <w:t>1.0</w:t>
            </w:r>
          </w:p>
        </w:tc>
        <w:tc>
          <w:tcPr>
            <w:tcW w:w="577" w:type="dxa"/>
            <w:shd w:val="clear" w:color="auto" w:fill="auto"/>
            <w:vAlign w:val="center"/>
          </w:tcPr>
          <w:p w14:paraId="1494B98C">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48</w:t>
            </w:r>
          </w:p>
        </w:tc>
        <w:tc>
          <w:tcPr>
            <w:tcW w:w="581" w:type="dxa"/>
            <w:shd w:val="clear" w:color="auto" w:fill="auto"/>
            <w:vAlign w:val="center"/>
          </w:tcPr>
          <w:p w14:paraId="122354F4">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22</w:t>
            </w:r>
          </w:p>
        </w:tc>
        <w:tc>
          <w:tcPr>
            <w:tcW w:w="543" w:type="dxa"/>
            <w:shd w:val="clear" w:color="auto" w:fill="auto"/>
            <w:vAlign w:val="center"/>
          </w:tcPr>
          <w:p w14:paraId="4ABE51D8">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sz w:val="22"/>
                <w:szCs w:val="22"/>
                <w:lang w:val="en-US" w:eastAsia="zh-CN"/>
              </w:rPr>
              <w:t>48.3</w:t>
            </w:r>
          </w:p>
        </w:tc>
        <w:tc>
          <w:tcPr>
            <w:tcW w:w="641" w:type="dxa"/>
            <w:shd w:val="clear" w:color="auto" w:fill="auto"/>
            <w:vAlign w:val="center"/>
          </w:tcPr>
          <w:p w14:paraId="6E54C11F">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sz w:val="22"/>
                <w:szCs w:val="22"/>
                <w:lang w:val="en-US" w:eastAsia="zh-CN"/>
              </w:rPr>
              <w:t>55.1</w:t>
            </w:r>
          </w:p>
        </w:tc>
        <w:tc>
          <w:tcPr>
            <w:tcW w:w="513" w:type="dxa"/>
            <w:vMerge w:val="continue"/>
            <w:vAlign w:val="center"/>
          </w:tcPr>
          <w:p w14:paraId="1CF891A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682" w:type="dxa"/>
            <w:shd w:val="clear" w:color="auto" w:fill="auto"/>
            <w:vAlign w:val="center"/>
          </w:tcPr>
          <w:p w14:paraId="52939B43">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10</w:t>
            </w:r>
          </w:p>
        </w:tc>
        <w:tc>
          <w:tcPr>
            <w:tcW w:w="725" w:type="dxa"/>
            <w:gridSpan w:val="2"/>
            <w:shd w:val="clear" w:color="auto" w:fill="auto"/>
            <w:vAlign w:val="center"/>
          </w:tcPr>
          <w:p w14:paraId="25625089">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32.3</w:t>
            </w:r>
          </w:p>
        </w:tc>
        <w:tc>
          <w:tcPr>
            <w:tcW w:w="698" w:type="dxa"/>
            <w:shd w:val="clear" w:color="auto" w:fill="auto"/>
            <w:vAlign w:val="center"/>
          </w:tcPr>
          <w:p w14:paraId="28B2EAA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13</w:t>
            </w:r>
          </w:p>
        </w:tc>
        <w:tc>
          <w:tcPr>
            <w:tcW w:w="715" w:type="dxa"/>
            <w:shd w:val="clear" w:color="auto" w:fill="auto"/>
            <w:vAlign w:val="center"/>
          </w:tcPr>
          <w:p w14:paraId="284FBAA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39.1</w:t>
            </w:r>
          </w:p>
        </w:tc>
        <w:tc>
          <w:tcPr>
            <w:tcW w:w="717" w:type="dxa"/>
            <w:shd w:val="clear" w:color="auto" w:fill="auto"/>
            <w:vAlign w:val="center"/>
          </w:tcPr>
          <w:p w14:paraId="3CB07F81">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sz w:val="22"/>
                <w:szCs w:val="22"/>
                <w:lang w:val="en-US" w:eastAsia="zh-CN"/>
              </w:rPr>
              <w:t>16</w:t>
            </w:r>
          </w:p>
        </w:tc>
      </w:tr>
      <w:tr w14:paraId="6E30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1" w:type="dxa"/>
            <w:vMerge w:val="continue"/>
            <w:vAlign w:val="center"/>
          </w:tcPr>
          <w:p w14:paraId="553E08D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1637" w:type="dxa"/>
            <w:gridSpan w:val="2"/>
            <w:shd w:val="clear" w:color="auto" w:fill="auto"/>
            <w:vAlign w:val="center"/>
          </w:tcPr>
          <w:p w14:paraId="1561A6FB">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r>
              <w:rPr>
                <w:rFonts w:hint="default" w:ascii="Times New Roman" w:hAnsi="Times New Roman" w:cs="Times New Roman" w:eastAsiaTheme="minorEastAsia"/>
                <w:color w:val="auto"/>
                <w:sz w:val="22"/>
                <w:szCs w:val="22"/>
                <w:lang w:eastAsia="en-US"/>
              </w:rPr>
              <w:t>玻璃纤维膨化机</w:t>
            </w:r>
          </w:p>
        </w:tc>
        <w:tc>
          <w:tcPr>
            <w:tcW w:w="1979" w:type="dxa"/>
            <w:shd w:val="clear" w:color="auto" w:fill="auto"/>
            <w:vAlign w:val="center"/>
          </w:tcPr>
          <w:p w14:paraId="1EA8FFDB">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90</w:t>
            </w:r>
          </w:p>
        </w:tc>
        <w:tc>
          <w:tcPr>
            <w:tcW w:w="998" w:type="dxa"/>
            <w:vMerge w:val="continue"/>
            <w:vAlign w:val="center"/>
          </w:tcPr>
          <w:p w14:paraId="06561DC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531" w:type="dxa"/>
            <w:shd w:val="clear" w:color="auto" w:fill="auto"/>
            <w:vAlign w:val="center"/>
          </w:tcPr>
          <w:p w14:paraId="4A6329F4">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7</w:t>
            </w:r>
          </w:p>
        </w:tc>
        <w:tc>
          <w:tcPr>
            <w:tcW w:w="575" w:type="dxa"/>
            <w:shd w:val="clear" w:color="auto" w:fill="auto"/>
            <w:vAlign w:val="center"/>
          </w:tcPr>
          <w:p w14:paraId="4BB2C415">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5.3</w:t>
            </w:r>
          </w:p>
        </w:tc>
        <w:tc>
          <w:tcPr>
            <w:tcW w:w="711" w:type="dxa"/>
            <w:shd w:val="clear" w:color="auto" w:fill="auto"/>
            <w:vAlign w:val="center"/>
          </w:tcPr>
          <w:p w14:paraId="6307F64F">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kern w:val="2"/>
                <w:sz w:val="22"/>
                <w:szCs w:val="22"/>
                <w:lang w:val="en-US" w:eastAsia="zh-CN" w:bidi="ar-SA"/>
              </w:rPr>
              <w:t>0.4</w:t>
            </w:r>
          </w:p>
        </w:tc>
        <w:tc>
          <w:tcPr>
            <w:tcW w:w="577" w:type="dxa"/>
            <w:shd w:val="clear" w:color="auto" w:fill="auto"/>
            <w:vAlign w:val="center"/>
          </w:tcPr>
          <w:p w14:paraId="5CAEFF70">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30</w:t>
            </w:r>
          </w:p>
        </w:tc>
        <w:tc>
          <w:tcPr>
            <w:tcW w:w="581" w:type="dxa"/>
            <w:shd w:val="clear" w:color="auto" w:fill="auto"/>
            <w:vAlign w:val="center"/>
          </w:tcPr>
          <w:p w14:paraId="0D066DE8">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22</w:t>
            </w:r>
          </w:p>
        </w:tc>
        <w:tc>
          <w:tcPr>
            <w:tcW w:w="543" w:type="dxa"/>
            <w:shd w:val="clear" w:color="auto" w:fill="auto"/>
            <w:vAlign w:val="center"/>
          </w:tcPr>
          <w:p w14:paraId="4E02C0E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sz w:val="22"/>
                <w:szCs w:val="22"/>
                <w:lang w:val="en-US" w:eastAsia="zh-CN"/>
              </w:rPr>
              <w:t>60.5</w:t>
            </w:r>
          </w:p>
        </w:tc>
        <w:tc>
          <w:tcPr>
            <w:tcW w:w="641" w:type="dxa"/>
            <w:vAlign w:val="center"/>
          </w:tcPr>
          <w:p w14:paraId="6349E23B">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63.1</w:t>
            </w:r>
          </w:p>
        </w:tc>
        <w:tc>
          <w:tcPr>
            <w:tcW w:w="513" w:type="dxa"/>
            <w:vMerge w:val="continue"/>
            <w:vAlign w:val="center"/>
          </w:tcPr>
          <w:p w14:paraId="598BF854">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682" w:type="dxa"/>
            <w:shd w:val="clear" w:color="auto" w:fill="auto"/>
            <w:vAlign w:val="center"/>
          </w:tcPr>
          <w:p w14:paraId="6206A193">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10</w:t>
            </w:r>
          </w:p>
        </w:tc>
        <w:tc>
          <w:tcPr>
            <w:tcW w:w="725" w:type="dxa"/>
            <w:gridSpan w:val="2"/>
            <w:shd w:val="clear" w:color="auto" w:fill="auto"/>
            <w:vAlign w:val="center"/>
          </w:tcPr>
          <w:p w14:paraId="6CA97A46">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44.5</w:t>
            </w:r>
          </w:p>
        </w:tc>
        <w:tc>
          <w:tcPr>
            <w:tcW w:w="698" w:type="dxa"/>
            <w:shd w:val="clear" w:color="auto" w:fill="auto"/>
            <w:vAlign w:val="center"/>
          </w:tcPr>
          <w:p w14:paraId="72F91B03">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13</w:t>
            </w:r>
          </w:p>
        </w:tc>
        <w:tc>
          <w:tcPr>
            <w:tcW w:w="715" w:type="dxa"/>
            <w:shd w:val="clear" w:color="auto" w:fill="auto"/>
            <w:vAlign w:val="center"/>
          </w:tcPr>
          <w:p w14:paraId="592E323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47.1</w:t>
            </w:r>
          </w:p>
        </w:tc>
        <w:tc>
          <w:tcPr>
            <w:tcW w:w="717" w:type="dxa"/>
            <w:shd w:val="clear" w:color="auto" w:fill="auto"/>
            <w:vAlign w:val="center"/>
          </w:tcPr>
          <w:p w14:paraId="0C98AB65">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sz w:val="22"/>
                <w:szCs w:val="22"/>
                <w:lang w:val="en-US" w:eastAsia="zh-CN"/>
              </w:rPr>
              <w:t>16</w:t>
            </w:r>
          </w:p>
        </w:tc>
      </w:tr>
      <w:tr w14:paraId="78607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1" w:type="dxa"/>
            <w:vMerge w:val="continue"/>
            <w:vAlign w:val="center"/>
          </w:tcPr>
          <w:p w14:paraId="121D501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1637" w:type="dxa"/>
            <w:gridSpan w:val="2"/>
            <w:shd w:val="clear" w:color="auto" w:fill="auto"/>
            <w:vAlign w:val="center"/>
          </w:tcPr>
          <w:p w14:paraId="5F0EF68B">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r>
              <w:rPr>
                <w:rFonts w:hint="default" w:ascii="Times New Roman" w:hAnsi="Times New Roman" w:cs="Times New Roman" w:eastAsiaTheme="minorEastAsia"/>
                <w:color w:val="auto"/>
                <w:sz w:val="22"/>
                <w:szCs w:val="22"/>
                <w:lang w:eastAsia="en-US"/>
              </w:rPr>
              <w:t>玻璃纤维膨化机</w:t>
            </w:r>
          </w:p>
        </w:tc>
        <w:tc>
          <w:tcPr>
            <w:tcW w:w="1979" w:type="dxa"/>
            <w:shd w:val="clear" w:color="auto" w:fill="auto"/>
            <w:vAlign w:val="center"/>
          </w:tcPr>
          <w:p w14:paraId="26FED36D">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90</w:t>
            </w:r>
          </w:p>
        </w:tc>
        <w:tc>
          <w:tcPr>
            <w:tcW w:w="998" w:type="dxa"/>
            <w:vMerge w:val="continue"/>
            <w:vAlign w:val="center"/>
          </w:tcPr>
          <w:p w14:paraId="64FE0025">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531" w:type="dxa"/>
            <w:shd w:val="clear" w:color="auto" w:fill="auto"/>
            <w:vAlign w:val="center"/>
          </w:tcPr>
          <w:p w14:paraId="4DAD563F">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7</w:t>
            </w:r>
          </w:p>
        </w:tc>
        <w:tc>
          <w:tcPr>
            <w:tcW w:w="575" w:type="dxa"/>
            <w:shd w:val="clear" w:color="auto" w:fill="auto"/>
            <w:vAlign w:val="center"/>
          </w:tcPr>
          <w:p w14:paraId="70D8B128">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6.0</w:t>
            </w:r>
          </w:p>
        </w:tc>
        <w:tc>
          <w:tcPr>
            <w:tcW w:w="711" w:type="dxa"/>
            <w:shd w:val="clear" w:color="auto" w:fill="auto"/>
            <w:vAlign w:val="center"/>
          </w:tcPr>
          <w:p w14:paraId="18921F79">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sz w:val="22"/>
                <w:szCs w:val="22"/>
                <w:lang w:val="en-US" w:eastAsia="zh-CN"/>
              </w:rPr>
              <w:t>0.4</w:t>
            </w:r>
          </w:p>
        </w:tc>
        <w:tc>
          <w:tcPr>
            <w:tcW w:w="577" w:type="dxa"/>
            <w:shd w:val="clear" w:color="auto" w:fill="auto"/>
            <w:vAlign w:val="center"/>
          </w:tcPr>
          <w:p w14:paraId="162C6F6C">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30.7</w:t>
            </w:r>
          </w:p>
        </w:tc>
        <w:tc>
          <w:tcPr>
            <w:tcW w:w="581" w:type="dxa"/>
            <w:shd w:val="clear" w:color="auto" w:fill="auto"/>
            <w:vAlign w:val="center"/>
          </w:tcPr>
          <w:p w14:paraId="13DE2EDD">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22</w:t>
            </w:r>
          </w:p>
        </w:tc>
        <w:tc>
          <w:tcPr>
            <w:tcW w:w="543" w:type="dxa"/>
            <w:shd w:val="clear" w:color="auto" w:fill="auto"/>
            <w:vAlign w:val="center"/>
          </w:tcPr>
          <w:p w14:paraId="6FA87CE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sz w:val="22"/>
                <w:szCs w:val="22"/>
                <w:lang w:val="en-US" w:eastAsia="zh-CN"/>
              </w:rPr>
              <w:t>60.3</w:t>
            </w:r>
          </w:p>
        </w:tc>
        <w:tc>
          <w:tcPr>
            <w:tcW w:w="641" w:type="dxa"/>
            <w:vAlign w:val="center"/>
          </w:tcPr>
          <w:p w14:paraId="565D864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63.1</w:t>
            </w:r>
          </w:p>
        </w:tc>
        <w:tc>
          <w:tcPr>
            <w:tcW w:w="513" w:type="dxa"/>
            <w:vMerge w:val="continue"/>
            <w:vAlign w:val="center"/>
          </w:tcPr>
          <w:p w14:paraId="65A687C0">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682" w:type="dxa"/>
            <w:shd w:val="clear" w:color="auto" w:fill="auto"/>
            <w:vAlign w:val="center"/>
          </w:tcPr>
          <w:p w14:paraId="6BD4B1B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10</w:t>
            </w:r>
          </w:p>
        </w:tc>
        <w:tc>
          <w:tcPr>
            <w:tcW w:w="725" w:type="dxa"/>
            <w:gridSpan w:val="2"/>
            <w:shd w:val="clear" w:color="auto" w:fill="auto"/>
            <w:vAlign w:val="center"/>
          </w:tcPr>
          <w:p w14:paraId="02B038BC">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44.3</w:t>
            </w:r>
          </w:p>
        </w:tc>
        <w:tc>
          <w:tcPr>
            <w:tcW w:w="698" w:type="dxa"/>
            <w:shd w:val="clear" w:color="auto" w:fill="auto"/>
            <w:vAlign w:val="center"/>
          </w:tcPr>
          <w:p w14:paraId="249B9E7F">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13</w:t>
            </w:r>
          </w:p>
        </w:tc>
        <w:tc>
          <w:tcPr>
            <w:tcW w:w="715" w:type="dxa"/>
            <w:shd w:val="clear" w:color="auto" w:fill="auto"/>
            <w:vAlign w:val="center"/>
          </w:tcPr>
          <w:p w14:paraId="4CAE106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47.1</w:t>
            </w:r>
          </w:p>
        </w:tc>
        <w:tc>
          <w:tcPr>
            <w:tcW w:w="717" w:type="dxa"/>
            <w:shd w:val="clear" w:color="auto" w:fill="auto"/>
            <w:vAlign w:val="center"/>
          </w:tcPr>
          <w:p w14:paraId="7D358280">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sz w:val="22"/>
                <w:szCs w:val="22"/>
                <w:lang w:val="en-US" w:eastAsia="zh-CN"/>
              </w:rPr>
              <w:t>16</w:t>
            </w:r>
          </w:p>
        </w:tc>
      </w:tr>
      <w:tr w14:paraId="2B771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1" w:type="dxa"/>
            <w:vMerge w:val="continue"/>
            <w:vAlign w:val="center"/>
          </w:tcPr>
          <w:p w14:paraId="71793F84">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1637" w:type="dxa"/>
            <w:gridSpan w:val="2"/>
            <w:shd w:val="clear" w:color="auto" w:fill="auto"/>
            <w:vAlign w:val="center"/>
          </w:tcPr>
          <w:p w14:paraId="45A7B4E4">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default" w:ascii="Times New Roman" w:hAnsi="Times New Roman" w:cs="Times New Roman" w:eastAsiaTheme="minorEastAsia"/>
                <w:color w:val="auto"/>
                <w:sz w:val="22"/>
                <w:szCs w:val="22"/>
                <w:lang w:eastAsia="en-US"/>
              </w:rPr>
              <w:t>玻璃纤维膨化机</w:t>
            </w:r>
          </w:p>
        </w:tc>
        <w:tc>
          <w:tcPr>
            <w:tcW w:w="1979" w:type="dxa"/>
            <w:shd w:val="clear" w:color="auto" w:fill="auto"/>
            <w:vAlign w:val="center"/>
          </w:tcPr>
          <w:p w14:paraId="6FA5828F">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sz w:val="22"/>
                <w:szCs w:val="22"/>
                <w:lang w:val="en-US" w:eastAsia="zh-CN"/>
              </w:rPr>
              <w:t>90</w:t>
            </w:r>
          </w:p>
        </w:tc>
        <w:tc>
          <w:tcPr>
            <w:tcW w:w="998" w:type="dxa"/>
            <w:vMerge w:val="continue"/>
            <w:vAlign w:val="center"/>
          </w:tcPr>
          <w:p w14:paraId="1752722D">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531" w:type="dxa"/>
            <w:shd w:val="clear" w:color="auto" w:fill="auto"/>
            <w:vAlign w:val="center"/>
          </w:tcPr>
          <w:p w14:paraId="7F41117C">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7</w:t>
            </w:r>
          </w:p>
        </w:tc>
        <w:tc>
          <w:tcPr>
            <w:tcW w:w="575" w:type="dxa"/>
            <w:shd w:val="clear" w:color="auto" w:fill="auto"/>
            <w:vAlign w:val="center"/>
          </w:tcPr>
          <w:p w14:paraId="4E71C906">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6.8</w:t>
            </w:r>
          </w:p>
        </w:tc>
        <w:tc>
          <w:tcPr>
            <w:tcW w:w="711" w:type="dxa"/>
            <w:shd w:val="clear" w:color="auto" w:fill="auto"/>
            <w:vAlign w:val="center"/>
          </w:tcPr>
          <w:p w14:paraId="5635597C">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0.4</w:t>
            </w:r>
          </w:p>
        </w:tc>
        <w:tc>
          <w:tcPr>
            <w:tcW w:w="577" w:type="dxa"/>
            <w:shd w:val="clear" w:color="auto" w:fill="auto"/>
            <w:vAlign w:val="center"/>
          </w:tcPr>
          <w:p w14:paraId="5F146AB3">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31.5</w:t>
            </w:r>
          </w:p>
        </w:tc>
        <w:tc>
          <w:tcPr>
            <w:tcW w:w="581" w:type="dxa"/>
            <w:shd w:val="clear" w:color="auto" w:fill="auto"/>
            <w:vAlign w:val="center"/>
          </w:tcPr>
          <w:p w14:paraId="7410B05C">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22</w:t>
            </w:r>
          </w:p>
        </w:tc>
        <w:tc>
          <w:tcPr>
            <w:tcW w:w="543" w:type="dxa"/>
            <w:shd w:val="clear" w:color="auto" w:fill="auto"/>
            <w:vAlign w:val="center"/>
          </w:tcPr>
          <w:p w14:paraId="0FF27534">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sz w:val="22"/>
                <w:szCs w:val="22"/>
                <w:lang w:val="en-US" w:eastAsia="zh-CN"/>
              </w:rPr>
              <w:t>60.0</w:t>
            </w:r>
          </w:p>
        </w:tc>
        <w:tc>
          <w:tcPr>
            <w:tcW w:w="641" w:type="dxa"/>
            <w:vAlign w:val="center"/>
          </w:tcPr>
          <w:p w14:paraId="12786B20">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63.1</w:t>
            </w:r>
          </w:p>
        </w:tc>
        <w:tc>
          <w:tcPr>
            <w:tcW w:w="513" w:type="dxa"/>
            <w:vMerge w:val="continue"/>
            <w:vAlign w:val="center"/>
          </w:tcPr>
          <w:p w14:paraId="1879775B">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682" w:type="dxa"/>
            <w:shd w:val="clear" w:color="auto" w:fill="auto"/>
            <w:vAlign w:val="center"/>
          </w:tcPr>
          <w:p w14:paraId="2924FA34">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10</w:t>
            </w:r>
          </w:p>
        </w:tc>
        <w:tc>
          <w:tcPr>
            <w:tcW w:w="725" w:type="dxa"/>
            <w:gridSpan w:val="2"/>
            <w:shd w:val="clear" w:color="auto" w:fill="auto"/>
            <w:vAlign w:val="center"/>
          </w:tcPr>
          <w:p w14:paraId="5D4A72A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44.0</w:t>
            </w:r>
          </w:p>
        </w:tc>
        <w:tc>
          <w:tcPr>
            <w:tcW w:w="698" w:type="dxa"/>
            <w:shd w:val="clear" w:color="auto" w:fill="auto"/>
            <w:vAlign w:val="center"/>
          </w:tcPr>
          <w:p w14:paraId="3E7F7BE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13</w:t>
            </w:r>
          </w:p>
        </w:tc>
        <w:tc>
          <w:tcPr>
            <w:tcW w:w="715" w:type="dxa"/>
            <w:shd w:val="clear" w:color="auto" w:fill="auto"/>
            <w:vAlign w:val="center"/>
          </w:tcPr>
          <w:p w14:paraId="2D2D8803">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47.1</w:t>
            </w:r>
          </w:p>
        </w:tc>
        <w:tc>
          <w:tcPr>
            <w:tcW w:w="717" w:type="dxa"/>
            <w:shd w:val="clear" w:color="auto" w:fill="auto"/>
            <w:vAlign w:val="center"/>
          </w:tcPr>
          <w:p w14:paraId="579635CB">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sz w:val="22"/>
                <w:szCs w:val="22"/>
                <w:lang w:val="en-US" w:eastAsia="zh-CN"/>
              </w:rPr>
              <w:t>16</w:t>
            </w:r>
          </w:p>
        </w:tc>
      </w:tr>
      <w:tr w14:paraId="2B006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1" w:type="dxa"/>
            <w:vMerge w:val="continue"/>
            <w:vAlign w:val="center"/>
          </w:tcPr>
          <w:p w14:paraId="38A35AA0">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1637" w:type="dxa"/>
            <w:gridSpan w:val="2"/>
            <w:shd w:val="clear" w:color="auto" w:fill="auto"/>
            <w:vAlign w:val="center"/>
          </w:tcPr>
          <w:p w14:paraId="3898289D">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default" w:ascii="Times New Roman" w:hAnsi="Times New Roman" w:cs="Times New Roman" w:eastAsiaTheme="minorEastAsia"/>
                <w:color w:val="auto"/>
                <w:sz w:val="22"/>
                <w:szCs w:val="22"/>
                <w:lang w:eastAsia="en-US"/>
              </w:rPr>
              <w:t>玻璃纤维膨化机</w:t>
            </w:r>
          </w:p>
        </w:tc>
        <w:tc>
          <w:tcPr>
            <w:tcW w:w="1979" w:type="dxa"/>
            <w:shd w:val="clear" w:color="auto" w:fill="auto"/>
            <w:vAlign w:val="center"/>
          </w:tcPr>
          <w:p w14:paraId="4F4DF8D8">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sz w:val="22"/>
                <w:szCs w:val="22"/>
                <w:lang w:val="en-US" w:eastAsia="zh-CN"/>
              </w:rPr>
              <w:t>90</w:t>
            </w:r>
          </w:p>
        </w:tc>
        <w:tc>
          <w:tcPr>
            <w:tcW w:w="998" w:type="dxa"/>
            <w:vMerge w:val="continue"/>
            <w:vAlign w:val="center"/>
          </w:tcPr>
          <w:p w14:paraId="0870D606">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531" w:type="dxa"/>
            <w:shd w:val="clear" w:color="auto" w:fill="auto"/>
            <w:vAlign w:val="center"/>
          </w:tcPr>
          <w:p w14:paraId="0DC3EB24">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7</w:t>
            </w:r>
          </w:p>
        </w:tc>
        <w:tc>
          <w:tcPr>
            <w:tcW w:w="575" w:type="dxa"/>
            <w:shd w:val="clear" w:color="auto" w:fill="auto"/>
            <w:vAlign w:val="center"/>
          </w:tcPr>
          <w:p w14:paraId="3CB5DA41">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7.5</w:t>
            </w:r>
          </w:p>
        </w:tc>
        <w:tc>
          <w:tcPr>
            <w:tcW w:w="711" w:type="dxa"/>
            <w:shd w:val="clear" w:color="auto" w:fill="auto"/>
            <w:vAlign w:val="center"/>
          </w:tcPr>
          <w:p w14:paraId="48A44965">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kern w:val="2"/>
                <w:sz w:val="22"/>
                <w:szCs w:val="22"/>
                <w:lang w:val="en-US" w:eastAsia="zh-CN" w:bidi="ar-SA"/>
              </w:rPr>
              <w:t>0.4</w:t>
            </w:r>
          </w:p>
        </w:tc>
        <w:tc>
          <w:tcPr>
            <w:tcW w:w="577" w:type="dxa"/>
            <w:shd w:val="clear" w:color="auto" w:fill="auto"/>
            <w:vAlign w:val="center"/>
          </w:tcPr>
          <w:p w14:paraId="566B0FA1">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32.2</w:t>
            </w:r>
          </w:p>
        </w:tc>
        <w:tc>
          <w:tcPr>
            <w:tcW w:w="581" w:type="dxa"/>
            <w:shd w:val="clear" w:color="auto" w:fill="auto"/>
            <w:vAlign w:val="center"/>
          </w:tcPr>
          <w:p w14:paraId="7DA5D6B9">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22</w:t>
            </w:r>
          </w:p>
        </w:tc>
        <w:tc>
          <w:tcPr>
            <w:tcW w:w="543" w:type="dxa"/>
            <w:shd w:val="clear" w:color="auto" w:fill="auto"/>
            <w:vAlign w:val="center"/>
          </w:tcPr>
          <w:p w14:paraId="4143C426">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sz w:val="22"/>
                <w:szCs w:val="22"/>
                <w:lang w:val="en-US" w:eastAsia="zh-CN"/>
              </w:rPr>
              <w:t>59.8</w:t>
            </w:r>
          </w:p>
        </w:tc>
        <w:tc>
          <w:tcPr>
            <w:tcW w:w="641" w:type="dxa"/>
            <w:vAlign w:val="center"/>
          </w:tcPr>
          <w:p w14:paraId="4116B0B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63.1</w:t>
            </w:r>
          </w:p>
        </w:tc>
        <w:tc>
          <w:tcPr>
            <w:tcW w:w="513" w:type="dxa"/>
            <w:vMerge w:val="continue"/>
            <w:vAlign w:val="center"/>
          </w:tcPr>
          <w:p w14:paraId="0E8883E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682" w:type="dxa"/>
            <w:shd w:val="clear" w:color="auto" w:fill="auto"/>
            <w:vAlign w:val="center"/>
          </w:tcPr>
          <w:p w14:paraId="39EBE178">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10</w:t>
            </w:r>
          </w:p>
        </w:tc>
        <w:tc>
          <w:tcPr>
            <w:tcW w:w="725" w:type="dxa"/>
            <w:gridSpan w:val="2"/>
            <w:shd w:val="clear" w:color="auto" w:fill="auto"/>
            <w:vAlign w:val="center"/>
          </w:tcPr>
          <w:p w14:paraId="19E43D4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43.8</w:t>
            </w:r>
          </w:p>
        </w:tc>
        <w:tc>
          <w:tcPr>
            <w:tcW w:w="698" w:type="dxa"/>
            <w:shd w:val="clear" w:color="auto" w:fill="auto"/>
            <w:vAlign w:val="center"/>
          </w:tcPr>
          <w:p w14:paraId="20CDD028">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13</w:t>
            </w:r>
          </w:p>
        </w:tc>
        <w:tc>
          <w:tcPr>
            <w:tcW w:w="715" w:type="dxa"/>
            <w:shd w:val="clear" w:color="auto" w:fill="auto"/>
            <w:vAlign w:val="center"/>
          </w:tcPr>
          <w:p w14:paraId="2C1D0FC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47.1</w:t>
            </w:r>
          </w:p>
        </w:tc>
        <w:tc>
          <w:tcPr>
            <w:tcW w:w="717" w:type="dxa"/>
            <w:shd w:val="clear" w:color="auto" w:fill="auto"/>
            <w:vAlign w:val="center"/>
          </w:tcPr>
          <w:p w14:paraId="1C200E4B">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sz w:val="22"/>
                <w:szCs w:val="22"/>
                <w:lang w:val="en-US" w:eastAsia="zh-CN"/>
              </w:rPr>
              <w:t>16</w:t>
            </w:r>
          </w:p>
        </w:tc>
      </w:tr>
      <w:tr w14:paraId="074B4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1" w:type="dxa"/>
            <w:vMerge w:val="continue"/>
            <w:vAlign w:val="center"/>
          </w:tcPr>
          <w:p w14:paraId="670C6088">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1637" w:type="dxa"/>
            <w:gridSpan w:val="2"/>
            <w:shd w:val="clear" w:color="auto" w:fill="auto"/>
            <w:vAlign w:val="center"/>
          </w:tcPr>
          <w:p w14:paraId="37A270B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default" w:ascii="Times New Roman" w:hAnsi="Times New Roman" w:cs="Times New Roman" w:eastAsiaTheme="minorEastAsia"/>
                <w:color w:val="auto"/>
                <w:sz w:val="22"/>
                <w:szCs w:val="22"/>
                <w:lang w:eastAsia="en-US"/>
              </w:rPr>
              <w:t>玻璃纤维膨化机</w:t>
            </w:r>
          </w:p>
        </w:tc>
        <w:tc>
          <w:tcPr>
            <w:tcW w:w="1979" w:type="dxa"/>
            <w:shd w:val="clear" w:color="auto" w:fill="auto"/>
            <w:vAlign w:val="center"/>
          </w:tcPr>
          <w:p w14:paraId="2AE9947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sz w:val="22"/>
                <w:szCs w:val="22"/>
                <w:lang w:val="en-US" w:eastAsia="zh-CN"/>
              </w:rPr>
              <w:t>90</w:t>
            </w:r>
          </w:p>
        </w:tc>
        <w:tc>
          <w:tcPr>
            <w:tcW w:w="998" w:type="dxa"/>
            <w:vMerge w:val="continue"/>
            <w:vAlign w:val="center"/>
          </w:tcPr>
          <w:p w14:paraId="7E94CE53">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531" w:type="dxa"/>
            <w:shd w:val="clear" w:color="auto" w:fill="auto"/>
            <w:vAlign w:val="center"/>
          </w:tcPr>
          <w:p w14:paraId="1C1D5655">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7</w:t>
            </w:r>
          </w:p>
        </w:tc>
        <w:tc>
          <w:tcPr>
            <w:tcW w:w="575" w:type="dxa"/>
            <w:shd w:val="clear" w:color="auto" w:fill="auto"/>
            <w:vAlign w:val="center"/>
          </w:tcPr>
          <w:p w14:paraId="0143CCF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8.3</w:t>
            </w:r>
          </w:p>
        </w:tc>
        <w:tc>
          <w:tcPr>
            <w:tcW w:w="711" w:type="dxa"/>
            <w:shd w:val="clear" w:color="auto" w:fill="auto"/>
            <w:vAlign w:val="center"/>
          </w:tcPr>
          <w:p w14:paraId="4945897C">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0.4</w:t>
            </w:r>
          </w:p>
        </w:tc>
        <w:tc>
          <w:tcPr>
            <w:tcW w:w="577" w:type="dxa"/>
            <w:shd w:val="clear" w:color="auto" w:fill="auto"/>
            <w:vAlign w:val="center"/>
          </w:tcPr>
          <w:p w14:paraId="308C084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33</w:t>
            </w:r>
          </w:p>
        </w:tc>
        <w:tc>
          <w:tcPr>
            <w:tcW w:w="581" w:type="dxa"/>
            <w:shd w:val="clear" w:color="auto" w:fill="auto"/>
            <w:vAlign w:val="center"/>
          </w:tcPr>
          <w:p w14:paraId="47254DA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22</w:t>
            </w:r>
          </w:p>
        </w:tc>
        <w:tc>
          <w:tcPr>
            <w:tcW w:w="543" w:type="dxa"/>
            <w:shd w:val="clear" w:color="auto" w:fill="auto"/>
            <w:vAlign w:val="center"/>
          </w:tcPr>
          <w:p w14:paraId="45D52016">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sz w:val="22"/>
                <w:szCs w:val="22"/>
                <w:lang w:val="en-US" w:eastAsia="zh-CN"/>
              </w:rPr>
              <w:t>59.6</w:t>
            </w:r>
          </w:p>
        </w:tc>
        <w:tc>
          <w:tcPr>
            <w:tcW w:w="641" w:type="dxa"/>
            <w:vAlign w:val="center"/>
          </w:tcPr>
          <w:p w14:paraId="180B1014">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63.1</w:t>
            </w:r>
          </w:p>
        </w:tc>
        <w:tc>
          <w:tcPr>
            <w:tcW w:w="513" w:type="dxa"/>
            <w:vMerge w:val="continue"/>
            <w:vAlign w:val="center"/>
          </w:tcPr>
          <w:p w14:paraId="1CD97FA9">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682" w:type="dxa"/>
            <w:shd w:val="clear" w:color="auto" w:fill="auto"/>
            <w:vAlign w:val="center"/>
          </w:tcPr>
          <w:p w14:paraId="1A910546">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10</w:t>
            </w:r>
          </w:p>
        </w:tc>
        <w:tc>
          <w:tcPr>
            <w:tcW w:w="725" w:type="dxa"/>
            <w:gridSpan w:val="2"/>
            <w:shd w:val="clear" w:color="auto" w:fill="auto"/>
            <w:vAlign w:val="center"/>
          </w:tcPr>
          <w:p w14:paraId="67987D96">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43.6</w:t>
            </w:r>
          </w:p>
        </w:tc>
        <w:tc>
          <w:tcPr>
            <w:tcW w:w="698" w:type="dxa"/>
            <w:shd w:val="clear" w:color="auto" w:fill="auto"/>
            <w:vAlign w:val="center"/>
          </w:tcPr>
          <w:p w14:paraId="773F976C">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13</w:t>
            </w:r>
          </w:p>
        </w:tc>
        <w:tc>
          <w:tcPr>
            <w:tcW w:w="715" w:type="dxa"/>
            <w:shd w:val="clear" w:color="auto" w:fill="auto"/>
            <w:vAlign w:val="center"/>
          </w:tcPr>
          <w:p w14:paraId="68AF0166">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47.1</w:t>
            </w:r>
          </w:p>
        </w:tc>
        <w:tc>
          <w:tcPr>
            <w:tcW w:w="717" w:type="dxa"/>
            <w:shd w:val="clear" w:color="auto" w:fill="auto"/>
            <w:vAlign w:val="center"/>
          </w:tcPr>
          <w:p w14:paraId="4A31223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sz w:val="22"/>
                <w:szCs w:val="22"/>
                <w:lang w:val="en-US" w:eastAsia="zh-CN"/>
              </w:rPr>
              <w:t>16</w:t>
            </w:r>
          </w:p>
        </w:tc>
      </w:tr>
      <w:tr w14:paraId="27058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1" w:type="dxa"/>
            <w:vMerge w:val="continue"/>
            <w:vAlign w:val="center"/>
          </w:tcPr>
          <w:p w14:paraId="52DEEF87">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1637" w:type="dxa"/>
            <w:gridSpan w:val="2"/>
            <w:shd w:val="clear" w:color="auto" w:fill="auto"/>
            <w:vAlign w:val="center"/>
          </w:tcPr>
          <w:p w14:paraId="4BEA7EE7">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default" w:ascii="Times New Roman" w:hAnsi="Times New Roman" w:cs="Times New Roman" w:eastAsiaTheme="minorEastAsia"/>
                <w:color w:val="auto"/>
                <w:sz w:val="22"/>
                <w:szCs w:val="22"/>
                <w:lang w:eastAsia="en-US"/>
              </w:rPr>
              <w:t>玻璃纤维膨化机</w:t>
            </w:r>
          </w:p>
        </w:tc>
        <w:tc>
          <w:tcPr>
            <w:tcW w:w="1979" w:type="dxa"/>
            <w:shd w:val="clear" w:color="auto" w:fill="auto"/>
            <w:vAlign w:val="center"/>
          </w:tcPr>
          <w:p w14:paraId="5489AF7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sz w:val="22"/>
                <w:szCs w:val="22"/>
                <w:lang w:val="en-US" w:eastAsia="zh-CN"/>
              </w:rPr>
              <w:t>90</w:t>
            </w:r>
          </w:p>
        </w:tc>
        <w:tc>
          <w:tcPr>
            <w:tcW w:w="998" w:type="dxa"/>
            <w:vMerge w:val="continue"/>
            <w:vAlign w:val="center"/>
          </w:tcPr>
          <w:p w14:paraId="713C03F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531" w:type="dxa"/>
            <w:shd w:val="clear" w:color="auto" w:fill="auto"/>
            <w:vAlign w:val="center"/>
          </w:tcPr>
          <w:p w14:paraId="24932EF6">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7</w:t>
            </w:r>
          </w:p>
        </w:tc>
        <w:tc>
          <w:tcPr>
            <w:tcW w:w="575" w:type="dxa"/>
            <w:shd w:val="clear" w:color="auto" w:fill="auto"/>
            <w:vAlign w:val="center"/>
          </w:tcPr>
          <w:p w14:paraId="435693AB">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9.6</w:t>
            </w:r>
          </w:p>
        </w:tc>
        <w:tc>
          <w:tcPr>
            <w:tcW w:w="711" w:type="dxa"/>
            <w:shd w:val="clear" w:color="auto" w:fill="auto"/>
            <w:vAlign w:val="center"/>
          </w:tcPr>
          <w:p w14:paraId="4BE6D710">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0.4</w:t>
            </w:r>
          </w:p>
        </w:tc>
        <w:tc>
          <w:tcPr>
            <w:tcW w:w="577" w:type="dxa"/>
            <w:shd w:val="clear" w:color="auto" w:fill="auto"/>
            <w:vAlign w:val="center"/>
          </w:tcPr>
          <w:p w14:paraId="75EF4381">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34</w:t>
            </w:r>
          </w:p>
        </w:tc>
        <w:tc>
          <w:tcPr>
            <w:tcW w:w="581" w:type="dxa"/>
            <w:shd w:val="clear" w:color="auto" w:fill="auto"/>
            <w:vAlign w:val="center"/>
          </w:tcPr>
          <w:p w14:paraId="238090DB">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22</w:t>
            </w:r>
          </w:p>
        </w:tc>
        <w:tc>
          <w:tcPr>
            <w:tcW w:w="543" w:type="dxa"/>
            <w:shd w:val="clear" w:color="auto" w:fill="auto"/>
            <w:vAlign w:val="center"/>
          </w:tcPr>
          <w:p w14:paraId="63967048">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sz w:val="22"/>
                <w:szCs w:val="22"/>
                <w:lang w:val="en-US" w:eastAsia="zh-CN"/>
              </w:rPr>
              <w:t>59.4</w:t>
            </w:r>
          </w:p>
        </w:tc>
        <w:tc>
          <w:tcPr>
            <w:tcW w:w="641" w:type="dxa"/>
            <w:vAlign w:val="center"/>
          </w:tcPr>
          <w:p w14:paraId="73619F94">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63.1</w:t>
            </w:r>
          </w:p>
        </w:tc>
        <w:tc>
          <w:tcPr>
            <w:tcW w:w="513" w:type="dxa"/>
            <w:vMerge w:val="continue"/>
            <w:vAlign w:val="center"/>
          </w:tcPr>
          <w:p w14:paraId="0BE22E6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682" w:type="dxa"/>
            <w:shd w:val="clear" w:color="auto" w:fill="auto"/>
            <w:vAlign w:val="center"/>
          </w:tcPr>
          <w:p w14:paraId="76CA425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10</w:t>
            </w:r>
          </w:p>
        </w:tc>
        <w:tc>
          <w:tcPr>
            <w:tcW w:w="725" w:type="dxa"/>
            <w:gridSpan w:val="2"/>
            <w:shd w:val="clear" w:color="auto" w:fill="auto"/>
            <w:vAlign w:val="center"/>
          </w:tcPr>
          <w:p w14:paraId="24C4D75D">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43.4</w:t>
            </w:r>
          </w:p>
        </w:tc>
        <w:tc>
          <w:tcPr>
            <w:tcW w:w="698" w:type="dxa"/>
            <w:shd w:val="clear" w:color="auto" w:fill="auto"/>
            <w:vAlign w:val="center"/>
          </w:tcPr>
          <w:p w14:paraId="6A9D7F33">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13</w:t>
            </w:r>
          </w:p>
        </w:tc>
        <w:tc>
          <w:tcPr>
            <w:tcW w:w="715" w:type="dxa"/>
            <w:shd w:val="clear" w:color="auto" w:fill="auto"/>
            <w:vAlign w:val="center"/>
          </w:tcPr>
          <w:p w14:paraId="46A84CD1">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47.1</w:t>
            </w:r>
          </w:p>
        </w:tc>
        <w:tc>
          <w:tcPr>
            <w:tcW w:w="717" w:type="dxa"/>
            <w:shd w:val="clear" w:color="auto" w:fill="auto"/>
            <w:vAlign w:val="center"/>
          </w:tcPr>
          <w:p w14:paraId="636D0F86">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sz w:val="22"/>
                <w:szCs w:val="22"/>
                <w:lang w:val="en-US" w:eastAsia="zh-CN"/>
              </w:rPr>
              <w:t>16</w:t>
            </w:r>
          </w:p>
        </w:tc>
      </w:tr>
      <w:tr w14:paraId="3B839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1" w:type="dxa"/>
            <w:vMerge w:val="continue"/>
            <w:vAlign w:val="center"/>
          </w:tcPr>
          <w:p w14:paraId="6B566B68">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1637" w:type="dxa"/>
            <w:gridSpan w:val="2"/>
            <w:shd w:val="clear" w:color="auto" w:fill="auto"/>
            <w:vAlign w:val="center"/>
          </w:tcPr>
          <w:p w14:paraId="064A8C8C">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r>
              <w:rPr>
                <w:rFonts w:hint="default" w:ascii="Times New Roman" w:hAnsi="Times New Roman" w:cs="Times New Roman" w:eastAsiaTheme="minorEastAsia"/>
                <w:color w:val="auto"/>
                <w:sz w:val="22"/>
                <w:szCs w:val="22"/>
                <w:lang w:eastAsia="en-US"/>
              </w:rPr>
              <w:t>织网机</w:t>
            </w:r>
          </w:p>
        </w:tc>
        <w:tc>
          <w:tcPr>
            <w:tcW w:w="1979" w:type="dxa"/>
            <w:shd w:val="clear" w:color="auto" w:fill="auto"/>
            <w:vAlign w:val="center"/>
          </w:tcPr>
          <w:p w14:paraId="25DA96B0">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85</w:t>
            </w:r>
          </w:p>
        </w:tc>
        <w:tc>
          <w:tcPr>
            <w:tcW w:w="998" w:type="dxa"/>
            <w:vMerge w:val="continue"/>
            <w:vAlign w:val="center"/>
          </w:tcPr>
          <w:p w14:paraId="53E48334">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531" w:type="dxa"/>
            <w:vAlign w:val="center"/>
          </w:tcPr>
          <w:p w14:paraId="7233BD8B">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7</w:t>
            </w:r>
          </w:p>
        </w:tc>
        <w:tc>
          <w:tcPr>
            <w:tcW w:w="575" w:type="dxa"/>
            <w:vAlign w:val="center"/>
          </w:tcPr>
          <w:p w14:paraId="2E126257">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15</w:t>
            </w:r>
          </w:p>
        </w:tc>
        <w:tc>
          <w:tcPr>
            <w:tcW w:w="711" w:type="dxa"/>
            <w:vAlign w:val="center"/>
          </w:tcPr>
          <w:p w14:paraId="265F4995">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0.8</w:t>
            </w:r>
          </w:p>
        </w:tc>
        <w:tc>
          <w:tcPr>
            <w:tcW w:w="577" w:type="dxa"/>
            <w:shd w:val="clear" w:color="auto" w:fill="auto"/>
            <w:vAlign w:val="center"/>
          </w:tcPr>
          <w:p w14:paraId="5FFE4CE5">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40</w:t>
            </w:r>
          </w:p>
        </w:tc>
        <w:tc>
          <w:tcPr>
            <w:tcW w:w="581" w:type="dxa"/>
            <w:shd w:val="clear" w:color="auto" w:fill="auto"/>
            <w:vAlign w:val="center"/>
          </w:tcPr>
          <w:p w14:paraId="41842624">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22</w:t>
            </w:r>
          </w:p>
        </w:tc>
        <w:tc>
          <w:tcPr>
            <w:tcW w:w="543" w:type="dxa"/>
            <w:vAlign w:val="center"/>
          </w:tcPr>
          <w:p w14:paraId="2033FDF5">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52.9</w:t>
            </w:r>
          </w:p>
        </w:tc>
        <w:tc>
          <w:tcPr>
            <w:tcW w:w="641" w:type="dxa"/>
            <w:vAlign w:val="center"/>
          </w:tcPr>
          <w:p w14:paraId="732ABFB3">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58.2</w:t>
            </w:r>
          </w:p>
        </w:tc>
        <w:tc>
          <w:tcPr>
            <w:tcW w:w="513" w:type="dxa"/>
            <w:vMerge w:val="continue"/>
            <w:vAlign w:val="center"/>
          </w:tcPr>
          <w:p w14:paraId="50585904">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682" w:type="dxa"/>
            <w:shd w:val="clear" w:color="auto" w:fill="auto"/>
            <w:vAlign w:val="center"/>
          </w:tcPr>
          <w:p w14:paraId="2213F550">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10</w:t>
            </w:r>
          </w:p>
        </w:tc>
        <w:tc>
          <w:tcPr>
            <w:tcW w:w="725" w:type="dxa"/>
            <w:gridSpan w:val="2"/>
            <w:shd w:val="clear" w:color="auto" w:fill="auto"/>
            <w:vAlign w:val="center"/>
          </w:tcPr>
          <w:p w14:paraId="46A03A8C">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36.9</w:t>
            </w:r>
          </w:p>
        </w:tc>
        <w:tc>
          <w:tcPr>
            <w:tcW w:w="698" w:type="dxa"/>
            <w:shd w:val="clear" w:color="auto" w:fill="auto"/>
            <w:vAlign w:val="center"/>
          </w:tcPr>
          <w:p w14:paraId="234EA4A8">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13</w:t>
            </w:r>
          </w:p>
        </w:tc>
        <w:tc>
          <w:tcPr>
            <w:tcW w:w="715" w:type="dxa"/>
            <w:shd w:val="clear" w:color="auto" w:fill="auto"/>
            <w:vAlign w:val="center"/>
          </w:tcPr>
          <w:p w14:paraId="6E87D481">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42.2</w:t>
            </w:r>
          </w:p>
        </w:tc>
        <w:tc>
          <w:tcPr>
            <w:tcW w:w="717" w:type="dxa"/>
            <w:shd w:val="clear" w:color="auto" w:fill="auto"/>
            <w:vAlign w:val="center"/>
          </w:tcPr>
          <w:p w14:paraId="6B61251C">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sz w:val="22"/>
                <w:szCs w:val="22"/>
                <w:lang w:val="en-US" w:eastAsia="zh-CN"/>
              </w:rPr>
              <w:t>16</w:t>
            </w:r>
          </w:p>
        </w:tc>
      </w:tr>
      <w:tr w14:paraId="2DC79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1" w:type="dxa"/>
            <w:vMerge w:val="continue"/>
            <w:vAlign w:val="center"/>
          </w:tcPr>
          <w:p w14:paraId="3C5A8D3B">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1637" w:type="dxa"/>
            <w:gridSpan w:val="2"/>
            <w:shd w:val="clear" w:color="auto" w:fill="auto"/>
            <w:vAlign w:val="center"/>
          </w:tcPr>
          <w:p w14:paraId="0F278770">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r>
              <w:rPr>
                <w:rFonts w:hint="default" w:ascii="Times New Roman" w:hAnsi="Times New Roman" w:cs="Times New Roman" w:eastAsiaTheme="minorEastAsia"/>
                <w:color w:val="auto"/>
                <w:sz w:val="22"/>
                <w:szCs w:val="22"/>
                <w:lang w:eastAsia="en-US"/>
              </w:rPr>
              <w:t>织网机</w:t>
            </w:r>
          </w:p>
        </w:tc>
        <w:tc>
          <w:tcPr>
            <w:tcW w:w="1979" w:type="dxa"/>
            <w:shd w:val="clear" w:color="auto" w:fill="auto"/>
            <w:vAlign w:val="center"/>
          </w:tcPr>
          <w:p w14:paraId="3A2F2BB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85</w:t>
            </w:r>
          </w:p>
        </w:tc>
        <w:tc>
          <w:tcPr>
            <w:tcW w:w="998" w:type="dxa"/>
            <w:vMerge w:val="continue"/>
            <w:vAlign w:val="center"/>
          </w:tcPr>
          <w:p w14:paraId="3DC50AF8">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531" w:type="dxa"/>
            <w:vAlign w:val="center"/>
          </w:tcPr>
          <w:p w14:paraId="70923EB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7</w:t>
            </w:r>
          </w:p>
        </w:tc>
        <w:tc>
          <w:tcPr>
            <w:tcW w:w="575" w:type="dxa"/>
            <w:vAlign w:val="center"/>
          </w:tcPr>
          <w:p w14:paraId="3CC1E6AB">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17</w:t>
            </w:r>
          </w:p>
        </w:tc>
        <w:tc>
          <w:tcPr>
            <w:tcW w:w="711" w:type="dxa"/>
            <w:vAlign w:val="center"/>
          </w:tcPr>
          <w:p w14:paraId="7B9F61D7">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0.8</w:t>
            </w:r>
          </w:p>
        </w:tc>
        <w:tc>
          <w:tcPr>
            <w:tcW w:w="577" w:type="dxa"/>
            <w:shd w:val="clear" w:color="auto" w:fill="auto"/>
            <w:vAlign w:val="center"/>
          </w:tcPr>
          <w:p w14:paraId="17F6B194">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42</w:t>
            </w:r>
          </w:p>
        </w:tc>
        <w:tc>
          <w:tcPr>
            <w:tcW w:w="581" w:type="dxa"/>
            <w:shd w:val="clear" w:color="auto" w:fill="auto"/>
            <w:vAlign w:val="center"/>
          </w:tcPr>
          <w:p w14:paraId="0CD3B68D">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22</w:t>
            </w:r>
          </w:p>
        </w:tc>
        <w:tc>
          <w:tcPr>
            <w:tcW w:w="543" w:type="dxa"/>
            <w:vAlign w:val="center"/>
          </w:tcPr>
          <w:p w14:paraId="0CD66D3C">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52.5</w:t>
            </w:r>
          </w:p>
        </w:tc>
        <w:tc>
          <w:tcPr>
            <w:tcW w:w="641" w:type="dxa"/>
            <w:vAlign w:val="center"/>
          </w:tcPr>
          <w:p w14:paraId="4429127F">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58.2</w:t>
            </w:r>
          </w:p>
        </w:tc>
        <w:tc>
          <w:tcPr>
            <w:tcW w:w="513" w:type="dxa"/>
            <w:vMerge w:val="continue"/>
            <w:vAlign w:val="center"/>
          </w:tcPr>
          <w:p w14:paraId="1D701A33">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682" w:type="dxa"/>
            <w:shd w:val="clear" w:color="auto" w:fill="auto"/>
            <w:vAlign w:val="center"/>
          </w:tcPr>
          <w:p w14:paraId="561537DF">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10</w:t>
            </w:r>
          </w:p>
        </w:tc>
        <w:tc>
          <w:tcPr>
            <w:tcW w:w="725" w:type="dxa"/>
            <w:gridSpan w:val="2"/>
            <w:shd w:val="clear" w:color="auto" w:fill="auto"/>
            <w:vAlign w:val="center"/>
          </w:tcPr>
          <w:p w14:paraId="34BFDBD3">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36.5</w:t>
            </w:r>
          </w:p>
        </w:tc>
        <w:tc>
          <w:tcPr>
            <w:tcW w:w="698" w:type="dxa"/>
            <w:shd w:val="clear" w:color="auto" w:fill="auto"/>
            <w:vAlign w:val="center"/>
          </w:tcPr>
          <w:p w14:paraId="6383F8D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13</w:t>
            </w:r>
          </w:p>
        </w:tc>
        <w:tc>
          <w:tcPr>
            <w:tcW w:w="715" w:type="dxa"/>
            <w:shd w:val="clear" w:color="auto" w:fill="auto"/>
            <w:vAlign w:val="center"/>
          </w:tcPr>
          <w:p w14:paraId="3E558A74">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42.2</w:t>
            </w:r>
          </w:p>
        </w:tc>
        <w:tc>
          <w:tcPr>
            <w:tcW w:w="717" w:type="dxa"/>
            <w:shd w:val="clear" w:color="auto" w:fill="auto"/>
            <w:vAlign w:val="center"/>
          </w:tcPr>
          <w:p w14:paraId="6D5A73A1">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sz w:val="22"/>
                <w:szCs w:val="22"/>
                <w:lang w:val="en-US" w:eastAsia="zh-CN"/>
              </w:rPr>
              <w:t>16</w:t>
            </w:r>
          </w:p>
        </w:tc>
      </w:tr>
      <w:tr w14:paraId="60301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1" w:type="dxa"/>
            <w:vMerge w:val="continue"/>
            <w:vAlign w:val="center"/>
          </w:tcPr>
          <w:p w14:paraId="39AB8083">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1637" w:type="dxa"/>
            <w:gridSpan w:val="2"/>
            <w:shd w:val="clear" w:color="auto" w:fill="auto"/>
            <w:vAlign w:val="center"/>
          </w:tcPr>
          <w:p w14:paraId="0F8E12D7">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r>
              <w:rPr>
                <w:rFonts w:hint="default" w:ascii="Times New Roman" w:hAnsi="Times New Roman" w:cs="Times New Roman" w:eastAsiaTheme="minorEastAsia"/>
                <w:color w:val="auto"/>
                <w:sz w:val="22"/>
                <w:szCs w:val="22"/>
                <w:lang w:eastAsia="en-US"/>
              </w:rPr>
              <w:t>织网机</w:t>
            </w:r>
          </w:p>
        </w:tc>
        <w:tc>
          <w:tcPr>
            <w:tcW w:w="1979" w:type="dxa"/>
            <w:shd w:val="clear" w:color="auto" w:fill="auto"/>
            <w:vAlign w:val="center"/>
          </w:tcPr>
          <w:p w14:paraId="0CF44DCF">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85</w:t>
            </w:r>
          </w:p>
        </w:tc>
        <w:tc>
          <w:tcPr>
            <w:tcW w:w="998" w:type="dxa"/>
            <w:vMerge w:val="continue"/>
            <w:vAlign w:val="center"/>
          </w:tcPr>
          <w:p w14:paraId="3313B02F">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531" w:type="dxa"/>
            <w:vAlign w:val="center"/>
          </w:tcPr>
          <w:p w14:paraId="4CCC1B2B">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7</w:t>
            </w:r>
          </w:p>
        </w:tc>
        <w:tc>
          <w:tcPr>
            <w:tcW w:w="575" w:type="dxa"/>
            <w:vAlign w:val="center"/>
          </w:tcPr>
          <w:p w14:paraId="62A59BCB">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20</w:t>
            </w:r>
          </w:p>
        </w:tc>
        <w:tc>
          <w:tcPr>
            <w:tcW w:w="711" w:type="dxa"/>
            <w:vAlign w:val="center"/>
          </w:tcPr>
          <w:p w14:paraId="580EBC8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0.8</w:t>
            </w:r>
          </w:p>
        </w:tc>
        <w:tc>
          <w:tcPr>
            <w:tcW w:w="577" w:type="dxa"/>
            <w:shd w:val="clear" w:color="auto" w:fill="auto"/>
            <w:vAlign w:val="center"/>
          </w:tcPr>
          <w:p w14:paraId="516C9ACF">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45</w:t>
            </w:r>
          </w:p>
        </w:tc>
        <w:tc>
          <w:tcPr>
            <w:tcW w:w="581" w:type="dxa"/>
            <w:shd w:val="clear" w:color="auto" w:fill="auto"/>
            <w:vAlign w:val="center"/>
          </w:tcPr>
          <w:p w14:paraId="5E3EEFD2">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22</w:t>
            </w:r>
          </w:p>
        </w:tc>
        <w:tc>
          <w:tcPr>
            <w:tcW w:w="543" w:type="dxa"/>
            <w:vAlign w:val="center"/>
          </w:tcPr>
          <w:p w14:paraId="01F9B263">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51.9</w:t>
            </w:r>
          </w:p>
        </w:tc>
        <w:tc>
          <w:tcPr>
            <w:tcW w:w="641" w:type="dxa"/>
            <w:vAlign w:val="center"/>
          </w:tcPr>
          <w:p w14:paraId="0B3B8D20">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58.2</w:t>
            </w:r>
          </w:p>
        </w:tc>
        <w:tc>
          <w:tcPr>
            <w:tcW w:w="513" w:type="dxa"/>
            <w:vMerge w:val="continue"/>
            <w:vAlign w:val="center"/>
          </w:tcPr>
          <w:p w14:paraId="0FBEE266">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682" w:type="dxa"/>
            <w:shd w:val="clear" w:color="auto" w:fill="auto"/>
            <w:vAlign w:val="center"/>
          </w:tcPr>
          <w:p w14:paraId="3E1FCB43">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10</w:t>
            </w:r>
          </w:p>
        </w:tc>
        <w:tc>
          <w:tcPr>
            <w:tcW w:w="725" w:type="dxa"/>
            <w:gridSpan w:val="2"/>
            <w:shd w:val="clear" w:color="auto" w:fill="auto"/>
            <w:vAlign w:val="center"/>
          </w:tcPr>
          <w:p w14:paraId="3A938CD1">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35.9</w:t>
            </w:r>
          </w:p>
        </w:tc>
        <w:tc>
          <w:tcPr>
            <w:tcW w:w="698" w:type="dxa"/>
            <w:shd w:val="clear" w:color="auto" w:fill="auto"/>
            <w:vAlign w:val="center"/>
          </w:tcPr>
          <w:p w14:paraId="08E86D1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13</w:t>
            </w:r>
          </w:p>
        </w:tc>
        <w:tc>
          <w:tcPr>
            <w:tcW w:w="715" w:type="dxa"/>
            <w:shd w:val="clear" w:color="auto" w:fill="auto"/>
            <w:vAlign w:val="center"/>
          </w:tcPr>
          <w:p w14:paraId="01CAD620">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42.2</w:t>
            </w:r>
          </w:p>
        </w:tc>
        <w:tc>
          <w:tcPr>
            <w:tcW w:w="717" w:type="dxa"/>
            <w:shd w:val="clear" w:color="auto" w:fill="auto"/>
            <w:vAlign w:val="center"/>
          </w:tcPr>
          <w:p w14:paraId="2A5B8876">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sz w:val="22"/>
                <w:szCs w:val="22"/>
                <w:lang w:val="en-US" w:eastAsia="zh-CN"/>
              </w:rPr>
              <w:t>16</w:t>
            </w:r>
          </w:p>
        </w:tc>
      </w:tr>
      <w:tr w14:paraId="06CC6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1" w:type="dxa"/>
            <w:vMerge w:val="continue"/>
            <w:vAlign w:val="center"/>
          </w:tcPr>
          <w:p w14:paraId="28786A5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1637" w:type="dxa"/>
            <w:gridSpan w:val="2"/>
            <w:shd w:val="clear" w:color="auto" w:fill="auto"/>
            <w:vAlign w:val="center"/>
          </w:tcPr>
          <w:p w14:paraId="31FE79CE">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空压机</w:t>
            </w:r>
          </w:p>
        </w:tc>
        <w:tc>
          <w:tcPr>
            <w:tcW w:w="1979" w:type="dxa"/>
            <w:shd w:val="clear" w:color="auto" w:fill="auto"/>
            <w:vAlign w:val="center"/>
          </w:tcPr>
          <w:p w14:paraId="7BC3A5E6">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80</w:t>
            </w:r>
          </w:p>
        </w:tc>
        <w:tc>
          <w:tcPr>
            <w:tcW w:w="998" w:type="dxa"/>
            <w:vMerge w:val="continue"/>
            <w:vAlign w:val="center"/>
          </w:tcPr>
          <w:p w14:paraId="763A967C">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531" w:type="dxa"/>
            <w:vAlign w:val="center"/>
          </w:tcPr>
          <w:p w14:paraId="5D3A2D60">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8</w:t>
            </w:r>
          </w:p>
        </w:tc>
        <w:tc>
          <w:tcPr>
            <w:tcW w:w="575" w:type="dxa"/>
            <w:vAlign w:val="center"/>
          </w:tcPr>
          <w:p w14:paraId="7D5A7581">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9</w:t>
            </w:r>
          </w:p>
        </w:tc>
        <w:tc>
          <w:tcPr>
            <w:tcW w:w="711" w:type="dxa"/>
            <w:vAlign w:val="center"/>
          </w:tcPr>
          <w:p w14:paraId="72E421E8">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0.8</w:t>
            </w:r>
          </w:p>
        </w:tc>
        <w:tc>
          <w:tcPr>
            <w:tcW w:w="577" w:type="dxa"/>
            <w:shd w:val="clear" w:color="auto" w:fill="auto"/>
            <w:vAlign w:val="center"/>
          </w:tcPr>
          <w:p w14:paraId="4B781746">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34</w:t>
            </w:r>
          </w:p>
        </w:tc>
        <w:tc>
          <w:tcPr>
            <w:tcW w:w="581" w:type="dxa"/>
            <w:shd w:val="clear" w:color="auto" w:fill="auto"/>
            <w:vAlign w:val="center"/>
          </w:tcPr>
          <w:p w14:paraId="6DD0A7A5">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23</w:t>
            </w:r>
          </w:p>
        </w:tc>
        <w:tc>
          <w:tcPr>
            <w:tcW w:w="543" w:type="dxa"/>
            <w:vAlign w:val="center"/>
          </w:tcPr>
          <w:p w14:paraId="30B6BFF5">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49.4</w:t>
            </w:r>
          </w:p>
        </w:tc>
        <w:tc>
          <w:tcPr>
            <w:tcW w:w="641" w:type="dxa"/>
            <w:vAlign w:val="center"/>
          </w:tcPr>
          <w:p w14:paraId="4A4E96A7">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52.7</w:t>
            </w:r>
          </w:p>
        </w:tc>
        <w:tc>
          <w:tcPr>
            <w:tcW w:w="513" w:type="dxa"/>
            <w:vMerge w:val="continue"/>
            <w:vAlign w:val="center"/>
          </w:tcPr>
          <w:p w14:paraId="357F03B0">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eastAsia="en-US"/>
              </w:rPr>
            </w:pPr>
          </w:p>
        </w:tc>
        <w:tc>
          <w:tcPr>
            <w:tcW w:w="682" w:type="dxa"/>
            <w:shd w:val="clear" w:color="auto" w:fill="auto"/>
            <w:vAlign w:val="center"/>
          </w:tcPr>
          <w:p w14:paraId="74D65A1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10</w:t>
            </w:r>
          </w:p>
        </w:tc>
        <w:tc>
          <w:tcPr>
            <w:tcW w:w="725" w:type="dxa"/>
            <w:gridSpan w:val="2"/>
            <w:shd w:val="clear" w:color="auto" w:fill="auto"/>
            <w:vAlign w:val="center"/>
          </w:tcPr>
          <w:p w14:paraId="559CC539">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zh-CN" w:bidi="ar-SA"/>
              </w:rPr>
            </w:pPr>
            <w:r>
              <w:rPr>
                <w:rFonts w:hint="eastAsia" w:cs="Times New Roman" w:eastAsiaTheme="minorEastAsia"/>
                <w:color w:val="auto"/>
                <w:kern w:val="2"/>
                <w:sz w:val="22"/>
                <w:szCs w:val="22"/>
                <w:lang w:val="en-US" w:eastAsia="zh-CN" w:bidi="ar-SA"/>
              </w:rPr>
              <w:t>33.4</w:t>
            </w:r>
          </w:p>
        </w:tc>
        <w:tc>
          <w:tcPr>
            <w:tcW w:w="698" w:type="dxa"/>
            <w:shd w:val="clear" w:color="auto" w:fill="auto"/>
            <w:vAlign w:val="center"/>
          </w:tcPr>
          <w:p w14:paraId="3394F25D">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2"/>
                <w:szCs w:val="22"/>
                <w:lang w:val="en-US" w:eastAsia="en-US" w:bidi="ar-SA"/>
              </w:rPr>
            </w:pPr>
            <w:r>
              <w:rPr>
                <w:rFonts w:hint="eastAsia" w:ascii="Times New Roman" w:hAnsi="Times New Roman" w:cs="Times New Roman" w:eastAsiaTheme="minorEastAsia"/>
                <w:color w:val="auto"/>
                <w:sz w:val="22"/>
                <w:szCs w:val="22"/>
                <w:lang w:val="en-US" w:eastAsia="zh-CN"/>
              </w:rPr>
              <w:t>13</w:t>
            </w:r>
          </w:p>
        </w:tc>
        <w:tc>
          <w:tcPr>
            <w:tcW w:w="715" w:type="dxa"/>
            <w:shd w:val="clear" w:color="auto" w:fill="auto"/>
            <w:vAlign w:val="center"/>
          </w:tcPr>
          <w:p w14:paraId="1D191009">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cs="Times New Roman" w:eastAsiaTheme="minorEastAsia"/>
                <w:color w:val="auto"/>
                <w:sz w:val="22"/>
                <w:szCs w:val="22"/>
                <w:lang w:val="en-US" w:eastAsia="zh-CN"/>
              </w:rPr>
              <w:t>42.2</w:t>
            </w:r>
          </w:p>
        </w:tc>
        <w:tc>
          <w:tcPr>
            <w:tcW w:w="717" w:type="dxa"/>
            <w:shd w:val="clear" w:color="auto" w:fill="auto"/>
            <w:vAlign w:val="center"/>
          </w:tcPr>
          <w:p w14:paraId="2FC811A0">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sz w:val="22"/>
                <w:szCs w:val="22"/>
                <w:lang w:val="en-US" w:eastAsia="zh-CN"/>
              </w:rPr>
              <w:t>16</w:t>
            </w:r>
          </w:p>
        </w:tc>
      </w:tr>
      <w:tr w14:paraId="710B2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46" w:type="dxa"/>
            <w:gridSpan w:val="2"/>
            <w:vAlign w:val="center"/>
          </w:tcPr>
          <w:p w14:paraId="5EE1753A">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2"/>
                <w:szCs w:val="22"/>
                <w:lang w:val="en-US" w:eastAsia="zh-CN"/>
              </w:rPr>
            </w:pPr>
          </w:p>
        </w:tc>
        <w:tc>
          <w:tcPr>
            <w:tcW w:w="12708" w:type="dxa"/>
            <w:gridSpan w:val="17"/>
            <w:vAlign w:val="center"/>
          </w:tcPr>
          <w:p w14:paraId="22A1D58D">
            <w:pPr>
              <w:pStyle w:val="4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注：以项目租赁区域中心为原点（0，0）</w:t>
            </w:r>
          </w:p>
        </w:tc>
      </w:tr>
    </w:tbl>
    <w:p w14:paraId="2C551480">
      <w:pPr>
        <w:rPr>
          <w:color w:val="auto"/>
        </w:rPr>
      </w:pPr>
    </w:p>
    <w:p w14:paraId="34DC1942">
      <w:pPr>
        <w:ind w:left="0" w:leftChars="0" w:firstLine="0" w:firstLineChars="0"/>
        <w:rPr>
          <w:color w:val="auto"/>
        </w:rPr>
      </w:pPr>
    </w:p>
    <w:p w14:paraId="6A079286">
      <w:pPr>
        <w:pStyle w:val="9"/>
        <w:keepNext w:val="0"/>
        <w:keepLines w:val="0"/>
        <w:pageBreakBefore w:val="0"/>
        <w:widowControl/>
        <w:kinsoku/>
        <w:wordWrap/>
        <w:overflowPunct/>
        <w:topLinePunct w:val="0"/>
        <w:autoSpaceDE/>
        <w:autoSpaceDN/>
        <w:bidi w:val="0"/>
        <w:adjustRightInd/>
        <w:snapToGrid w:val="0"/>
        <w:spacing w:before="0" w:after="0" w:line="460" w:lineRule="exact"/>
        <w:ind w:right="0" w:firstLine="520" w:firstLineChars="200"/>
        <w:jc w:val="both"/>
        <w:textAlignment w:val="auto"/>
        <w:rPr>
          <w:bCs/>
          <w:color w:val="auto"/>
          <w:sz w:val="26"/>
          <w:szCs w:val="26"/>
          <w:highlight w:val="none"/>
        </w:rPr>
      </w:pPr>
      <w:r>
        <w:rPr>
          <w:rFonts w:hint="eastAsia"/>
          <w:color w:val="auto"/>
          <w:sz w:val="26"/>
          <w:szCs w:val="26"/>
          <w:lang w:val="en-US" w:eastAsia="zh-CN"/>
        </w:rPr>
        <w:t>表</w:t>
      </w:r>
      <w:r>
        <w:rPr>
          <w:color w:val="auto"/>
          <w:sz w:val="26"/>
          <w:szCs w:val="26"/>
        </w:rPr>
        <w:t>4.2-</w:t>
      </w:r>
      <w:r>
        <w:rPr>
          <w:rFonts w:hint="eastAsia"/>
          <w:color w:val="auto"/>
          <w:sz w:val="26"/>
          <w:szCs w:val="26"/>
          <w:lang w:val="en-US" w:eastAsia="zh-CN"/>
        </w:rPr>
        <w:t xml:space="preserve">7.2                          </w:t>
      </w:r>
      <w:r>
        <w:rPr>
          <w:rFonts w:hint="eastAsia"/>
          <w:bCs/>
          <w:color w:val="auto"/>
          <w:sz w:val="26"/>
          <w:szCs w:val="26"/>
          <w:highlight w:val="none"/>
          <w:lang w:val="en-US" w:eastAsia="zh-CN"/>
        </w:rPr>
        <w:t xml:space="preserve"> </w:t>
      </w:r>
      <w:r>
        <w:rPr>
          <w:rFonts w:hint="eastAsia"/>
          <w:bCs/>
          <w:color w:val="auto"/>
          <w:sz w:val="26"/>
          <w:szCs w:val="26"/>
          <w:highlight w:val="none"/>
        </w:rPr>
        <w:t>工业企业噪声源强调查清单（室外声源）</w:t>
      </w:r>
    </w:p>
    <w:tbl>
      <w:tblPr>
        <w:tblStyle w:val="17"/>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3599"/>
        <w:gridCol w:w="729"/>
        <w:gridCol w:w="1639"/>
        <w:gridCol w:w="906"/>
        <w:gridCol w:w="581"/>
        <w:gridCol w:w="619"/>
        <w:gridCol w:w="688"/>
        <w:gridCol w:w="775"/>
        <w:gridCol w:w="918"/>
        <w:gridCol w:w="750"/>
        <w:gridCol w:w="703"/>
        <w:gridCol w:w="1408"/>
      </w:tblGrid>
      <w:tr w14:paraId="03534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7" w:type="pct"/>
            <w:vMerge w:val="restart"/>
            <w:shd w:val="clear" w:color="auto" w:fill="auto"/>
            <w:vAlign w:val="center"/>
          </w:tcPr>
          <w:p w14:paraId="1B27FB16">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color w:val="auto"/>
                <w:sz w:val="22"/>
                <w:szCs w:val="22"/>
                <w:highlight w:val="none"/>
              </w:rPr>
            </w:pPr>
            <w:r>
              <w:rPr>
                <w:color w:val="auto"/>
                <w:kern w:val="0"/>
                <w:sz w:val="22"/>
                <w:szCs w:val="22"/>
                <w:highlight w:val="none"/>
                <w:lang w:bidi="ar"/>
              </w:rPr>
              <w:t>序号</w:t>
            </w:r>
          </w:p>
        </w:tc>
        <w:tc>
          <w:tcPr>
            <w:tcW w:w="1308" w:type="pct"/>
            <w:vMerge w:val="restart"/>
            <w:shd w:val="clear" w:color="auto" w:fill="auto"/>
            <w:vAlign w:val="center"/>
          </w:tcPr>
          <w:p w14:paraId="6FEE06A6">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color w:val="auto"/>
                <w:sz w:val="22"/>
                <w:szCs w:val="22"/>
                <w:highlight w:val="none"/>
              </w:rPr>
            </w:pPr>
            <w:r>
              <w:rPr>
                <w:color w:val="auto"/>
                <w:kern w:val="0"/>
                <w:sz w:val="22"/>
                <w:szCs w:val="22"/>
                <w:highlight w:val="none"/>
                <w:lang w:bidi="ar"/>
              </w:rPr>
              <w:t>建筑物名称</w:t>
            </w:r>
          </w:p>
        </w:tc>
        <w:tc>
          <w:tcPr>
            <w:tcW w:w="265" w:type="pct"/>
            <w:vMerge w:val="restart"/>
            <w:shd w:val="clear" w:color="auto" w:fill="auto"/>
            <w:vAlign w:val="center"/>
          </w:tcPr>
          <w:p w14:paraId="1867E9BA">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color w:val="auto"/>
                <w:sz w:val="22"/>
                <w:szCs w:val="22"/>
                <w:highlight w:val="none"/>
              </w:rPr>
            </w:pPr>
            <w:r>
              <w:rPr>
                <w:color w:val="auto"/>
                <w:kern w:val="0"/>
                <w:sz w:val="22"/>
                <w:szCs w:val="22"/>
                <w:highlight w:val="none"/>
                <w:lang w:bidi="ar"/>
              </w:rPr>
              <w:t>声源名称</w:t>
            </w:r>
          </w:p>
        </w:tc>
        <w:tc>
          <w:tcPr>
            <w:tcW w:w="596" w:type="pct"/>
            <w:shd w:val="clear" w:color="auto" w:fill="auto"/>
            <w:vAlign w:val="center"/>
          </w:tcPr>
          <w:p w14:paraId="30574D52">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color w:val="auto"/>
                <w:sz w:val="22"/>
                <w:szCs w:val="22"/>
                <w:highlight w:val="none"/>
              </w:rPr>
            </w:pPr>
            <w:r>
              <w:rPr>
                <w:color w:val="auto"/>
                <w:kern w:val="0"/>
                <w:sz w:val="22"/>
                <w:szCs w:val="22"/>
                <w:highlight w:val="none"/>
                <w:lang w:bidi="ar"/>
              </w:rPr>
              <w:t>声源源强</w:t>
            </w:r>
          </w:p>
        </w:tc>
        <w:tc>
          <w:tcPr>
            <w:tcW w:w="329" w:type="pct"/>
            <w:vMerge w:val="restart"/>
            <w:shd w:val="clear" w:color="auto" w:fill="auto"/>
            <w:vAlign w:val="center"/>
          </w:tcPr>
          <w:p w14:paraId="0FBB4BDC">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color w:val="auto"/>
                <w:sz w:val="22"/>
                <w:szCs w:val="22"/>
                <w:highlight w:val="none"/>
              </w:rPr>
            </w:pPr>
            <w:r>
              <w:rPr>
                <w:color w:val="auto"/>
                <w:kern w:val="0"/>
                <w:sz w:val="22"/>
                <w:szCs w:val="22"/>
                <w:highlight w:val="none"/>
                <w:lang w:bidi="ar"/>
              </w:rPr>
              <w:t>声源控制措施</w:t>
            </w:r>
          </w:p>
        </w:tc>
        <w:tc>
          <w:tcPr>
            <w:tcW w:w="686" w:type="pct"/>
            <w:gridSpan w:val="3"/>
            <w:shd w:val="clear" w:color="auto" w:fill="auto"/>
            <w:vAlign w:val="center"/>
          </w:tcPr>
          <w:p w14:paraId="322CFBF0">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color w:val="auto"/>
                <w:kern w:val="0"/>
                <w:sz w:val="22"/>
                <w:szCs w:val="22"/>
                <w:highlight w:val="none"/>
                <w:lang w:bidi="ar"/>
              </w:rPr>
            </w:pPr>
            <w:r>
              <w:rPr>
                <w:color w:val="auto"/>
                <w:kern w:val="0"/>
                <w:sz w:val="22"/>
                <w:szCs w:val="22"/>
                <w:highlight w:val="none"/>
                <w:lang w:bidi="ar"/>
              </w:rPr>
              <w:t>空间相对位置</w:t>
            </w:r>
            <w:r>
              <w:rPr>
                <w:color w:val="auto"/>
                <w:kern w:val="0"/>
                <w:sz w:val="22"/>
                <w:szCs w:val="22"/>
                <w:highlight w:val="none"/>
                <w:vertAlign w:val="superscript"/>
                <w:lang w:bidi="ar"/>
              </w:rPr>
              <w:t>①</w:t>
            </w:r>
            <w:r>
              <w:rPr>
                <w:color w:val="auto"/>
                <w:kern w:val="0"/>
                <w:sz w:val="22"/>
                <w:szCs w:val="22"/>
                <w:highlight w:val="none"/>
                <w:lang w:bidi="ar"/>
              </w:rPr>
              <w:t>/m</w:t>
            </w:r>
          </w:p>
        </w:tc>
        <w:tc>
          <w:tcPr>
            <w:tcW w:w="1144" w:type="pct"/>
            <w:gridSpan w:val="4"/>
            <w:vMerge w:val="restart"/>
            <w:shd w:val="clear" w:color="auto" w:fill="auto"/>
            <w:vAlign w:val="center"/>
          </w:tcPr>
          <w:p w14:paraId="345638FF">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color w:val="auto"/>
                <w:sz w:val="22"/>
                <w:szCs w:val="22"/>
                <w:highlight w:val="none"/>
              </w:rPr>
            </w:pPr>
            <w:r>
              <w:rPr>
                <w:color w:val="auto"/>
                <w:kern w:val="0"/>
                <w:sz w:val="22"/>
                <w:szCs w:val="22"/>
                <w:highlight w:val="none"/>
                <w:lang w:bidi="ar"/>
              </w:rPr>
              <w:t>距厂界距离/m</w:t>
            </w:r>
          </w:p>
        </w:tc>
        <w:tc>
          <w:tcPr>
            <w:tcW w:w="512" w:type="pct"/>
            <w:vMerge w:val="restart"/>
            <w:shd w:val="clear" w:color="auto" w:fill="auto"/>
            <w:vAlign w:val="center"/>
          </w:tcPr>
          <w:p w14:paraId="65F330D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color w:val="auto"/>
                <w:sz w:val="22"/>
                <w:szCs w:val="22"/>
                <w:highlight w:val="none"/>
              </w:rPr>
            </w:pPr>
            <w:r>
              <w:rPr>
                <w:color w:val="auto"/>
                <w:kern w:val="0"/>
                <w:sz w:val="22"/>
                <w:szCs w:val="22"/>
                <w:highlight w:val="none"/>
                <w:lang w:bidi="ar"/>
              </w:rPr>
              <w:t>运行时段</w:t>
            </w:r>
          </w:p>
        </w:tc>
      </w:tr>
      <w:tr w14:paraId="14775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7" w:type="pct"/>
            <w:vMerge w:val="continue"/>
            <w:shd w:val="clear" w:color="auto" w:fill="auto"/>
            <w:vAlign w:val="center"/>
          </w:tcPr>
          <w:p w14:paraId="267CA3E0">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color w:val="auto"/>
                <w:sz w:val="22"/>
                <w:szCs w:val="22"/>
                <w:highlight w:val="none"/>
              </w:rPr>
            </w:pPr>
          </w:p>
        </w:tc>
        <w:tc>
          <w:tcPr>
            <w:tcW w:w="1308" w:type="pct"/>
            <w:vMerge w:val="continue"/>
            <w:shd w:val="clear" w:color="auto" w:fill="auto"/>
            <w:vAlign w:val="center"/>
          </w:tcPr>
          <w:p w14:paraId="3503398F">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color w:val="auto"/>
                <w:sz w:val="22"/>
                <w:szCs w:val="22"/>
                <w:highlight w:val="none"/>
              </w:rPr>
            </w:pPr>
          </w:p>
        </w:tc>
        <w:tc>
          <w:tcPr>
            <w:tcW w:w="265" w:type="pct"/>
            <w:vMerge w:val="continue"/>
            <w:shd w:val="clear" w:color="auto" w:fill="auto"/>
            <w:vAlign w:val="center"/>
          </w:tcPr>
          <w:p w14:paraId="5D48655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color w:val="auto"/>
                <w:sz w:val="22"/>
                <w:szCs w:val="22"/>
                <w:highlight w:val="none"/>
              </w:rPr>
            </w:pPr>
          </w:p>
        </w:tc>
        <w:tc>
          <w:tcPr>
            <w:tcW w:w="596" w:type="pct"/>
            <w:vMerge w:val="restart"/>
            <w:shd w:val="clear" w:color="auto" w:fill="auto"/>
            <w:vAlign w:val="center"/>
          </w:tcPr>
          <w:p w14:paraId="0E8AF183">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color w:val="auto"/>
                <w:sz w:val="22"/>
                <w:szCs w:val="22"/>
                <w:highlight w:val="none"/>
              </w:rPr>
            </w:pPr>
            <w:r>
              <w:rPr>
                <w:color w:val="auto"/>
                <w:kern w:val="0"/>
                <w:sz w:val="22"/>
                <w:szCs w:val="22"/>
                <w:highlight w:val="none"/>
                <w:lang w:bidi="ar"/>
              </w:rPr>
              <w:t>声功率级/dB（A）</w:t>
            </w:r>
          </w:p>
        </w:tc>
        <w:tc>
          <w:tcPr>
            <w:tcW w:w="329" w:type="pct"/>
            <w:vMerge w:val="continue"/>
            <w:shd w:val="clear" w:color="auto" w:fill="auto"/>
            <w:vAlign w:val="center"/>
          </w:tcPr>
          <w:p w14:paraId="4329FC35">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color w:val="auto"/>
                <w:sz w:val="22"/>
                <w:szCs w:val="22"/>
                <w:highlight w:val="none"/>
              </w:rPr>
            </w:pPr>
          </w:p>
        </w:tc>
        <w:tc>
          <w:tcPr>
            <w:tcW w:w="211" w:type="pct"/>
            <w:vMerge w:val="restart"/>
            <w:shd w:val="clear" w:color="auto" w:fill="auto"/>
            <w:vAlign w:val="center"/>
          </w:tcPr>
          <w:p w14:paraId="412E159A">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color w:val="auto"/>
                <w:sz w:val="22"/>
                <w:szCs w:val="22"/>
                <w:highlight w:val="none"/>
              </w:rPr>
            </w:pPr>
            <w:r>
              <w:rPr>
                <w:color w:val="auto"/>
                <w:kern w:val="0"/>
                <w:sz w:val="22"/>
                <w:szCs w:val="22"/>
                <w:highlight w:val="none"/>
                <w:lang w:bidi="ar"/>
              </w:rPr>
              <w:t>X</w:t>
            </w:r>
          </w:p>
        </w:tc>
        <w:tc>
          <w:tcPr>
            <w:tcW w:w="225" w:type="pct"/>
            <w:vMerge w:val="restart"/>
            <w:shd w:val="clear" w:color="auto" w:fill="auto"/>
            <w:vAlign w:val="center"/>
          </w:tcPr>
          <w:p w14:paraId="7D3D9A50">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color w:val="auto"/>
                <w:sz w:val="22"/>
                <w:szCs w:val="22"/>
                <w:highlight w:val="none"/>
              </w:rPr>
            </w:pPr>
            <w:r>
              <w:rPr>
                <w:color w:val="auto"/>
                <w:kern w:val="0"/>
                <w:sz w:val="22"/>
                <w:szCs w:val="22"/>
                <w:highlight w:val="none"/>
                <w:lang w:bidi="ar"/>
              </w:rPr>
              <w:t>Y</w:t>
            </w:r>
          </w:p>
        </w:tc>
        <w:tc>
          <w:tcPr>
            <w:tcW w:w="250" w:type="pct"/>
            <w:vMerge w:val="restart"/>
            <w:shd w:val="clear" w:color="auto" w:fill="auto"/>
            <w:vAlign w:val="center"/>
          </w:tcPr>
          <w:p w14:paraId="0A373005">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Z</w:t>
            </w:r>
          </w:p>
        </w:tc>
        <w:tc>
          <w:tcPr>
            <w:tcW w:w="1144" w:type="pct"/>
            <w:gridSpan w:val="4"/>
            <w:vMerge w:val="continue"/>
            <w:shd w:val="clear" w:color="auto" w:fill="auto"/>
            <w:vAlign w:val="center"/>
          </w:tcPr>
          <w:p w14:paraId="32C51428">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color w:val="auto"/>
                <w:sz w:val="22"/>
                <w:szCs w:val="22"/>
                <w:highlight w:val="none"/>
              </w:rPr>
            </w:pPr>
          </w:p>
        </w:tc>
        <w:tc>
          <w:tcPr>
            <w:tcW w:w="512" w:type="pct"/>
            <w:vMerge w:val="continue"/>
            <w:shd w:val="clear" w:color="auto" w:fill="auto"/>
            <w:vAlign w:val="center"/>
          </w:tcPr>
          <w:p w14:paraId="3AE9B67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color w:val="auto"/>
                <w:sz w:val="22"/>
                <w:szCs w:val="22"/>
                <w:highlight w:val="none"/>
              </w:rPr>
            </w:pPr>
          </w:p>
        </w:tc>
      </w:tr>
      <w:tr w14:paraId="6A693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57" w:type="pct"/>
            <w:vMerge w:val="continue"/>
            <w:shd w:val="clear" w:color="auto" w:fill="auto"/>
            <w:vAlign w:val="center"/>
          </w:tcPr>
          <w:p w14:paraId="6DE2E02F">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color w:val="auto"/>
                <w:sz w:val="22"/>
                <w:szCs w:val="22"/>
                <w:highlight w:val="none"/>
              </w:rPr>
            </w:pPr>
          </w:p>
        </w:tc>
        <w:tc>
          <w:tcPr>
            <w:tcW w:w="1308" w:type="pct"/>
            <w:vMerge w:val="continue"/>
            <w:shd w:val="clear" w:color="auto" w:fill="auto"/>
            <w:vAlign w:val="center"/>
          </w:tcPr>
          <w:p w14:paraId="1038359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color w:val="auto"/>
                <w:sz w:val="22"/>
                <w:szCs w:val="22"/>
                <w:highlight w:val="none"/>
              </w:rPr>
            </w:pPr>
          </w:p>
        </w:tc>
        <w:tc>
          <w:tcPr>
            <w:tcW w:w="265" w:type="pct"/>
            <w:vMerge w:val="continue"/>
            <w:shd w:val="clear" w:color="auto" w:fill="auto"/>
            <w:vAlign w:val="center"/>
          </w:tcPr>
          <w:p w14:paraId="3347AF6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color w:val="auto"/>
                <w:sz w:val="22"/>
                <w:szCs w:val="22"/>
                <w:highlight w:val="none"/>
              </w:rPr>
            </w:pPr>
          </w:p>
        </w:tc>
        <w:tc>
          <w:tcPr>
            <w:tcW w:w="596" w:type="pct"/>
            <w:vMerge w:val="continue"/>
            <w:shd w:val="clear" w:color="auto" w:fill="auto"/>
            <w:vAlign w:val="center"/>
          </w:tcPr>
          <w:p w14:paraId="2A6DF54F">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color w:val="auto"/>
                <w:sz w:val="22"/>
                <w:szCs w:val="22"/>
                <w:highlight w:val="none"/>
              </w:rPr>
            </w:pPr>
          </w:p>
        </w:tc>
        <w:tc>
          <w:tcPr>
            <w:tcW w:w="329" w:type="pct"/>
            <w:vMerge w:val="continue"/>
            <w:shd w:val="clear" w:color="auto" w:fill="auto"/>
            <w:vAlign w:val="center"/>
          </w:tcPr>
          <w:p w14:paraId="2BEE7FD0">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color w:val="auto"/>
                <w:sz w:val="22"/>
                <w:szCs w:val="22"/>
                <w:highlight w:val="none"/>
              </w:rPr>
            </w:pPr>
          </w:p>
        </w:tc>
        <w:tc>
          <w:tcPr>
            <w:tcW w:w="211" w:type="pct"/>
            <w:vMerge w:val="continue"/>
            <w:shd w:val="clear" w:color="auto" w:fill="auto"/>
            <w:vAlign w:val="center"/>
          </w:tcPr>
          <w:p w14:paraId="6828835B">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color w:val="auto"/>
                <w:sz w:val="22"/>
                <w:szCs w:val="22"/>
                <w:highlight w:val="none"/>
              </w:rPr>
            </w:pPr>
          </w:p>
        </w:tc>
        <w:tc>
          <w:tcPr>
            <w:tcW w:w="225" w:type="pct"/>
            <w:vMerge w:val="continue"/>
            <w:shd w:val="clear" w:color="auto" w:fill="auto"/>
            <w:vAlign w:val="center"/>
          </w:tcPr>
          <w:p w14:paraId="63332AB3">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color w:val="auto"/>
                <w:sz w:val="22"/>
                <w:szCs w:val="22"/>
                <w:highlight w:val="none"/>
              </w:rPr>
            </w:pPr>
          </w:p>
        </w:tc>
        <w:tc>
          <w:tcPr>
            <w:tcW w:w="250" w:type="pct"/>
            <w:vMerge w:val="continue"/>
            <w:shd w:val="clear" w:color="auto" w:fill="auto"/>
            <w:vAlign w:val="center"/>
          </w:tcPr>
          <w:p w14:paraId="209437D5">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color w:val="auto"/>
                <w:kern w:val="0"/>
                <w:sz w:val="22"/>
                <w:szCs w:val="22"/>
                <w:highlight w:val="none"/>
                <w:lang w:bidi="ar"/>
              </w:rPr>
            </w:pPr>
          </w:p>
        </w:tc>
        <w:tc>
          <w:tcPr>
            <w:tcW w:w="281" w:type="pct"/>
            <w:shd w:val="clear" w:color="auto" w:fill="auto"/>
            <w:vAlign w:val="center"/>
          </w:tcPr>
          <w:p w14:paraId="4DD40A9A">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eastAsia" w:eastAsia="宋体"/>
                <w:color w:val="auto"/>
                <w:sz w:val="22"/>
                <w:szCs w:val="22"/>
                <w:highlight w:val="none"/>
                <w:lang w:val="en-US" w:eastAsia="zh-CN"/>
              </w:rPr>
            </w:pPr>
            <w:r>
              <w:rPr>
                <w:rFonts w:hint="eastAsia"/>
                <w:color w:val="auto"/>
                <w:sz w:val="22"/>
                <w:szCs w:val="22"/>
                <w:highlight w:val="none"/>
                <w:lang w:val="en-US" w:eastAsia="zh-CN"/>
              </w:rPr>
              <w:t>西北</w:t>
            </w:r>
          </w:p>
        </w:tc>
        <w:tc>
          <w:tcPr>
            <w:tcW w:w="333" w:type="pct"/>
            <w:shd w:val="clear" w:color="auto" w:fill="auto"/>
            <w:vAlign w:val="center"/>
          </w:tcPr>
          <w:p w14:paraId="21F078A4">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bottom"/>
              <w:rPr>
                <w:rFonts w:hint="eastAsia" w:eastAsia="宋体"/>
                <w:color w:val="auto"/>
                <w:sz w:val="22"/>
                <w:szCs w:val="22"/>
                <w:highlight w:val="none"/>
                <w:lang w:val="en-US" w:eastAsia="zh-CN"/>
              </w:rPr>
            </w:pPr>
            <w:r>
              <w:rPr>
                <w:rFonts w:hint="eastAsia"/>
                <w:color w:val="auto"/>
                <w:sz w:val="22"/>
                <w:szCs w:val="22"/>
                <w:highlight w:val="none"/>
                <w:lang w:val="en-US" w:eastAsia="zh-CN"/>
              </w:rPr>
              <w:t>东南</w:t>
            </w:r>
          </w:p>
        </w:tc>
        <w:tc>
          <w:tcPr>
            <w:tcW w:w="272" w:type="pct"/>
            <w:shd w:val="clear" w:color="auto" w:fill="auto"/>
            <w:vAlign w:val="center"/>
          </w:tcPr>
          <w:p w14:paraId="72787E8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bottom"/>
              <w:rPr>
                <w:rFonts w:hint="eastAsia" w:eastAsia="宋体"/>
                <w:color w:val="auto"/>
                <w:sz w:val="22"/>
                <w:szCs w:val="22"/>
                <w:highlight w:val="none"/>
                <w:lang w:val="en-US" w:eastAsia="zh-CN"/>
              </w:rPr>
            </w:pPr>
            <w:r>
              <w:rPr>
                <w:rFonts w:hint="eastAsia"/>
                <w:color w:val="auto"/>
                <w:sz w:val="22"/>
                <w:szCs w:val="22"/>
                <w:highlight w:val="none"/>
                <w:lang w:val="en-US" w:eastAsia="zh-CN"/>
              </w:rPr>
              <w:t>西南</w:t>
            </w:r>
          </w:p>
        </w:tc>
        <w:tc>
          <w:tcPr>
            <w:tcW w:w="255" w:type="pct"/>
            <w:shd w:val="clear" w:color="auto" w:fill="auto"/>
            <w:vAlign w:val="center"/>
          </w:tcPr>
          <w:p w14:paraId="17558DCB">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bottom"/>
              <w:rPr>
                <w:rFonts w:hint="eastAsia" w:eastAsia="宋体"/>
                <w:color w:val="auto"/>
                <w:sz w:val="22"/>
                <w:szCs w:val="22"/>
                <w:highlight w:val="none"/>
                <w:lang w:val="en-US" w:eastAsia="zh-CN"/>
              </w:rPr>
            </w:pPr>
            <w:r>
              <w:rPr>
                <w:rFonts w:hint="eastAsia"/>
                <w:color w:val="auto"/>
                <w:sz w:val="22"/>
                <w:szCs w:val="22"/>
                <w:highlight w:val="none"/>
                <w:lang w:val="en-US" w:eastAsia="zh-CN"/>
              </w:rPr>
              <w:t>东北</w:t>
            </w:r>
          </w:p>
        </w:tc>
        <w:tc>
          <w:tcPr>
            <w:tcW w:w="512" w:type="pct"/>
            <w:vMerge w:val="continue"/>
            <w:shd w:val="clear" w:color="auto" w:fill="auto"/>
            <w:vAlign w:val="center"/>
          </w:tcPr>
          <w:p w14:paraId="465CB0ED">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color w:val="auto"/>
                <w:sz w:val="22"/>
                <w:szCs w:val="22"/>
                <w:highlight w:val="none"/>
              </w:rPr>
            </w:pPr>
          </w:p>
        </w:tc>
      </w:tr>
      <w:tr w14:paraId="624B1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7" w:type="pct"/>
            <w:shd w:val="clear" w:color="auto" w:fill="auto"/>
            <w:noWrap/>
            <w:vAlign w:val="center"/>
          </w:tcPr>
          <w:p w14:paraId="56430155">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color w:val="auto"/>
                <w:sz w:val="22"/>
                <w:szCs w:val="22"/>
                <w:highlight w:val="none"/>
              </w:rPr>
            </w:pPr>
            <w:r>
              <w:rPr>
                <w:color w:val="auto"/>
                <w:kern w:val="0"/>
                <w:sz w:val="22"/>
                <w:szCs w:val="22"/>
                <w:highlight w:val="none"/>
                <w:lang w:bidi="ar"/>
              </w:rPr>
              <w:t>1</w:t>
            </w:r>
          </w:p>
        </w:tc>
        <w:tc>
          <w:tcPr>
            <w:tcW w:w="1308" w:type="pct"/>
            <w:shd w:val="clear" w:color="auto" w:fill="auto"/>
            <w:noWrap/>
            <w:vAlign w:val="center"/>
          </w:tcPr>
          <w:p w14:paraId="3F7A76AF">
            <w:pPr>
              <w:pStyle w:val="41"/>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eastAsiaTheme="minorEastAsia"/>
                <w:color w:val="auto"/>
                <w:kern w:val="2"/>
                <w:sz w:val="22"/>
                <w:szCs w:val="22"/>
                <w:lang w:val="en-US" w:eastAsia="zh-CN" w:bidi="ar-SA"/>
              </w:rPr>
            </w:pPr>
            <w:r>
              <w:rPr>
                <w:rFonts w:hint="eastAsia" w:eastAsiaTheme="minorEastAsia"/>
                <w:color w:val="auto"/>
                <w:sz w:val="22"/>
                <w:szCs w:val="22"/>
                <w:lang w:val="en-US" w:eastAsia="zh-CN"/>
              </w:rPr>
              <w:t>布袋除尘风机（风量为30000m</w:t>
            </w:r>
            <w:r>
              <w:rPr>
                <w:rFonts w:hint="eastAsia" w:eastAsiaTheme="minorEastAsia"/>
                <w:color w:val="auto"/>
                <w:sz w:val="22"/>
                <w:szCs w:val="22"/>
                <w:vertAlign w:val="superscript"/>
                <w:lang w:val="en-US" w:eastAsia="zh-CN"/>
              </w:rPr>
              <w:t>3</w:t>
            </w:r>
            <w:r>
              <w:rPr>
                <w:rFonts w:hint="eastAsia" w:eastAsiaTheme="minorEastAsia"/>
                <w:color w:val="auto"/>
                <w:sz w:val="22"/>
                <w:szCs w:val="22"/>
                <w:lang w:val="en-US" w:eastAsia="zh-CN"/>
              </w:rPr>
              <w:t>/h）</w:t>
            </w:r>
          </w:p>
        </w:tc>
        <w:tc>
          <w:tcPr>
            <w:tcW w:w="265" w:type="pct"/>
            <w:shd w:val="clear" w:color="auto" w:fill="auto"/>
            <w:noWrap/>
            <w:vAlign w:val="center"/>
          </w:tcPr>
          <w:p w14:paraId="322DC6DB">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color w:val="auto"/>
                <w:sz w:val="22"/>
                <w:szCs w:val="22"/>
                <w:highlight w:val="none"/>
              </w:rPr>
            </w:pPr>
            <w:r>
              <w:rPr>
                <w:color w:val="auto"/>
                <w:kern w:val="0"/>
                <w:sz w:val="22"/>
                <w:szCs w:val="22"/>
                <w:highlight w:val="none"/>
                <w:lang w:bidi="ar"/>
              </w:rPr>
              <w:t>风机</w:t>
            </w:r>
          </w:p>
        </w:tc>
        <w:tc>
          <w:tcPr>
            <w:tcW w:w="596" w:type="pct"/>
            <w:shd w:val="clear" w:color="auto" w:fill="auto"/>
            <w:noWrap/>
            <w:vAlign w:val="center"/>
          </w:tcPr>
          <w:p w14:paraId="77893BE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eastAsia="宋体"/>
                <w:color w:val="auto"/>
                <w:sz w:val="22"/>
                <w:szCs w:val="22"/>
                <w:highlight w:val="none"/>
                <w:lang w:val="en-US" w:eastAsia="zh-CN"/>
              </w:rPr>
            </w:pPr>
            <w:r>
              <w:rPr>
                <w:rFonts w:hint="eastAsia" w:eastAsia="宋体"/>
                <w:color w:val="auto"/>
                <w:sz w:val="22"/>
                <w:szCs w:val="22"/>
                <w:highlight w:val="none"/>
                <w:lang w:val="en-US" w:eastAsia="zh-CN"/>
              </w:rPr>
              <w:t>95</w:t>
            </w:r>
          </w:p>
        </w:tc>
        <w:tc>
          <w:tcPr>
            <w:tcW w:w="329" w:type="pct"/>
            <w:shd w:val="clear" w:color="auto" w:fill="auto"/>
            <w:noWrap/>
            <w:vAlign w:val="center"/>
          </w:tcPr>
          <w:p w14:paraId="2AD264E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color w:val="auto"/>
                <w:sz w:val="22"/>
                <w:szCs w:val="22"/>
                <w:highlight w:val="none"/>
              </w:rPr>
            </w:pPr>
            <w:r>
              <w:rPr>
                <w:color w:val="auto"/>
                <w:kern w:val="0"/>
                <w:sz w:val="22"/>
                <w:szCs w:val="22"/>
                <w:highlight w:val="none"/>
                <w:lang w:bidi="ar"/>
              </w:rPr>
              <w:t>基础减振</w:t>
            </w:r>
          </w:p>
        </w:tc>
        <w:tc>
          <w:tcPr>
            <w:tcW w:w="211" w:type="pct"/>
            <w:shd w:val="clear" w:color="auto" w:fill="auto"/>
            <w:noWrap/>
            <w:vAlign w:val="center"/>
          </w:tcPr>
          <w:p w14:paraId="6F803984">
            <w:pPr>
              <w:pStyle w:val="41"/>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kern w:val="2"/>
                <w:sz w:val="22"/>
                <w:szCs w:val="22"/>
                <w:lang w:val="en-US" w:eastAsia="zh-CN" w:bidi="ar-SA"/>
              </w:rPr>
              <w:t>14</w:t>
            </w:r>
          </w:p>
        </w:tc>
        <w:tc>
          <w:tcPr>
            <w:tcW w:w="225" w:type="pct"/>
            <w:shd w:val="clear" w:color="auto" w:fill="auto"/>
            <w:noWrap/>
            <w:vAlign w:val="center"/>
          </w:tcPr>
          <w:p w14:paraId="3EE06F0B">
            <w:pPr>
              <w:pStyle w:val="41"/>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eastAsiaTheme="minorEastAsia"/>
                <w:color w:val="auto"/>
                <w:kern w:val="2"/>
                <w:sz w:val="22"/>
                <w:szCs w:val="22"/>
                <w:lang w:val="en-US" w:eastAsia="zh-CN" w:bidi="ar-SA"/>
              </w:rPr>
            </w:pPr>
            <w:r>
              <w:rPr>
                <w:rFonts w:hint="eastAsia" w:ascii="Times New Roman" w:hAnsi="Times New Roman" w:cs="Times New Roman" w:eastAsiaTheme="minorEastAsia"/>
                <w:color w:val="auto"/>
                <w:kern w:val="2"/>
                <w:sz w:val="22"/>
                <w:szCs w:val="22"/>
                <w:lang w:val="en-US" w:eastAsia="zh-CN" w:bidi="ar-SA"/>
              </w:rPr>
              <w:t>35</w:t>
            </w:r>
          </w:p>
        </w:tc>
        <w:tc>
          <w:tcPr>
            <w:tcW w:w="250" w:type="pct"/>
            <w:shd w:val="clear" w:color="auto" w:fill="auto"/>
            <w:noWrap/>
            <w:vAlign w:val="center"/>
          </w:tcPr>
          <w:p w14:paraId="75BF8595">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0.5</w:t>
            </w:r>
          </w:p>
        </w:tc>
        <w:tc>
          <w:tcPr>
            <w:tcW w:w="281" w:type="pct"/>
            <w:shd w:val="clear" w:color="auto" w:fill="auto"/>
            <w:noWrap/>
            <w:vAlign w:val="center"/>
          </w:tcPr>
          <w:p w14:paraId="09EA8A95">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w:t>
            </w:r>
          </w:p>
        </w:tc>
        <w:tc>
          <w:tcPr>
            <w:tcW w:w="333" w:type="pct"/>
            <w:shd w:val="clear" w:color="auto" w:fill="auto"/>
            <w:noWrap/>
            <w:vAlign w:val="center"/>
          </w:tcPr>
          <w:p w14:paraId="16BFD06A">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66</w:t>
            </w:r>
          </w:p>
        </w:tc>
        <w:tc>
          <w:tcPr>
            <w:tcW w:w="272" w:type="pct"/>
            <w:shd w:val="clear" w:color="auto" w:fill="auto"/>
            <w:noWrap/>
            <w:vAlign w:val="center"/>
          </w:tcPr>
          <w:p w14:paraId="6F51157A">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45</w:t>
            </w:r>
          </w:p>
        </w:tc>
        <w:tc>
          <w:tcPr>
            <w:tcW w:w="255" w:type="pct"/>
            <w:shd w:val="clear" w:color="auto" w:fill="auto"/>
            <w:noWrap/>
            <w:vAlign w:val="center"/>
          </w:tcPr>
          <w:p w14:paraId="581F9DE7">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w:t>
            </w:r>
          </w:p>
        </w:tc>
        <w:tc>
          <w:tcPr>
            <w:tcW w:w="512" w:type="pct"/>
            <w:shd w:val="clear" w:color="auto" w:fill="auto"/>
            <w:noWrap/>
            <w:vAlign w:val="center"/>
          </w:tcPr>
          <w:p w14:paraId="5A023120">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eastAsia="宋体"/>
                <w:color w:val="auto"/>
                <w:sz w:val="22"/>
                <w:szCs w:val="22"/>
                <w:highlight w:val="none"/>
                <w:lang w:val="en-US" w:eastAsia="zh-CN"/>
              </w:rPr>
            </w:pPr>
            <w:r>
              <w:rPr>
                <w:color w:val="auto"/>
                <w:kern w:val="0"/>
                <w:sz w:val="22"/>
                <w:szCs w:val="22"/>
                <w:highlight w:val="none"/>
                <w:lang w:bidi="ar"/>
              </w:rPr>
              <w:t>昼间</w:t>
            </w:r>
            <w:r>
              <w:rPr>
                <w:rFonts w:hint="eastAsia"/>
                <w:color w:val="auto"/>
                <w:kern w:val="0"/>
                <w:sz w:val="22"/>
                <w:szCs w:val="22"/>
                <w:highlight w:val="none"/>
                <w:lang w:eastAsia="zh-CN" w:bidi="ar"/>
              </w:rPr>
              <w:t>、</w:t>
            </w:r>
            <w:r>
              <w:rPr>
                <w:rFonts w:hint="eastAsia"/>
                <w:color w:val="auto"/>
                <w:kern w:val="0"/>
                <w:sz w:val="22"/>
                <w:szCs w:val="22"/>
                <w:highlight w:val="none"/>
                <w:lang w:val="en-US" w:eastAsia="zh-CN" w:bidi="ar"/>
              </w:rPr>
              <w:t>夜间</w:t>
            </w:r>
          </w:p>
        </w:tc>
      </w:tr>
      <w:tr w14:paraId="7F85F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13"/>
            <w:shd w:val="clear" w:color="auto" w:fill="auto"/>
            <w:noWrap/>
            <w:vAlign w:val="center"/>
          </w:tcPr>
          <w:p w14:paraId="170E4F7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color w:val="auto"/>
                <w:sz w:val="22"/>
                <w:szCs w:val="22"/>
                <w:highlight w:val="none"/>
              </w:rPr>
            </w:pPr>
            <w:r>
              <w:rPr>
                <w:color w:val="auto"/>
                <w:kern w:val="0"/>
                <w:sz w:val="22"/>
                <w:szCs w:val="22"/>
                <w:highlight w:val="none"/>
                <w:lang w:bidi="ar"/>
              </w:rPr>
              <w:t>以项目</w:t>
            </w:r>
            <w:r>
              <w:rPr>
                <w:rFonts w:hint="eastAsia"/>
                <w:color w:val="auto"/>
                <w:kern w:val="0"/>
                <w:sz w:val="22"/>
                <w:szCs w:val="22"/>
                <w:highlight w:val="none"/>
                <w:lang w:val="en-US" w:eastAsia="zh-CN" w:bidi="ar"/>
              </w:rPr>
              <w:t>租赁区域</w:t>
            </w:r>
            <w:r>
              <w:rPr>
                <w:color w:val="auto"/>
                <w:kern w:val="0"/>
                <w:sz w:val="22"/>
                <w:szCs w:val="22"/>
                <w:highlight w:val="none"/>
                <w:lang w:bidi="ar"/>
              </w:rPr>
              <w:t>中心为原点（0,0）。</w:t>
            </w:r>
          </w:p>
        </w:tc>
      </w:tr>
    </w:tbl>
    <w:p w14:paraId="7E5D2F69">
      <w:pPr>
        <w:rPr>
          <w:rFonts w:hint="default"/>
          <w:color w:val="auto"/>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p>
    <w:tbl>
      <w:tblPr>
        <w:tblStyle w:val="18"/>
        <w:tblW w:w="82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7802"/>
      </w:tblGrid>
      <w:tr w14:paraId="51333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6" w:hRule="atLeast"/>
        </w:trPr>
        <w:tc>
          <w:tcPr>
            <w:tcW w:w="497" w:type="dxa"/>
          </w:tcPr>
          <w:p w14:paraId="0AF73571">
            <w:pPr>
              <w:rPr>
                <w:rFonts w:hint="default"/>
                <w:color w:val="auto"/>
                <w:vertAlign w:val="baseline"/>
                <w:lang w:val="en-US" w:eastAsia="zh-CN"/>
              </w:rPr>
            </w:pPr>
          </w:p>
        </w:tc>
        <w:tc>
          <w:tcPr>
            <w:tcW w:w="7802" w:type="dxa"/>
          </w:tcPr>
          <w:p w14:paraId="58C34A53">
            <w:pPr>
              <w:pStyle w:val="27"/>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baseline"/>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本项目租赁厂区现有3号厂房的一层西侧区域，3#厂房</w:t>
            </w:r>
            <w:r>
              <w:rPr>
                <w:rFonts w:hint="eastAsia" w:eastAsia="宋体" w:cs="Times New Roman"/>
                <w:color w:val="auto"/>
                <w:sz w:val="26"/>
                <w:szCs w:val="26"/>
                <w:lang w:val="en-US" w:eastAsia="zh-CN"/>
              </w:rPr>
              <w:t>距离</w:t>
            </w:r>
            <w:r>
              <w:rPr>
                <w:rFonts w:hint="eastAsia" w:ascii="Times New Roman" w:hAnsi="Times New Roman" w:eastAsia="宋体" w:cs="Times New Roman"/>
                <w:color w:val="auto"/>
                <w:sz w:val="26"/>
                <w:szCs w:val="26"/>
                <w:lang w:val="en-US" w:eastAsia="zh-CN"/>
              </w:rPr>
              <w:t>厂区</w:t>
            </w:r>
            <w:r>
              <w:rPr>
                <w:rFonts w:hint="eastAsia" w:eastAsia="宋体" w:cs="Times New Roman"/>
                <w:color w:val="auto"/>
                <w:sz w:val="26"/>
                <w:szCs w:val="26"/>
                <w:lang w:val="en-US" w:eastAsia="zh-CN"/>
              </w:rPr>
              <w:t>西</w:t>
            </w:r>
            <w:r>
              <w:rPr>
                <w:rFonts w:hint="eastAsia" w:ascii="Times New Roman" w:hAnsi="Times New Roman" w:eastAsia="宋体" w:cs="Times New Roman"/>
                <w:color w:val="auto"/>
                <w:sz w:val="26"/>
                <w:szCs w:val="26"/>
                <w:lang w:val="en-US" w:eastAsia="zh-CN"/>
              </w:rPr>
              <w:t>南厂界和</w:t>
            </w:r>
            <w:r>
              <w:rPr>
                <w:rFonts w:hint="eastAsia" w:eastAsia="宋体" w:cs="Times New Roman"/>
                <w:color w:val="auto"/>
                <w:sz w:val="26"/>
                <w:szCs w:val="26"/>
                <w:lang w:val="en-US" w:eastAsia="zh-CN"/>
              </w:rPr>
              <w:t>东南</w:t>
            </w:r>
            <w:r>
              <w:rPr>
                <w:rFonts w:hint="eastAsia" w:ascii="Times New Roman" w:hAnsi="Times New Roman" w:eastAsia="宋体" w:cs="Times New Roman"/>
                <w:color w:val="auto"/>
                <w:sz w:val="26"/>
                <w:szCs w:val="26"/>
                <w:lang w:val="en-US" w:eastAsia="zh-CN"/>
              </w:rPr>
              <w:t>厂界较近，</w:t>
            </w:r>
            <w:r>
              <w:rPr>
                <w:rFonts w:hint="eastAsia" w:eastAsia="宋体" w:cs="Times New Roman"/>
                <w:color w:val="auto"/>
                <w:sz w:val="26"/>
                <w:szCs w:val="26"/>
                <w:lang w:val="en-US" w:eastAsia="zh-CN"/>
              </w:rPr>
              <w:t>距离西北厂界90m，距离东北厂界74m，车间东侧临其他项目，3#厂房北侧临其他项目。</w:t>
            </w:r>
            <w:r>
              <w:rPr>
                <w:rFonts w:hint="eastAsia" w:ascii="Times New Roman" w:hAnsi="Times New Roman" w:eastAsia="宋体" w:cs="Times New Roman"/>
                <w:color w:val="auto"/>
                <w:sz w:val="26"/>
                <w:szCs w:val="26"/>
                <w:lang w:val="en-US" w:eastAsia="zh-CN"/>
              </w:rPr>
              <w:t>因此本次噪声预测主要对</w:t>
            </w:r>
            <w:r>
              <w:rPr>
                <w:rFonts w:hint="eastAsia" w:eastAsia="宋体" w:cs="Times New Roman"/>
                <w:color w:val="auto"/>
                <w:sz w:val="26"/>
                <w:szCs w:val="26"/>
                <w:lang w:val="en-US" w:eastAsia="zh-CN"/>
              </w:rPr>
              <w:t>西</w:t>
            </w:r>
            <w:r>
              <w:rPr>
                <w:rFonts w:hint="eastAsia" w:ascii="Times New Roman" w:hAnsi="Times New Roman" w:eastAsia="宋体" w:cs="Times New Roman"/>
                <w:color w:val="auto"/>
                <w:sz w:val="26"/>
                <w:szCs w:val="26"/>
                <w:lang w:val="en-US" w:eastAsia="zh-CN"/>
              </w:rPr>
              <w:t>南厂界和</w:t>
            </w:r>
            <w:r>
              <w:rPr>
                <w:rFonts w:hint="eastAsia" w:eastAsia="宋体" w:cs="Times New Roman"/>
                <w:color w:val="auto"/>
                <w:sz w:val="26"/>
                <w:szCs w:val="26"/>
                <w:lang w:val="en-US" w:eastAsia="zh-CN"/>
              </w:rPr>
              <w:t>东南</w:t>
            </w:r>
            <w:r>
              <w:rPr>
                <w:rFonts w:hint="eastAsia" w:ascii="Times New Roman" w:hAnsi="Times New Roman" w:eastAsia="宋体" w:cs="Times New Roman"/>
                <w:color w:val="auto"/>
                <w:sz w:val="26"/>
                <w:szCs w:val="26"/>
                <w:lang w:val="en-US" w:eastAsia="zh-CN"/>
              </w:rPr>
              <w:t>厂界进行评价。</w:t>
            </w:r>
          </w:p>
          <w:p w14:paraId="4D288603">
            <w:pPr>
              <w:rPr>
                <w:rFonts w:hint="default"/>
                <w:color w:val="auto"/>
              </w:rPr>
            </w:pPr>
          </w:p>
          <w:p w14:paraId="795B15A9">
            <w:pPr>
              <w:pStyle w:val="27"/>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baseline"/>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表</w:t>
            </w:r>
            <w:r>
              <w:rPr>
                <w:rFonts w:hint="default" w:ascii="Times New Roman" w:hAnsi="Times New Roman" w:eastAsia="宋体" w:cs="Times New Roman"/>
                <w:color w:val="auto"/>
                <w:sz w:val="26"/>
                <w:szCs w:val="26"/>
                <w:lang w:val="en-US" w:eastAsia="zh-CN"/>
              </w:rPr>
              <w:t xml:space="preserve">4.2-8 </w:t>
            </w:r>
            <w:r>
              <w:rPr>
                <w:rFonts w:hint="eastAsia" w:ascii="Times New Roman" w:hAnsi="Times New Roman" w:eastAsia="宋体" w:cs="Times New Roman"/>
                <w:color w:val="auto"/>
                <w:sz w:val="26"/>
                <w:szCs w:val="26"/>
                <w:lang w:val="en-US" w:eastAsia="zh-CN"/>
              </w:rPr>
              <w:t xml:space="preserve">   </w:t>
            </w:r>
            <w:r>
              <w:rPr>
                <w:rFonts w:hint="default" w:ascii="Times New Roman" w:hAnsi="Times New Roman" w:eastAsia="宋体" w:cs="Times New Roman"/>
                <w:color w:val="auto"/>
                <w:sz w:val="26"/>
                <w:szCs w:val="26"/>
              </w:rPr>
              <w:t>各方位厂界噪声预测结果</w:t>
            </w:r>
            <w:r>
              <w:rPr>
                <w:rFonts w:hint="default" w:ascii="Times New Roman" w:hAnsi="Times New Roman" w:eastAsia="宋体" w:cs="Times New Roman"/>
                <w:color w:val="auto"/>
                <w:sz w:val="26"/>
                <w:szCs w:val="26"/>
                <w:lang w:val="en-US" w:eastAsia="zh-CN"/>
              </w:rPr>
              <w:t xml:space="preserve">  </w:t>
            </w:r>
            <w:r>
              <w:rPr>
                <w:rFonts w:hint="default" w:ascii="Times New Roman" w:hAnsi="Times New Roman" w:eastAsia="宋体" w:cs="Times New Roman"/>
                <w:color w:val="auto"/>
                <w:sz w:val="26"/>
                <w:szCs w:val="26"/>
              </w:rPr>
              <w:t>单位：dB（A）</w:t>
            </w:r>
          </w:p>
          <w:tbl>
            <w:tblPr>
              <w:tblStyle w:val="17"/>
              <w:tblW w:w="484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52"/>
              <w:gridCol w:w="1013"/>
              <w:gridCol w:w="1181"/>
              <w:gridCol w:w="1013"/>
              <w:gridCol w:w="1038"/>
              <w:gridCol w:w="927"/>
              <w:gridCol w:w="928"/>
            </w:tblGrid>
            <w:tr w14:paraId="6095DB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2" w:hRule="atLeast"/>
                <w:jc w:val="center"/>
              </w:trPr>
              <w:tc>
                <w:tcPr>
                  <w:tcW w:w="851" w:type="pct"/>
                  <w:vMerge w:val="restart"/>
                  <w:noWrap w:val="0"/>
                  <w:vAlign w:val="center"/>
                </w:tcPr>
                <w:p w14:paraId="613BC9E2">
                  <w:pPr>
                    <w:keepNext w:val="0"/>
                    <w:keepLines w:val="0"/>
                    <w:pageBreakBefore w:val="0"/>
                    <w:kinsoku/>
                    <w:wordWrap/>
                    <w:overflowPunct/>
                    <w:topLinePunct w:val="0"/>
                    <w:bidi w:val="0"/>
                    <w:adjustRightInd w:val="0"/>
                    <w:snapToGrid w:val="0"/>
                    <w:spacing w:line="240" w:lineRule="auto"/>
                    <w:ind w:firstLine="0" w:firstLineChars="0"/>
                    <w:jc w:val="center"/>
                    <w:rPr>
                      <w:color w:val="auto"/>
                      <w:sz w:val="22"/>
                      <w:szCs w:val="22"/>
                    </w:rPr>
                  </w:pPr>
                  <w:r>
                    <w:rPr>
                      <w:color w:val="auto"/>
                      <w:sz w:val="22"/>
                      <w:szCs w:val="22"/>
                    </w:rPr>
                    <w:t>厂界</w:t>
                  </w:r>
                </w:p>
              </w:tc>
              <w:tc>
                <w:tcPr>
                  <w:tcW w:w="688" w:type="pct"/>
                  <w:vMerge w:val="restart"/>
                  <w:noWrap w:val="0"/>
                  <w:vAlign w:val="center"/>
                </w:tcPr>
                <w:p w14:paraId="12C8572C">
                  <w:pPr>
                    <w:keepNext w:val="0"/>
                    <w:keepLines w:val="0"/>
                    <w:pageBreakBefore w:val="0"/>
                    <w:kinsoku/>
                    <w:wordWrap/>
                    <w:overflowPunct/>
                    <w:topLinePunct w:val="0"/>
                    <w:bidi w:val="0"/>
                    <w:adjustRightInd w:val="0"/>
                    <w:snapToGrid w:val="0"/>
                    <w:spacing w:line="240" w:lineRule="auto"/>
                    <w:ind w:firstLine="0" w:firstLineChars="0"/>
                    <w:jc w:val="center"/>
                    <w:rPr>
                      <w:color w:val="auto"/>
                      <w:sz w:val="22"/>
                      <w:szCs w:val="22"/>
                    </w:rPr>
                  </w:pPr>
                  <w:r>
                    <w:rPr>
                      <w:rFonts w:hint="eastAsia"/>
                      <w:color w:val="auto"/>
                      <w:sz w:val="22"/>
                      <w:szCs w:val="22"/>
                    </w:rPr>
                    <w:t>声源位置</w:t>
                  </w:r>
                </w:p>
              </w:tc>
              <w:tc>
                <w:tcPr>
                  <w:tcW w:w="803" w:type="pct"/>
                  <w:vMerge w:val="restart"/>
                  <w:noWrap w:val="0"/>
                  <w:vAlign w:val="center"/>
                </w:tcPr>
                <w:p w14:paraId="3AC8AEFF">
                  <w:pPr>
                    <w:keepNext w:val="0"/>
                    <w:keepLines w:val="0"/>
                    <w:pageBreakBefore w:val="0"/>
                    <w:kinsoku/>
                    <w:wordWrap/>
                    <w:overflowPunct/>
                    <w:topLinePunct w:val="0"/>
                    <w:bidi w:val="0"/>
                    <w:adjustRightInd w:val="0"/>
                    <w:snapToGrid w:val="0"/>
                    <w:spacing w:line="240" w:lineRule="auto"/>
                    <w:ind w:firstLine="0" w:firstLineChars="0"/>
                    <w:jc w:val="center"/>
                    <w:rPr>
                      <w:color w:val="auto"/>
                      <w:sz w:val="22"/>
                      <w:szCs w:val="22"/>
                    </w:rPr>
                  </w:pPr>
                  <w:r>
                    <w:rPr>
                      <w:color w:val="auto"/>
                      <w:sz w:val="22"/>
                      <w:szCs w:val="22"/>
                    </w:rPr>
                    <w:t>主要影响声源</w:t>
                  </w:r>
                </w:p>
              </w:tc>
              <w:tc>
                <w:tcPr>
                  <w:tcW w:w="688" w:type="pct"/>
                  <w:vMerge w:val="restart"/>
                  <w:shd w:val="clear" w:color="auto" w:fill="auto"/>
                  <w:noWrap w:val="0"/>
                  <w:vAlign w:val="center"/>
                </w:tcPr>
                <w:p w14:paraId="3B0059FD">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heme="minorBidi"/>
                      <w:color w:val="auto"/>
                      <w:kern w:val="2"/>
                      <w:sz w:val="22"/>
                      <w:szCs w:val="22"/>
                      <w:lang w:val="en-US" w:eastAsia="zh-CN" w:bidi="ar-SA"/>
                    </w:rPr>
                  </w:pPr>
                  <w:r>
                    <w:rPr>
                      <w:rFonts w:hint="eastAsia"/>
                      <w:color w:val="auto"/>
                      <w:sz w:val="22"/>
                      <w:szCs w:val="22"/>
                    </w:rPr>
                    <w:t>昼间</w:t>
                  </w:r>
                  <w:r>
                    <w:rPr>
                      <w:rFonts w:hint="eastAsia"/>
                      <w:color w:val="auto"/>
                      <w:sz w:val="22"/>
                      <w:szCs w:val="22"/>
                      <w:lang w:val="en-US" w:eastAsia="zh-CN"/>
                    </w:rPr>
                    <w:t>预测值</w:t>
                  </w:r>
                </w:p>
              </w:tc>
              <w:tc>
                <w:tcPr>
                  <w:tcW w:w="705" w:type="pct"/>
                  <w:vMerge w:val="restart"/>
                  <w:shd w:val="clear" w:color="auto" w:fill="auto"/>
                  <w:noWrap w:val="0"/>
                  <w:vAlign w:val="center"/>
                </w:tcPr>
                <w:p w14:paraId="29EF2707">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heme="minorBidi"/>
                      <w:color w:val="auto"/>
                      <w:kern w:val="2"/>
                      <w:sz w:val="22"/>
                      <w:szCs w:val="22"/>
                      <w:lang w:val="en-US" w:eastAsia="zh-CN" w:bidi="ar-SA"/>
                    </w:rPr>
                  </w:pPr>
                  <w:r>
                    <w:rPr>
                      <w:rFonts w:hint="eastAsia"/>
                      <w:color w:val="auto"/>
                      <w:sz w:val="22"/>
                      <w:szCs w:val="22"/>
                    </w:rPr>
                    <w:t>夜间</w:t>
                  </w:r>
                  <w:r>
                    <w:rPr>
                      <w:rFonts w:hint="eastAsia"/>
                      <w:color w:val="auto"/>
                      <w:sz w:val="22"/>
                      <w:szCs w:val="22"/>
                      <w:lang w:val="en-US" w:eastAsia="zh-CN"/>
                    </w:rPr>
                    <w:t>预测值</w:t>
                  </w:r>
                </w:p>
              </w:tc>
              <w:tc>
                <w:tcPr>
                  <w:tcW w:w="1261" w:type="pct"/>
                  <w:gridSpan w:val="2"/>
                  <w:noWrap w:val="0"/>
                  <w:vAlign w:val="center"/>
                </w:tcPr>
                <w:p w14:paraId="438C4410">
                  <w:pPr>
                    <w:keepNext w:val="0"/>
                    <w:keepLines w:val="0"/>
                    <w:pageBreakBefore w:val="0"/>
                    <w:kinsoku/>
                    <w:wordWrap/>
                    <w:overflowPunct/>
                    <w:topLinePunct w:val="0"/>
                    <w:bidi w:val="0"/>
                    <w:adjustRightInd w:val="0"/>
                    <w:snapToGrid w:val="0"/>
                    <w:spacing w:line="240" w:lineRule="auto"/>
                    <w:ind w:firstLine="0" w:firstLineChars="0"/>
                    <w:jc w:val="center"/>
                    <w:rPr>
                      <w:rFonts w:hint="eastAsia"/>
                      <w:color w:val="auto"/>
                      <w:sz w:val="22"/>
                      <w:szCs w:val="22"/>
                      <w:lang w:val="en-US" w:eastAsia="zh-CN"/>
                    </w:rPr>
                  </w:pPr>
                  <w:r>
                    <w:rPr>
                      <w:rFonts w:hint="eastAsia"/>
                      <w:color w:val="auto"/>
                      <w:sz w:val="22"/>
                      <w:szCs w:val="22"/>
                      <w:lang w:val="en-US" w:eastAsia="zh-CN"/>
                    </w:rPr>
                    <w:t>标准值</w:t>
                  </w:r>
                </w:p>
              </w:tc>
            </w:tr>
            <w:tr w14:paraId="024751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2" w:hRule="atLeast"/>
                <w:jc w:val="center"/>
              </w:trPr>
              <w:tc>
                <w:tcPr>
                  <w:tcW w:w="851" w:type="pct"/>
                  <w:vMerge w:val="continue"/>
                  <w:noWrap w:val="0"/>
                  <w:vAlign w:val="center"/>
                </w:tcPr>
                <w:p w14:paraId="529D5630">
                  <w:pPr>
                    <w:keepNext w:val="0"/>
                    <w:keepLines w:val="0"/>
                    <w:pageBreakBefore w:val="0"/>
                    <w:kinsoku/>
                    <w:wordWrap/>
                    <w:overflowPunct/>
                    <w:topLinePunct w:val="0"/>
                    <w:bidi w:val="0"/>
                    <w:adjustRightInd w:val="0"/>
                    <w:snapToGrid w:val="0"/>
                    <w:spacing w:line="240" w:lineRule="auto"/>
                    <w:ind w:firstLine="0" w:firstLineChars="0"/>
                    <w:jc w:val="center"/>
                    <w:rPr>
                      <w:color w:val="auto"/>
                    </w:rPr>
                  </w:pPr>
                </w:p>
              </w:tc>
              <w:tc>
                <w:tcPr>
                  <w:tcW w:w="688" w:type="pct"/>
                  <w:vMerge w:val="continue"/>
                  <w:noWrap w:val="0"/>
                  <w:vAlign w:val="center"/>
                </w:tcPr>
                <w:p w14:paraId="5EC3A518">
                  <w:pPr>
                    <w:keepNext w:val="0"/>
                    <w:keepLines w:val="0"/>
                    <w:pageBreakBefore w:val="0"/>
                    <w:kinsoku/>
                    <w:wordWrap/>
                    <w:overflowPunct/>
                    <w:topLinePunct w:val="0"/>
                    <w:bidi w:val="0"/>
                    <w:adjustRightInd w:val="0"/>
                    <w:snapToGrid w:val="0"/>
                    <w:spacing w:line="240" w:lineRule="auto"/>
                    <w:ind w:firstLine="0" w:firstLineChars="0"/>
                    <w:jc w:val="center"/>
                    <w:rPr>
                      <w:color w:val="auto"/>
                    </w:rPr>
                  </w:pPr>
                </w:p>
              </w:tc>
              <w:tc>
                <w:tcPr>
                  <w:tcW w:w="803" w:type="pct"/>
                  <w:vMerge w:val="continue"/>
                  <w:noWrap w:val="0"/>
                  <w:vAlign w:val="center"/>
                </w:tcPr>
                <w:p w14:paraId="228F98B4">
                  <w:pPr>
                    <w:keepNext w:val="0"/>
                    <w:keepLines w:val="0"/>
                    <w:pageBreakBefore w:val="0"/>
                    <w:kinsoku/>
                    <w:wordWrap/>
                    <w:overflowPunct/>
                    <w:topLinePunct w:val="0"/>
                    <w:bidi w:val="0"/>
                    <w:adjustRightInd w:val="0"/>
                    <w:snapToGrid w:val="0"/>
                    <w:spacing w:line="240" w:lineRule="auto"/>
                    <w:ind w:firstLine="0" w:firstLineChars="0"/>
                    <w:jc w:val="center"/>
                    <w:rPr>
                      <w:color w:val="auto"/>
                    </w:rPr>
                  </w:pPr>
                </w:p>
              </w:tc>
              <w:tc>
                <w:tcPr>
                  <w:tcW w:w="688" w:type="pct"/>
                  <w:vMerge w:val="continue"/>
                  <w:shd w:val="clear" w:color="auto" w:fill="auto"/>
                  <w:noWrap w:val="0"/>
                  <w:vAlign w:val="center"/>
                </w:tcPr>
                <w:p w14:paraId="23F41FE7">
                  <w:pPr>
                    <w:keepNext w:val="0"/>
                    <w:keepLines w:val="0"/>
                    <w:pageBreakBefore w:val="0"/>
                    <w:kinsoku/>
                    <w:wordWrap/>
                    <w:overflowPunct/>
                    <w:topLinePunct w:val="0"/>
                    <w:bidi w:val="0"/>
                    <w:adjustRightInd w:val="0"/>
                    <w:snapToGrid w:val="0"/>
                    <w:spacing w:line="240" w:lineRule="auto"/>
                    <w:ind w:firstLine="0" w:firstLineChars="0"/>
                    <w:jc w:val="center"/>
                    <w:rPr>
                      <w:color w:val="auto"/>
                    </w:rPr>
                  </w:pPr>
                </w:p>
              </w:tc>
              <w:tc>
                <w:tcPr>
                  <w:tcW w:w="705" w:type="pct"/>
                  <w:vMerge w:val="continue"/>
                  <w:shd w:val="clear" w:color="auto" w:fill="auto"/>
                  <w:noWrap w:val="0"/>
                  <w:vAlign w:val="center"/>
                </w:tcPr>
                <w:p w14:paraId="528DF8EC">
                  <w:pPr>
                    <w:keepNext w:val="0"/>
                    <w:keepLines w:val="0"/>
                    <w:pageBreakBefore w:val="0"/>
                    <w:kinsoku/>
                    <w:wordWrap/>
                    <w:overflowPunct/>
                    <w:topLinePunct w:val="0"/>
                    <w:bidi w:val="0"/>
                    <w:adjustRightInd w:val="0"/>
                    <w:snapToGrid w:val="0"/>
                    <w:spacing w:line="240" w:lineRule="auto"/>
                    <w:ind w:firstLine="0" w:firstLineChars="0"/>
                    <w:jc w:val="center"/>
                    <w:rPr>
                      <w:color w:val="auto"/>
                    </w:rPr>
                  </w:pPr>
                </w:p>
              </w:tc>
              <w:tc>
                <w:tcPr>
                  <w:tcW w:w="630" w:type="pct"/>
                  <w:noWrap w:val="0"/>
                  <w:vAlign w:val="center"/>
                </w:tcPr>
                <w:p w14:paraId="7F0BF9B0">
                  <w:pPr>
                    <w:keepNext w:val="0"/>
                    <w:keepLines w:val="0"/>
                    <w:pageBreakBefore w:val="0"/>
                    <w:kinsoku/>
                    <w:wordWrap/>
                    <w:overflowPunct/>
                    <w:topLinePunct w:val="0"/>
                    <w:bidi w:val="0"/>
                    <w:adjustRightInd w:val="0"/>
                    <w:snapToGrid w:val="0"/>
                    <w:spacing w:line="240" w:lineRule="auto"/>
                    <w:ind w:firstLine="0" w:firstLineChars="0"/>
                    <w:jc w:val="center"/>
                    <w:rPr>
                      <w:rFonts w:hint="default"/>
                      <w:color w:val="auto"/>
                      <w:sz w:val="22"/>
                      <w:szCs w:val="22"/>
                      <w:lang w:val="en-US" w:eastAsia="zh-CN"/>
                    </w:rPr>
                  </w:pPr>
                  <w:r>
                    <w:rPr>
                      <w:rFonts w:hint="eastAsia"/>
                      <w:color w:val="auto"/>
                      <w:sz w:val="22"/>
                      <w:szCs w:val="22"/>
                      <w:lang w:val="en-US" w:eastAsia="zh-CN"/>
                    </w:rPr>
                    <w:t>昼间</w:t>
                  </w:r>
                </w:p>
              </w:tc>
              <w:tc>
                <w:tcPr>
                  <w:tcW w:w="631" w:type="pct"/>
                  <w:noWrap w:val="0"/>
                  <w:vAlign w:val="center"/>
                </w:tcPr>
                <w:p w14:paraId="1FB95DB8">
                  <w:pPr>
                    <w:keepNext w:val="0"/>
                    <w:keepLines w:val="0"/>
                    <w:pageBreakBefore w:val="0"/>
                    <w:kinsoku/>
                    <w:wordWrap/>
                    <w:overflowPunct/>
                    <w:topLinePunct w:val="0"/>
                    <w:bidi w:val="0"/>
                    <w:adjustRightInd w:val="0"/>
                    <w:snapToGrid w:val="0"/>
                    <w:spacing w:line="240" w:lineRule="auto"/>
                    <w:ind w:firstLine="0" w:firstLineChars="0"/>
                    <w:jc w:val="center"/>
                    <w:rPr>
                      <w:rFonts w:hint="default"/>
                      <w:color w:val="auto"/>
                      <w:sz w:val="22"/>
                      <w:szCs w:val="22"/>
                      <w:lang w:val="en-US" w:eastAsia="zh-CN"/>
                    </w:rPr>
                  </w:pPr>
                  <w:r>
                    <w:rPr>
                      <w:rFonts w:hint="eastAsia"/>
                      <w:color w:val="auto"/>
                      <w:sz w:val="22"/>
                      <w:szCs w:val="22"/>
                      <w:lang w:val="en-US" w:eastAsia="zh-CN"/>
                    </w:rPr>
                    <w:t>夜间</w:t>
                  </w:r>
                </w:p>
              </w:tc>
            </w:tr>
            <w:tr w14:paraId="0451E6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851" w:type="pct"/>
                  <w:noWrap w:val="0"/>
                  <w:vAlign w:val="center"/>
                </w:tcPr>
                <w:p w14:paraId="66AC551F">
                  <w:pPr>
                    <w:keepNext w:val="0"/>
                    <w:keepLines w:val="0"/>
                    <w:pageBreakBefore w:val="0"/>
                    <w:kinsoku/>
                    <w:wordWrap/>
                    <w:overflowPunct/>
                    <w:topLinePunct w:val="0"/>
                    <w:bidi w:val="0"/>
                    <w:adjustRightInd w:val="0"/>
                    <w:snapToGrid w:val="0"/>
                    <w:spacing w:line="240" w:lineRule="auto"/>
                    <w:ind w:firstLine="0" w:firstLineChars="0"/>
                    <w:jc w:val="center"/>
                    <w:rPr>
                      <w:color w:val="auto"/>
                      <w:sz w:val="22"/>
                      <w:szCs w:val="22"/>
                    </w:rPr>
                  </w:pPr>
                  <w:r>
                    <w:rPr>
                      <w:rFonts w:hint="eastAsia"/>
                      <w:color w:val="auto"/>
                      <w:sz w:val="22"/>
                      <w:szCs w:val="22"/>
                      <w:lang w:val="en-US" w:eastAsia="zh-CN"/>
                    </w:rPr>
                    <w:t>东南</w:t>
                  </w:r>
                  <w:r>
                    <w:rPr>
                      <w:color w:val="auto"/>
                      <w:sz w:val="22"/>
                      <w:szCs w:val="22"/>
                    </w:rPr>
                    <w:t>厂界</w:t>
                  </w:r>
                </w:p>
              </w:tc>
              <w:tc>
                <w:tcPr>
                  <w:tcW w:w="688" w:type="pct"/>
                  <w:noWrap w:val="0"/>
                  <w:vAlign w:val="center"/>
                </w:tcPr>
                <w:p w14:paraId="09DC3F82">
                  <w:pPr>
                    <w:keepNext w:val="0"/>
                    <w:keepLines w:val="0"/>
                    <w:pageBreakBefore w:val="0"/>
                    <w:kinsoku/>
                    <w:wordWrap/>
                    <w:overflowPunct/>
                    <w:topLinePunct w:val="0"/>
                    <w:bidi w:val="0"/>
                    <w:adjustRightInd w:val="0"/>
                    <w:snapToGrid w:val="0"/>
                    <w:spacing w:line="240" w:lineRule="auto"/>
                    <w:ind w:firstLine="0" w:firstLineChars="0"/>
                    <w:jc w:val="center"/>
                    <w:rPr>
                      <w:color w:val="auto"/>
                      <w:sz w:val="22"/>
                      <w:szCs w:val="22"/>
                    </w:rPr>
                  </w:pPr>
                  <w:r>
                    <w:rPr>
                      <w:rFonts w:hint="eastAsia"/>
                      <w:color w:val="auto"/>
                      <w:sz w:val="22"/>
                      <w:szCs w:val="22"/>
                    </w:rPr>
                    <w:t>室外</w:t>
                  </w:r>
                </w:p>
              </w:tc>
              <w:tc>
                <w:tcPr>
                  <w:tcW w:w="803" w:type="pct"/>
                  <w:noWrap w:val="0"/>
                  <w:vAlign w:val="center"/>
                </w:tcPr>
                <w:p w14:paraId="5A6AA035">
                  <w:pPr>
                    <w:pStyle w:val="37"/>
                    <w:keepNext w:val="0"/>
                    <w:keepLines w:val="0"/>
                    <w:pageBreakBefore w:val="0"/>
                    <w:kinsoku/>
                    <w:wordWrap/>
                    <w:overflowPunct/>
                    <w:topLinePunct w:val="0"/>
                    <w:bidi w:val="0"/>
                    <w:spacing w:line="240" w:lineRule="auto"/>
                    <w:ind w:firstLine="0" w:firstLineChars="0"/>
                    <w:jc w:val="center"/>
                    <w:rPr>
                      <w:rFonts w:hint="default"/>
                      <w:color w:val="auto"/>
                      <w:sz w:val="22"/>
                      <w:szCs w:val="22"/>
                      <w:lang w:val="en-US" w:eastAsia="zh-CN"/>
                    </w:rPr>
                  </w:pPr>
                  <w:r>
                    <w:rPr>
                      <w:rFonts w:hint="eastAsia"/>
                      <w:color w:val="auto"/>
                      <w:sz w:val="22"/>
                      <w:szCs w:val="22"/>
                      <w:lang w:val="en-US" w:eastAsia="zh-CN"/>
                    </w:rPr>
                    <w:t>生产设备</w:t>
                  </w:r>
                </w:p>
              </w:tc>
              <w:tc>
                <w:tcPr>
                  <w:tcW w:w="688" w:type="pct"/>
                  <w:noWrap w:val="0"/>
                  <w:vAlign w:val="center"/>
                </w:tcPr>
                <w:p w14:paraId="05450F2F">
                  <w:pPr>
                    <w:keepNext w:val="0"/>
                    <w:keepLines w:val="0"/>
                    <w:pageBreakBefore w:val="0"/>
                    <w:widowControl/>
                    <w:kinsoku/>
                    <w:wordWrap/>
                    <w:overflowPunct/>
                    <w:topLinePunct w:val="0"/>
                    <w:bidi w:val="0"/>
                    <w:spacing w:line="240" w:lineRule="auto"/>
                    <w:ind w:firstLine="0" w:firstLineChars="0"/>
                    <w:jc w:val="center"/>
                    <w:textAlignment w:val="center"/>
                    <w:rPr>
                      <w:rFonts w:hint="default" w:eastAsia="宋体"/>
                      <w:color w:val="auto"/>
                      <w:sz w:val="22"/>
                      <w:szCs w:val="22"/>
                      <w:lang w:val="en-US" w:eastAsia="zh-CN"/>
                    </w:rPr>
                  </w:pPr>
                  <w:r>
                    <w:rPr>
                      <w:rFonts w:hint="eastAsia"/>
                      <w:color w:val="auto"/>
                      <w:sz w:val="22"/>
                      <w:szCs w:val="22"/>
                      <w:lang w:val="en-US" w:eastAsia="zh-CN"/>
                    </w:rPr>
                    <w:t>49</w:t>
                  </w:r>
                </w:p>
              </w:tc>
              <w:tc>
                <w:tcPr>
                  <w:tcW w:w="705" w:type="pct"/>
                  <w:noWrap w:val="0"/>
                  <w:vAlign w:val="center"/>
                </w:tcPr>
                <w:p w14:paraId="2A8EAF81">
                  <w:pPr>
                    <w:keepNext w:val="0"/>
                    <w:keepLines w:val="0"/>
                    <w:pageBreakBefore w:val="0"/>
                    <w:widowControl/>
                    <w:kinsoku/>
                    <w:wordWrap/>
                    <w:overflowPunct/>
                    <w:topLinePunct w:val="0"/>
                    <w:bidi w:val="0"/>
                    <w:spacing w:line="240" w:lineRule="auto"/>
                    <w:ind w:firstLine="0" w:firstLineChars="0"/>
                    <w:jc w:val="center"/>
                    <w:rPr>
                      <w:rFonts w:hint="default" w:eastAsia="宋体"/>
                      <w:color w:val="auto"/>
                      <w:sz w:val="22"/>
                      <w:szCs w:val="22"/>
                      <w:lang w:val="en-US" w:eastAsia="zh-CN"/>
                    </w:rPr>
                  </w:pPr>
                  <w:r>
                    <w:rPr>
                      <w:rFonts w:hint="eastAsia"/>
                      <w:color w:val="auto"/>
                      <w:sz w:val="22"/>
                      <w:szCs w:val="22"/>
                      <w:lang w:val="en-US" w:eastAsia="zh-CN"/>
                    </w:rPr>
                    <w:t>49</w:t>
                  </w:r>
                </w:p>
              </w:tc>
              <w:tc>
                <w:tcPr>
                  <w:tcW w:w="630" w:type="pct"/>
                  <w:vMerge w:val="restart"/>
                  <w:noWrap w:val="0"/>
                  <w:vAlign w:val="center"/>
                </w:tcPr>
                <w:p w14:paraId="03250493">
                  <w:pPr>
                    <w:keepNext w:val="0"/>
                    <w:keepLines w:val="0"/>
                    <w:pageBreakBefore w:val="0"/>
                    <w:widowControl/>
                    <w:kinsoku/>
                    <w:wordWrap/>
                    <w:overflowPunct/>
                    <w:topLinePunct w:val="0"/>
                    <w:bidi w:val="0"/>
                    <w:spacing w:line="240" w:lineRule="auto"/>
                    <w:ind w:firstLine="0" w:firstLineChars="0"/>
                    <w:jc w:val="center"/>
                    <w:rPr>
                      <w:rFonts w:hint="default" w:eastAsia="宋体" w:cs="宋体"/>
                      <w:color w:val="auto"/>
                      <w:kern w:val="2"/>
                      <w:sz w:val="22"/>
                      <w:szCs w:val="22"/>
                      <w:lang w:val="en-US" w:eastAsia="zh-CN" w:bidi="ar-SA"/>
                    </w:rPr>
                  </w:pPr>
                  <w:r>
                    <w:rPr>
                      <w:rFonts w:hint="eastAsia" w:eastAsia="宋体" w:cs="宋体"/>
                      <w:color w:val="auto"/>
                      <w:kern w:val="2"/>
                      <w:sz w:val="22"/>
                      <w:szCs w:val="22"/>
                      <w:lang w:val="en-US" w:eastAsia="zh-CN" w:bidi="ar-SA"/>
                    </w:rPr>
                    <w:t>65</w:t>
                  </w:r>
                </w:p>
              </w:tc>
              <w:tc>
                <w:tcPr>
                  <w:tcW w:w="631" w:type="pct"/>
                  <w:vMerge w:val="restart"/>
                  <w:noWrap w:val="0"/>
                  <w:vAlign w:val="center"/>
                </w:tcPr>
                <w:p w14:paraId="3D1A388E">
                  <w:pPr>
                    <w:keepNext w:val="0"/>
                    <w:keepLines w:val="0"/>
                    <w:pageBreakBefore w:val="0"/>
                    <w:widowControl/>
                    <w:kinsoku/>
                    <w:wordWrap/>
                    <w:overflowPunct/>
                    <w:topLinePunct w:val="0"/>
                    <w:bidi w:val="0"/>
                    <w:spacing w:line="240" w:lineRule="auto"/>
                    <w:ind w:firstLine="0" w:firstLineChars="0"/>
                    <w:jc w:val="center"/>
                    <w:rPr>
                      <w:rFonts w:hint="default" w:eastAsia="宋体" w:cs="宋体"/>
                      <w:color w:val="auto"/>
                      <w:kern w:val="2"/>
                      <w:sz w:val="22"/>
                      <w:szCs w:val="22"/>
                      <w:lang w:val="en-US" w:eastAsia="zh-CN" w:bidi="ar-SA"/>
                    </w:rPr>
                  </w:pPr>
                  <w:r>
                    <w:rPr>
                      <w:rFonts w:hint="eastAsia" w:eastAsia="宋体" w:cs="宋体"/>
                      <w:color w:val="auto"/>
                      <w:kern w:val="2"/>
                      <w:sz w:val="22"/>
                      <w:szCs w:val="22"/>
                      <w:lang w:val="en-US" w:eastAsia="zh-CN" w:bidi="ar-SA"/>
                    </w:rPr>
                    <w:t>55</w:t>
                  </w:r>
                </w:p>
              </w:tc>
            </w:tr>
            <w:tr w14:paraId="65ED53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8" w:hRule="atLeast"/>
                <w:jc w:val="center"/>
              </w:trPr>
              <w:tc>
                <w:tcPr>
                  <w:tcW w:w="851" w:type="pct"/>
                  <w:noWrap w:val="0"/>
                  <w:vAlign w:val="center"/>
                </w:tcPr>
                <w:p w14:paraId="5260691D">
                  <w:pPr>
                    <w:keepNext w:val="0"/>
                    <w:keepLines w:val="0"/>
                    <w:pageBreakBefore w:val="0"/>
                    <w:kinsoku/>
                    <w:wordWrap/>
                    <w:overflowPunct/>
                    <w:topLinePunct w:val="0"/>
                    <w:bidi w:val="0"/>
                    <w:adjustRightInd w:val="0"/>
                    <w:snapToGrid w:val="0"/>
                    <w:spacing w:line="240" w:lineRule="auto"/>
                    <w:ind w:firstLine="0" w:firstLineChars="0"/>
                    <w:jc w:val="center"/>
                    <w:rPr>
                      <w:color w:val="auto"/>
                      <w:sz w:val="22"/>
                      <w:szCs w:val="22"/>
                    </w:rPr>
                  </w:pPr>
                  <w:r>
                    <w:rPr>
                      <w:rFonts w:hint="eastAsia"/>
                      <w:color w:val="auto"/>
                      <w:sz w:val="22"/>
                      <w:szCs w:val="22"/>
                      <w:lang w:val="en-US" w:eastAsia="zh-CN"/>
                    </w:rPr>
                    <w:t>西南</w:t>
                  </w:r>
                  <w:r>
                    <w:rPr>
                      <w:color w:val="auto"/>
                      <w:sz w:val="22"/>
                      <w:szCs w:val="22"/>
                    </w:rPr>
                    <w:t>厂界</w:t>
                  </w:r>
                </w:p>
              </w:tc>
              <w:tc>
                <w:tcPr>
                  <w:tcW w:w="688" w:type="pct"/>
                  <w:noWrap w:val="0"/>
                  <w:vAlign w:val="center"/>
                </w:tcPr>
                <w:p w14:paraId="55EE423C">
                  <w:pPr>
                    <w:keepNext w:val="0"/>
                    <w:keepLines w:val="0"/>
                    <w:pageBreakBefore w:val="0"/>
                    <w:kinsoku/>
                    <w:wordWrap/>
                    <w:overflowPunct/>
                    <w:topLinePunct w:val="0"/>
                    <w:bidi w:val="0"/>
                    <w:adjustRightInd w:val="0"/>
                    <w:snapToGrid w:val="0"/>
                    <w:spacing w:line="240" w:lineRule="auto"/>
                    <w:ind w:firstLine="0" w:firstLineChars="0"/>
                    <w:jc w:val="center"/>
                    <w:rPr>
                      <w:rFonts w:hint="eastAsia"/>
                      <w:color w:val="auto"/>
                      <w:sz w:val="22"/>
                      <w:szCs w:val="22"/>
                    </w:rPr>
                  </w:pPr>
                  <w:r>
                    <w:rPr>
                      <w:rFonts w:hint="eastAsia"/>
                      <w:color w:val="auto"/>
                      <w:sz w:val="22"/>
                      <w:szCs w:val="22"/>
                    </w:rPr>
                    <w:t>室外</w:t>
                  </w:r>
                </w:p>
              </w:tc>
              <w:tc>
                <w:tcPr>
                  <w:tcW w:w="803" w:type="pct"/>
                  <w:noWrap w:val="0"/>
                  <w:vAlign w:val="center"/>
                </w:tcPr>
                <w:p w14:paraId="6B590FD1">
                  <w:pPr>
                    <w:pStyle w:val="37"/>
                    <w:keepNext w:val="0"/>
                    <w:keepLines w:val="0"/>
                    <w:pageBreakBefore w:val="0"/>
                    <w:kinsoku/>
                    <w:wordWrap/>
                    <w:overflowPunct/>
                    <w:topLinePunct w:val="0"/>
                    <w:bidi w:val="0"/>
                    <w:spacing w:line="240" w:lineRule="auto"/>
                    <w:ind w:firstLine="0" w:firstLineChars="0"/>
                    <w:jc w:val="center"/>
                    <w:rPr>
                      <w:color w:val="auto"/>
                      <w:sz w:val="22"/>
                      <w:szCs w:val="22"/>
                      <w:lang w:eastAsia="zh-CN"/>
                    </w:rPr>
                  </w:pPr>
                  <w:r>
                    <w:rPr>
                      <w:rFonts w:hint="eastAsia"/>
                      <w:color w:val="auto"/>
                      <w:sz w:val="22"/>
                      <w:szCs w:val="22"/>
                      <w:lang w:val="en-US" w:eastAsia="zh-CN"/>
                    </w:rPr>
                    <w:t>生产设备</w:t>
                  </w:r>
                </w:p>
              </w:tc>
              <w:tc>
                <w:tcPr>
                  <w:tcW w:w="688" w:type="pct"/>
                  <w:noWrap w:val="0"/>
                  <w:vAlign w:val="center"/>
                </w:tcPr>
                <w:p w14:paraId="64DA3892">
                  <w:pPr>
                    <w:keepNext w:val="0"/>
                    <w:keepLines w:val="0"/>
                    <w:pageBreakBefore w:val="0"/>
                    <w:widowControl/>
                    <w:kinsoku/>
                    <w:wordWrap/>
                    <w:overflowPunct/>
                    <w:topLinePunct w:val="0"/>
                    <w:bidi w:val="0"/>
                    <w:spacing w:line="240" w:lineRule="auto"/>
                    <w:ind w:firstLine="0" w:firstLineChars="0"/>
                    <w:jc w:val="center"/>
                    <w:textAlignment w:val="center"/>
                    <w:rPr>
                      <w:rFonts w:hint="default" w:eastAsia="宋体"/>
                      <w:color w:val="auto"/>
                      <w:sz w:val="22"/>
                      <w:szCs w:val="22"/>
                      <w:lang w:val="en-US" w:eastAsia="zh-CN"/>
                    </w:rPr>
                  </w:pPr>
                  <w:r>
                    <w:rPr>
                      <w:rFonts w:hint="eastAsia"/>
                      <w:color w:val="auto"/>
                      <w:sz w:val="22"/>
                      <w:szCs w:val="22"/>
                      <w:lang w:val="en-US" w:eastAsia="zh-CN"/>
                    </w:rPr>
                    <w:t>52</w:t>
                  </w:r>
                </w:p>
              </w:tc>
              <w:tc>
                <w:tcPr>
                  <w:tcW w:w="705" w:type="pct"/>
                  <w:noWrap w:val="0"/>
                  <w:vAlign w:val="center"/>
                </w:tcPr>
                <w:p w14:paraId="5FEDABBA">
                  <w:pPr>
                    <w:keepNext w:val="0"/>
                    <w:keepLines w:val="0"/>
                    <w:pageBreakBefore w:val="0"/>
                    <w:widowControl/>
                    <w:kinsoku/>
                    <w:wordWrap/>
                    <w:overflowPunct/>
                    <w:topLinePunct w:val="0"/>
                    <w:bidi w:val="0"/>
                    <w:spacing w:line="240" w:lineRule="auto"/>
                    <w:ind w:firstLine="0" w:firstLineChars="0"/>
                    <w:jc w:val="center"/>
                    <w:textAlignment w:val="center"/>
                    <w:rPr>
                      <w:rFonts w:hint="default" w:eastAsia="宋体"/>
                      <w:color w:val="auto"/>
                      <w:sz w:val="22"/>
                      <w:szCs w:val="22"/>
                      <w:lang w:val="en-US" w:eastAsia="zh-CN"/>
                    </w:rPr>
                  </w:pPr>
                  <w:r>
                    <w:rPr>
                      <w:rFonts w:hint="eastAsia"/>
                      <w:color w:val="auto"/>
                      <w:sz w:val="22"/>
                      <w:szCs w:val="22"/>
                      <w:lang w:val="en-US" w:eastAsia="zh-CN"/>
                    </w:rPr>
                    <w:t>52</w:t>
                  </w:r>
                </w:p>
              </w:tc>
              <w:tc>
                <w:tcPr>
                  <w:tcW w:w="630" w:type="pct"/>
                  <w:vMerge w:val="continue"/>
                  <w:noWrap w:val="0"/>
                  <w:vAlign w:val="center"/>
                </w:tcPr>
                <w:p w14:paraId="590B28C3">
                  <w:pPr>
                    <w:keepNext w:val="0"/>
                    <w:keepLines w:val="0"/>
                    <w:pageBreakBefore w:val="0"/>
                    <w:widowControl/>
                    <w:kinsoku/>
                    <w:wordWrap/>
                    <w:overflowPunct/>
                    <w:topLinePunct w:val="0"/>
                    <w:bidi w:val="0"/>
                    <w:spacing w:line="240" w:lineRule="auto"/>
                    <w:ind w:firstLine="0" w:firstLineChars="0"/>
                    <w:jc w:val="center"/>
                    <w:textAlignment w:val="center"/>
                    <w:rPr>
                      <w:rFonts w:hint="default" w:eastAsia="宋体" w:cs="宋体"/>
                      <w:color w:val="auto"/>
                      <w:kern w:val="2"/>
                      <w:sz w:val="22"/>
                      <w:szCs w:val="22"/>
                      <w:lang w:val="en-US" w:eastAsia="zh-CN" w:bidi="ar-SA"/>
                    </w:rPr>
                  </w:pPr>
                </w:p>
              </w:tc>
              <w:tc>
                <w:tcPr>
                  <w:tcW w:w="631" w:type="pct"/>
                  <w:vMerge w:val="continue"/>
                  <w:noWrap w:val="0"/>
                  <w:vAlign w:val="center"/>
                </w:tcPr>
                <w:p w14:paraId="4AB50A11">
                  <w:pPr>
                    <w:keepNext w:val="0"/>
                    <w:keepLines w:val="0"/>
                    <w:pageBreakBefore w:val="0"/>
                    <w:widowControl/>
                    <w:kinsoku/>
                    <w:wordWrap/>
                    <w:overflowPunct/>
                    <w:topLinePunct w:val="0"/>
                    <w:bidi w:val="0"/>
                    <w:spacing w:line="240" w:lineRule="auto"/>
                    <w:ind w:firstLine="0" w:firstLineChars="0"/>
                    <w:jc w:val="center"/>
                    <w:textAlignment w:val="center"/>
                    <w:rPr>
                      <w:rFonts w:hint="default" w:eastAsia="宋体" w:cs="宋体"/>
                      <w:color w:val="auto"/>
                      <w:kern w:val="2"/>
                      <w:sz w:val="22"/>
                      <w:szCs w:val="22"/>
                      <w:lang w:val="en-US" w:eastAsia="zh-CN" w:bidi="ar-SA"/>
                    </w:rPr>
                  </w:pPr>
                </w:p>
              </w:tc>
            </w:tr>
          </w:tbl>
          <w:p w14:paraId="30F23F34">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color w:val="auto"/>
                <w:sz w:val="26"/>
                <w:szCs w:val="26"/>
                <w:lang w:val="en-US" w:eastAsia="zh-CN"/>
              </w:rPr>
            </w:pPr>
          </w:p>
          <w:p w14:paraId="59F942BA">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color w:val="auto"/>
                <w:sz w:val="26"/>
                <w:szCs w:val="26"/>
                <w:lang w:val="en-US" w:eastAsia="zh-CN"/>
              </w:rPr>
            </w:pPr>
            <w:r>
              <w:rPr>
                <w:rFonts w:hint="eastAsia"/>
                <w:color w:val="auto"/>
                <w:sz w:val="26"/>
                <w:szCs w:val="26"/>
                <w:lang w:val="en-US" w:eastAsia="zh-CN"/>
              </w:rPr>
              <w:t>由预测结果可知，本项目建成后营运期间，项目昼、夜间，南、西侧厂界噪声预测值均满足《工业企业厂界环境噪声排放标准》（GB12348-2008）中3类标准。</w:t>
            </w:r>
          </w:p>
          <w:p w14:paraId="1EDB3A65">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color w:val="auto"/>
                <w:sz w:val="26"/>
                <w:szCs w:val="26"/>
                <w:lang w:val="en-US" w:eastAsia="zh-CN"/>
              </w:rPr>
            </w:pPr>
            <w:r>
              <w:rPr>
                <w:rFonts w:hint="eastAsia"/>
                <w:color w:val="auto"/>
                <w:sz w:val="26"/>
                <w:szCs w:val="26"/>
                <w:lang w:val="en-US" w:eastAsia="zh-CN"/>
              </w:rPr>
              <w:t>本项目厂界外50m内无居民点，无需进行敏感点预测。</w:t>
            </w:r>
          </w:p>
          <w:p w14:paraId="46267429">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left="0" w:leftChars="0" w:firstLine="520" w:firstLineChars="200"/>
              <w:textAlignment w:val="auto"/>
              <w:rPr>
                <w:rFonts w:hint="eastAsia"/>
                <w:color w:val="auto"/>
                <w:sz w:val="26"/>
                <w:szCs w:val="26"/>
                <w:lang w:val="en-US" w:eastAsia="zh-CN"/>
              </w:rPr>
            </w:pPr>
            <w:r>
              <w:rPr>
                <w:rFonts w:hint="eastAsia" w:ascii="Times New Roman" w:hAnsi="Times New Roman" w:eastAsia="宋体" w:cstheme="minorBidi"/>
                <w:color w:val="auto"/>
                <w:kern w:val="2"/>
                <w:sz w:val="26"/>
                <w:szCs w:val="26"/>
                <w:lang w:val="en-US" w:eastAsia="zh-CN" w:bidi="ar-SA"/>
              </w:rPr>
              <w:t>（3）</w:t>
            </w:r>
            <w:r>
              <w:rPr>
                <w:rFonts w:hint="eastAsia"/>
                <w:color w:val="auto"/>
                <w:sz w:val="26"/>
                <w:szCs w:val="26"/>
                <w:lang w:val="en-US" w:eastAsia="zh-CN"/>
              </w:rPr>
              <w:t>防治措施</w:t>
            </w:r>
          </w:p>
          <w:p w14:paraId="64FBF244">
            <w:pPr>
              <w:autoSpaceDE w:val="0"/>
              <w:autoSpaceDN w:val="0"/>
              <w:adjustRightInd w:val="0"/>
              <w:spacing w:line="460" w:lineRule="exact"/>
              <w:ind w:firstLine="520" w:firstLineChars="200"/>
              <w:jc w:val="left"/>
              <w:rPr>
                <w:rFonts w:hint="eastAsia"/>
                <w:color w:val="auto"/>
                <w:sz w:val="26"/>
                <w:szCs w:val="26"/>
              </w:rPr>
            </w:pPr>
            <w:r>
              <w:rPr>
                <w:rFonts w:hint="eastAsia"/>
                <w:color w:val="auto"/>
                <w:sz w:val="26"/>
                <w:szCs w:val="26"/>
              </w:rPr>
              <w:t>本项目采取的噪声污染防治措施包括：</w:t>
            </w:r>
          </w:p>
          <w:p w14:paraId="0AF0D2F8">
            <w:pPr>
              <w:autoSpaceDE w:val="0"/>
              <w:autoSpaceDN w:val="0"/>
              <w:adjustRightInd w:val="0"/>
              <w:spacing w:line="460" w:lineRule="exact"/>
              <w:ind w:firstLine="520" w:firstLineChars="200"/>
              <w:jc w:val="left"/>
              <w:rPr>
                <w:color w:val="auto"/>
                <w:sz w:val="26"/>
                <w:szCs w:val="26"/>
              </w:rPr>
            </w:pPr>
            <w:r>
              <w:rPr>
                <w:color w:val="auto"/>
                <w:sz w:val="26"/>
                <w:szCs w:val="26"/>
              </w:rPr>
              <w:t>①</w:t>
            </w:r>
            <w:r>
              <w:rPr>
                <w:rFonts w:hint="eastAsia"/>
                <w:color w:val="auto"/>
                <w:sz w:val="26"/>
                <w:szCs w:val="26"/>
              </w:rPr>
              <w:t>设备</w:t>
            </w:r>
            <w:r>
              <w:rPr>
                <w:color w:val="auto"/>
                <w:sz w:val="26"/>
                <w:szCs w:val="26"/>
              </w:rPr>
              <w:t>合理布局</w:t>
            </w:r>
            <w:r>
              <w:rPr>
                <w:rFonts w:hint="eastAsia"/>
                <w:color w:val="auto"/>
                <w:sz w:val="26"/>
                <w:szCs w:val="26"/>
                <w:lang w:eastAsia="zh-CN"/>
              </w:rPr>
              <w:t>：</w:t>
            </w:r>
            <w:r>
              <w:rPr>
                <w:rFonts w:hint="eastAsia"/>
                <w:color w:val="auto"/>
                <w:sz w:val="26"/>
                <w:szCs w:val="26"/>
              </w:rPr>
              <w:t>空压机</w:t>
            </w:r>
            <w:r>
              <w:rPr>
                <w:rFonts w:hint="eastAsia"/>
                <w:color w:val="auto"/>
                <w:sz w:val="26"/>
                <w:szCs w:val="26"/>
                <w:lang w:val="en-US" w:eastAsia="zh-CN"/>
              </w:rPr>
              <w:t>等噪声设备</w:t>
            </w:r>
            <w:r>
              <w:rPr>
                <w:rFonts w:hint="eastAsia"/>
                <w:color w:val="auto"/>
                <w:sz w:val="26"/>
                <w:szCs w:val="26"/>
              </w:rPr>
              <w:t>均置于厂房</w:t>
            </w:r>
            <w:r>
              <w:rPr>
                <w:rFonts w:hint="eastAsia"/>
                <w:color w:val="auto"/>
                <w:sz w:val="26"/>
                <w:szCs w:val="26"/>
                <w:lang w:val="en-US" w:eastAsia="zh-CN"/>
              </w:rPr>
              <w:t>中心位置</w:t>
            </w:r>
            <w:r>
              <w:rPr>
                <w:rFonts w:hint="eastAsia"/>
                <w:color w:val="auto"/>
                <w:sz w:val="26"/>
                <w:szCs w:val="26"/>
              </w:rPr>
              <w:t>，</w:t>
            </w:r>
            <w:r>
              <w:rPr>
                <w:rFonts w:hint="eastAsia"/>
                <w:color w:val="auto"/>
                <w:sz w:val="26"/>
                <w:szCs w:val="26"/>
                <w:lang w:val="en-US" w:eastAsia="zh-CN"/>
              </w:rPr>
              <w:t>可减少噪声影响</w:t>
            </w:r>
            <w:r>
              <w:rPr>
                <w:rFonts w:hint="eastAsia"/>
                <w:color w:val="auto"/>
                <w:sz w:val="26"/>
                <w:szCs w:val="26"/>
              </w:rPr>
              <w:t>。</w:t>
            </w:r>
          </w:p>
          <w:p w14:paraId="41E29177">
            <w:pPr>
              <w:autoSpaceDE w:val="0"/>
              <w:autoSpaceDN w:val="0"/>
              <w:adjustRightInd w:val="0"/>
              <w:spacing w:line="460" w:lineRule="exact"/>
              <w:ind w:firstLine="520" w:firstLineChars="200"/>
              <w:jc w:val="left"/>
              <w:rPr>
                <w:color w:val="auto"/>
                <w:sz w:val="26"/>
                <w:szCs w:val="26"/>
              </w:rPr>
            </w:pPr>
            <w:r>
              <w:rPr>
                <w:color w:val="auto"/>
                <w:sz w:val="26"/>
                <w:szCs w:val="26"/>
              </w:rPr>
              <w:t>②设备应采取基础减振措施；</w:t>
            </w:r>
          </w:p>
          <w:p w14:paraId="7FEB3352">
            <w:pPr>
              <w:autoSpaceDE w:val="0"/>
              <w:autoSpaceDN w:val="0"/>
              <w:adjustRightInd w:val="0"/>
              <w:spacing w:line="460" w:lineRule="exact"/>
              <w:ind w:firstLine="520" w:firstLineChars="200"/>
              <w:jc w:val="left"/>
              <w:rPr>
                <w:color w:val="auto"/>
                <w:sz w:val="26"/>
                <w:szCs w:val="26"/>
              </w:rPr>
            </w:pPr>
            <w:r>
              <w:rPr>
                <w:color w:val="auto"/>
                <w:sz w:val="26"/>
                <w:szCs w:val="26"/>
              </w:rPr>
              <w:t>③优先选用低噪声设备，在设备基座与地基之间设置橡胶减震垫；</w:t>
            </w:r>
          </w:p>
          <w:p w14:paraId="5EFD7B31">
            <w:pPr>
              <w:autoSpaceDE w:val="0"/>
              <w:autoSpaceDN w:val="0"/>
              <w:adjustRightInd w:val="0"/>
              <w:spacing w:line="460" w:lineRule="exact"/>
              <w:ind w:firstLine="520" w:firstLineChars="200"/>
              <w:jc w:val="left"/>
              <w:rPr>
                <w:color w:val="auto"/>
                <w:sz w:val="26"/>
                <w:szCs w:val="26"/>
              </w:rPr>
            </w:pPr>
            <w:r>
              <w:rPr>
                <w:color w:val="auto"/>
                <w:sz w:val="26"/>
                <w:szCs w:val="26"/>
              </w:rPr>
              <w:t>④定期维护保养设备及降噪设施，确保设备的正常运行。</w:t>
            </w:r>
          </w:p>
          <w:p w14:paraId="03D5C906">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leftChars="200"/>
              <w:textAlignment w:val="auto"/>
              <w:rPr>
                <w:rFonts w:hint="eastAsia" w:eastAsia="宋体"/>
                <w:color w:val="auto"/>
                <w:sz w:val="26"/>
                <w:szCs w:val="26"/>
                <w:lang w:val="en-US" w:eastAsia="zh-CN"/>
              </w:rPr>
            </w:pPr>
            <w:r>
              <w:rPr>
                <w:color w:val="auto"/>
                <w:sz w:val="26"/>
                <w:szCs w:val="26"/>
              </w:rPr>
              <w:t>采取以上措施后，厂界噪声可以达标，因此噪声防护措施可行</w:t>
            </w:r>
            <w:r>
              <w:rPr>
                <w:rFonts w:hint="eastAsia"/>
                <w:color w:val="auto"/>
                <w:sz w:val="26"/>
                <w:szCs w:val="26"/>
                <w:lang w:eastAsia="zh-CN"/>
              </w:rPr>
              <w:t>。</w:t>
            </w:r>
          </w:p>
          <w:p w14:paraId="0052F2A1">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Times New Roman" w:hAnsi="Times New Roman" w:eastAsia="宋体"/>
                <w:color w:val="auto"/>
                <w:sz w:val="26"/>
                <w:szCs w:val="26"/>
                <w:lang w:val="en-US" w:eastAsia="zh-CN"/>
              </w:rPr>
            </w:pPr>
            <w:r>
              <w:rPr>
                <w:rFonts w:hint="eastAsia" w:ascii="Times New Roman" w:hAnsi="Times New Roman" w:eastAsia="宋体"/>
                <w:color w:val="auto"/>
                <w:sz w:val="26"/>
                <w:szCs w:val="26"/>
                <w:lang w:val="en-US" w:eastAsia="zh-CN"/>
              </w:rPr>
              <w:t>（4）监测要求</w:t>
            </w:r>
          </w:p>
          <w:p w14:paraId="3BFF4D89">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Times New Roman" w:hAnsi="Times New Roman" w:eastAsia="宋体"/>
                <w:color w:val="auto"/>
                <w:sz w:val="26"/>
                <w:szCs w:val="26"/>
                <w:lang w:val="en-US" w:eastAsia="zh-CN"/>
              </w:rPr>
            </w:pPr>
            <w:r>
              <w:rPr>
                <w:rFonts w:hint="default" w:ascii="Times New Roman" w:hAnsi="Times New Roman" w:eastAsia="宋体"/>
                <w:color w:val="auto"/>
                <w:sz w:val="26"/>
                <w:szCs w:val="26"/>
                <w:lang w:val="en-US" w:eastAsia="zh-CN"/>
              </w:rPr>
              <w:t>本</w:t>
            </w:r>
            <w:r>
              <w:rPr>
                <w:rFonts w:hint="eastAsia" w:ascii="Times New Roman" w:hAnsi="Times New Roman" w:eastAsia="宋体"/>
                <w:color w:val="auto"/>
                <w:sz w:val="26"/>
                <w:szCs w:val="26"/>
                <w:lang w:val="en-US" w:eastAsia="zh-CN"/>
              </w:rPr>
              <w:t>项目根据</w:t>
            </w:r>
            <w:r>
              <w:rPr>
                <w:rFonts w:hint="eastAsia"/>
                <w:color w:val="auto"/>
                <w:sz w:val="26"/>
                <w:szCs w:val="26"/>
              </w:rPr>
              <w:t>《排污单位自行监测技术指南 总则》（HJ 819-2017）</w:t>
            </w:r>
            <w:r>
              <w:rPr>
                <w:rFonts w:hint="eastAsia"/>
                <w:color w:val="auto"/>
                <w:sz w:val="26"/>
                <w:szCs w:val="26"/>
                <w:lang w:eastAsia="zh-CN"/>
              </w:rPr>
              <w:t>、</w:t>
            </w:r>
            <w:r>
              <w:rPr>
                <w:rFonts w:hint="eastAsia" w:ascii="Times New Roman" w:hAnsi="Times New Roman" w:eastAsia="宋体"/>
                <w:color w:val="auto"/>
                <w:sz w:val="26"/>
                <w:szCs w:val="26"/>
                <w:lang w:val="en-US" w:eastAsia="zh-CN"/>
              </w:rPr>
              <w:t>《排污许可证申请与核发技术规范 工业噪声》（HJ1301-2023）要求，项目噪声监测计划如下表</w:t>
            </w:r>
            <w:r>
              <w:rPr>
                <w:rFonts w:hint="default" w:ascii="Times New Roman" w:hAnsi="Times New Roman" w:eastAsia="宋体"/>
                <w:color w:val="auto"/>
                <w:sz w:val="26"/>
                <w:szCs w:val="26"/>
                <w:lang w:val="en-US" w:eastAsia="zh-CN"/>
              </w:rPr>
              <w:t>。</w:t>
            </w:r>
          </w:p>
          <w:p w14:paraId="46032C83">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Times New Roman" w:hAnsi="Times New Roman" w:eastAsia="宋体"/>
                <w:color w:val="auto"/>
                <w:sz w:val="26"/>
                <w:szCs w:val="26"/>
                <w:lang w:val="en-US" w:eastAsia="zh-CN"/>
              </w:rPr>
            </w:pPr>
          </w:p>
          <w:p w14:paraId="49AF6A7B">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Times New Roman" w:hAnsi="Times New Roman" w:eastAsia="宋体"/>
                <w:color w:val="auto"/>
                <w:sz w:val="26"/>
                <w:szCs w:val="26"/>
                <w:lang w:val="en-US" w:eastAsia="zh-CN"/>
              </w:rPr>
            </w:pPr>
            <w:r>
              <w:rPr>
                <w:rFonts w:hint="eastAsia" w:ascii="Times New Roman" w:hAnsi="Times New Roman" w:eastAsia="宋体"/>
                <w:color w:val="auto"/>
                <w:sz w:val="26"/>
                <w:szCs w:val="26"/>
                <w:lang w:val="en-US" w:eastAsia="zh-CN"/>
              </w:rPr>
              <w:t>表4.2-9        噪声监测计划一览表</w:t>
            </w:r>
          </w:p>
          <w:tbl>
            <w:tblPr>
              <w:tblStyle w:val="17"/>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672"/>
              <w:gridCol w:w="688"/>
              <w:gridCol w:w="660"/>
              <w:gridCol w:w="879"/>
              <w:gridCol w:w="887"/>
              <w:gridCol w:w="3794"/>
            </w:tblGrid>
            <w:tr w14:paraId="0F4FA2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69" w:hRule="atLeast"/>
                <w:jc w:val="center"/>
              </w:trPr>
              <w:tc>
                <w:tcPr>
                  <w:tcW w:w="703" w:type="dxa"/>
                  <w:noWrap w:val="0"/>
                  <w:vAlign w:val="center"/>
                </w:tcPr>
                <w:p w14:paraId="70A6570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监测</w:t>
                  </w:r>
                </w:p>
                <w:p w14:paraId="2175618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对象</w:t>
                  </w:r>
                </w:p>
              </w:tc>
              <w:tc>
                <w:tcPr>
                  <w:tcW w:w="720" w:type="dxa"/>
                  <w:noWrap w:val="0"/>
                  <w:vAlign w:val="center"/>
                </w:tcPr>
                <w:p w14:paraId="4F35D04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监测</w:t>
                  </w:r>
                </w:p>
                <w:p w14:paraId="66A3256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点位</w:t>
                  </w:r>
                </w:p>
              </w:tc>
              <w:tc>
                <w:tcPr>
                  <w:tcW w:w="690" w:type="dxa"/>
                  <w:noWrap w:val="0"/>
                  <w:vAlign w:val="center"/>
                </w:tcPr>
                <w:p w14:paraId="274FAB0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监测</w:t>
                  </w:r>
                </w:p>
                <w:p w14:paraId="7AD2BEC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因子</w:t>
                  </w:r>
                </w:p>
              </w:tc>
              <w:tc>
                <w:tcPr>
                  <w:tcW w:w="919" w:type="dxa"/>
                  <w:noWrap w:val="0"/>
                  <w:vAlign w:val="center"/>
                </w:tcPr>
                <w:p w14:paraId="5791B05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验收监测频次</w:t>
                  </w:r>
                </w:p>
              </w:tc>
              <w:tc>
                <w:tcPr>
                  <w:tcW w:w="927" w:type="dxa"/>
                  <w:noWrap w:val="0"/>
                  <w:vAlign w:val="center"/>
                </w:tcPr>
                <w:p w14:paraId="4506BE0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自行监测频次</w:t>
                  </w:r>
                </w:p>
              </w:tc>
              <w:tc>
                <w:tcPr>
                  <w:tcW w:w="3967" w:type="dxa"/>
                  <w:noWrap w:val="0"/>
                  <w:vAlign w:val="center"/>
                </w:tcPr>
                <w:p w14:paraId="00BFF69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执行标准</w:t>
                  </w:r>
                </w:p>
              </w:tc>
            </w:tr>
            <w:tr w14:paraId="07EE8F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69" w:hRule="atLeast"/>
                <w:jc w:val="center"/>
              </w:trPr>
              <w:tc>
                <w:tcPr>
                  <w:tcW w:w="703" w:type="dxa"/>
                  <w:noWrap w:val="0"/>
                  <w:vAlign w:val="center"/>
                </w:tcPr>
                <w:p w14:paraId="67CCB66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噪声</w:t>
                  </w:r>
                </w:p>
              </w:tc>
              <w:tc>
                <w:tcPr>
                  <w:tcW w:w="720" w:type="dxa"/>
                  <w:noWrap w:val="0"/>
                  <w:vAlign w:val="center"/>
                </w:tcPr>
                <w:p w14:paraId="64E60A0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厂界</w:t>
                  </w:r>
                </w:p>
              </w:tc>
              <w:tc>
                <w:tcPr>
                  <w:tcW w:w="690" w:type="dxa"/>
                  <w:noWrap w:val="0"/>
                  <w:vAlign w:val="center"/>
                </w:tcPr>
                <w:p w14:paraId="128E033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等效</w:t>
                  </w:r>
                </w:p>
                <w:p w14:paraId="7B4B75B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声级</w:t>
                  </w:r>
                </w:p>
              </w:tc>
              <w:tc>
                <w:tcPr>
                  <w:tcW w:w="919" w:type="dxa"/>
                  <w:noWrap w:val="0"/>
                  <w:vAlign w:val="center"/>
                </w:tcPr>
                <w:p w14:paraId="02780A0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1次</w:t>
                  </w:r>
                </w:p>
              </w:tc>
              <w:tc>
                <w:tcPr>
                  <w:tcW w:w="927" w:type="dxa"/>
                  <w:noWrap w:val="0"/>
                  <w:vAlign w:val="center"/>
                </w:tcPr>
                <w:p w14:paraId="55D207D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1次/季度</w:t>
                  </w:r>
                </w:p>
              </w:tc>
              <w:tc>
                <w:tcPr>
                  <w:tcW w:w="3967" w:type="dxa"/>
                  <w:noWrap w:val="0"/>
                  <w:vAlign w:val="center"/>
                </w:tcPr>
                <w:p w14:paraId="20EF6E3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西、南厂界：《工业企业厂界环境噪声排放标准》（GB12348-2008）3类标准（昼间≤65dB、夜间≤55dB）</w:t>
                  </w:r>
                </w:p>
              </w:tc>
            </w:tr>
          </w:tbl>
          <w:p w14:paraId="2C7E4330">
            <w:pPr>
              <w:pStyle w:val="4"/>
              <w:pageBreakBefore w:val="0"/>
              <w:widowControl w:val="0"/>
              <w:kinsoku/>
              <w:wordWrap/>
              <w:overflowPunct/>
              <w:topLinePunct w:val="0"/>
              <w:bidi w:val="0"/>
              <w:adjustRightInd w:val="0"/>
              <w:snapToGrid w:val="0"/>
              <w:spacing w:beforeLines="0" w:afterLines="0" w:line="460" w:lineRule="exact"/>
              <w:jc w:val="both"/>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4.2.4固体废物</w:t>
            </w:r>
          </w:p>
          <w:p w14:paraId="3FA31D94">
            <w:pPr>
              <w:pageBreakBefore w:val="0"/>
              <w:widowControl w:val="0"/>
              <w:kinsoku/>
              <w:wordWrap/>
              <w:overflowPunct/>
              <w:topLinePunct w:val="0"/>
              <w:bidi w:val="0"/>
              <w:adjustRightInd w:val="0"/>
              <w:snapToGrid w:val="0"/>
              <w:spacing w:line="460" w:lineRule="exact"/>
              <w:jc w:val="both"/>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本项目固体废物</w:t>
            </w:r>
            <w:r>
              <w:rPr>
                <w:rFonts w:hint="eastAsia" w:cs="Times New Roman"/>
                <w:color w:val="auto"/>
                <w:sz w:val="26"/>
                <w:szCs w:val="26"/>
                <w:lang w:val="en-US" w:eastAsia="zh-CN"/>
              </w:rPr>
              <w:t>包括危险废物、</w:t>
            </w:r>
            <w:r>
              <w:rPr>
                <w:rFonts w:hint="default" w:ascii="Times New Roman" w:hAnsi="Times New Roman" w:eastAsia="宋体" w:cs="Times New Roman"/>
                <w:color w:val="auto"/>
                <w:sz w:val="26"/>
                <w:szCs w:val="26"/>
                <w:lang w:val="en-US" w:eastAsia="zh-CN"/>
              </w:rPr>
              <w:t>一般工业固废</w:t>
            </w:r>
            <w:r>
              <w:rPr>
                <w:rFonts w:hint="eastAsia" w:ascii="Times New Roman" w:hAnsi="Times New Roman" w:eastAsia="宋体" w:cs="Times New Roman"/>
                <w:color w:val="auto"/>
                <w:sz w:val="26"/>
                <w:szCs w:val="26"/>
                <w:lang w:val="en-US" w:eastAsia="zh-CN"/>
              </w:rPr>
              <w:t>、</w:t>
            </w:r>
            <w:r>
              <w:rPr>
                <w:rFonts w:hint="default" w:ascii="Times New Roman" w:hAnsi="Times New Roman" w:eastAsia="宋体" w:cs="Times New Roman"/>
                <w:color w:val="auto"/>
                <w:sz w:val="26"/>
                <w:szCs w:val="26"/>
                <w:lang w:val="en-US" w:eastAsia="zh-CN"/>
              </w:rPr>
              <w:t>生活垃圾。</w:t>
            </w:r>
          </w:p>
          <w:p w14:paraId="623CB15C">
            <w:pPr>
              <w:keepNext w:val="0"/>
              <w:keepLines w:val="0"/>
              <w:pageBreakBefore w:val="0"/>
              <w:widowControl w:val="0"/>
              <w:kinsoku/>
              <w:wordWrap/>
              <w:overflowPunct/>
              <w:topLinePunct w:val="0"/>
              <w:autoSpaceDE w:val="0"/>
              <w:autoSpaceDN w:val="0"/>
              <w:bidi w:val="0"/>
              <w:adjustRightInd w:val="0"/>
              <w:snapToGrid w:val="0"/>
              <w:spacing w:line="460" w:lineRule="exact"/>
              <w:ind w:firstLine="520" w:firstLineChars="200"/>
              <w:jc w:val="both"/>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lang w:val="en-US" w:eastAsia="zh-CN"/>
              </w:rPr>
              <w:t>1</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lang w:val="en-US" w:eastAsia="zh-CN"/>
              </w:rPr>
              <w:t>一般固体废物</w:t>
            </w:r>
          </w:p>
          <w:p w14:paraId="6EBD6D06">
            <w:pPr>
              <w:pageBreakBefore w:val="0"/>
              <w:widowControl w:val="0"/>
              <w:kinsoku/>
              <w:wordWrap/>
              <w:overflowPunct/>
              <w:topLinePunct w:val="0"/>
              <w:bidi w:val="0"/>
              <w:adjustRightInd w:val="0"/>
              <w:snapToGrid w:val="0"/>
              <w:spacing w:line="460" w:lineRule="exact"/>
              <w:jc w:val="both"/>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rPr>
              <w:t>废</w:t>
            </w:r>
            <w:r>
              <w:rPr>
                <w:rFonts w:hint="default" w:ascii="Times New Roman" w:hAnsi="Times New Roman" w:eastAsia="宋体" w:cs="Times New Roman"/>
                <w:color w:val="auto"/>
                <w:sz w:val="26"/>
                <w:szCs w:val="26"/>
                <w:lang w:val="en-US" w:eastAsia="zh-CN"/>
              </w:rPr>
              <w:t>边角料</w:t>
            </w:r>
            <w:r>
              <w:rPr>
                <w:rFonts w:hint="default" w:ascii="Times New Roman" w:hAnsi="Times New Roman" w:eastAsia="宋体" w:cs="Times New Roman"/>
                <w:color w:val="auto"/>
                <w:sz w:val="26"/>
                <w:szCs w:val="26"/>
              </w:rPr>
              <w:t>：</w:t>
            </w:r>
            <w:r>
              <w:rPr>
                <w:rFonts w:hint="default" w:ascii="Times New Roman" w:hAnsi="Times New Roman" w:eastAsia="宋体" w:cs="Times New Roman"/>
                <w:color w:val="auto"/>
                <w:sz w:val="26"/>
                <w:szCs w:val="26"/>
                <w:lang w:val="en-US" w:eastAsia="zh-CN"/>
              </w:rPr>
              <w:t>项目</w:t>
            </w:r>
            <w:r>
              <w:rPr>
                <w:rFonts w:hint="eastAsia" w:ascii="Times New Roman" w:hAnsi="Times New Roman" w:eastAsia="宋体" w:cs="Times New Roman"/>
                <w:color w:val="auto"/>
                <w:sz w:val="26"/>
                <w:szCs w:val="26"/>
                <w:lang w:val="en-US" w:eastAsia="zh-CN"/>
              </w:rPr>
              <w:t>裁切</w:t>
            </w:r>
            <w:r>
              <w:rPr>
                <w:rFonts w:hint="default" w:ascii="Times New Roman" w:hAnsi="Times New Roman" w:eastAsia="宋体" w:cs="Times New Roman"/>
                <w:color w:val="auto"/>
                <w:sz w:val="26"/>
                <w:szCs w:val="26"/>
                <w:lang w:val="en-US" w:eastAsia="zh-CN"/>
              </w:rPr>
              <w:t>过程会产生边角料</w:t>
            </w:r>
            <w:r>
              <w:rPr>
                <w:rFonts w:hint="default" w:ascii="Times New Roman" w:hAnsi="Times New Roman" w:eastAsia="宋体" w:cs="Times New Roman"/>
                <w:color w:val="auto"/>
                <w:sz w:val="26"/>
                <w:szCs w:val="26"/>
              </w:rPr>
              <w:t>，</w:t>
            </w:r>
            <w:r>
              <w:rPr>
                <w:rFonts w:hint="eastAsia" w:ascii="Times New Roman" w:hAnsi="Times New Roman" w:eastAsia="宋体" w:cs="Times New Roman"/>
                <w:color w:val="auto"/>
                <w:sz w:val="26"/>
                <w:szCs w:val="26"/>
                <w:lang w:val="en-US" w:eastAsia="zh-CN"/>
              </w:rPr>
              <w:t>根据物料平衡</w:t>
            </w:r>
            <w:r>
              <w:rPr>
                <w:rFonts w:hint="default" w:ascii="Times New Roman" w:hAnsi="Times New Roman" w:eastAsia="宋体" w:cs="Times New Roman"/>
                <w:color w:val="auto"/>
                <w:sz w:val="26"/>
                <w:szCs w:val="26"/>
                <w:lang w:val="en-US" w:eastAsia="zh-CN"/>
              </w:rPr>
              <w:t>，本项目</w:t>
            </w:r>
            <w:r>
              <w:rPr>
                <w:rFonts w:hint="eastAsia" w:ascii="Times New Roman" w:hAnsi="Times New Roman" w:eastAsia="宋体" w:cs="Times New Roman"/>
                <w:color w:val="auto"/>
                <w:sz w:val="26"/>
                <w:szCs w:val="26"/>
                <w:lang w:val="en-US" w:eastAsia="zh-CN"/>
              </w:rPr>
              <w:t>边角料</w:t>
            </w:r>
            <w:r>
              <w:rPr>
                <w:rFonts w:hint="default" w:ascii="Times New Roman" w:hAnsi="Times New Roman" w:eastAsia="宋体" w:cs="Times New Roman"/>
                <w:color w:val="auto"/>
                <w:sz w:val="26"/>
                <w:szCs w:val="26"/>
                <w:lang w:val="en-US" w:eastAsia="zh-CN"/>
              </w:rPr>
              <w:t>产生量为</w:t>
            </w:r>
            <w:r>
              <w:rPr>
                <w:rFonts w:hint="eastAsia" w:ascii="Times New Roman" w:hAnsi="Times New Roman" w:eastAsia="宋体" w:cs="Times New Roman"/>
                <w:color w:val="auto"/>
                <w:sz w:val="26"/>
                <w:szCs w:val="26"/>
                <w:lang w:val="en-US" w:eastAsia="zh-CN"/>
              </w:rPr>
              <w:t>45.45</w:t>
            </w:r>
            <w:r>
              <w:rPr>
                <w:rFonts w:hint="default" w:ascii="Times New Roman" w:hAnsi="Times New Roman" w:eastAsia="宋体" w:cs="Times New Roman"/>
                <w:color w:val="auto"/>
                <w:sz w:val="26"/>
                <w:szCs w:val="26"/>
                <w:lang w:val="en-US" w:eastAsia="zh-CN"/>
              </w:rPr>
              <w:t>t/a；定期交物料回收公司回收利用。</w:t>
            </w:r>
          </w:p>
          <w:p w14:paraId="2B181F65">
            <w:pPr>
              <w:pageBreakBefore w:val="0"/>
              <w:widowControl w:val="0"/>
              <w:kinsoku/>
              <w:wordWrap/>
              <w:overflowPunct/>
              <w:topLinePunct w:val="0"/>
              <w:bidi w:val="0"/>
              <w:adjustRightInd w:val="0"/>
              <w:snapToGrid w:val="0"/>
              <w:spacing w:line="460" w:lineRule="exact"/>
              <w:jc w:val="both"/>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粉尘：布袋除尘器收集处理</w:t>
            </w:r>
            <w:r>
              <w:rPr>
                <w:rFonts w:hint="eastAsia" w:ascii="Times New Roman" w:hAnsi="Times New Roman" w:eastAsia="宋体" w:cs="Times New Roman"/>
                <w:color w:val="auto"/>
                <w:sz w:val="26"/>
                <w:szCs w:val="26"/>
                <w:lang w:val="en-US" w:eastAsia="zh-CN"/>
              </w:rPr>
              <w:t>玻璃纤维</w:t>
            </w:r>
            <w:r>
              <w:rPr>
                <w:rFonts w:hint="default" w:ascii="Times New Roman" w:hAnsi="Times New Roman" w:eastAsia="宋体" w:cs="Times New Roman"/>
                <w:color w:val="auto"/>
                <w:sz w:val="26"/>
                <w:szCs w:val="26"/>
                <w:lang w:val="en-US" w:eastAsia="zh-CN"/>
              </w:rPr>
              <w:t>粉尘量为</w:t>
            </w:r>
            <w:r>
              <w:rPr>
                <w:rFonts w:hint="eastAsia" w:ascii="Times New Roman" w:hAnsi="Times New Roman" w:eastAsia="宋体" w:cs="Times New Roman"/>
                <w:color w:val="auto"/>
                <w:sz w:val="26"/>
                <w:szCs w:val="26"/>
                <w:lang w:val="en-US" w:eastAsia="zh-CN"/>
              </w:rPr>
              <w:t>3.21</w:t>
            </w:r>
            <w:r>
              <w:rPr>
                <w:rFonts w:hint="default" w:ascii="Times New Roman" w:hAnsi="Times New Roman" w:eastAsia="宋体" w:cs="Times New Roman"/>
                <w:color w:val="auto"/>
                <w:sz w:val="26"/>
                <w:szCs w:val="26"/>
                <w:lang w:val="en-US" w:eastAsia="zh-CN"/>
              </w:rPr>
              <w:t>t/a，经收集后做一般固废处理，定期交物料回收公司回收利用。</w:t>
            </w:r>
          </w:p>
          <w:p w14:paraId="7F1B8A5D">
            <w:pPr>
              <w:pageBreakBefore w:val="0"/>
              <w:widowControl w:val="0"/>
              <w:kinsoku/>
              <w:wordWrap/>
              <w:overflowPunct/>
              <w:topLinePunct w:val="0"/>
              <w:bidi w:val="0"/>
              <w:adjustRightInd w:val="0"/>
              <w:snapToGrid w:val="0"/>
              <w:spacing w:line="460" w:lineRule="exact"/>
              <w:jc w:val="both"/>
              <w:textAlignment w:val="auto"/>
              <w:rPr>
                <w:rFonts w:hint="default" w:ascii="Times New Roman" w:hAnsi="Times New Roman" w:eastAsia="宋体" w:cs="Times New Roman"/>
                <w:bCs/>
                <w:color w:val="auto"/>
                <w:sz w:val="26"/>
                <w:szCs w:val="26"/>
              </w:rPr>
            </w:pPr>
            <w:r>
              <w:rPr>
                <w:rFonts w:hint="default" w:ascii="Times New Roman" w:hAnsi="Times New Roman" w:eastAsia="宋体" w:cs="Times New Roman"/>
                <w:color w:val="auto"/>
                <w:sz w:val="26"/>
                <w:szCs w:val="26"/>
                <w:lang w:val="en-US" w:eastAsia="zh-CN"/>
              </w:rPr>
              <w:t>项目一般固体废物</w:t>
            </w:r>
            <w:r>
              <w:rPr>
                <w:rFonts w:hint="default" w:ascii="Times New Roman" w:hAnsi="Times New Roman" w:eastAsia="宋体" w:cs="Times New Roman"/>
                <w:bCs/>
                <w:color w:val="auto"/>
                <w:sz w:val="26"/>
                <w:szCs w:val="26"/>
              </w:rPr>
              <w:t>于</w:t>
            </w:r>
            <w:r>
              <w:rPr>
                <w:rFonts w:hint="default" w:ascii="Times New Roman" w:hAnsi="Times New Roman" w:eastAsia="宋体" w:cs="Times New Roman"/>
                <w:bCs/>
                <w:color w:val="auto"/>
                <w:sz w:val="26"/>
                <w:szCs w:val="26"/>
                <w:lang w:val="en-US" w:eastAsia="zh-CN"/>
              </w:rPr>
              <w:t>一般</w:t>
            </w:r>
            <w:r>
              <w:rPr>
                <w:rFonts w:hint="default" w:ascii="Times New Roman" w:hAnsi="Times New Roman" w:eastAsia="宋体" w:cs="Times New Roman"/>
                <w:bCs/>
                <w:color w:val="auto"/>
                <w:sz w:val="26"/>
                <w:szCs w:val="26"/>
              </w:rPr>
              <w:t>固废点暂存</w:t>
            </w:r>
            <w:r>
              <w:rPr>
                <w:rFonts w:hint="default" w:ascii="Times New Roman" w:hAnsi="Times New Roman" w:eastAsia="宋体" w:cs="Times New Roman"/>
                <w:bCs/>
                <w:color w:val="auto"/>
                <w:sz w:val="26"/>
                <w:szCs w:val="26"/>
                <w:lang w:val="en-US" w:eastAsia="zh-CN"/>
              </w:rPr>
              <w:t>点</w:t>
            </w:r>
            <w:r>
              <w:rPr>
                <w:rFonts w:hint="default" w:ascii="Times New Roman" w:hAnsi="Times New Roman" w:eastAsia="宋体" w:cs="Times New Roman"/>
                <w:bCs/>
                <w:color w:val="auto"/>
                <w:sz w:val="26"/>
                <w:szCs w:val="26"/>
              </w:rPr>
              <w:t>，</w:t>
            </w:r>
            <w:r>
              <w:rPr>
                <w:rFonts w:hint="default" w:ascii="Times New Roman" w:hAnsi="Times New Roman" w:eastAsia="宋体" w:cs="Times New Roman"/>
                <w:b w:val="0"/>
                <w:bCs w:val="0"/>
                <w:color w:val="auto"/>
                <w:sz w:val="26"/>
                <w:szCs w:val="26"/>
                <w:lang w:val="en-US" w:eastAsia="zh-CN"/>
              </w:rPr>
              <w:t>集中收集后，</w:t>
            </w:r>
            <w:r>
              <w:rPr>
                <w:rFonts w:hint="default" w:ascii="Times New Roman" w:hAnsi="Times New Roman" w:eastAsia="宋体" w:cs="Times New Roman"/>
                <w:color w:val="auto"/>
                <w:sz w:val="26"/>
                <w:szCs w:val="26"/>
                <w:lang w:val="en-US" w:eastAsia="zh-CN"/>
              </w:rPr>
              <w:t>定期交物料回收公司回收利用</w:t>
            </w:r>
            <w:r>
              <w:rPr>
                <w:rFonts w:hint="default" w:ascii="Times New Roman" w:hAnsi="Times New Roman" w:eastAsia="宋体" w:cs="Times New Roman"/>
                <w:bCs/>
                <w:color w:val="auto"/>
                <w:sz w:val="26"/>
                <w:szCs w:val="26"/>
              </w:rPr>
              <w:t>。</w:t>
            </w:r>
            <w:r>
              <w:rPr>
                <w:rFonts w:hint="default" w:ascii="Times New Roman" w:hAnsi="Times New Roman" w:eastAsia="宋体" w:cs="Times New Roman"/>
                <w:color w:val="auto"/>
                <w:sz w:val="26"/>
                <w:szCs w:val="26"/>
              </w:rPr>
              <w:t>项目在</w:t>
            </w:r>
            <w:r>
              <w:rPr>
                <w:rFonts w:hint="eastAsia" w:ascii="Times New Roman" w:hAnsi="Times New Roman" w:eastAsia="宋体" w:cs="Times New Roman"/>
                <w:color w:val="auto"/>
                <w:sz w:val="26"/>
                <w:szCs w:val="26"/>
                <w:lang w:val="en-US" w:eastAsia="zh-CN"/>
              </w:rPr>
              <w:t>厂房</w:t>
            </w:r>
            <w:r>
              <w:rPr>
                <w:rFonts w:hint="eastAsia" w:cs="Times New Roman"/>
                <w:color w:val="auto"/>
                <w:sz w:val="26"/>
                <w:szCs w:val="26"/>
                <w:lang w:val="en-US" w:eastAsia="zh-CN"/>
              </w:rPr>
              <w:t>南</w:t>
            </w:r>
            <w:r>
              <w:rPr>
                <w:rFonts w:hint="default" w:ascii="Times New Roman" w:hAnsi="Times New Roman" w:eastAsia="宋体" w:cs="Times New Roman"/>
                <w:color w:val="auto"/>
                <w:sz w:val="26"/>
                <w:szCs w:val="26"/>
                <w:lang w:val="en-US" w:eastAsia="zh-CN"/>
              </w:rPr>
              <w:t>侧</w:t>
            </w:r>
            <w:r>
              <w:rPr>
                <w:rFonts w:hint="default" w:ascii="Times New Roman" w:hAnsi="Times New Roman" w:eastAsia="宋体" w:cs="Times New Roman"/>
                <w:color w:val="auto"/>
                <w:sz w:val="26"/>
                <w:szCs w:val="26"/>
              </w:rPr>
              <w:t>设置1处一般固废暂存区，面积约为</w:t>
            </w:r>
            <w:r>
              <w:rPr>
                <w:rFonts w:hint="eastAsia" w:ascii="Times New Roman" w:hAnsi="Times New Roman" w:eastAsia="宋体" w:cs="Times New Roman"/>
                <w:color w:val="auto"/>
                <w:sz w:val="26"/>
                <w:szCs w:val="26"/>
                <w:lang w:val="en-US" w:eastAsia="zh-CN"/>
              </w:rPr>
              <w:t>35</w:t>
            </w:r>
            <w:r>
              <w:rPr>
                <w:rFonts w:hint="default" w:ascii="Times New Roman" w:hAnsi="Times New Roman" w:eastAsia="宋体" w:cs="Times New Roman"/>
                <w:color w:val="auto"/>
                <w:sz w:val="26"/>
                <w:szCs w:val="26"/>
              </w:rPr>
              <w:t>m</w:t>
            </w:r>
            <w:r>
              <w:rPr>
                <w:rFonts w:hint="default" w:ascii="Times New Roman" w:hAnsi="Times New Roman" w:eastAsia="宋体" w:cs="Times New Roman"/>
                <w:color w:val="auto"/>
                <w:sz w:val="26"/>
                <w:szCs w:val="26"/>
                <w:vertAlign w:val="superscript"/>
              </w:rPr>
              <w:t>2</w:t>
            </w:r>
            <w:r>
              <w:rPr>
                <w:rFonts w:hint="default" w:ascii="Times New Roman" w:hAnsi="Times New Roman" w:eastAsia="宋体" w:cs="Times New Roman"/>
                <w:bCs/>
                <w:color w:val="auto"/>
                <w:sz w:val="26"/>
                <w:szCs w:val="26"/>
              </w:rPr>
              <w:t>。</w:t>
            </w:r>
          </w:p>
          <w:p w14:paraId="0005B450">
            <w:pPr>
              <w:pageBreakBefore w:val="0"/>
              <w:widowControl w:val="0"/>
              <w:numPr>
                <w:ilvl w:val="0"/>
                <w:numId w:val="0"/>
              </w:numPr>
              <w:kinsoku/>
              <w:wordWrap/>
              <w:overflowPunct/>
              <w:topLinePunct w:val="0"/>
              <w:bidi w:val="0"/>
              <w:adjustRightInd w:val="0"/>
              <w:snapToGrid w:val="0"/>
              <w:spacing w:line="460" w:lineRule="exact"/>
              <w:ind w:firstLine="520" w:firstLineChars="200"/>
              <w:jc w:val="both"/>
              <w:textAlignment w:val="auto"/>
              <w:rPr>
                <w:rFonts w:hint="eastAsia" w:cs="Times New Roman"/>
                <w:bCs/>
                <w:color w:val="auto"/>
                <w:sz w:val="26"/>
                <w:szCs w:val="26"/>
                <w:lang w:val="en-US" w:eastAsia="zh-CN"/>
              </w:rPr>
            </w:pPr>
            <w:r>
              <w:rPr>
                <w:rFonts w:hint="eastAsia" w:ascii="Times New Roman" w:hAnsi="Times New Roman" w:eastAsia="宋体" w:cs="Times New Roman"/>
                <w:bCs/>
                <w:color w:val="auto"/>
                <w:kern w:val="2"/>
                <w:sz w:val="26"/>
                <w:szCs w:val="26"/>
                <w:lang w:val="en-US" w:eastAsia="zh-CN" w:bidi="ar-SA"/>
              </w:rPr>
              <w:t>（2）</w:t>
            </w:r>
            <w:r>
              <w:rPr>
                <w:rFonts w:hint="eastAsia" w:cs="Times New Roman"/>
                <w:bCs/>
                <w:color w:val="auto"/>
                <w:sz w:val="26"/>
                <w:szCs w:val="26"/>
                <w:lang w:val="en-US" w:eastAsia="zh-CN"/>
              </w:rPr>
              <w:t>危险废物</w:t>
            </w:r>
          </w:p>
          <w:p w14:paraId="7A58F508">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firstLine="520" w:firstLineChars="200"/>
              <w:jc w:val="both"/>
              <w:textAlignment w:val="auto"/>
              <w:rPr>
                <w:rFonts w:hint="default" w:cs="Times New Roman"/>
                <w:bCs/>
                <w:color w:val="auto"/>
                <w:sz w:val="26"/>
                <w:szCs w:val="26"/>
                <w:lang w:val="en-US" w:eastAsia="zh-CN"/>
              </w:rPr>
            </w:pPr>
            <w:r>
              <w:rPr>
                <w:rFonts w:hint="eastAsia" w:cs="Times New Roman"/>
                <w:bCs/>
                <w:color w:val="auto"/>
                <w:sz w:val="26"/>
                <w:szCs w:val="26"/>
                <w:lang w:val="en-US" w:eastAsia="zh-CN"/>
              </w:rPr>
              <w:t>维修废油：设备维修过程产生的废机油，产生量约0.05t/a，暂存在厂房北侧的危险废物贮存点，面积为5m</w:t>
            </w:r>
            <w:r>
              <w:rPr>
                <w:rFonts w:hint="eastAsia" w:cs="Times New Roman"/>
                <w:bCs/>
                <w:color w:val="auto"/>
                <w:sz w:val="26"/>
                <w:szCs w:val="26"/>
                <w:vertAlign w:val="superscript"/>
                <w:lang w:val="en-US" w:eastAsia="zh-CN"/>
              </w:rPr>
              <w:t>2</w:t>
            </w:r>
            <w:r>
              <w:rPr>
                <w:rFonts w:hint="eastAsia" w:cs="Times New Roman"/>
                <w:bCs/>
                <w:color w:val="auto"/>
                <w:sz w:val="26"/>
                <w:szCs w:val="26"/>
                <w:lang w:val="en-US" w:eastAsia="zh-CN"/>
              </w:rPr>
              <w:t>。</w:t>
            </w:r>
          </w:p>
          <w:p w14:paraId="7DABFD1A">
            <w:pPr>
              <w:pageBreakBefore w:val="0"/>
              <w:widowControl w:val="0"/>
              <w:kinsoku/>
              <w:wordWrap/>
              <w:overflowPunct/>
              <w:topLinePunct w:val="0"/>
              <w:bidi w:val="0"/>
              <w:adjustRightInd w:val="0"/>
              <w:snapToGrid w:val="0"/>
              <w:spacing w:line="460" w:lineRule="exact"/>
              <w:jc w:val="both"/>
              <w:textAlignment w:val="auto"/>
              <w:rPr>
                <w:rFonts w:hint="default" w:ascii="Times New Roman" w:hAnsi="Times New Roman" w:eastAsia="宋体" w:cs="Times New Roman"/>
                <w:bCs/>
                <w:color w:val="auto"/>
                <w:sz w:val="26"/>
                <w:szCs w:val="26"/>
                <w:lang w:val="en-US" w:eastAsia="zh-CN"/>
              </w:rPr>
            </w:pPr>
            <w:r>
              <w:rPr>
                <w:rFonts w:hint="eastAsia" w:ascii="Times New Roman" w:hAnsi="Times New Roman" w:eastAsia="宋体" w:cs="Times New Roman"/>
                <w:bCs/>
                <w:color w:val="auto"/>
                <w:sz w:val="26"/>
                <w:szCs w:val="26"/>
                <w:lang w:eastAsia="zh-CN"/>
              </w:rPr>
              <w:t>（</w:t>
            </w:r>
            <w:r>
              <w:rPr>
                <w:rFonts w:hint="eastAsia" w:cs="Times New Roman"/>
                <w:bCs/>
                <w:color w:val="auto"/>
                <w:sz w:val="26"/>
                <w:szCs w:val="26"/>
                <w:lang w:val="en-US" w:eastAsia="zh-CN"/>
              </w:rPr>
              <w:t>3</w:t>
            </w:r>
            <w:r>
              <w:rPr>
                <w:rFonts w:hint="eastAsia" w:ascii="Times New Roman" w:hAnsi="Times New Roman" w:eastAsia="宋体" w:cs="Times New Roman"/>
                <w:bCs/>
                <w:color w:val="auto"/>
                <w:sz w:val="26"/>
                <w:szCs w:val="26"/>
                <w:lang w:eastAsia="zh-CN"/>
              </w:rPr>
              <w:t>）</w:t>
            </w:r>
            <w:r>
              <w:rPr>
                <w:rFonts w:hint="eastAsia" w:ascii="Times New Roman" w:hAnsi="Times New Roman" w:eastAsia="宋体" w:cs="Times New Roman"/>
                <w:bCs/>
                <w:color w:val="auto"/>
                <w:sz w:val="26"/>
                <w:szCs w:val="26"/>
                <w:lang w:val="en-US" w:eastAsia="zh-CN"/>
              </w:rPr>
              <w:t>生活垃圾</w:t>
            </w:r>
          </w:p>
          <w:p w14:paraId="74E69506">
            <w:pPr>
              <w:keepNext w:val="0"/>
              <w:keepLines w:val="0"/>
              <w:pageBreakBefore w:val="0"/>
              <w:widowControl w:val="0"/>
              <w:kinsoku/>
              <w:wordWrap/>
              <w:overflowPunct/>
              <w:topLinePunct w:val="0"/>
              <w:autoSpaceDE w:val="0"/>
              <w:autoSpaceDN w:val="0"/>
              <w:bidi w:val="0"/>
              <w:adjustRightInd w:val="0"/>
              <w:snapToGrid w:val="0"/>
              <w:spacing w:line="460" w:lineRule="exact"/>
              <w:ind w:firstLine="520" w:firstLineChars="200"/>
              <w:jc w:val="both"/>
              <w:textAlignment w:val="auto"/>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生活垃圾主要来源于员工生活，按每人0.5kg/d计，员工共</w:t>
            </w:r>
            <w:r>
              <w:rPr>
                <w:rFonts w:hint="eastAsia" w:ascii="Times New Roman" w:hAnsi="Times New Roman" w:eastAsia="宋体" w:cs="Times New Roman"/>
                <w:color w:val="auto"/>
                <w:sz w:val="26"/>
                <w:szCs w:val="26"/>
                <w:lang w:val="en-US" w:eastAsia="zh-CN"/>
              </w:rPr>
              <w:t>20</w:t>
            </w:r>
            <w:r>
              <w:rPr>
                <w:rFonts w:hint="default" w:ascii="Times New Roman" w:hAnsi="Times New Roman" w:eastAsia="宋体" w:cs="Times New Roman"/>
                <w:color w:val="auto"/>
                <w:sz w:val="26"/>
                <w:szCs w:val="26"/>
              </w:rPr>
              <w:t>人，全年工作</w:t>
            </w:r>
            <w:r>
              <w:rPr>
                <w:rFonts w:hint="default" w:ascii="Times New Roman" w:hAnsi="Times New Roman" w:eastAsia="宋体" w:cs="Times New Roman"/>
                <w:color w:val="auto"/>
                <w:sz w:val="26"/>
                <w:szCs w:val="26"/>
                <w:lang w:val="en-US" w:eastAsia="zh-CN"/>
              </w:rPr>
              <w:t>300</w:t>
            </w:r>
            <w:r>
              <w:rPr>
                <w:rFonts w:hint="default" w:ascii="Times New Roman" w:hAnsi="Times New Roman" w:eastAsia="宋体" w:cs="Times New Roman"/>
                <w:color w:val="auto"/>
                <w:sz w:val="26"/>
                <w:szCs w:val="26"/>
              </w:rPr>
              <w:t>天，生活垃圾年产生量</w:t>
            </w:r>
            <w:r>
              <w:rPr>
                <w:rFonts w:hint="default" w:ascii="Times New Roman" w:hAnsi="Times New Roman" w:eastAsia="宋体" w:cs="Times New Roman"/>
                <w:color w:val="auto"/>
                <w:sz w:val="26"/>
                <w:szCs w:val="26"/>
                <w:lang w:val="en-US" w:eastAsia="zh-CN"/>
              </w:rPr>
              <w:t>约</w:t>
            </w:r>
            <w:r>
              <w:rPr>
                <w:rFonts w:hint="default" w:ascii="Times New Roman" w:hAnsi="Times New Roman" w:eastAsia="宋体" w:cs="Times New Roman"/>
                <w:color w:val="auto"/>
                <w:sz w:val="26"/>
                <w:szCs w:val="26"/>
              </w:rPr>
              <w:t>为</w:t>
            </w:r>
            <w:r>
              <w:rPr>
                <w:rFonts w:hint="eastAsia" w:ascii="Times New Roman" w:hAnsi="Times New Roman" w:eastAsia="宋体" w:cs="Times New Roman"/>
                <w:color w:val="auto"/>
                <w:sz w:val="26"/>
                <w:szCs w:val="26"/>
                <w:lang w:val="en-US" w:eastAsia="zh-CN"/>
              </w:rPr>
              <w:t>3</w:t>
            </w:r>
            <w:r>
              <w:rPr>
                <w:rFonts w:hint="default" w:ascii="Times New Roman" w:hAnsi="Times New Roman" w:eastAsia="宋体" w:cs="Times New Roman"/>
                <w:color w:val="auto"/>
                <w:sz w:val="26"/>
                <w:szCs w:val="26"/>
              </w:rPr>
              <w:t>t/a。</w:t>
            </w:r>
            <w:r>
              <w:rPr>
                <w:rFonts w:hint="default" w:ascii="Times New Roman" w:hAnsi="Times New Roman" w:eastAsia="宋体" w:cs="Times New Roman"/>
                <w:color w:val="auto"/>
                <w:sz w:val="26"/>
                <w:szCs w:val="26"/>
                <w:u w:val="none"/>
              </w:rPr>
              <w:t>生活垃圾</w:t>
            </w:r>
            <w:r>
              <w:rPr>
                <w:rFonts w:hint="default" w:ascii="Times New Roman" w:hAnsi="Times New Roman" w:eastAsia="宋体" w:cs="Times New Roman"/>
                <w:bCs/>
                <w:color w:val="auto"/>
                <w:sz w:val="26"/>
                <w:szCs w:val="26"/>
              </w:rPr>
              <w:t>经收集后交市政环卫部门统一收运、处置。</w:t>
            </w:r>
          </w:p>
          <w:p w14:paraId="2D38FF3B">
            <w:pPr>
              <w:keepNext w:val="0"/>
              <w:keepLines w:val="0"/>
              <w:pageBreakBefore w:val="0"/>
              <w:widowControl w:val="0"/>
              <w:kinsoku/>
              <w:wordWrap/>
              <w:overflowPunct/>
              <w:topLinePunct w:val="0"/>
              <w:autoSpaceDE w:val="0"/>
              <w:autoSpaceDN w:val="0"/>
              <w:bidi w:val="0"/>
              <w:adjustRightInd w:val="0"/>
              <w:snapToGrid w:val="0"/>
              <w:spacing w:line="460" w:lineRule="exact"/>
              <w:ind w:firstLine="520" w:firstLineChars="200"/>
              <w:jc w:val="both"/>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rPr>
              <w:t>本项目固体废物产生、处理情况见表4.2-</w:t>
            </w:r>
            <w:r>
              <w:rPr>
                <w:rFonts w:hint="eastAsia" w:ascii="Times New Roman" w:hAnsi="Times New Roman" w:eastAsia="宋体" w:cs="Times New Roman"/>
                <w:color w:val="auto"/>
                <w:sz w:val="26"/>
                <w:szCs w:val="26"/>
                <w:lang w:val="en-US" w:eastAsia="zh-CN"/>
              </w:rPr>
              <w:t>10</w:t>
            </w:r>
            <w:r>
              <w:rPr>
                <w:rFonts w:hint="default" w:ascii="Times New Roman" w:hAnsi="Times New Roman" w:eastAsia="宋体" w:cs="Times New Roman"/>
                <w:color w:val="auto"/>
                <w:sz w:val="26"/>
                <w:szCs w:val="26"/>
                <w:lang w:val="en-US" w:eastAsia="zh-CN"/>
              </w:rPr>
              <w:t>。</w:t>
            </w:r>
          </w:p>
          <w:p w14:paraId="7F76E079">
            <w:pPr>
              <w:keepNext w:val="0"/>
              <w:keepLines w:val="0"/>
              <w:pageBreakBefore w:val="0"/>
              <w:widowControl w:val="0"/>
              <w:kinsoku/>
              <w:wordWrap/>
              <w:overflowPunct/>
              <w:topLinePunct w:val="0"/>
              <w:autoSpaceDE w:val="0"/>
              <w:autoSpaceDN w:val="0"/>
              <w:bidi w:val="0"/>
              <w:adjustRightInd w:val="0"/>
              <w:snapToGrid w:val="0"/>
              <w:spacing w:line="460" w:lineRule="exact"/>
              <w:ind w:firstLine="520" w:firstLineChars="200"/>
              <w:jc w:val="both"/>
              <w:textAlignment w:val="auto"/>
              <w:rPr>
                <w:rFonts w:hint="default" w:ascii="Times New Roman" w:hAnsi="Times New Roman" w:eastAsia="宋体" w:cs="Times New Roman"/>
                <w:color w:val="auto"/>
                <w:sz w:val="26"/>
                <w:szCs w:val="26"/>
                <w:lang w:val="en-US" w:eastAsia="zh-CN"/>
              </w:rPr>
            </w:pPr>
          </w:p>
          <w:p w14:paraId="5F36A323">
            <w:pPr>
              <w:keepNext w:val="0"/>
              <w:keepLines w:val="0"/>
              <w:pageBreakBefore w:val="0"/>
              <w:widowControl w:val="0"/>
              <w:kinsoku/>
              <w:wordWrap/>
              <w:overflowPunct/>
              <w:topLinePunct w:val="0"/>
              <w:autoSpaceDE w:val="0"/>
              <w:autoSpaceDN w:val="0"/>
              <w:bidi w:val="0"/>
              <w:adjustRightInd w:val="0"/>
              <w:snapToGrid w:val="0"/>
              <w:spacing w:line="460" w:lineRule="exact"/>
              <w:ind w:firstLine="520" w:firstLineChars="200"/>
              <w:jc w:val="both"/>
              <w:textAlignment w:val="auto"/>
              <w:rPr>
                <w:rFonts w:hint="eastAsia" w:ascii="Times New Roman" w:hAnsi="Times New Roman" w:eastAsia="宋体" w:cs="Times New Roman"/>
                <w:color w:val="auto"/>
                <w:sz w:val="26"/>
                <w:szCs w:val="26"/>
                <w:lang w:eastAsia="zh-CN"/>
              </w:rPr>
            </w:pPr>
            <w:r>
              <w:rPr>
                <w:rFonts w:hint="default" w:ascii="Times New Roman" w:hAnsi="Times New Roman" w:eastAsia="宋体" w:cs="Times New Roman"/>
                <w:color w:val="auto"/>
                <w:sz w:val="26"/>
                <w:szCs w:val="26"/>
              </w:rPr>
              <w:t>表</w:t>
            </w:r>
            <w:r>
              <w:rPr>
                <w:rFonts w:hint="default" w:ascii="Times New Roman" w:hAnsi="Times New Roman" w:eastAsia="宋体" w:cs="Times New Roman"/>
                <w:color w:val="auto"/>
                <w:sz w:val="26"/>
                <w:szCs w:val="26"/>
                <w:lang w:val="en-US" w:eastAsia="zh-CN"/>
              </w:rPr>
              <w:t>4.2-</w:t>
            </w:r>
            <w:r>
              <w:rPr>
                <w:rFonts w:hint="eastAsia" w:ascii="Times New Roman" w:hAnsi="Times New Roman" w:eastAsia="宋体" w:cs="Times New Roman"/>
                <w:color w:val="auto"/>
                <w:sz w:val="26"/>
                <w:szCs w:val="26"/>
                <w:lang w:val="en-US" w:eastAsia="zh-CN"/>
              </w:rPr>
              <w:t>10</w:t>
            </w:r>
            <w:r>
              <w:rPr>
                <w:rFonts w:hint="default" w:ascii="Times New Roman" w:hAnsi="Times New Roman" w:eastAsia="宋体" w:cs="Times New Roman"/>
                <w:color w:val="auto"/>
                <w:sz w:val="26"/>
                <w:szCs w:val="26"/>
              </w:rPr>
              <w:t xml:space="preserve"> </w:t>
            </w:r>
            <w:r>
              <w:rPr>
                <w:rFonts w:hint="eastAsia" w:ascii="Times New Roman" w:hAnsi="Times New Roman" w:eastAsia="宋体" w:cs="Times New Roman"/>
                <w:color w:val="auto"/>
                <w:sz w:val="26"/>
                <w:szCs w:val="26"/>
                <w:lang w:val="en-US" w:eastAsia="zh-CN"/>
              </w:rPr>
              <w:t xml:space="preserve">     </w:t>
            </w:r>
            <w:r>
              <w:rPr>
                <w:rFonts w:hint="default" w:ascii="Times New Roman" w:hAnsi="Times New Roman" w:eastAsia="宋体" w:cs="Times New Roman"/>
                <w:color w:val="auto"/>
                <w:sz w:val="26"/>
                <w:szCs w:val="26"/>
              </w:rPr>
              <w:t xml:space="preserve"> </w:t>
            </w:r>
            <w:r>
              <w:rPr>
                <w:rFonts w:hint="eastAsia" w:ascii="Times New Roman" w:hAnsi="Times New Roman" w:eastAsia="宋体" w:cs="Times New Roman"/>
                <w:color w:val="auto"/>
                <w:sz w:val="26"/>
                <w:szCs w:val="26"/>
                <w:lang w:eastAsia="zh-CN"/>
              </w:rPr>
              <w:t>项目</w:t>
            </w:r>
            <w:r>
              <w:rPr>
                <w:rFonts w:hint="eastAsia" w:ascii="Times New Roman" w:hAnsi="Times New Roman" w:eastAsia="宋体" w:cs="Times New Roman"/>
                <w:color w:val="auto"/>
                <w:sz w:val="26"/>
                <w:szCs w:val="26"/>
                <w:lang w:val="en-US" w:eastAsia="zh-CN"/>
              </w:rPr>
              <w:t>固体废物</w:t>
            </w:r>
            <w:r>
              <w:rPr>
                <w:rFonts w:hint="eastAsia" w:ascii="Times New Roman" w:hAnsi="Times New Roman" w:eastAsia="宋体" w:cs="Times New Roman"/>
                <w:color w:val="auto"/>
                <w:sz w:val="26"/>
                <w:szCs w:val="26"/>
                <w:lang w:eastAsia="zh-CN"/>
              </w:rPr>
              <w:t>产生情况表</w:t>
            </w:r>
          </w:p>
          <w:tbl>
            <w:tblPr>
              <w:tblStyle w:val="17"/>
              <w:tblW w:w="485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4"/>
              <w:gridCol w:w="662"/>
              <w:gridCol w:w="399"/>
              <w:gridCol w:w="422"/>
              <w:gridCol w:w="513"/>
              <w:gridCol w:w="746"/>
              <w:gridCol w:w="462"/>
              <w:gridCol w:w="667"/>
              <w:gridCol w:w="436"/>
              <w:gridCol w:w="1200"/>
              <w:gridCol w:w="428"/>
              <w:gridCol w:w="770"/>
            </w:tblGrid>
            <w:tr w14:paraId="5BBBF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44" w:type="dxa"/>
                  <w:vMerge w:val="restart"/>
                  <w:tcBorders>
                    <w:top w:val="single" w:color="000000" w:sz="4" w:space="0"/>
                    <w:left w:val="single" w:color="000000" w:sz="4" w:space="0"/>
                    <w:right w:val="single" w:color="000000" w:sz="4" w:space="0"/>
                  </w:tcBorders>
                  <w:noWrap w:val="0"/>
                  <w:vAlign w:val="center"/>
                </w:tcPr>
                <w:p w14:paraId="1FDACF93">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r>
                    <w:rPr>
                      <w:rFonts w:hint="default" w:ascii="Times New Roman" w:hAnsi="Times New Roman" w:cs="Times New Roman"/>
                      <w:color w:val="auto"/>
                      <w:sz w:val="22"/>
                      <w:szCs w:val="22"/>
                    </w:rPr>
                    <w:t>产生环节</w:t>
                  </w:r>
                </w:p>
              </w:tc>
              <w:tc>
                <w:tcPr>
                  <w:tcW w:w="662" w:type="dxa"/>
                  <w:vMerge w:val="restart"/>
                  <w:tcBorders>
                    <w:top w:val="single" w:color="000000" w:sz="4" w:space="0"/>
                    <w:left w:val="nil"/>
                    <w:right w:val="single" w:color="000000" w:sz="4" w:space="0"/>
                  </w:tcBorders>
                  <w:noWrap w:val="0"/>
                  <w:vAlign w:val="center"/>
                </w:tcPr>
                <w:p w14:paraId="2CF5D6DA">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固体废物名称</w:t>
                  </w:r>
                </w:p>
              </w:tc>
              <w:tc>
                <w:tcPr>
                  <w:tcW w:w="399" w:type="dxa"/>
                  <w:vMerge w:val="restart"/>
                  <w:tcBorders>
                    <w:top w:val="single" w:color="000000" w:sz="4" w:space="0"/>
                    <w:left w:val="nil"/>
                    <w:right w:val="single" w:color="000000" w:sz="4" w:space="0"/>
                  </w:tcBorders>
                  <w:noWrap w:val="0"/>
                  <w:vAlign w:val="center"/>
                </w:tcPr>
                <w:p w14:paraId="2F3FCA93">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属性</w:t>
                  </w:r>
                </w:p>
              </w:tc>
              <w:tc>
                <w:tcPr>
                  <w:tcW w:w="422" w:type="dxa"/>
                  <w:vMerge w:val="restart"/>
                  <w:tcBorders>
                    <w:top w:val="single" w:color="000000" w:sz="4" w:space="0"/>
                    <w:left w:val="nil"/>
                    <w:right w:val="single" w:color="000000" w:sz="4" w:space="0"/>
                  </w:tcBorders>
                  <w:noWrap w:val="0"/>
                  <w:vAlign w:val="center"/>
                </w:tcPr>
                <w:p w14:paraId="78487710">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物理性状</w:t>
                  </w:r>
                </w:p>
              </w:tc>
              <w:tc>
                <w:tcPr>
                  <w:tcW w:w="513" w:type="dxa"/>
                  <w:vMerge w:val="restart"/>
                  <w:tcBorders>
                    <w:top w:val="single" w:color="000000" w:sz="4" w:space="0"/>
                    <w:left w:val="nil"/>
                    <w:right w:val="single" w:color="000000" w:sz="4" w:space="0"/>
                  </w:tcBorders>
                  <w:noWrap w:val="0"/>
                  <w:vAlign w:val="center"/>
                </w:tcPr>
                <w:p w14:paraId="175A5795">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废物类别</w:t>
                  </w:r>
                </w:p>
              </w:tc>
              <w:tc>
                <w:tcPr>
                  <w:tcW w:w="746" w:type="dxa"/>
                  <w:vMerge w:val="restart"/>
                  <w:tcBorders>
                    <w:top w:val="single" w:color="000000" w:sz="4" w:space="0"/>
                    <w:left w:val="nil"/>
                    <w:right w:val="single" w:color="000000" w:sz="4" w:space="0"/>
                  </w:tcBorders>
                  <w:noWrap w:val="0"/>
                  <w:vAlign w:val="center"/>
                </w:tcPr>
                <w:p w14:paraId="50791DB4">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废物代码</w:t>
                  </w:r>
                </w:p>
              </w:tc>
              <w:tc>
                <w:tcPr>
                  <w:tcW w:w="462" w:type="dxa"/>
                  <w:vMerge w:val="restart"/>
                  <w:tcBorders>
                    <w:top w:val="single" w:color="000000" w:sz="4" w:space="0"/>
                    <w:left w:val="nil"/>
                    <w:right w:val="single" w:color="000000" w:sz="4" w:space="0"/>
                  </w:tcBorders>
                  <w:noWrap w:val="0"/>
                  <w:vAlign w:val="center"/>
                </w:tcPr>
                <w:p w14:paraId="780495CE">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危险特性</w:t>
                  </w:r>
                </w:p>
              </w:tc>
              <w:tc>
                <w:tcPr>
                  <w:tcW w:w="667" w:type="dxa"/>
                  <w:vMerge w:val="restart"/>
                  <w:tcBorders>
                    <w:top w:val="single" w:color="000000" w:sz="4" w:space="0"/>
                    <w:left w:val="nil"/>
                    <w:right w:val="single" w:color="000000" w:sz="4" w:space="0"/>
                  </w:tcBorders>
                  <w:noWrap w:val="0"/>
                  <w:vAlign w:val="center"/>
                </w:tcPr>
                <w:p w14:paraId="258565DC">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年产生量（t/a）</w:t>
                  </w:r>
                </w:p>
              </w:tc>
              <w:tc>
                <w:tcPr>
                  <w:tcW w:w="436" w:type="dxa"/>
                  <w:vMerge w:val="restart"/>
                  <w:tcBorders>
                    <w:top w:val="single" w:color="000000" w:sz="4" w:space="0"/>
                    <w:left w:val="nil"/>
                    <w:right w:val="single" w:color="000000" w:sz="4" w:space="0"/>
                  </w:tcBorders>
                  <w:noWrap w:val="0"/>
                  <w:vAlign w:val="center"/>
                </w:tcPr>
                <w:p w14:paraId="53B6E480">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r>
                    <w:rPr>
                      <w:rFonts w:hint="default" w:ascii="Times New Roman" w:hAnsi="Times New Roman" w:cs="Times New Roman"/>
                      <w:color w:val="auto"/>
                      <w:sz w:val="22"/>
                      <w:szCs w:val="22"/>
                    </w:rPr>
                    <w:t>贮存方式</w:t>
                  </w:r>
                </w:p>
              </w:tc>
              <w:tc>
                <w:tcPr>
                  <w:tcW w:w="1200" w:type="dxa"/>
                  <w:vMerge w:val="restart"/>
                  <w:tcBorders>
                    <w:top w:val="single" w:color="000000" w:sz="4" w:space="0"/>
                    <w:left w:val="nil"/>
                    <w:right w:val="single" w:color="000000" w:sz="4" w:space="0"/>
                  </w:tcBorders>
                  <w:noWrap w:val="0"/>
                  <w:vAlign w:val="center"/>
                </w:tcPr>
                <w:p w14:paraId="097FAD9F">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处理方式</w:t>
                  </w:r>
                </w:p>
              </w:tc>
              <w:tc>
                <w:tcPr>
                  <w:tcW w:w="1198" w:type="dxa"/>
                  <w:gridSpan w:val="2"/>
                  <w:tcBorders>
                    <w:top w:val="single" w:color="000000" w:sz="4" w:space="0"/>
                    <w:left w:val="nil"/>
                    <w:bottom w:val="single" w:color="000000" w:sz="4" w:space="0"/>
                    <w:right w:val="single" w:color="000000" w:sz="4" w:space="0"/>
                  </w:tcBorders>
                  <w:noWrap w:val="0"/>
                  <w:vAlign w:val="center"/>
                </w:tcPr>
                <w:p w14:paraId="5F3FDF73">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处置去向及处置量</w:t>
                  </w:r>
                </w:p>
              </w:tc>
            </w:tr>
            <w:tr w14:paraId="3CD3E9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44" w:type="dxa"/>
                  <w:vMerge w:val="continue"/>
                  <w:tcBorders>
                    <w:left w:val="single" w:color="000000" w:sz="4" w:space="0"/>
                    <w:bottom w:val="single" w:color="000000" w:sz="4" w:space="0"/>
                    <w:right w:val="single" w:color="000000" w:sz="4" w:space="0"/>
                  </w:tcBorders>
                  <w:noWrap w:val="0"/>
                  <w:vAlign w:val="center"/>
                </w:tcPr>
                <w:p w14:paraId="1F5A18FC">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p>
              </w:tc>
              <w:tc>
                <w:tcPr>
                  <w:tcW w:w="662" w:type="dxa"/>
                  <w:vMerge w:val="continue"/>
                  <w:tcBorders>
                    <w:left w:val="nil"/>
                    <w:bottom w:val="single" w:color="000000" w:sz="4" w:space="0"/>
                    <w:right w:val="single" w:color="000000" w:sz="4" w:space="0"/>
                  </w:tcBorders>
                  <w:noWrap w:val="0"/>
                  <w:vAlign w:val="center"/>
                </w:tcPr>
                <w:p w14:paraId="277563E1">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p>
              </w:tc>
              <w:tc>
                <w:tcPr>
                  <w:tcW w:w="399" w:type="dxa"/>
                  <w:vMerge w:val="continue"/>
                  <w:tcBorders>
                    <w:left w:val="nil"/>
                    <w:bottom w:val="single" w:color="000000" w:sz="4" w:space="0"/>
                    <w:right w:val="single" w:color="000000" w:sz="4" w:space="0"/>
                  </w:tcBorders>
                  <w:noWrap w:val="0"/>
                  <w:vAlign w:val="center"/>
                </w:tcPr>
                <w:p w14:paraId="1FF4A901">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p>
              </w:tc>
              <w:tc>
                <w:tcPr>
                  <w:tcW w:w="422" w:type="dxa"/>
                  <w:vMerge w:val="continue"/>
                  <w:tcBorders>
                    <w:left w:val="nil"/>
                    <w:bottom w:val="single" w:color="000000" w:sz="4" w:space="0"/>
                    <w:right w:val="single" w:color="000000" w:sz="4" w:space="0"/>
                  </w:tcBorders>
                  <w:noWrap w:val="0"/>
                  <w:vAlign w:val="center"/>
                </w:tcPr>
                <w:p w14:paraId="728DCE84">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p>
              </w:tc>
              <w:tc>
                <w:tcPr>
                  <w:tcW w:w="513" w:type="dxa"/>
                  <w:vMerge w:val="continue"/>
                  <w:tcBorders>
                    <w:left w:val="nil"/>
                    <w:bottom w:val="single" w:color="000000" w:sz="4" w:space="0"/>
                    <w:right w:val="single" w:color="000000" w:sz="4" w:space="0"/>
                  </w:tcBorders>
                  <w:noWrap w:val="0"/>
                  <w:vAlign w:val="center"/>
                </w:tcPr>
                <w:p w14:paraId="5D9E8076">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p>
              </w:tc>
              <w:tc>
                <w:tcPr>
                  <w:tcW w:w="746" w:type="dxa"/>
                  <w:vMerge w:val="continue"/>
                  <w:tcBorders>
                    <w:left w:val="nil"/>
                    <w:bottom w:val="single" w:color="000000" w:sz="4" w:space="0"/>
                    <w:right w:val="single" w:color="000000" w:sz="4" w:space="0"/>
                  </w:tcBorders>
                  <w:noWrap w:val="0"/>
                  <w:vAlign w:val="center"/>
                </w:tcPr>
                <w:p w14:paraId="37AE7520">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p>
              </w:tc>
              <w:tc>
                <w:tcPr>
                  <w:tcW w:w="462" w:type="dxa"/>
                  <w:vMerge w:val="continue"/>
                  <w:tcBorders>
                    <w:left w:val="nil"/>
                    <w:bottom w:val="single" w:color="000000" w:sz="4" w:space="0"/>
                    <w:right w:val="single" w:color="000000" w:sz="4" w:space="0"/>
                  </w:tcBorders>
                  <w:noWrap w:val="0"/>
                  <w:vAlign w:val="center"/>
                </w:tcPr>
                <w:p w14:paraId="2B390296">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p>
              </w:tc>
              <w:tc>
                <w:tcPr>
                  <w:tcW w:w="667" w:type="dxa"/>
                  <w:vMerge w:val="continue"/>
                  <w:tcBorders>
                    <w:left w:val="nil"/>
                    <w:bottom w:val="single" w:color="000000" w:sz="4" w:space="0"/>
                    <w:right w:val="single" w:color="000000" w:sz="4" w:space="0"/>
                  </w:tcBorders>
                  <w:noWrap w:val="0"/>
                  <w:vAlign w:val="center"/>
                </w:tcPr>
                <w:p w14:paraId="1B439AB2">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p>
              </w:tc>
              <w:tc>
                <w:tcPr>
                  <w:tcW w:w="436" w:type="dxa"/>
                  <w:vMerge w:val="continue"/>
                  <w:tcBorders>
                    <w:left w:val="nil"/>
                    <w:bottom w:val="single" w:color="000000" w:sz="4" w:space="0"/>
                    <w:right w:val="single" w:color="000000" w:sz="4" w:space="0"/>
                  </w:tcBorders>
                  <w:noWrap w:val="0"/>
                  <w:vAlign w:val="center"/>
                </w:tcPr>
                <w:p w14:paraId="62C2DE83">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p>
              </w:tc>
              <w:tc>
                <w:tcPr>
                  <w:tcW w:w="1200" w:type="dxa"/>
                  <w:vMerge w:val="continue"/>
                  <w:tcBorders>
                    <w:left w:val="nil"/>
                    <w:bottom w:val="single" w:color="000000" w:sz="4" w:space="0"/>
                    <w:right w:val="single" w:color="000000" w:sz="4" w:space="0"/>
                  </w:tcBorders>
                  <w:noWrap w:val="0"/>
                  <w:vAlign w:val="center"/>
                </w:tcPr>
                <w:p w14:paraId="6F52352C">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p>
              </w:tc>
              <w:tc>
                <w:tcPr>
                  <w:tcW w:w="428" w:type="dxa"/>
                  <w:tcBorders>
                    <w:top w:val="single" w:color="000000" w:sz="4" w:space="0"/>
                    <w:left w:val="nil"/>
                    <w:bottom w:val="single" w:color="000000" w:sz="4" w:space="0"/>
                    <w:right w:val="single" w:color="000000" w:sz="4" w:space="0"/>
                  </w:tcBorders>
                  <w:noWrap w:val="0"/>
                  <w:vAlign w:val="center"/>
                </w:tcPr>
                <w:p w14:paraId="3EAF4AB5">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去向</w:t>
                  </w:r>
                </w:p>
              </w:tc>
              <w:tc>
                <w:tcPr>
                  <w:tcW w:w="770" w:type="dxa"/>
                  <w:tcBorders>
                    <w:top w:val="single" w:color="000000" w:sz="4" w:space="0"/>
                    <w:left w:val="nil"/>
                    <w:bottom w:val="single" w:color="000000" w:sz="4" w:space="0"/>
                    <w:right w:val="single" w:color="000000" w:sz="4" w:space="0"/>
                  </w:tcBorders>
                  <w:noWrap w:val="0"/>
                  <w:vAlign w:val="center"/>
                </w:tcPr>
                <w:p w14:paraId="34BBF3C8">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处置量（t/a）</w:t>
                  </w:r>
                </w:p>
              </w:tc>
            </w:tr>
            <w:tr w14:paraId="47EF7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44" w:type="dxa"/>
                  <w:tcBorders>
                    <w:top w:val="single" w:color="000000" w:sz="4" w:space="0"/>
                    <w:left w:val="single" w:color="000000" w:sz="4" w:space="0"/>
                    <w:bottom w:val="single" w:color="000000" w:sz="4" w:space="0"/>
                    <w:right w:val="single" w:color="000000" w:sz="4" w:space="0"/>
                  </w:tcBorders>
                  <w:noWrap w:val="0"/>
                  <w:vAlign w:val="center"/>
                </w:tcPr>
                <w:p w14:paraId="4BC0C79A">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裁切</w:t>
                  </w:r>
                </w:p>
              </w:tc>
              <w:tc>
                <w:tcPr>
                  <w:tcW w:w="662" w:type="dxa"/>
                  <w:tcBorders>
                    <w:top w:val="single" w:color="000000" w:sz="4" w:space="0"/>
                    <w:left w:val="nil"/>
                    <w:bottom w:val="single" w:color="000000" w:sz="4" w:space="0"/>
                    <w:right w:val="single" w:color="000000" w:sz="4" w:space="0"/>
                  </w:tcBorders>
                  <w:noWrap w:val="0"/>
                  <w:vAlign w:val="center"/>
                </w:tcPr>
                <w:p w14:paraId="677F5F03">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边角料</w:t>
                  </w:r>
                </w:p>
              </w:tc>
              <w:tc>
                <w:tcPr>
                  <w:tcW w:w="399" w:type="dxa"/>
                  <w:vMerge w:val="restart"/>
                  <w:tcBorders>
                    <w:top w:val="single" w:color="000000" w:sz="4" w:space="0"/>
                    <w:left w:val="nil"/>
                    <w:right w:val="single" w:color="000000" w:sz="4" w:space="0"/>
                  </w:tcBorders>
                  <w:noWrap w:val="0"/>
                  <w:vAlign w:val="center"/>
                </w:tcPr>
                <w:p w14:paraId="08F450CB">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一般固废</w:t>
                  </w:r>
                </w:p>
              </w:tc>
              <w:tc>
                <w:tcPr>
                  <w:tcW w:w="422" w:type="dxa"/>
                  <w:tcBorders>
                    <w:top w:val="single" w:color="000000" w:sz="4" w:space="0"/>
                    <w:left w:val="nil"/>
                    <w:bottom w:val="single" w:color="000000" w:sz="4" w:space="0"/>
                    <w:right w:val="single" w:color="000000" w:sz="4" w:space="0"/>
                  </w:tcBorders>
                  <w:noWrap w:val="0"/>
                  <w:vAlign w:val="center"/>
                </w:tcPr>
                <w:p w14:paraId="2AA743D3">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固态</w:t>
                  </w:r>
                </w:p>
              </w:tc>
              <w:tc>
                <w:tcPr>
                  <w:tcW w:w="513" w:type="dxa"/>
                  <w:tcBorders>
                    <w:top w:val="single" w:color="000000" w:sz="4" w:space="0"/>
                    <w:left w:val="nil"/>
                    <w:bottom w:val="single" w:color="000000" w:sz="4" w:space="0"/>
                    <w:right w:val="single" w:color="000000" w:sz="4" w:space="0"/>
                  </w:tcBorders>
                  <w:shd w:val="clear" w:color="auto" w:fill="auto"/>
                  <w:noWrap w:val="0"/>
                  <w:vAlign w:val="center"/>
                </w:tcPr>
                <w:p w14:paraId="0E9C9EB4">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cs="Times New Roman"/>
                      <w:color w:val="auto"/>
                      <w:sz w:val="22"/>
                      <w:szCs w:val="22"/>
                      <w:lang w:val="en-US" w:eastAsia="zh-CN"/>
                    </w:rPr>
                    <w:t>SW59</w:t>
                  </w:r>
                </w:p>
              </w:tc>
              <w:tc>
                <w:tcPr>
                  <w:tcW w:w="746" w:type="dxa"/>
                  <w:tcBorders>
                    <w:top w:val="single" w:color="000000" w:sz="4" w:space="0"/>
                    <w:left w:val="nil"/>
                    <w:bottom w:val="single" w:color="000000" w:sz="4" w:space="0"/>
                    <w:right w:val="single" w:color="000000" w:sz="4" w:space="0"/>
                  </w:tcBorders>
                  <w:shd w:val="clear" w:color="auto" w:fill="auto"/>
                  <w:noWrap w:val="0"/>
                  <w:vAlign w:val="center"/>
                </w:tcPr>
                <w:p w14:paraId="71AF71B6">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cs="Times New Roman"/>
                      <w:color w:val="auto"/>
                      <w:sz w:val="22"/>
                      <w:szCs w:val="22"/>
                      <w:lang w:val="en-US" w:eastAsia="zh-CN"/>
                    </w:rPr>
                    <w:t>900-099-S59</w:t>
                  </w:r>
                </w:p>
              </w:tc>
              <w:tc>
                <w:tcPr>
                  <w:tcW w:w="462" w:type="dxa"/>
                  <w:tcBorders>
                    <w:top w:val="single" w:color="000000" w:sz="4" w:space="0"/>
                    <w:left w:val="nil"/>
                    <w:bottom w:val="single" w:color="000000" w:sz="4" w:space="0"/>
                    <w:right w:val="single" w:color="000000" w:sz="4" w:space="0"/>
                  </w:tcBorders>
                  <w:noWrap w:val="0"/>
                  <w:vAlign w:val="center"/>
                </w:tcPr>
                <w:p w14:paraId="5638381E">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w:t>
                  </w:r>
                </w:p>
              </w:tc>
              <w:tc>
                <w:tcPr>
                  <w:tcW w:w="667" w:type="dxa"/>
                  <w:tcBorders>
                    <w:top w:val="single" w:color="000000" w:sz="4" w:space="0"/>
                    <w:left w:val="nil"/>
                    <w:bottom w:val="single" w:color="000000" w:sz="4" w:space="0"/>
                    <w:right w:val="single" w:color="000000" w:sz="4" w:space="0"/>
                  </w:tcBorders>
                  <w:noWrap w:val="0"/>
                  <w:vAlign w:val="center"/>
                </w:tcPr>
                <w:p w14:paraId="673D97EC">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45.45</w:t>
                  </w:r>
                </w:p>
              </w:tc>
              <w:tc>
                <w:tcPr>
                  <w:tcW w:w="436" w:type="dxa"/>
                  <w:tcBorders>
                    <w:top w:val="single" w:color="000000" w:sz="4" w:space="0"/>
                    <w:left w:val="nil"/>
                    <w:bottom w:val="single" w:color="000000" w:sz="4" w:space="0"/>
                    <w:right w:val="single" w:color="000000" w:sz="4" w:space="0"/>
                  </w:tcBorders>
                  <w:noWrap w:val="0"/>
                  <w:vAlign w:val="center"/>
                </w:tcPr>
                <w:p w14:paraId="56DA3D21">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桶装</w:t>
                  </w:r>
                </w:p>
              </w:tc>
              <w:tc>
                <w:tcPr>
                  <w:tcW w:w="1200" w:type="dxa"/>
                  <w:vMerge w:val="restart"/>
                  <w:tcBorders>
                    <w:top w:val="single" w:color="000000" w:sz="4" w:space="0"/>
                    <w:left w:val="nil"/>
                    <w:right w:val="single" w:color="000000" w:sz="4" w:space="0"/>
                  </w:tcBorders>
                  <w:noWrap w:val="0"/>
                  <w:vAlign w:val="center"/>
                </w:tcPr>
                <w:p w14:paraId="2E471C2D">
                  <w:pPr>
                    <w:keepNext w:val="0"/>
                    <w:keepLines w:val="0"/>
                    <w:pageBreakBefore w:val="0"/>
                    <w:widowControl/>
                    <w:wordWrap/>
                    <w:topLinePunct w:val="0"/>
                    <w:bidi w:val="0"/>
                    <w:adjustRightInd w:val="0"/>
                    <w:snapToGrid w:val="0"/>
                    <w:spacing w:line="240" w:lineRule="auto"/>
                    <w:ind w:firstLine="0" w:firstLineChars="0"/>
                    <w:jc w:val="center"/>
                    <w:rPr>
                      <w:rFonts w:hint="default" w:ascii="Times New Roman" w:hAnsi="Times New Roman" w:cs="Times New Roman"/>
                      <w:color w:val="auto"/>
                      <w:sz w:val="22"/>
                      <w:szCs w:val="22"/>
                    </w:rPr>
                  </w:pPr>
                  <w:r>
                    <w:rPr>
                      <w:rFonts w:hint="eastAsia" w:ascii="Times New Roman" w:hAnsi="Times New Roman" w:cs="Times New Roman"/>
                      <w:color w:val="auto"/>
                      <w:sz w:val="22"/>
                      <w:szCs w:val="22"/>
                      <w:lang w:val="en-US" w:eastAsia="zh-CN"/>
                    </w:rPr>
                    <w:t>暂存一般工业固废暂存点</w:t>
                  </w:r>
                  <w:r>
                    <w:rPr>
                      <w:rFonts w:hint="default" w:ascii="Times New Roman" w:hAnsi="Times New Roman" w:cs="Times New Roman"/>
                      <w:color w:val="auto"/>
                      <w:sz w:val="22"/>
                      <w:szCs w:val="22"/>
                    </w:rPr>
                    <w:t>，定期交由物料回收公司回收利用委托处置</w:t>
                  </w:r>
                </w:p>
              </w:tc>
              <w:tc>
                <w:tcPr>
                  <w:tcW w:w="428" w:type="dxa"/>
                  <w:vMerge w:val="restart"/>
                  <w:tcBorders>
                    <w:top w:val="single" w:color="000000" w:sz="4" w:space="0"/>
                    <w:left w:val="nil"/>
                    <w:right w:val="single" w:color="000000" w:sz="4" w:space="0"/>
                  </w:tcBorders>
                  <w:noWrap w:val="0"/>
                  <w:vAlign w:val="center"/>
                </w:tcPr>
                <w:p w14:paraId="18BDAB22">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物料回收公司回收利用</w:t>
                  </w:r>
                </w:p>
              </w:tc>
              <w:tc>
                <w:tcPr>
                  <w:tcW w:w="770" w:type="dxa"/>
                  <w:tcBorders>
                    <w:top w:val="single" w:color="000000" w:sz="4" w:space="0"/>
                    <w:left w:val="nil"/>
                    <w:bottom w:val="single" w:color="000000" w:sz="4" w:space="0"/>
                    <w:right w:val="single" w:color="000000" w:sz="4" w:space="0"/>
                  </w:tcBorders>
                  <w:shd w:val="clear" w:color="auto" w:fill="auto"/>
                  <w:noWrap w:val="0"/>
                  <w:vAlign w:val="center"/>
                </w:tcPr>
                <w:p w14:paraId="4FCDC7F6">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cs="Times New Roman"/>
                      <w:color w:val="auto"/>
                      <w:sz w:val="22"/>
                      <w:szCs w:val="22"/>
                      <w:lang w:val="en-US" w:eastAsia="zh-CN"/>
                    </w:rPr>
                    <w:t>45.45</w:t>
                  </w:r>
                </w:p>
              </w:tc>
            </w:tr>
            <w:tr w14:paraId="5DF09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44" w:type="dxa"/>
                  <w:tcBorders>
                    <w:top w:val="single" w:color="000000" w:sz="4" w:space="0"/>
                    <w:left w:val="single" w:color="000000" w:sz="4" w:space="0"/>
                    <w:bottom w:val="single" w:color="000000" w:sz="4" w:space="0"/>
                    <w:right w:val="single" w:color="000000" w:sz="4" w:space="0"/>
                  </w:tcBorders>
                  <w:noWrap w:val="0"/>
                  <w:vAlign w:val="center"/>
                </w:tcPr>
                <w:p w14:paraId="5A61DAC6">
                  <w:pPr>
                    <w:keepNext w:val="0"/>
                    <w:keepLines w:val="0"/>
                    <w:pageBreakBefore w:val="0"/>
                    <w:kinsoku w:val="0"/>
                    <w:wordWrap/>
                    <w:overflowPunct w:val="0"/>
                    <w:topLinePunct w:val="0"/>
                    <w:autoSpaceDE w:val="0"/>
                    <w:bidi w:val="0"/>
                    <w:adjustRightInd w:val="0"/>
                    <w:snapToGrid w:val="0"/>
                    <w:spacing w:line="240" w:lineRule="auto"/>
                    <w:ind w:firstLine="0" w:firstLineChars="0"/>
                    <w:jc w:val="center"/>
                    <w:rPr>
                      <w:rFonts w:hint="eastAsia"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布袋除尘</w:t>
                  </w:r>
                </w:p>
              </w:tc>
              <w:tc>
                <w:tcPr>
                  <w:tcW w:w="662" w:type="dxa"/>
                  <w:tcBorders>
                    <w:top w:val="single" w:color="000000" w:sz="4" w:space="0"/>
                    <w:left w:val="nil"/>
                    <w:bottom w:val="single" w:color="000000" w:sz="4" w:space="0"/>
                    <w:right w:val="single" w:color="000000" w:sz="4" w:space="0"/>
                  </w:tcBorders>
                  <w:noWrap w:val="0"/>
                  <w:vAlign w:val="center"/>
                </w:tcPr>
                <w:p w14:paraId="233B522D">
                  <w:pPr>
                    <w:keepNext w:val="0"/>
                    <w:keepLines w:val="0"/>
                    <w:pageBreakBefore w:val="0"/>
                    <w:kinsoku w:val="0"/>
                    <w:wordWrap/>
                    <w:overflowPunct w:val="0"/>
                    <w:topLinePunct w:val="0"/>
                    <w:autoSpaceDE w:val="0"/>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玻璃纤维粉尘</w:t>
                  </w:r>
                </w:p>
              </w:tc>
              <w:tc>
                <w:tcPr>
                  <w:tcW w:w="399" w:type="dxa"/>
                  <w:vMerge w:val="continue"/>
                  <w:tcBorders>
                    <w:left w:val="nil"/>
                    <w:right w:val="single" w:color="000000" w:sz="4" w:space="0"/>
                  </w:tcBorders>
                  <w:noWrap w:val="0"/>
                  <w:vAlign w:val="center"/>
                </w:tcPr>
                <w:p w14:paraId="533A08A0">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p>
              </w:tc>
              <w:tc>
                <w:tcPr>
                  <w:tcW w:w="422" w:type="dxa"/>
                  <w:tcBorders>
                    <w:top w:val="single" w:color="000000" w:sz="4" w:space="0"/>
                    <w:left w:val="nil"/>
                    <w:bottom w:val="single" w:color="000000" w:sz="4" w:space="0"/>
                    <w:right w:val="single" w:color="000000" w:sz="4" w:space="0"/>
                  </w:tcBorders>
                  <w:noWrap w:val="0"/>
                  <w:vAlign w:val="center"/>
                </w:tcPr>
                <w:p w14:paraId="6A90DF73">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固态</w:t>
                  </w:r>
                </w:p>
              </w:tc>
              <w:tc>
                <w:tcPr>
                  <w:tcW w:w="513" w:type="dxa"/>
                  <w:tcBorders>
                    <w:top w:val="single" w:color="000000" w:sz="4" w:space="0"/>
                    <w:left w:val="nil"/>
                    <w:bottom w:val="single" w:color="000000" w:sz="4" w:space="0"/>
                    <w:right w:val="single" w:color="000000" w:sz="4" w:space="0"/>
                  </w:tcBorders>
                  <w:noWrap w:val="0"/>
                  <w:vAlign w:val="center"/>
                </w:tcPr>
                <w:p w14:paraId="400D8AF7">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SW59</w:t>
                  </w:r>
                </w:p>
              </w:tc>
              <w:tc>
                <w:tcPr>
                  <w:tcW w:w="746" w:type="dxa"/>
                  <w:tcBorders>
                    <w:top w:val="single" w:color="000000" w:sz="4" w:space="0"/>
                    <w:left w:val="nil"/>
                    <w:bottom w:val="single" w:color="000000" w:sz="4" w:space="0"/>
                    <w:right w:val="single" w:color="000000" w:sz="4" w:space="0"/>
                  </w:tcBorders>
                  <w:noWrap w:val="0"/>
                  <w:vAlign w:val="center"/>
                </w:tcPr>
                <w:p w14:paraId="21C758DF">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900-099-S59</w:t>
                  </w:r>
                </w:p>
              </w:tc>
              <w:tc>
                <w:tcPr>
                  <w:tcW w:w="462" w:type="dxa"/>
                  <w:tcBorders>
                    <w:top w:val="single" w:color="000000" w:sz="4" w:space="0"/>
                    <w:left w:val="nil"/>
                    <w:bottom w:val="single" w:color="000000" w:sz="4" w:space="0"/>
                    <w:right w:val="single" w:color="000000" w:sz="4" w:space="0"/>
                  </w:tcBorders>
                  <w:noWrap w:val="0"/>
                  <w:vAlign w:val="center"/>
                </w:tcPr>
                <w:p w14:paraId="70F596F8">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w:t>
                  </w:r>
                </w:p>
              </w:tc>
              <w:tc>
                <w:tcPr>
                  <w:tcW w:w="667" w:type="dxa"/>
                  <w:tcBorders>
                    <w:top w:val="single" w:color="000000" w:sz="4" w:space="0"/>
                    <w:left w:val="nil"/>
                    <w:bottom w:val="single" w:color="000000" w:sz="4" w:space="0"/>
                    <w:right w:val="single" w:color="000000" w:sz="4" w:space="0"/>
                  </w:tcBorders>
                  <w:noWrap w:val="0"/>
                  <w:vAlign w:val="center"/>
                </w:tcPr>
                <w:p w14:paraId="1756461E">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3.21</w:t>
                  </w:r>
                </w:p>
              </w:tc>
              <w:tc>
                <w:tcPr>
                  <w:tcW w:w="436" w:type="dxa"/>
                  <w:tcBorders>
                    <w:top w:val="single" w:color="000000" w:sz="4" w:space="0"/>
                    <w:left w:val="nil"/>
                    <w:bottom w:val="single" w:color="000000" w:sz="4" w:space="0"/>
                    <w:right w:val="single" w:color="000000" w:sz="4" w:space="0"/>
                  </w:tcBorders>
                  <w:noWrap w:val="0"/>
                  <w:vAlign w:val="center"/>
                </w:tcPr>
                <w:p w14:paraId="66FA3C5A">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桶装</w:t>
                  </w:r>
                </w:p>
              </w:tc>
              <w:tc>
                <w:tcPr>
                  <w:tcW w:w="1200" w:type="dxa"/>
                  <w:vMerge w:val="continue"/>
                  <w:tcBorders>
                    <w:left w:val="nil"/>
                    <w:right w:val="single" w:color="000000" w:sz="4" w:space="0"/>
                  </w:tcBorders>
                  <w:noWrap w:val="0"/>
                  <w:vAlign w:val="center"/>
                </w:tcPr>
                <w:p w14:paraId="59D0C733">
                  <w:pPr>
                    <w:keepNext w:val="0"/>
                    <w:keepLines w:val="0"/>
                    <w:pageBreakBefore w:val="0"/>
                    <w:widowControl/>
                    <w:wordWrap/>
                    <w:topLinePunct w:val="0"/>
                    <w:bidi w:val="0"/>
                    <w:adjustRightInd w:val="0"/>
                    <w:snapToGrid w:val="0"/>
                    <w:spacing w:line="240" w:lineRule="auto"/>
                    <w:ind w:firstLine="0" w:firstLineChars="0"/>
                    <w:jc w:val="center"/>
                    <w:rPr>
                      <w:rFonts w:hint="default" w:ascii="Times New Roman" w:hAnsi="Times New Roman" w:cs="Times New Roman"/>
                      <w:color w:val="auto"/>
                      <w:sz w:val="22"/>
                      <w:szCs w:val="22"/>
                    </w:rPr>
                  </w:pPr>
                </w:p>
              </w:tc>
              <w:tc>
                <w:tcPr>
                  <w:tcW w:w="428" w:type="dxa"/>
                  <w:vMerge w:val="continue"/>
                  <w:tcBorders>
                    <w:left w:val="nil"/>
                    <w:right w:val="single" w:color="000000" w:sz="4" w:space="0"/>
                  </w:tcBorders>
                  <w:noWrap w:val="0"/>
                  <w:vAlign w:val="center"/>
                </w:tcPr>
                <w:p w14:paraId="236970E9">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p>
              </w:tc>
              <w:tc>
                <w:tcPr>
                  <w:tcW w:w="770" w:type="dxa"/>
                  <w:tcBorders>
                    <w:top w:val="single" w:color="000000" w:sz="4" w:space="0"/>
                    <w:left w:val="nil"/>
                    <w:bottom w:val="single" w:color="000000" w:sz="4" w:space="0"/>
                    <w:right w:val="single" w:color="000000" w:sz="4" w:space="0"/>
                  </w:tcBorders>
                  <w:shd w:val="clear" w:color="auto" w:fill="auto"/>
                  <w:noWrap w:val="0"/>
                  <w:vAlign w:val="center"/>
                </w:tcPr>
                <w:p w14:paraId="5572FC6A">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cs="Times New Roman"/>
                      <w:color w:val="auto"/>
                      <w:sz w:val="22"/>
                      <w:szCs w:val="22"/>
                      <w:lang w:val="en-US" w:eastAsia="zh-CN"/>
                    </w:rPr>
                    <w:t>3.21</w:t>
                  </w:r>
                </w:p>
              </w:tc>
            </w:tr>
            <w:tr w14:paraId="48833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44" w:type="dxa"/>
                  <w:tcBorders>
                    <w:top w:val="single" w:color="000000" w:sz="4" w:space="0"/>
                    <w:left w:val="single" w:color="000000" w:sz="4" w:space="0"/>
                    <w:bottom w:val="single" w:color="000000" w:sz="4" w:space="0"/>
                    <w:right w:val="single" w:color="000000" w:sz="4" w:space="0"/>
                  </w:tcBorders>
                  <w:noWrap w:val="0"/>
                  <w:vAlign w:val="center"/>
                </w:tcPr>
                <w:p w14:paraId="72E62A49">
                  <w:pPr>
                    <w:keepNext w:val="0"/>
                    <w:keepLines w:val="0"/>
                    <w:pageBreakBefore w:val="0"/>
                    <w:kinsoku w:val="0"/>
                    <w:wordWrap/>
                    <w:overflowPunct w:val="0"/>
                    <w:topLinePunct w:val="0"/>
                    <w:autoSpaceDE w:val="0"/>
                    <w:bidi w:val="0"/>
                    <w:adjustRightInd w:val="0"/>
                    <w:snapToGrid w:val="0"/>
                    <w:spacing w:line="240" w:lineRule="auto"/>
                    <w:ind w:firstLine="0" w:firstLineChars="0"/>
                    <w:jc w:val="center"/>
                    <w:rPr>
                      <w:rFonts w:hint="default" w:ascii="Times New Roman" w:hAnsi="Times New Roman" w:cs="Times New Roman"/>
                      <w:color w:val="auto"/>
                      <w:sz w:val="22"/>
                      <w:szCs w:val="22"/>
                      <w:lang w:val="en-US" w:eastAsia="zh-CN"/>
                    </w:rPr>
                  </w:pPr>
                  <w:r>
                    <w:rPr>
                      <w:rFonts w:hint="eastAsia" w:cs="Times New Roman"/>
                      <w:color w:val="auto"/>
                      <w:sz w:val="22"/>
                      <w:szCs w:val="22"/>
                      <w:lang w:val="en-US" w:eastAsia="zh-CN"/>
                    </w:rPr>
                    <w:t>设备维修</w:t>
                  </w:r>
                </w:p>
              </w:tc>
              <w:tc>
                <w:tcPr>
                  <w:tcW w:w="662" w:type="dxa"/>
                  <w:tcBorders>
                    <w:top w:val="single" w:color="000000" w:sz="4" w:space="0"/>
                    <w:left w:val="nil"/>
                    <w:bottom w:val="single" w:color="000000" w:sz="4" w:space="0"/>
                    <w:right w:val="single" w:color="000000" w:sz="4" w:space="0"/>
                  </w:tcBorders>
                  <w:noWrap w:val="0"/>
                  <w:vAlign w:val="center"/>
                </w:tcPr>
                <w:p w14:paraId="5BB52ACC">
                  <w:pPr>
                    <w:keepNext w:val="0"/>
                    <w:keepLines w:val="0"/>
                    <w:pageBreakBefore w:val="0"/>
                    <w:kinsoku w:val="0"/>
                    <w:wordWrap/>
                    <w:overflowPunct w:val="0"/>
                    <w:topLinePunct w:val="0"/>
                    <w:autoSpaceDE w:val="0"/>
                    <w:bidi w:val="0"/>
                    <w:adjustRightInd w:val="0"/>
                    <w:snapToGrid w:val="0"/>
                    <w:spacing w:line="240" w:lineRule="auto"/>
                    <w:ind w:firstLine="0" w:firstLineChars="0"/>
                    <w:jc w:val="center"/>
                    <w:rPr>
                      <w:rFonts w:hint="default" w:ascii="Times New Roman" w:hAnsi="Times New Roman" w:cs="Times New Roman"/>
                      <w:color w:val="auto"/>
                      <w:sz w:val="22"/>
                      <w:szCs w:val="22"/>
                      <w:lang w:val="en-US" w:eastAsia="zh-CN"/>
                    </w:rPr>
                  </w:pPr>
                  <w:r>
                    <w:rPr>
                      <w:rFonts w:hint="eastAsia" w:cs="Times New Roman"/>
                      <w:color w:val="auto"/>
                      <w:sz w:val="22"/>
                      <w:szCs w:val="22"/>
                      <w:lang w:val="en-US" w:eastAsia="zh-CN"/>
                    </w:rPr>
                    <w:t>维修废油</w:t>
                  </w:r>
                </w:p>
              </w:tc>
              <w:tc>
                <w:tcPr>
                  <w:tcW w:w="399" w:type="dxa"/>
                  <w:tcBorders>
                    <w:left w:val="nil"/>
                    <w:right w:val="single" w:color="000000" w:sz="4" w:space="0"/>
                  </w:tcBorders>
                  <w:noWrap w:val="0"/>
                  <w:vAlign w:val="center"/>
                </w:tcPr>
                <w:p w14:paraId="2434CAA8">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危险废物</w:t>
                  </w:r>
                </w:p>
              </w:tc>
              <w:tc>
                <w:tcPr>
                  <w:tcW w:w="422" w:type="dxa"/>
                  <w:tcBorders>
                    <w:top w:val="single" w:color="000000" w:sz="4" w:space="0"/>
                    <w:left w:val="nil"/>
                    <w:bottom w:val="single" w:color="000000" w:sz="4" w:space="0"/>
                    <w:right w:val="single" w:color="000000" w:sz="4" w:space="0"/>
                  </w:tcBorders>
                  <w:noWrap w:val="0"/>
                  <w:vAlign w:val="center"/>
                </w:tcPr>
                <w:p w14:paraId="3B768EE1">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液体</w:t>
                  </w:r>
                </w:p>
              </w:tc>
              <w:tc>
                <w:tcPr>
                  <w:tcW w:w="513" w:type="dxa"/>
                  <w:tcBorders>
                    <w:top w:val="single" w:color="000000" w:sz="4" w:space="0"/>
                    <w:left w:val="nil"/>
                    <w:bottom w:val="single" w:color="000000" w:sz="4" w:space="0"/>
                    <w:right w:val="single" w:color="000000" w:sz="4" w:space="0"/>
                  </w:tcBorders>
                  <w:noWrap w:val="0"/>
                  <w:vAlign w:val="center"/>
                </w:tcPr>
                <w:p w14:paraId="06537086">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lang w:val="en-US" w:eastAsia="zh-CN"/>
                    </w:rPr>
                  </w:pPr>
                  <w:r>
                    <w:rPr>
                      <w:rFonts w:hint="eastAsia" w:cs="Times New Roman"/>
                      <w:color w:val="auto"/>
                      <w:sz w:val="22"/>
                      <w:szCs w:val="22"/>
                      <w:lang w:val="en-US" w:eastAsia="zh-CN"/>
                    </w:rPr>
                    <w:t>HW08</w:t>
                  </w:r>
                </w:p>
              </w:tc>
              <w:tc>
                <w:tcPr>
                  <w:tcW w:w="746" w:type="dxa"/>
                  <w:tcBorders>
                    <w:top w:val="single" w:color="000000" w:sz="4" w:space="0"/>
                    <w:left w:val="nil"/>
                    <w:bottom w:val="single" w:color="000000" w:sz="4" w:space="0"/>
                    <w:right w:val="single" w:color="000000" w:sz="4" w:space="0"/>
                  </w:tcBorders>
                  <w:noWrap w:val="0"/>
                  <w:vAlign w:val="center"/>
                </w:tcPr>
                <w:p w14:paraId="4B1F6797">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900-214-08</w:t>
                  </w:r>
                </w:p>
              </w:tc>
              <w:tc>
                <w:tcPr>
                  <w:tcW w:w="462" w:type="dxa"/>
                  <w:tcBorders>
                    <w:top w:val="single" w:color="000000" w:sz="4" w:space="0"/>
                    <w:left w:val="nil"/>
                    <w:bottom w:val="single" w:color="000000" w:sz="4" w:space="0"/>
                    <w:right w:val="single" w:color="000000" w:sz="4" w:space="0"/>
                  </w:tcBorders>
                  <w:noWrap w:val="0"/>
                  <w:vAlign w:val="center"/>
                </w:tcPr>
                <w:p w14:paraId="66C6D16F">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lang w:val="en-US" w:eastAsia="zh-CN"/>
                    </w:rPr>
                  </w:pPr>
                  <w:r>
                    <w:rPr>
                      <w:rFonts w:hint="eastAsia" w:cs="Times New Roman"/>
                      <w:color w:val="auto"/>
                      <w:sz w:val="22"/>
                      <w:szCs w:val="22"/>
                      <w:lang w:val="en-US" w:eastAsia="zh-CN"/>
                    </w:rPr>
                    <w:t>T，I</w:t>
                  </w:r>
                </w:p>
              </w:tc>
              <w:tc>
                <w:tcPr>
                  <w:tcW w:w="667" w:type="dxa"/>
                  <w:tcBorders>
                    <w:top w:val="single" w:color="000000" w:sz="4" w:space="0"/>
                    <w:left w:val="nil"/>
                    <w:bottom w:val="single" w:color="000000" w:sz="4" w:space="0"/>
                    <w:right w:val="single" w:color="000000" w:sz="4" w:space="0"/>
                  </w:tcBorders>
                  <w:noWrap w:val="0"/>
                  <w:vAlign w:val="center"/>
                </w:tcPr>
                <w:p w14:paraId="21091AAA">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lang w:val="en-US" w:eastAsia="zh-CN"/>
                    </w:rPr>
                  </w:pPr>
                  <w:r>
                    <w:rPr>
                      <w:rFonts w:hint="eastAsia" w:cs="Times New Roman"/>
                      <w:color w:val="auto"/>
                      <w:sz w:val="22"/>
                      <w:szCs w:val="22"/>
                      <w:lang w:val="en-US" w:eastAsia="zh-CN"/>
                    </w:rPr>
                    <w:t>0.05</w:t>
                  </w:r>
                </w:p>
              </w:tc>
              <w:tc>
                <w:tcPr>
                  <w:tcW w:w="436" w:type="dxa"/>
                  <w:tcBorders>
                    <w:top w:val="single" w:color="000000" w:sz="4" w:space="0"/>
                    <w:left w:val="nil"/>
                    <w:bottom w:val="single" w:color="000000" w:sz="4" w:space="0"/>
                    <w:right w:val="single" w:color="000000" w:sz="4" w:space="0"/>
                  </w:tcBorders>
                  <w:noWrap w:val="0"/>
                  <w:vAlign w:val="center"/>
                </w:tcPr>
                <w:p w14:paraId="5DEF941A">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桶装</w:t>
                  </w:r>
                </w:p>
              </w:tc>
              <w:tc>
                <w:tcPr>
                  <w:tcW w:w="1200" w:type="dxa"/>
                  <w:tcBorders>
                    <w:left w:val="nil"/>
                    <w:right w:val="single" w:color="000000" w:sz="4" w:space="0"/>
                  </w:tcBorders>
                  <w:noWrap w:val="0"/>
                  <w:vAlign w:val="center"/>
                </w:tcPr>
                <w:p w14:paraId="5372E434">
                  <w:pPr>
                    <w:keepNext w:val="0"/>
                    <w:keepLines w:val="0"/>
                    <w:pageBreakBefore w:val="0"/>
                    <w:widowControl/>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暂存在危险废物贮存点，交由资质单位处置</w:t>
                  </w:r>
                </w:p>
              </w:tc>
              <w:tc>
                <w:tcPr>
                  <w:tcW w:w="428" w:type="dxa"/>
                  <w:tcBorders>
                    <w:left w:val="nil"/>
                    <w:right w:val="single" w:color="000000" w:sz="4" w:space="0"/>
                  </w:tcBorders>
                  <w:noWrap w:val="0"/>
                  <w:vAlign w:val="center"/>
                </w:tcPr>
                <w:p w14:paraId="2BA82810">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外委处置</w:t>
                  </w:r>
                </w:p>
              </w:tc>
              <w:tc>
                <w:tcPr>
                  <w:tcW w:w="770" w:type="dxa"/>
                  <w:tcBorders>
                    <w:top w:val="single" w:color="000000" w:sz="4" w:space="0"/>
                    <w:left w:val="nil"/>
                    <w:bottom w:val="single" w:color="000000" w:sz="4" w:space="0"/>
                    <w:right w:val="single" w:color="000000" w:sz="4" w:space="0"/>
                  </w:tcBorders>
                  <w:shd w:val="clear" w:color="auto" w:fill="auto"/>
                  <w:noWrap w:val="0"/>
                  <w:vAlign w:val="center"/>
                </w:tcPr>
                <w:p w14:paraId="34C9445E">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lang w:val="en-US" w:eastAsia="zh-CN"/>
                    </w:rPr>
                  </w:pPr>
                  <w:r>
                    <w:rPr>
                      <w:rFonts w:hint="eastAsia" w:cs="Times New Roman"/>
                      <w:color w:val="auto"/>
                      <w:sz w:val="22"/>
                      <w:szCs w:val="22"/>
                      <w:lang w:val="en-US" w:eastAsia="zh-CN"/>
                    </w:rPr>
                    <w:t>0.05</w:t>
                  </w:r>
                </w:p>
              </w:tc>
            </w:tr>
            <w:tr w14:paraId="38D2A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44" w:type="dxa"/>
                  <w:tcBorders>
                    <w:left w:val="single" w:color="000000" w:sz="4" w:space="0"/>
                    <w:right w:val="single" w:color="000000" w:sz="4" w:space="0"/>
                  </w:tcBorders>
                  <w:noWrap w:val="0"/>
                  <w:vAlign w:val="center"/>
                </w:tcPr>
                <w:p w14:paraId="66C7A32F">
                  <w:pPr>
                    <w:keepNext w:val="0"/>
                    <w:keepLines w:val="0"/>
                    <w:pageBreakBefore w:val="0"/>
                    <w:kinsoku w:val="0"/>
                    <w:wordWrap/>
                    <w:overflowPunct w:val="0"/>
                    <w:topLinePunct w:val="0"/>
                    <w:autoSpaceDE w:val="0"/>
                    <w:bidi w:val="0"/>
                    <w:adjustRightInd w:val="0"/>
                    <w:snapToGrid w:val="0"/>
                    <w:spacing w:line="240" w:lineRule="auto"/>
                    <w:ind w:firstLine="0" w:firstLineChars="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生活办公</w:t>
                  </w:r>
                </w:p>
              </w:tc>
              <w:tc>
                <w:tcPr>
                  <w:tcW w:w="662" w:type="dxa"/>
                  <w:tcBorders>
                    <w:top w:val="single" w:color="000000" w:sz="4" w:space="0"/>
                    <w:left w:val="nil"/>
                    <w:bottom w:val="single" w:color="000000" w:sz="4" w:space="0"/>
                    <w:right w:val="single" w:color="000000" w:sz="4" w:space="0"/>
                  </w:tcBorders>
                  <w:noWrap w:val="0"/>
                  <w:vAlign w:val="center"/>
                </w:tcPr>
                <w:p w14:paraId="7BBE8BD4">
                  <w:pPr>
                    <w:keepNext w:val="0"/>
                    <w:keepLines w:val="0"/>
                    <w:pageBreakBefore w:val="0"/>
                    <w:kinsoku w:val="0"/>
                    <w:wordWrap/>
                    <w:overflowPunct w:val="0"/>
                    <w:topLinePunct w:val="0"/>
                    <w:autoSpaceDE w:val="0"/>
                    <w:bidi w:val="0"/>
                    <w:adjustRightInd w:val="0"/>
                    <w:snapToGrid w:val="0"/>
                    <w:spacing w:line="240" w:lineRule="auto"/>
                    <w:ind w:firstLine="0" w:firstLineChars="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生活垃圾</w:t>
                  </w:r>
                </w:p>
              </w:tc>
              <w:tc>
                <w:tcPr>
                  <w:tcW w:w="399" w:type="dxa"/>
                  <w:tcBorders>
                    <w:left w:val="nil"/>
                    <w:right w:val="single" w:color="000000" w:sz="4" w:space="0"/>
                  </w:tcBorders>
                  <w:noWrap w:val="0"/>
                  <w:vAlign w:val="center"/>
                </w:tcPr>
                <w:p w14:paraId="45992A0B">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r>
                    <w:rPr>
                      <w:rFonts w:hint="default" w:ascii="Times New Roman" w:hAnsi="Times New Roman" w:cs="Times New Roman"/>
                      <w:color w:val="auto"/>
                      <w:sz w:val="22"/>
                      <w:szCs w:val="22"/>
                    </w:rPr>
                    <w:t>/</w:t>
                  </w:r>
                </w:p>
              </w:tc>
              <w:tc>
                <w:tcPr>
                  <w:tcW w:w="422" w:type="dxa"/>
                  <w:tcBorders>
                    <w:top w:val="single" w:color="000000" w:sz="4" w:space="0"/>
                    <w:left w:val="nil"/>
                    <w:bottom w:val="single" w:color="000000" w:sz="4" w:space="0"/>
                    <w:right w:val="single" w:color="000000" w:sz="4" w:space="0"/>
                  </w:tcBorders>
                  <w:noWrap w:val="0"/>
                  <w:vAlign w:val="center"/>
                </w:tcPr>
                <w:p w14:paraId="702864B0">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固态</w:t>
                  </w:r>
                </w:p>
              </w:tc>
              <w:tc>
                <w:tcPr>
                  <w:tcW w:w="513" w:type="dxa"/>
                  <w:tcBorders>
                    <w:top w:val="single" w:color="000000" w:sz="4" w:space="0"/>
                    <w:left w:val="nil"/>
                    <w:bottom w:val="single" w:color="000000" w:sz="4" w:space="0"/>
                    <w:right w:val="single" w:color="000000" w:sz="4" w:space="0"/>
                  </w:tcBorders>
                  <w:noWrap w:val="0"/>
                  <w:vAlign w:val="center"/>
                </w:tcPr>
                <w:p w14:paraId="0282ED6B">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SW62</w:t>
                  </w:r>
                </w:p>
              </w:tc>
              <w:tc>
                <w:tcPr>
                  <w:tcW w:w="746" w:type="dxa"/>
                  <w:tcBorders>
                    <w:top w:val="single" w:color="000000" w:sz="4" w:space="0"/>
                    <w:left w:val="nil"/>
                    <w:bottom w:val="single" w:color="000000" w:sz="4" w:space="0"/>
                    <w:right w:val="single" w:color="000000" w:sz="4" w:space="0"/>
                  </w:tcBorders>
                  <w:noWrap w:val="0"/>
                  <w:vAlign w:val="center"/>
                </w:tcPr>
                <w:p w14:paraId="06D3BE2B">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900-001-S62</w:t>
                  </w:r>
                </w:p>
              </w:tc>
              <w:tc>
                <w:tcPr>
                  <w:tcW w:w="462" w:type="dxa"/>
                  <w:tcBorders>
                    <w:top w:val="single" w:color="000000" w:sz="4" w:space="0"/>
                    <w:left w:val="nil"/>
                    <w:bottom w:val="single" w:color="000000" w:sz="4" w:space="0"/>
                    <w:right w:val="single" w:color="000000" w:sz="4" w:space="0"/>
                  </w:tcBorders>
                  <w:noWrap w:val="0"/>
                  <w:vAlign w:val="center"/>
                </w:tcPr>
                <w:p w14:paraId="170FE800">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r>
                    <w:rPr>
                      <w:rFonts w:hint="default" w:ascii="Times New Roman" w:hAnsi="Times New Roman" w:cs="Times New Roman"/>
                      <w:color w:val="auto"/>
                      <w:sz w:val="22"/>
                      <w:szCs w:val="22"/>
                    </w:rPr>
                    <w:t>/</w:t>
                  </w:r>
                </w:p>
              </w:tc>
              <w:tc>
                <w:tcPr>
                  <w:tcW w:w="667" w:type="dxa"/>
                  <w:tcBorders>
                    <w:top w:val="single" w:color="auto" w:sz="4" w:space="0"/>
                    <w:left w:val="nil"/>
                    <w:bottom w:val="single" w:color="auto" w:sz="4" w:space="0"/>
                    <w:right w:val="single" w:color="000000" w:sz="4" w:space="0"/>
                  </w:tcBorders>
                  <w:noWrap w:val="0"/>
                  <w:vAlign w:val="center"/>
                </w:tcPr>
                <w:p w14:paraId="0174A120">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3</w:t>
                  </w:r>
                </w:p>
              </w:tc>
              <w:tc>
                <w:tcPr>
                  <w:tcW w:w="436" w:type="dxa"/>
                  <w:tcBorders>
                    <w:top w:val="single" w:color="auto" w:sz="4" w:space="0"/>
                    <w:left w:val="nil"/>
                    <w:bottom w:val="single" w:color="auto" w:sz="4" w:space="0"/>
                    <w:right w:val="single" w:color="000000" w:sz="4" w:space="0"/>
                  </w:tcBorders>
                  <w:noWrap w:val="0"/>
                  <w:vAlign w:val="center"/>
                </w:tcPr>
                <w:p w14:paraId="55DCD25A">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r>
                    <w:rPr>
                      <w:rFonts w:hint="default" w:ascii="Times New Roman" w:hAnsi="Times New Roman" w:cs="Times New Roman"/>
                      <w:color w:val="auto"/>
                      <w:sz w:val="22"/>
                      <w:szCs w:val="22"/>
                    </w:rPr>
                    <w:t>袋装</w:t>
                  </w:r>
                </w:p>
              </w:tc>
              <w:tc>
                <w:tcPr>
                  <w:tcW w:w="1628" w:type="dxa"/>
                  <w:gridSpan w:val="2"/>
                  <w:tcBorders>
                    <w:left w:val="nil"/>
                    <w:right w:val="single" w:color="000000" w:sz="4" w:space="0"/>
                  </w:tcBorders>
                  <w:noWrap w:val="0"/>
                  <w:vAlign w:val="center"/>
                </w:tcPr>
                <w:p w14:paraId="1304ED25">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定期交由市政环卫部门处置</w:t>
                  </w:r>
                </w:p>
              </w:tc>
              <w:tc>
                <w:tcPr>
                  <w:tcW w:w="770" w:type="dxa"/>
                  <w:tcBorders>
                    <w:top w:val="single" w:color="000000" w:sz="4" w:space="0"/>
                    <w:left w:val="nil"/>
                    <w:bottom w:val="single" w:color="000000" w:sz="4" w:space="0"/>
                    <w:right w:val="single" w:color="000000" w:sz="4" w:space="0"/>
                  </w:tcBorders>
                  <w:noWrap w:val="0"/>
                  <w:vAlign w:val="center"/>
                </w:tcPr>
                <w:p w14:paraId="55E55F20">
                  <w:pPr>
                    <w:keepNext w:val="0"/>
                    <w:keepLines w:val="0"/>
                    <w:pageBreakBefore w:val="0"/>
                    <w:wordWrap/>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color w:val="auto"/>
                      <w:sz w:val="22"/>
                      <w:szCs w:val="22"/>
                      <w:lang w:eastAsia="zh-CN"/>
                    </w:rPr>
                  </w:pPr>
                  <w:r>
                    <w:rPr>
                      <w:rFonts w:hint="eastAsia" w:ascii="Times New Roman" w:hAnsi="Times New Roman" w:cs="Times New Roman"/>
                      <w:color w:val="auto"/>
                      <w:sz w:val="22"/>
                      <w:szCs w:val="22"/>
                      <w:lang w:val="en-US" w:eastAsia="zh-CN"/>
                    </w:rPr>
                    <w:t>3</w:t>
                  </w:r>
                </w:p>
              </w:tc>
            </w:tr>
          </w:tbl>
          <w:p w14:paraId="3F1841F1">
            <w:pPr>
              <w:keepNext w:val="0"/>
              <w:keepLines w:val="0"/>
              <w:pageBreakBefore w:val="0"/>
              <w:widowControl w:val="0"/>
              <w:kinsoku/>
              <w:wordWrap/>
              <w:overflowPunct/>
              <w:topLinePunct w:val="0"/>
              <w:autoSpaceDE w:val="0"/>
              <w:autoSpaceDN w:val="0"/>
              <w:bidi w:val="0"/>
              <w:adjustRightInd w:val="0"/>
              <w:snapToGrid w:val="0"/>
              <w:spacing w:line="460" w:lineRule="exact"/>
              <w:ind w:firstLine="520" w:firstLineChars="200"/>
              <w:jc w:val="both"/>
              <w:textAlignment w:val="auto"/>
              <w:rPr>
                <w:rFonts w:hint="default" w:ascii="Times New Roman" w:hAnsi="Times New Roman" w:eastAsia="宋体" w:cs="Times New Roman"/>
                <w:color w:val="auto"/>
                <w:sz w:val="26"/>
                <w:szCs w:val="26"/>
                <w:lang w:val="en-US" w:eastAsia="zh-CN"/>
              </w:rPr>
            </w:pPr>
          </w:p>
          <w:p w14:paraId="6A09A761">
            <w:pPr>
              <w:pStyle w:val="4"/>
              <w:pageBreakBefore w:val="0"/>
              <w:widowControl w:val="0"/>
              <w:kinsoku/>
              <w:wordWrap/>
              <w:overflowPunct/>
              <w:topLinePunct w:val="0"/>
              <w:autoSpaceDE/>
              <w:autoSpaceDN/>
              <w:bidi w:val="0"/>
              <w:adjustRightInd w:val="0"/>
              <w:snapToGrid w:val="0"/>
              <w:spacing w:beforeLines="0" w:afterLines="0" w:line="460" w:lineRule="exact"/>
              <w:jc w:val="both"/>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4.2.5地下水与土壤环境影响</w:t>
            </w:r>
          </w:p>
          <w:p w14:paraId="28903D44">
            <w:pPr>
              <w:pageBreakBefore w:val="0"/>
              <w:widowControl w:val="0"/>
              <w:kinsoku/>
              <w:wordWrap/>
              <w:overflowPunct/>
              <w:topLinePunct w:val="0"/>
              <w:autoSpaceDE/>
              <w:autoSpaceDN/>
              <w:bidi w:val="0"/>
              <w:adjustRightInd w:val="0"/>
              <w:snapToGrid w:val="0"/>
              <w:spacing w:line="460" w:lineRule="exact"/>
              <w:jc w:val="both"/>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highlight w:val="none"/>
                <w:lang w:val="en-US" w:eastAsia="zh-CN"/>
              </w:rPr>
              <w:t>按照“源头控制、分区防控、污染监控、应急响应”原则进行分区防渗。</w:t>
            </w:r>
            <w:r>
              <w:rPr>
                <w:rFonts w:hint="default" w:ascii="Times New Roman" w:hAnsi="Times New Roman" w:eastAsia="宋体" w:cs="Times New Roman"/>
                <w:color w:val="auto"/>
                <w:sz w:val="26"/>
                <w:szCs w:val="26"/>
                <w:lang w:val="en-US" w:eastAsia="zh-CN"/>
              </w:rPr>
              <w:t>项目生产区</w:t>
            </w:r>
            <w:r>
              <w:rPr>
                <w:rFonts w:hint="eastAsia" w:cs="Times New Roman"/>
                <w:color w:val="auto"/>
                <w:sz w:val="26"/>
                <w:szCs w:val="26"/>
                <w:lang w:val="en-US" w:eastAsia="zh-CN"/>
              </w:rPr>
              <w:t>、办公区、原辅材料区、成品区</w:t>
            </w:r>
            <w:r>
              <w:rPr>
                <w:rFonts w:hint="default" w:ascii="Times New Roman" w:hAnsi="Times New Roman" w:eastAsia="宋体" w:cs="Times New Roman"/>
                <w:color w:val="auto"/>
                <w:sz w:val="26"/>
                <w:szCs w:val="26"/>
                <w:lang w:val="en-US" w:eastAsia="zh-CN"/>
              </w:rPr>
              <w:t>为一般防渗区域</w:t>
            </w:r>
            <w:r>
              <w:rPr>
                <w:rFonts w:hint="eastAsia" w:ascii="Times New Roman" w:hAnsi="Times New Roman" w:eastAsia="宋体" w:cs="Times New Roman"/>
                <w:color w:val="auto"/>
                <w:sz w:val="26"/>
                <w:szCs w:val="26"/>
                <w:lang w:val="en-US" w:eastAsia="zh-CN"/>
              </w:rPr>
              <w:t>，</w:t>
            </w:r>
            <w:r>
              <w:rPr>
                <w:rFonts w:hint="eastAsia" w:cs="Times New Roman"/>
                <w:color w:val="auto"/>
                <w:sz w:val="26"/>
                <w:szCs w:val="26"/>
                <w:lang w:val="en-US" w:eastAsia="zh-CN"/>
              </w:rPr>
              <w:t>危险废物贮存点为</w:t>
            </w:r>
            <w:r>
              <w:rPr>
                <w:rFonts w:hint="eastAsia" w:ascii="Times New Roman" w:hAnsi="Times New Roman" w:eastAsia="宋体" w:cs="Times New Roman"/>
                <w:color w:val="auto"/>
                <w:sz w:val="26"/>
                <w:szCs w:val="26"/>
                <w:lang w:val="en-US" w:eastAsia="zh-CN"/>
              </w:rPr>
              <w:t>重点防渗区域的设置</w:t>
            </w:r>
            <w:r>
              <w:rPr>
                <w:rFonts w:hint="default" w:ascii="Times New Roman" w:hAnsi="Times New Roman" w:eastAsia="宋体" w:cs="Times New Roman"/>
                <w:color w:val="auto"/>
                <w:sz w:val="26"/>
                <w:szCs w:val="26"/>
                <w:lang w:val="en-US" w:eastAsia="zh-CN"/>
              </w:rPr>
              <w:t>。贮存设施地面与裙脚应采取表面防渗措施</w:t>
            </w:r>
            <w:r>
              <w:rPr>
                <w:rFonts w:hint="eastAsia" w:cs="Times New Roman"/>
                <w:color w:val="auto"/>
                <w:sz w:val="26"/>
                <w:szCs w:val="26"/>
                <w:lang w:val="en-US" w:eastAsia="zh-CN"/>
              </w:rPr>
              <w:t>；</w:t>
            </w:r>
            <w:r>
              <w:rPr>
                <w:rFonts w:hint="default" w:ascii="Times New Roman" w:hAnsi="Times New Roman" w:eastAsia="宋体" w:cs="Times New Roman"/>
                <w:color w:val="auto"/>
                <w:sz w:val="26"/>
                <w:szCs w:val="26"/>
                <w:lang w:val="en-US" w:eastAsia="zh-CN"/>
              </w:rPr>
              <w:t>表面防渗材料应与所接触的物料或污染物相容</w:t>
            </w:r>
            <w:r>
              <w:rPr>
                <w:rFonts w:hint="eastAsia" w:cs="Times New Roman"/>
                <w:color w:val="auto"/>
                <w:sz w:val="26"/>
                <w:szCs w:val="26"/>
                <w:lang w:val="en-US" w:eastAsia="zh-CN"/>
              </w:rPr>
              <w:t>，</w:t>
            </w:r>
            <w:r>
              <w:rPr>
                <w:rFonts w:hint="default" w:ascii="Times New Roman" w:hAnsi="Times New Roman" w:eastAsia="宋体" w:cs="Times New Roman"/>
                <w:color w:val="auto"/>
                <w:sz w:val="26"/>
                <w:szCs w:val="26"/>
                <w:lang w:val="en-US" w:eastAsia="zh-CN"/>
              </w:rPr>
              <w:t>可采用抗渗混凝土、高密度聚乙烯膜、钠基膨润土防水毯或其他防渗性能等效的材料。贮存的危险废物直接接触地面的</w:t>
            </w:r>
            <w:r>
              <w:rPr>
                <w:rFonts w:hint="eastAsia" w:cs="Times New Roman"/>
                <w:color w:val="auto"/>
                <w:sz w:val="26"/>
                <w:szCs w:val="26"/>
                <w:lang w:val="en-US" w:eastAsia="zh-CN"/>
              </w:rPr>
              <w:t>，</w:t>
            </w:r>
            <w:r>
              <w:rPr>
                <w:rFonts w:hint="default" w:ascii="Times New Roman" w:hAnsi="Times New Roman" w:eastAsia="宋体" w:cs="Times New Roman"/>
                <w:color w:val="auto"/>
                <w:sz w:val="26"/>
                <w:szCs w:val="26"/>
                <w:lang w:val="en-US" w:eastAsia="zh-CN"/>
              </w:rPr>
              <w:t>还应进行基础防渗</w:t>
            </w:r>
            <w:r>
              <w:rPr>
                <w:rFonts w:hint="eastAsia" w:cs="Times New Roman"/>
                <w:color w:val="auto"/>
                <w:sz w:val="26"/>
                <w:szCs w:val="26"/>
                <w:lang w:val="en-US" w:eastAsia="zh-CN"/>
              </w:rPr>
              <w:t>，</w:t>
            </w:r>
            <w:r>
              <w:rPr>
                <w:rFonts w:hint="default" w:ascii="Times New Roman" w:hAnsi="Times New Roman" w:eastAsia="宋体" w:cs="Times New Roman"/>
                <w:color w:val="auto"/>
                <w:sz w:val="26"/>
                <w:szCs w:val="26"/>
                <w:lang w:val="en-US" w:eastAsia="zh-CN"/>
              </w:rPr>
              <w:t>防渗层为至少1m厚黏土层</w:t>
            </w:r>
            <w:r>
              <w:rPr>
                <w:rFonts w:hint="eastAsia" w:cs="Times New Roman"/>
                <w:color w:val="auto"/>
                <w:sz w:val="26"/>
                <w:szCs w:val="26"/>
                <w:lang w:val="en-US" w:eastAsia="zh-CN"/>
              </w:rPr>
              <w:t>（</w:t>
            </w:r>
            <w:r>
              <w:rPr>
                <w:rFonts w:hint="default" w:ascii="Times New Roman" w:hAnsi="Times New Roman" w:eastAsia="宋体" w:cs="Times New Roman"/>
                <w:color w:val="auto"/>
                <w:sz w:val="26"/>
                <w:szCs w:val="26"/>
                <w:lang w:val="en-US" w:eastAsia="zh-CN"/>
              </w:rPr>
              <w:t>渗透系数不大于10</w:t>
            </w:r>
            <w:r>
              <w:rPr>
                <w:rFonts w:hint="eastAsia" w:cs="Times New Roman"/>
                <w:color w:val="auto"/>
                <w:sz w:val="26"/>
                <w:szCs w:val="26"/>
                <w:vertAlign w:val="superscript"/>
                <w:lang w:val="en-US" w:eastAsia="zh-CN"/>
              </w:rPr>
              <w:t>-</w:t>
            </w:r>
            <w:r>
              <w:rPr>
                <w:rFonts w:hint="default" w:ascii="Times New Roman" w:hAnsi="Times New Roman" w:eastAsia="宋体" w:cs="Times New Roman"/>
                <w:color w:val="auto"/>
                <w:sz w:val="26"/>
                <w:szCs w:val="26"/>
                <w:vertAlign w:val="superscript"/>
                <w:lang w:val="en-US" w:eastAsia="zh-CN"/>
              </w:rPr>
              <w:t>7</w:t>
            </w:r>
            <w:r>
              <w:rPr>
                <w:rFonts w:hint="default" w:ascii="Times New Roman" w:hAnsi="Times New Roman" w:eastAsia="宋体" w:cs="Times New Roman"/>
                <w:color w:val="auto"/>
                <w:sz w:val="26"/>
                <w:szCs w:val="26"/>
                <w:lang w:val="en-US" w:eastAsia="zh-CN"/>
              </w:rPr>
              <w:t>cm/s</w:t>
            </w:r>
            <w:r>
              <w:rPr>
                <w:rFonts w:hint="eastAsia" w:cs="Times New Roman"/>
                <w:color w:val="auto"/>
                <w:sz w:val="26"/>
                <w:szCs w:val="26"/>
                <w:lang w:val="en-US" w:eastAsia="zh-CN"/>
              </w:rPr>
              <w:t>），</w:t>
            </w:r>
            <w:r>
              <w:rPr>
                <w:rFonts w:hint="default" w:ascii="Times New Roman" w:hAnsi="Times New Roman" w:eastAsia="宋体" w:cs="Times New Roman"/>
                <w:color w:val="auto"/>
                <w:sz w:val="26"/>
                <w:szCs w:val="26"/>
                <w:lang w:val="en-US" w:eastAsia="zh-CN"/>
              </w:rPr>
              <w:t>或至少2mm厚高密度聚乙烯膜等人工防渗材料</w:t>
            </w:r>
            <w:r>
              <w:rPr>
                <w:rFonts w:hint="eastAsia" w:cs="Times New Roman"/>
                <w:color w:val="auto"/>
                <w:sz w:val="26"/>
                <w:szCs w:val="26"/>
                <w:lang w:val="en-US" w:eastAsia="zh-CN"/>
              </w:rPr>
              <w:t>（</w:t>
            </w:r>
            <w:r>
              <w:rPr>
                <w:rFonts w:hint="default" w:ascii="Times New Roman" w:hAnsi="Times New Roman" w:eastAsia="宋体" w:cs="Times New Roman"/>
                <w:color w:val="auto"/>
                <w:sz w:val="26"/>
                <w:szCs w:val="26"/>
                <w:lang w:val="en-US" w:eastAsia="zh-CN"/>
              </w:rPr>
              <w:t>渗透系数不大于10</w:t>
            </w:r>
            <w:r>
              <w:rPr>
                <w:rFonts w:hint="eastAsia" w:cs="Times New Roman"/>
                <w:color w:val="auto"/>
                <w:sz w:val="26"/>
                <w:szCs w:val="26"/>
                <w:vertAlign w:val="superscript"/>
                <w:lang w:val="en-US" w:eastAsia="zh-CN"/>
              </w:rPr>
              <w:t>-</w:t>
            </w:r>
            <w:r>
              <w:rPr>
                <w:rFonts w:hint="default" w:ascii="Times New Roman" w:hAnsi="Times New Roman" w:eastAsia="宋体" w:cs="Times New Roman"/>
                <w:color w:val="auto"/>
                <w:sz w:val="26"/>
                <w:szCs w:val="26"/>
                <w:vertAlign w:val="superscript"/>
                <w:lang w:val="en-US" w:eastAsia="zh-CN"/>
              </w:rPr>
              <w:t>10</w:t>
            </w:r>
            <w:r>
              <w:rPr>
                <w:rFonts w:hint="default" w:ascii="Times New Roman" w:hAnsi="Times New Roman" w:eastAsia="宋体" w:cs="Times New Roman"/>
                <w:color w:val="auto"/>
                <w:sz w:val="26"/>
                <w:szCs w:val="26"/>
                <w:lang w:val="en-US" w:eastAsia="zh-CN"/>
              </w:rPr>
              <w:t>cm/s</w:t>
            </w:r>
            <w:r>
              <w:rPr>
                <w:rFonts w:hint="eastAsia" w:cs="Times New Roman"/>
                <w:color w:val="auto"/>
                <w:sz w:val="26"/>
                <w:szCs w:val="26"/>
                <w:lang w:val="en-US" w:eastAsia="zh-CN"/>
              </w:rPr>
              <w:t>），</w:t>
            </w:r>
            <w:r>
              <w:rPr>
                <w:rFonts w:hint="default" w:ascii="Times New Roman" w:hAnsi="Times New Roman" w:eastAsia="宋体" w:cs="Times New Roman"/>
                <w:color w:val="auto"/>
                <w:sz w:val="26"/>
                <w:szCs w:val="26"/>
                <w:lang w:val="en-US" w:eastAsia="zh-CN"/>
              </w:rPr>
              <w:t>或其他防渗性能等效的材料。</w:t>
            </w:r>
          </w:p>
          <w:p w14:paraId="2EC5F4E2">
            <w:pPr>
              <w:pageBreakBefore w:val="0"/>
              <w:widowControl w:val="0"/>
              <w:kinsoku/>
              <w:wordWrap/>
              <w:overflowPunct/>
              <w:topLinePunct w:val="0"/>
              <w:autoSpaceDE/>
              <w:autoSpaceDN/>
              <w:bidi w:val="0"/>
              <w:adjustRightInd w:val="0"/>
              <w:snapToGrid w:val="0"/>
              <w:spacing w:line="460" w:lineRule="exact"/>
              <w:jc w:val="both"/>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一般防渗区：地面采用等效黏土防渗层Mb≥1.5m，K≤1×10</w:t>
            </w:r>
            <w:r>
              <w:rPr>
                <w:rFonts w:hint="eastAsia" w:cs="Times New Roman"/>
                <w:color w:val="auto"/>
                <w:sz w:val="26"/>
                <w:szCs w:val="26"/>
                <w:vertAlign w:val="superscript"/>
                <w:lang w:val="en-US" w:eastAsia="zh-CN"/>
              </w:rPr>
              <w:t>-</w:t>
            </w:r>
            <w:r>
              <w:rPr>
                <w:rFonts w:hint="default" w:ascii="Times New Roman" w:hAnsi="Times New Roman" w:eastAsia="宋体" w:cs="Times New Roman"/>
                <w:color w:val="auto"/>
                <w:sz w:val="26"/>
                <w:szCs w:val="26"/>
                <w:vertAlign w:val="superscript"/>
                <w:lang w:val="en-US" w:eastAsia="zh-CN"/>
              </w:rPr>
              <w:t>7</w:t>
            </w:r>
            <w:r>
              <w:rPr>
                <w:rFonts w:hint="default" w:ascii="Times New Roman" w:hAnsi="Times New Roman" w:eastAsia="宋体" w:cs="Times New Roman"/>
                <w:color w:val="auto"/>
                <w:sz w:val="26"/>
                <w:szCs w:val="26"/>
                <w:lang w:val="en-US" w:eastAsia="zh-CN"/>
              </w:rPr>
              <w:t>cm/s防渗措施进行防渗。</w:t>
            </w:r>
          </w:p>
          <w:p w14:paraId="2DF4720E">
            <w:pPr>
              <w:pStyle w:val="4"/>
              <w:pageBreakBefore w:val="0"/>
              <w:widowControl w:val="0"/>
              <w:kinsoku/>
              <w:wordWrap/>
              <w:overflowPunct/>
              <w:topLinePunct w:val="0"/>
              <w:autoSpaceDE/>
              <w:autoSpaceDN/>
              <w:bidi w:val="0"/>
              <w:adjustRightInd w:val="0"/>
              <w:snapToGrid w:val="0"/>
              <w:spacing w:beforeLines="0" w:afterLines="0" w:line="460" w:lineRule="exact"/>
              <w:jc w:val="both"/>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4.2.6环境风险</w:t>
            </w:r>
          </w:p>
          <w:p w14:paraId="7F114594">
            <w:pPr>
              <w:pageBreakBefore w:val="0"/>
              <w:widowControl w:val="0"/>
              <w:kinsoku/>
              <w:wordWrap/>
              <w:overflowPunct/>
              <w:topLinePunct w:val="0"/>
              <w:autoSpaceDE/>
              <w:autoSpaceDN/>
              <w:bidi w:val="0"/>
              <w:adjustRightInd w:val="0"/>
              <w:snapToGrid w:val="0"/>
              <w:spacing w:line="460" w:lineRule="exact"/>
              <w:ind w:left="0" w:leftChars="0" w:firstLine="0" w:firstLineChars="0"/>
              <w:textAlignment w:val="auto"/>
              <w:rPr>
                <w:rFonts w:hint="default"/>
                <w:b/>
                <w:bCs/>
                <w:color w:val="auto"/>
                <w:sz w:val="26"/>
                <w:szCs w:val="26"/>
                <w:lang w:val="en-US"/>
              </w:rPr>
            </w:pPr>
            <w:r>
              <w:rPr>
                <w:rFonts w:hint="eastAsia" w:cs="Times New Roman"/>
                <w:b/>
                <w:bCs/>
                <w:color w:val="auto"/>
                <w:sz w:val="26"/>
                <w:szCs w:val="26"/>
                <w:lang w:val="en-US" w:eastAsia="zh-CN"/>
              </w:rPr>
              <w:t>4.2.6.1风险物质临界量比值</w:t>
            </w:r>
          </w:p>
          <w:p w14:paraId="400363F3">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rPr>
              <w:t>根据企业的产品以及原辅料的情况，对照《建设项目环境风险评价技术导则》（HJ169-2018）及附录B</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突发环境事件风险物质及临界量表</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识别，项目涉及危险物质</w:t>
            </w:r>
            <w:r>
              <w:rPr>
                <w:rFonts w:hint="eastAsia" w:cs="Times New Roman"/>
                <w:color w:val="auto"/>
                <w:sz w:val="26"/>
                <w:szCs w:val="26"/>
                <w:lang w:val="en-US" w:eastAsia="zh-CN"/>
              </w:rPr>
              <w:t>主要为维修废油</w:t>
            </w:r>
            <w:r>
              <w:rPr>
                <w:rFonts w:hint="default" w:ascii="Times New Roman" w:hAnsi="Times New Roman" w:eastAsia="宋体" w:cs="Times New Roman"/>
                <w:color w:val="auto"/>
                <w:sz w:val="26"/>
                <w:szCs w:val="26"/>
                <w:lang w:val="en-US" w:eastAsia="zh-CN"/>
              </w:rPr>
              <w:t>。</w:t>
            </w:r>
          </w:p>
          <w:p w14:paraId="60495C65">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当只涉及一种危险物质时，计算该物质的总量与其临界量比值，即为Q；当存在多种危险物质时，按下式计算物质总量与其临界量比值Q：</w:t>
            </w:r>
          </w:p>
          <w:p w14:paraId="7E8AE06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kern w:val="2"/>
                <w:sz w:val="24"/>
                <w:szCs w:val="24"/>
                <w:lang w:bidi="ar"/>
              </w:rPr>
              <w:object>
                <v:shape id="_x0000_i1025" o:spt="75" type="#_x0000_t75" style="height:39.35pt;width:124.75pt;" o:ole="t" filled="f" o:preferrelative="t" stroked="f" coordsize="21600,21600">
                  <v:path/>
                  <v:fill on="f" focussize="0,0"/>
                  <v:stroke on="f" joinstyle="miter"/>
                  <v:imagedata r:id="rId21" o:title=""/>
                  <o:lock v:ext="edit" aspectratio="t"/>
                  <w10:wrap type="none"/>
                  <w10:anchorlock/>
                </v:shape>
                <o:OLEObject Type="Embed" ProgID="Equations" ShapeID="_x0000_i1025" DrawAspect="Content" ObjectID="_1468075725" r:id="rId20">
                  <o:LockedField>false</o:LockedField>
                </o:OLEObject>
              </w:object>
            </w:r>
          </w:p>
          <w:p w14:paraId="1D73A3B1">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式中：q</w:t>
            </w:r>
            <w:r>
              <w:rPr>
                <w:rFonts w:hint="default" w:ascii="Times New Roman" w:hAnsi="Times New Roman" w:eastAsia="宋体" w:cs="Times New Roman"/>
                <w:color w:val="auto"/>
                <w:sz w:val="26"/>
                <w:szCs w:val="26"/>
                <w:vertAlign w:val="subscript"/>
                <w:lang w:val="en-US" w:eastAsia="zh-CN"/>
              </w:rPr>
              <w:t>1</w:t>
            </w:r>
            <w:r>
              <w:rPr>
                <w:rFonts w:hint="default" w:ascii="Times New Roman" w:hAnsi="Times New Roman" w:eastAsia="宋体" w:cs="Times New Roman"/>
                <w:color w:val="auto"/>
                <w:sz w:val="26"/>
                <w:szCs w:val="26"/>
                <w:lang w:val="en-US" w:eastAsia="zh-CN"/>
              </w:rPr>
              <w:t>，q</w:t>
            </w:r>
            <w:r>
              <w:rPr>
                <w:rFonts w:hint="default" w:ascii="Times New Roman" w:hAnsi="Times New Roman" w:eastAsia="宋体" w:cs="Times New Roman"/>
                <w:color w:val="auto"/>
                <w:sz w:val="26"/>
                <w:szCs w:val="26"/>
                <w:vertAlign w:val="subscript"/>
                <w:lang w:val="en-US" w:eastAsia="zh-CN"/>
              </w:rPr>
              <w:t>2</w:t>
            </w:r>
            <w:r>
              <w:rPr>
                <w:rFonts w:hint="eastAsia" w:cs="Times New Roman"/>
                <w:color w:val="auto"/>
                <w:sz w:val="26"/>
                <w:szCs w:val="26"/>
                <w:lang w:val="en-US" w:eastAsia="zh-CN"/>
              </w:rPr>
              <w:t>，......</w:t>
            </w:r>
            <w:r>
              <w:rPr>
                <w:rFonts w:hint="default" w:ascii="Times New Roman" w:hAnsi="Times New Roman" w:eastAsia="宋体" w:cs="Times New Roman"/>
                <w:color w:val="auto"/>
                <w:sz w:val="26"/>
                <w:szCs w:val="26"/>
                <w:lang w:val="en-US" w:eastAsia="zh-CN"/>
              </w:rPr>
              <w:t>q</w:t>
            </w:r>
            <w:r>
              <w:rPr>
                <w:rFonts w:hint="default" w:ascii="Times New Roman" w:hAnsi="Times New Roman" w:eastAsia="宋体" w:cs="Times New Roman"/>
                <w:color w:val="auto"/>
                <w:sz w:val="26"/>
                <w:szCs w:val="26"/>
                <w:vertAlign w:val="subscript"/>
                <w:lang w:val="en-US" w:eastAsia="zh-CN"/>
              </w:rPr>
              <w:t>n</w:t>
            </w:r>
            <w:r>
              <w:rPr>
                <w:rFonts w:hint="default" w:ascii="Times New Roman" w:hAnsi="Times New Roman" w:eastAsia="宋体" w:cs="Times New Roman"/>
                <w:color w:val="auto"/>
                <w:sz w:val="26"/>
                <w:szCs w:val="26"/>
                <w:lang w:val="en-US" w:eastAsia="zh-CN"/>
              </w:rPr>
              <w:t>——每种危险物质的最大存在总量，t；</w:t>
            </w:r>
          </w:p>
          <w:p w14:paraId="16570D78">
            <w:pPr>
              <w:keepNext w:val="0"/>
              <w:keepLines w:val="0"/>
              <w:pageBreakBefore w:val="0"/>
              <w:widowControl w:val="0"/>
              <w:kinsoku/>
              <w:wordWrap/>
              <w:overflowPunct/>
              <w:topLinePunct w:val="0"/>
              <w:autoSpaceDE/>
              <w:autoSpaceDN/>
              <w:bidi w:val="0"/>
              <w:adjustRightInd w:val="0"/>
              <w:snapToGrid w:val="0"/>
              <w:spacing w:line="460" w:lineRule="exact"/>
              <w:ind w:firstLine="1300" w:firstLineChars="500"/>
              <w:jc w:val="both"/>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Q</w:t>
            </w:r>
            <w:r>
              <w:rPr>
                <w:rFonts w:hint="default" w:ascii="Times New Roman" w:hAnsi="Times New Roman" w:eastAsia="宋体" w:cs="Times New Roman"/>
                <w:color w:val="auto"/>
                <w:sz w:val="26"/>
                <w:szCs w:val="26"/>
                <w:vertAlign w:val="subscript"/>
                <w:lang w:val="en-US" w:eastAsia="zh-CN"/>
              </w:rPr>
              <w:t>1</w:t>
            </w:r>
            <w:r>
              <w:rPr>
                <w:rFonts w:hint="default" w:ascii="Times New Roman" w:hAnsi="Times New Roman" w:eastAsia="宋体" w:cs="Times New Roman"/>
                <w:color w:val="auto"/>
                <w:sz w:val="26"/>
                <w:szCs w:val="26"/>
                <w:lang w:val="en-US" w:eastAsia="zh-CN"/>
              </w:rPr>
              <w:t>，Q</w:t>
            </w:r>
            <w:r>
              <w:rPr>
                <w:rFonts w:hint="default" w:ascii="Times New Roman" w:hAnsi="Times New Roman" w:eastAsia="宋体" w:cs="Times New Roman"/>
                <w:color w:val="auto"/>
                <w:sz w:val="26"/>
                <w:szCs w:val="26"/>
                <w:vertAlign w:val="subscript"/>
                <w:lang w:val="en-US" w:eastAsia="zh-CN"/>
              </w:rPr>
              <w:t>2</w:t>
            </w:r>
            <w:r>
              <w:rPr>
                <w:rFonts w:hint="eastAsia" w:cs="Times New Roman"/>
                <w:color w:val="auto"/>
                <w:sz w:val="26"/>
                <w:szCs w:val="26"/>
                <w:lang w:val="en-US" w:eastAsia="zh-CN"/>
              </w:rPr>
              <w:t>，......</w:t>
            </w:r>
            <w:r>
              <w:rPr>
                <w:rFonts w:hint="default" w:ascii="Times New Roman" w:hAnsi="Times New Roman" w:eastAsia="宋体" w:cs="Times New Roman"/>
                <w:color w:val="auto"/>
                <w:sz w:val="26"/>
                <w:szCs w:val="26"/>
                <w:lang w:val="en-US" w:eastAsia="zh-CN"/>
              </w:rPr>
              <w:t>Q</w:t>
            </w:r>
            <w:r>
              <w:rPr>
                <w:rFonts w:hint="default" w:ascii="Times New Roman" w:hAnsi="Times New Roman" w:eastAsia="宋体" w:cs="Times New Roman"/>
                <w:color w:val="auto"/>
                <w:sz w:val="26"/>
                <w:szCs w:val="26"/>
                <w:vertAlign w:val="subscript"/>
                <w:lang w:val="en-US" w:eastAsia="zh-CN"/>
              </w:rPr>
              <w:t>n</w:t>
            </w:r>
            <w:r>
              <w:rPr>
                <w:rFonts w:hint="default" w:ascii="Times New Roman" w:hAnsi="Times New Roman" w:eastAsia="宋体" w:cs="Times New Roman"/>
                <w:color w:val="auto"/>
                <w:sz w:val="26"/>
                <w:szCs w:val="26"/>
                <w:lang w:val="en-US" w:eastAsia="zh-CN"/>
              </w:rPr>
              <w:t>——每种危险物质的临界量，t。</w:t>
            </w:r>
          </w:p>
          <w:p w14:paraId="1DE0D141">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ascii="Times New Roman" w:hAnsi="Times New Roman" w:eastAsia="宋体" w:cs="Times New Roman"/>
                <w:color w:val="auto"/>
                <w:sz w:val="26"/>
                <w:szCs w:val="26"/>
                <w:lang w:val="en-US" w:eastAsia="zh-CN"/>
              </w:rPr>
            </w:pPr>
          </w:p>
          <w:p w14:paraId="760A08A4">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eastAsia"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根据HJ169-2018《建设项目环境风险评价技术导则》表B.1中所列物质，本项目涉及危险废物列入表B.1的、其临界量按表B.1中临界量选取</w:t>
            </w:r>
            <w:r>
              <w:rPr>
                <w:rFonts w:hint="eastAsia" w:cs="Times New Roman"/>
                <w:color w:val="auto"/>
                <w:sz w:val="26"/>
                <w:szCs w:val="26"/>
                <w:lang w:val="en-US" w:eastAsia="zh-CN"/>
              </w:rPr>
              <w:t>。</w:t>
            </w:r>
          </w:p>
          <w:p w14:paraId="5187E763">
            <w:pPr>
              <w:keepNext w:val="0"/>
              <w:keepLines w:val="0"/>
              <w:pageBreakBefore w:val="0"/>
              <w:widowControl w:val="0"/>
              <w:kinsoku/>
              <w:wordWrap/>
              <w:overflowPunct/>
              <w:topLinePunct w:val="0"/>
              <w:autoSpaceDE/>
              <w:autoSpaceDN/>
              <w:bidi w:val="0"/>
              <w:adjustRightInd w:val="0"/>
              <w:snapToGrid w:val="0"/>
              <w:spacing w:after="0" w:line="460" w:lineRule="exact"/>
              <w:jc w:val="center"/>
              <w:textAlignment w:val="auto"/>
              <w:rPr>
                <w:rFonts w:hint="default" w:ascii="Times New Roman" w:hAnsi="Times New Roman" w:eastAsia="宋体" w:cs="Times New Roman"/>
                <w:b w:val="0"/>
                <w:bCs/>
                <w:color w:val="auto"/>
                <w:sz w:val="26"/>
                <w:szCs w:val="26"/>
              </w:rPr>
            </w:pPr>
            <w:r>
              <w:rPr>
                <w:rFonts w:hint="default" w:ascii="Times New Roman" w:hAnsi="Times New Roman" w:cs="Times New Roman" w:eastAsiaTheme="minorEastAsia"/>
                <w:b w:val="0"/>
                <w:bCs/>
                <w:color w:val="auto"/>
                <w:sz w:val="26"/>
                <w:szCs w:val="26"/>
              </w:rPr>
              <w:t>表4.2-</w:t>
            </w:r>
            <w:r>
              <w:rPr>
                <w:rFonts w:hint="eastAsia" w:ascii="Times New Roman" w:hAnsi="Times New Roman" w:cs="Times New Roman" w:eastAsiaTheme="minorEastAsia"/>
                <w:b w:val="0"/>
                <w:bCs/>
                <w:color w:val="auto"/>
                <w:sz w:val="26"/>
                <w:szCs w:val="26"/>
                <w:lang w:val="en-US" w:eastAsia="zh-CN"/>
              </w:rPr>
              <w:t>11</w:t>
            </w:r>
            <w:r>
              <w:rPr>
                <w:rFonts w:hint="default" w:ascii="Times New Roman" w:hAnsi="Times New Roman" w:cs="Times New Roman" w:eastAsiaTheme="minorEastAsia"/>
                <w:b w:val="0"/>
                <w:bCs/>
                <w:color w:val="auto"/>
                <w:sz w:val="26"/>
                <w:szCs w:val="26"/>
              </w:rPr>
              <w:t xml:space="preserve"> </w:t>
            </w:r>
            <w:r>
              <w:rPr>
                <w:rFonts w:hint="default" w:ascii="Times New Roman" w:hAnsi="Times New Roman" w:eastAsia="宋体" w:cs="Times New Roman"/>
                <w:b w:val="0"/>
                <w:bCs/>
                <w:color w:val="auto"/>
                <w:kern w:val="2"/>
                <w:sz w:val="26"/>
                <w:szCs w:val="26"/>
                <w:lang w:bidi="ar"/>
              </w:rPr>
              <w:t>危险物质储存量及临界量比值</w:t>
            </w:r>
          </w:p>
          <w:tbl>
            <w:tblPr>
              <w:tblStyle w:val="18"/>
              <w:tblW w:w="485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
            <w:tblGrid>
              <w:gridCol w:w="1356"/>
              <w:gridCol w:w="943"/>
              <w:gridCol w:w="1521"/>
              <w:gridCol w:w="1329"/>
              <w:gridCol w:w="1264"/>
              <w:gridCol w:w="937"/>
            </w:tblGrid>
            <w:tr w14:paraId="5457FE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1356" w:type="dxa"/>
                  <w:tcBorders>
                    <w:tl2br w:val="nil"/>
                    <w:tr2bl w:val="nil"/>
                  </w:tcBorders>
                  <w:vAlign w:val="center"/>
                </w:tcPr>
                <w:p w14:paraId="74B89379">
                  <w:pPr>
                    <w:keepNext w:val="0"/>
                    <w:keepLines w:val="0"/>
                    <w:pageBreakBefore w:val="0"/>
                    <w:widowControl w:val="0"/>
                    <w:kinsoku/>
                    <w:wordWrap/>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eastAsiaTheme="minorEastAsia"/>
                      <w:color w:val="auto"/>
                      <w:sz w:val="22"/>
                      <w:szCs w:val="22"/>
                    </w:rPr>
                  </w:pPr>
                  <w:r>
                    <w:rPr>
                      <w:rFonts w:hint="default" w:ascii="Times New Roman" w:hAnsi="Times New Roman" w:cs="Times New Roman" w:eastAsiaTheme="minorEastAsia"/>
                      <w:color w:val="auto"/>
                      <w:sz w:val="22"/>
                      <w:szCs w:val="22"/>
                    </w:rPr>
                    <w:t>物质</w:t>
                  </w:r>
                </w:p>
              </w:tc>
              <w:tc>
                <w:tcPr>
                  <w:tcW w:w="943" w:type="dxa"/>
                  <w:tcBorders>
                    <w:tl2br w:val="nil"/>
                    <w:tr2bl w:val="nil"/>
                  </w:tcBorders>
                  <w:vAlign w:val="center"/>
                </w:tcPr>
                <w:p w14:paraId="64F98C21">
                  <w:pPr>
                    <w:keepNext w:val="0"/>
                    <w:keepLines w:val="0"/>
                    <w:pageBreakBefore w:val="0"/>
                    <w:widowControl w:val="0"/>
                    <w:kinsoku/>
                    <w:wordWrap/>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eastAsiaTheme="minorEastAsia"/>
                      <w:color w:val="auto"/>
                      <w:sz w:val="22"/>
                      <w:szCs w:val="22"/>
                    </w:rPr>
                  </w:pPr>
                  <w:r>
                    <w:rPr>
                      <w:rFonts w:hint="default" w:ascii="Times New Roman" w:hAnsi="Times New Roman" w:cs="Times New Roman" w:eastAsiaTheme="minorEastAsia"/>
                      <w:color w:val="auto"/>
                      <w:sz w:val="22"/>
                      <w:szCs w:val="22"/>
                    </w:rPr>
                    <w:t>CAS号</w:t>
                  </w:r>
                </w:p>
              </w:tc>
              <w:tc>
                <w:tcPr>
                  <w:tcW w:w="1521" w:type="dxa"/>
                  <w:tcBorders>
                    <w:tl2br w:val="nil"/>
                    <w:tr2bl w:val="nil"/>
                  </w:tcBorders>
                  <w:vAlign w:val="center"/>
                </w:tcPr>
                <w:p w14:paraId="70AF8479">
                  <w:pPr>
                    <w:keepNext w:val="0"/>
                    <w:keepLines w:val="0"/>
                    <w:pageBreakBefore w:val="0"/>
                    <w:widowControl w:val="0"/>
                    <w:kinsoku/>
                    <w:wordWrap/>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eastAsiaTheme="minorEastAsia"/>
                      <w:color w:val="auto"/>
                      <w:sz w:val="22"/>
                      <w:szCs w:val="22"/>
                    </w:rPr>
                  </w:pPr>
                  <w:r>
                    <w:rPr>
                      <w:rFonts w:hint="default" w:ascii="Times New Roman" w:hAnsi="Times New Roman" w:cs="Times New Roman" w:eastAsiaTheme="minorEastAsia"/>
                      <w:color w:val="auto"/>
                      <w:sz w:val="22"/>
                      <w:szCs w:val="22"/>
                    </w:rPr>
                    <w:t>储存方式</w:t>
                  </w:r>
                </w:p>
              </w:tc>
              <w:tc>
                <w:tcPr>
                  <w:tcW w:w="1329" w:type="dxa"/>
                  <w:tcBorders>
                    <w:tl2br w:val="nil"/>
                    <w:tr2bl w:val="nil"/>
                  </w:tcBorders>
                  <w:vAlign w:val="center"/>
                </w:tcPr>
                <w:p w14:paraId="4161C810">
                  <w:pPr>
                    <w:keepNext w:val="0"/>
                    <w:keepLines w:val="0"/>
                    <w:pageBreakBefore w:val="0"/>
                    <w:widowControl w:val="0"/>
                    <w:kinsoku/>
                    <w:wordWrap/>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eastAsiaTheme="minorEastAsia"/>
                      <w:color w:val="auto"/>
                      <w:sz w:val="22"/>
                      <w:szCs w:val="22"/>
                    </w:rPr>
                  </w:pPr>
                  <w:r>
                    <w:rPr>
                      <w:rFonts w:hint="default" w:ascii="Times New Roman" w:hAnsi="Times New Roman" w:cs="Times New Roman" w:eastAsiaTheme="minorEastAsia"/>
                      <w:color w:val="auto"/>
                      <w:sz w:val="22"/>
                      <w:szCs w:val="22"/>
                    </w:rPr>
                    <w:t>储存量</w:t>
                  </w:r>
                  <w:r>
                    <w:rPr>
                      <w:rFonts w:hint="default" w:ascii="Times New Roman" w:hAnsi="Times New Roman" w:eastAsia="宋体" w:cs="Times New Roman"/>
                      <w:bCs/>
                      <w:color w:val="auto"/>
                      <w:kern w:val="2"/>
                      <w:sz w:val="22"/>
                      <w:szCs w:val="22"/>
                      <w:lang w:bidi="ar"/>
                    </w:rPr>
                    <w:t>（t）</w:t>
                  </w:r>
                </w:p>
              </w:tc>
              <w:tc>
                <w:tcPr>
                  <w:tcW w:w="1264" w:type="dxa"/>
                  <w:tcBorders>
                    <w:tl2br w:val="nil"/>
                    <w:tr2bl w:val="nil"/>
                  </w:tcBorders>
                  <w:vAlign w:val="center"/>
                </w:tcPr>
                <w:p w14:paraId="2E8348F0">
                  <w:pPr>
                    <w:keepNext w:val="0"/>
                    <w:keepLines w:val="0"/>
                    <w:pageBreakBefore w:val="0"/>
                    <w:widowControl w:val="0"/>
                    <w:kinsoku/>
                    <w:wordWrap/>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eastAsiaTheme="minorEastAsia"/>
                      <w:color w:val="auto"/>
                      <w:sz w:val="22"/>
                      <w:szCs w:val="22"/>
                    </w:rPr>
                  </w:pPr>
                  <w:r>
                    <w:rPr>
                      <w:rFonts w:hint="default" w:ascii="Times New Roman" w:hAnsi="Times New Roman" w:eastAsia="宋体" w:cs="Times New Roman"/>
                      <w:bCs/>
                      <w:color w:val="auto"/>
                      <w:kern w:val="2"/>
                      <w:sz w:val="22"/>
                      <w:szCs w:val="22"/>
                      <w:lang w:bidi="ar"/>
                    </w:rPr>
                    <w:t>临界量（t）</w:t>
                  </w:r>
                </w:p>
              </w:tc>
              <w:tc>
                <w:tcPr>
                  <w:tcW w:w="937" w:type="dxa"/>
                  <w:tcBorders>
                    <w:tl2br w:val="nil"/>
                    <w:tr2bl w:val="nil"/>
                  </w:tcBorders>
                  <w:vAlign w:val="center"/>
                </w:tcPr>
                <w:p w14:paraId="0BF1B05F">
                  <w:pPr>
                    <w:keepNext w:val="0"/>
                    <w:keepLines w:val="0"/>
                    <w:pageBreakBefore w:val="0"/>
                    <w:widowControl w:val="0"/>
                    <w:kinsoku/>
                    <w:wordWrap/>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eastAsiaTheme="minorEastAsia"/>
                      <w:color w:val="auto"/>
                      <w:sz w:val="22"/>
                      <w:szCs w:val="22"/>
                    </w:rPr>
                  </w:pPr>
                  <w:r>
                    <w:rPr>
                      <w:rFonts w:hint="default" w:ascii="Times New Roman" w:hAnsi="Times New Roman" w:eastAsia="宋体" w:cs="Times New Roman"/>
                      <w:color w:val="auto"/>
                      <w:kern w:val="2"/>
                      <w:sz w:val="22"/>
                      <w:szCs w:val="22"/>
                      <w:lang w:bidi="ar"/>
                    </w:rPr>
                    <w:t>q</w:t>
                  </w:r>
                  <w:r>
                    <w:rPr>
                      <w:rFonts w:hint="default" w:ascii="Times New Roman" w:hAnsi="Times New Roman" w:eastAsia="宋体" w:cs="Times New Roman"/>
                      <w:color w:val="auto"/>
                      <w:kern w:val="2"/>
                      <w:sz w:val="22"/>
                      <w:szCs w:val="22"/>
                      <w:vertAlign w:val="subscript"/>
                      <w:lang w:bidi="ar"/>
                    </w:rPr>
                    <w:t>i</w:t>
                  </w:r>
                  <w:r>
                    <w:rPr>
                      <w:rFonts w:hint="default" w:ascii="Times New Roman" w:hAnsi="Times New Roman" w:eastAsia="宋体" w:cs="Times New Roman"/>
                      <w:bCs/>
                      <w:color w:val="auto"/>
                      <w:kern w:val="2"/>
                      <w:sz w:val="22"/>
                      <w:szCs w:val="22"/>
                      <w:lang w:bidi="ar"/>
                    </w:rPr>
                    <w:t>/</w:t>
                  </w:r>
                  <w:r>
                    <w:rPr>
                      <w:rFonts w:hint="default" w:ascii="Times New Roman" w:hAnsi="Times New Roman" w:eastAsia="宋体" w:cs="Times New Roman"/>
                      <w:color w:val="auto"/>
                      <w:kern w:val="2"/>
                      <w:sz w:val="22"/>
                      <w:szCs w:val="22"/>
                      <w:lang w:bidi="ar"/>
                    </w:rPr>
                    <w:t>Q</w:t>
                  </w:r>
                  <w:r>
                    <w:rPr>
                      <w:rFonts w:hint="default" w:ascii="Times New Roman" w:hAnsi="Times New Roman" w:eastAsia="宋体" w:cs="Times New Roman"/>
                      <w:color w:val="auto"/>
                      <w:kern w:val="2"/>
                      <w:sz w:val="22"/>
                      <w:szCs w:val="22"/>
                      <w:vertAlign w:val="subscript"/>
                      <w:lang w:bidi="ar"/>
                    </w:rPr>
                    <w:t>i</w:t>
                  </w:r>
                </w:p>
              </w:tc>
            </w:tr>
            <w:tr w14:paraId="6A04F7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1356" w:type="dxa"/>
                  <w:tcBorders>
                    <w:tl2br w:val="nil"/>
                    <w:tr2bl w:val="nil"/>
                  </w:tcBorders>
                  <w:vAlign w:val="center"/>
                </w:tcPr>
                <w:p w14:paraId="2A7D3203">
                  <w:pPr>
                    <w:keepNext w:val="0"/>
                    <w:keepLines w:val="0"/>
                    <w:pageBreakBefore w:val="0"/>
                    <w:widowControl w:val="0"/>
                    <w:kinsoku/>
                    <w:wordWrap/>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维修废油</w:t>
                  </w:r>
                </w:p>
              </w:tc>
              <w:tc>
                <w:tcPr>
                  <w:tcW w:w="943" w:type="dxa"/>
                  <w:tcBorders>
                    <w:tl2br w:val="nil"/>
                    <w:tr2bl w:val="nil"/>
                  </w:tcBorders>
                  <w:vAlign w:val="center"/>
                </w:tcPr>
                <w:p w14:paraId="6ECD7ECF">
                  <w:pPr>
                    <w:keepNext w:val="0"/>
                    <w:keepLines w:val="0"/>
                    <w:pageBreakBefore w:val="0"/>
                    <w:widowControl w:val="0"/>
                    <w:kinsoku/>
                    <w:wordWrap/>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w:t>
                  </w:r>
                </w:p>
              </w:tc>
              <w:tc>
                <w:tcPr>
                  <w:tcW w:w="1521" w:type="dxa"/>
                  <w:tcBorders>
                    <w:tl2br w:val="nil"/>
                    <w:tr2bl w:val="nil"/>
                  </w:tcBorders>
                  <w:vAlign w:val="center"/>
                </w:tcPr>
                <w:p w14:paraId="37DF7E73">
                  <w:pPr>
                    <w:keepNext w:val="0"/>
                    <w:keepLines w:val="0"/>
                    <w:pageBreakBefore w:val="0"/>
                    <w:widowControl w:val="0"/>
                    <w:kinsoku/>
                    <w:wordWrap/>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桶装</w:t>
                  </w:r>
                </w:p>
              </w:tc>
              <w:tc>
                <w:tcPr>
                  <w:tcW w:w="1329" w:type="dxa"/>
                  <w:tcBorders>
                    <w:tl2br w:val="nil"/>
                    <w:tr2bl w:val="nil"/>
                  </w:tcBorders>
                  <w:vAlign w:val="center"/>
                </w:tcPr>
                <w:p w14:paraId="466136B6">
                  <w:pPr>
                    <w:keepNext w:val="0"/>
                    <w:keepLines w:val="0"/>
                    <w:pageBreakBefore w:val="0"/>
                    <w:widowControl w:val="0"/>
                    <w:kinsoku/>
                    <w:wordWrap/>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0.05</w:t>
                  </w:r>
                </w:p>
              </w:tc>
              <w:tc>
                <w:tcPr>
                  <w:tcW w:w="1264" w:type="dxa"/>
                  <w:tcBorders>
                    <w:tl2br w:val="nil"/>
                    <w:tr2bl w:val="nil"/>
                  </w:tcBorders>
                  <w:vAlign w:val="center"/>
                </w:tcPr>
                <w:p w14:paraId="7804BD4F">
                  <w:pPr>
                    <w:keepNext w:val="0"/>
                    <w:keepLines w:val="0"/>
                    <w:pageBreakBefore w:val="0"/>
                    <w:widowControl w:val="0"/>
                    <w:kinsoku/>
                    <w:wordWrap/>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2500</w:t>
                  </w:r>
                </w:p>
              </w:tc>
              <w:tc>
                <w:tcPr>
                  <w:tcW w:w="937" w:type="dxa"/>
                  <w:tcBorders>
                    <w:tl2br w:val="nil"/>
                    <w:tr2bl w:val="nil"/>
                  </w:tcBorders>
                  <w:vAlign w:val="center"/>
                </w:tcPr>
                <w:p w14:paraId="47A824E5">
                  <w:pPr>
                    <w:keepNext w:val="0"/>
                    <w:keepLines w:val="0"/>
                    <w:pageBreakBefore w:val="0"/>
                    <w:widowControl w:val="0"/>
                    <w:kinsoku/>
                    <w:wordWrap/>
                    <w:overflowPunct/>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0.00002</w:t>
                  </w:r>
                </w:p>
              </w:tc>
            </w:tr>
            <w:tr w14:paraId="0EE442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6413" w:type="dxa"/>
                  <w:gridSpan w:val="5"/>
                  <w:tcBorders>
                    <w:tl2br w:val="nil"/>
                    <w:tr2bl w:val="nil"/>
                  </w:tcBorders>
                  <w:vAlign w:val="center"/>
                </w:tcPr>
                <w:p w14:paraId="213FD25B">
                  <w:pPr>
                    <w:keepNext w:val="0"/>
                    <w:keepLines w:val="0"/>
                    <w:pageBreakBefore w:val="0"/>
                    <w:widowControl w:val="0"/>
                    <w:kinsoku/>
                    <w:wordWrap/>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eastAsiaTheme="minorEastAsia"/>
                      <w:color w:val="auto"/>
                      <w:sz w:val="22"/>
                      <w:szCs w:val="22"/>
                      <w:lang w:val="en-US" w:eastAsia="zh-CN"/>
                    </w:rPr>
                  </w:pPr>
                  <w:r>
                    <w:rPr>
                      <w:rFonts w:hint="eastAsia" w:ascii="Times New Roman" w:hAnsi="Times New Roman" w:cs="Times New Roman" w:eastAsiaTheme="minorEastAsia"/>
                      <w:color w:val="auto"/>
                      <w:sz w:val="22"/>
                      <w:szCs w:val="22"/>
                      <w:lang w:val="en-US" w:eastAsia="zh-CN"/>
                    </w:rPr>
                    <w:t>合计</w:t>
                  </w:r>
                </w:p>
              </w:tc>
              <w:tc>
                <w:tcPr>
                  <w:tcW w:w="937" w:type="dxa"/>
                  <w:tcBorders>
                    <w:tl2br w:val="nil"/>
                    <w:tr2bl w:val="nil"/>
                  </w:tcBorders>
                  <w:vAlign w:val="center"/>
                </w:tcPr>
                <w:p w14:paraId="4C5A480E">
                  <w:pPr>
                    <w:keepNext w:val="0"/>
                    <w:keepLines w:val="0"/>
                    <w:pageBreakBefore w:val="0"/>
                    <w:widowControl w:val="0"/>
                    <w:kinsoku/>
                    <w:wordWrap/>
                    <w:overflowPunct/>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eastAsiaTheme="minorEastAsia"/>
                      <w:color w:val="auto"/>
                      <w:sz w:val="22"/>
                      <w:szCs w:val="22"/>
                    </w:rPr>
                  </w:pPr>
                  <w:r>
                    <w:rPr>
                      <w:rFonts w:hint="eastAsia" w:ascii="Times New Roman" w:hAnsi="Times New Roman" w:cs="Times New Roman" w:eastAsiaTheme="minorEastAsia"/>
                      <w:color w:val="auto"/>
                      <w:sz w:val="22"/>
                      <w:szCs w:val="22"/>
                      <w:lang w:val="en-US" w:eastAsia="zh-CN"/>
                    </w:rPr>
                    <w:t>0.00002</w:t>
                  </w:r>
                </w:p>
              </w:tc>
            </w:tr>
          </w:tbl>
          <w:p w14:paraId="29933CC7">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cs="Times New Roman"/>
                <w:color w:val="auto"/>
                <w:sz w:val="26"/>
                <w:szCs w:val="26"/>
                <w:lang w:val="en-US" w:eastAsia="zh-CN"/>
              </w:rPr>
            </w:pPr>
            <w:r>
              <w:rPr>
                <w:rFonts w:hint="default" w:cs="Times New Roman"/>
                <w:color w:val="auto"/>
                <w:sz w:val="26"/>
                <w:szCs w:val="26"/>
                <w:lang w:val="en-US" w:eastAsia="zh-CN"/>
              </w:rPr>
              <w:t>由表4.2-</w:t>
            </w:r>
            <w:r>
              <w:rPr>
                <w:rFonts w:hint="eastAsia" w:cs="Times New Roman"/>
                <w:color w:val="auto"/>
                <w:sz w:val="26"/>
                <w:szCs w:val="26"/>
                <w:lang w:val="en-US" w:eastAsia="zh-CN"/>
              </w:rPr>
              <w:t>11</w:t>
            </w:r>
            <w:r>
              <w:rPr>
                <w:rFonts w:hint="default" w:cs="Times New Roman"/>
                <w:color w:val="auto"/>
                <w:sz w:val="26"/>
                <w:szCs w:val="26"/>
                <w:lang w:val="en-US" w:eastAsia="zh-CN"/>
              </w:rPr>
              <w:t>可知，本项目涉及风险物质储存量未超过其临界量，Q=0.00</w:t>
            </w:r>
            <w:r>
              <w:rPr>
                <w:rFonts w:hint="eastAsia" w:cs="Times New Roman"/>
                <w:color w:val="auto"/>
                <w:sz w:val="26"/>
                <w:szCs w:val="26"/>
                <w:lang w:val="en-US" w:eastAsia="zh-CN"/>
              </w:rPr>
              <w:t>002</w:t>
            </w:r>
            <w:r>
              <w:rPr>
                <w:rFonts w:hint="default" w:cs="Times New Roman"/>
                <w:color w:val="auto"/>
                <w:sz w:val="26"/>
                <w:szCs w:val="26"/>
                <w:lang w:val="en-US" w:eastAsia="zh-CN"/>
              </w:rPr>
              <w:t>＜1。故本次评价不设置环境风险专项</w:t>
            </w:r>
            <w:r>
              <w:rPr>
                <w:rFonts w:hint="eastAsia" w:cs="Times New Roman"/>
                <w:color w:val="auto"/>
                <w:sz w:val="26"/>
                <w:szCs w:val="26"/>
                <w:lang w:val="en-US" w:eastAsia="zh-CN"/>
              </w:rPr>
              <w:t>。</w:t>
            </w:r>
          </w:p>
          <w:p w14:paraId="1201748F">
            <w:pPr>
              <w:pStyle w:val="4"/>
              <w:bidi w:val="0"/>
              <w:rPr>
                <w:rFonts w:hint="eastAsia" w:ascii="Times New Roman" w:hAnsi="Times New Roman" w:eastAsia="宋体" w:cs="Times New Roman"/>
                <w:b/>
                <w:bCs/>
                <w:color w:val="auto"/>
                <w:kern w:val="2"/>
                <w:sz w:val="26"/>
                <w:szCs w:val="26"/>
                <w:lang w:val="en-US" w:eastAsia="zh-CN" w:bidi="ar-SA"/>
              </w:rPr>
            </w:pPr>
            <w:r>
              <w:rPr>
                <w:rFonts w:hint="eastAsia" w:ascii="Times New Roman" w:hAnsi="Times New Roman" w:eastAsia="宋体" w:cs="Times New Roman"/>
                <w:b/>
                <w:bCs/>
                <w:color w:val="auto"/>
                <w:kern w:val="2"/>
                <w:sz w:val="26"/>
                <w:szCs w:val="26"/>
                <w:lang w:val="en-US" w:eastAsia="zh-CN" w:bidi="ar-SA"/>
              </w:rPr>
              <w:t>4.2.6.2环境风险防范措施</w:t>
            </w:r>
          </w:p>
          <w:p w14:paraId="28CD0A83">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ascii="Times New Roman" w:hAnsi="Times New Roman" w:cs="Times New Roman"/>
                <w:color w:val="auto"/>
                <w:sz w:val="26"/>
                <w:szCs w:val="26"/>
                <w:lang w:val="en-US" w:eastAsia="zh-CN"/>
              </w:rPr>
            </w:pPr>
            <w:r>
              <w:rPr>
                <w:rFonts w:hint="default" w:ascii="Times New Roman" w:hAnsi="Times New Roman" w:cs="Times New Roman"/>
                <w:color w:val="auto"/>
                <w:sz w:val="26"/>
                <w:szCs w:val="26"/>
                <w:lang w:val="en-US" w:eastAsia="zh-CN"/>
              </w:rPr>
              <w:t>（1）严禁烟火、明火，严禁吸烟，规范张贴消防、安全警示标识标牌，加强房间通风。</w:t>
            </w:r>
          </w:p>
          <w:p w14:paraId="65122E13">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ascii="Times New Roman" w:hAnsi="Times New Roman" w:cs="Times New Roman"/>
                <w:color w:val="auto"/>
                <w:sz w:val="26"/>
                <w:szCs w:val="26"/>
                <w:lang w:val="en-US" w:eastAsia="zh-CN"/>
              </w:rPr>
            </w:pPr>
            <w:r>
              <w:rPr>
                <w:rFonts w:hint="default" w:ascii="Times New Roman" w:hAnsi="Times New Roman" w:cs="Times New Roman"/>
                <w:color w:val="auto"/>
                <w:sz w:val="26"/>
                <w:szCs w:val="26"/>
                <w:lang w:val="en-US" w:eastAsia="zh-CN"/>
              </w:rPr>
              <w:t>（2）合理选择符合相应要求的建筑材料，合理设置防火分区和平面布置，合理布置消防应急照明和灯光疏散指示标志，合理配置消防器材，配备个人防护用具和急救药箱，设专人进行管理。绘制并张贴逃生路线，定期演练。</w:t>
            </w:r>
          </w:p>
          <w:p w14:paraId="5459B8B3">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ascii="Times New Roman" w:hAnsi="Times New Roman" w:cs="Times New Roman"/>
                <w:color w:val="auto"/>
                <w:sz w:val="26"/>
                <w:szCs w:val="26"/>
                <w:lang w:val="en-US" w:eastAsia="zh-CN"/>
              </w:rPr>
            </w:pPr>
            <w:r>
              <w:rPr>
                <w:rFonts w:hint="default" w:ascii="Times New Roman" w:hAnsi="Times New Roman" w:cs="Times New Roman"/>
                <w:color w:val="auto"/>
                <w:sz w:val="26"/>
                <w:szCs w:val="26"/>
                <w:lang w:val="en-US" w:eastAsia="zh-CN"/>
              </w:rPr>
              <w:t>（3）厂房应阴凉、通风；远离火种、热源；避光保存；应与易（可）燃物、禁</w:t>
            </w:r>
            <w:r>
              <w:rPr>
                <w:rFonts w:hint="eastAsia" w:cs="Times New Roman"/>
                <w:color w:val="auto"/>
                <w:sz w:val="26"/>
                <w:szCs w:val="26"/>
                <w:lang w:val="en-US" w:eastAsia="zh-CN"/>
              </w:rPr>
              <w:t>燃物</w:t>
            </w:r>
            <w:r>
              <w:rPr>
                <w:rFonts w:hint="default" w:ascii="Times New Roman" w:hAnsi="Times New Roman" w:cs="Times New Roman"/>
                <w:color w:val="auto"/>
                <w:sz w:val="26"/>
                <w:szCs w:val="26"/>
                <w:lang w:val="en-US" w:eastAsia="zh-CN"/>
              </w:rPr>
              <w:t>等分开存放，切忌混储。</w:t>
            </w:r>
          </w:p>
          <w:p w14:paraId="2C259354">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ascii="Times New Roman" w:hAnsi="Times New Roman" w:cs="Times New Roman"/>
                <w:color w:val="auto"/>
                <w:sz w:val="26"/>
                <w:szCs w:val="26"/>
                <w:lang w:val="en-US" w:eastAsia="zh-CN"/>
              </w:rPr>
            </w:pPr>
            <w:r>
              <w:rPr>
                <w:rFonts w:hint="default" w:ascii="Times New Roman" w:hAnsi="Times New Roman" w:cs="Times New Roman"/>
                <w:color w:val="auto"/>
                <w:sz w:val="26"/>
                <w:szCs w:val="26"/>
                <w:lang w:val="en-US" w:eastAsia="zh-CN"/>
              </w:rPr>
              <w:t>（4）新建危废贮存点，桶装液体危险废物置于托盘内，托盘容积满足其存放单桶液体物料的最大存放量，托盘材质需与物料相容。</w:t>
            </w:r>
          </w:p>
          <w:p w14:paraId="61E14390">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ascii="Times New Roman" w:hAnsi="Times New Roman" w:cs="Times New Roman"/>
                <w:color w:val="auto"/>
                <w:sz w:val="26"/>
                <w:szCs w:val="26"/>
                <w:lang w:val="en-US" w:eastAsia="zh-CN"/>
              </w:rPr>
            </w:pPr>
            <w:r>
              <w:rPr>
                <w:rFonts w:hint="default" w:ascii="Times New Roman" w:hAnsi="Times New Roman" w:cs="Times New Roman"/>
                <w:color w:val="auto"/>
                <w:sz w:val="26"/>
                <w:szCs w:val="26"/>
                <w:lang w:val="en-US" w:eastAsia="zh-CN"/>
              </w:rPr>
              <w:t>（</w:t>
            </w:r>
            <w:r>
              <w:rPr>
                <w:rFonts w:hint="eastAsia" w:ascii="Times New Roman" w:hAnsi="Times New Roman" w:cs="Times New Roman"/>
                <w:color w:val="auto"/>
                <w:sz w:val="26"/>
                <w:szCs w:val="26"/>
                <w:lang w:val="en-US" w:eastAsia="zh-CN"/>
              </w:rPr>
              <w:t>5</w:t>
            </w:r>
            <w:r>
              <w:rPr>
                <w:rFonts w:hint="default" w:ascii="Times New Roman" w:hAnsi="Times New Roman" w:cs="Times New Roman"/>
                <w:color w:val="auto"/>
                <w:sz w:val="26"/>
                <w:szCs w:val="26"/>
                <w:lang w:val="en-US" w:eastAsia="zh-CN"/>
              </w:rPr>
              <w:t>）配备合适的收容材料：小量泄漏：用砂土或</w:t>
            </w:r>
            <w:r>
              <w:rPr>
                <w:rFonts w:hint="eastAsia" w:cs="Times New Roman"/>
                <w:color w:val="auto"/>
                <w:sz w:val="26"/>
                <w:szCs w:val="26"/>
                <w:lang w:val="en-US" w:eastAsia="zh-CN"/>
              </w:rPr>
              <w:t>其他不</w:t>
            </w:r>
            <w:r>
              <w:rPr>
                <w:rFonts w:hint="default" w:ascii="Times New Roman" w:hAnsi="Times New Roman" w:cs="Times New Roman"/>
                <w:color w:val="auto"/>
                <w:sz w:val="26"/>
                <w:szCs w:val="26"/>
                <w:lang w:val="en-US" w:eastAsia="zh-CN"/>
              </w:rPr>
              <w:t>燃材料吸附或吸收；也可以用大量水冲洗，洗水稀释后放入废水系统。大量泄漏：构筑围堤或挖坑收容；用泡沫覆盖，降低蒸气灾害；用防爆泵转移至槽车或专用收集器内，回收或运至废物处理场所处置。</w:t>
            </w:r>
          </w:p>
          <w:p w14:paraId="7E2E2FA6">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color w:val="auto"/>
                <w:lang w:val="en-US" w:eastAsia="zh-CN"/>
              </w:rPr>
            </w:pPr>
            <w:r>
              <w:rPr>
                <w:rFonts w:hint="default" w:ascii="Times New Roman" w:hAnsi="Times New Roman" w:cs="Times New Roman"/>
                <w:color w:val="auto"/>
                <w:sz w:val="26"/>
                <w:szCs w:val="26"/>
                <w:lang w:val="en-US" w:eastAsia="zh-CN"/>
              </w:rPr>
              <w:t>（</w:t>
            </w:r>
            <w:r>
              <w:rPr>
                <w:rFonts w:hint="eastAsia" w:ascii="Times New Roman" w:hAnsi="Times New Roman" w:cs="Times New Roman"/>
                <w:color w:val="auto"/>
                <w:sz w:val="26"/>
                <w:szCs w:val="26"/>
                <w:lang w:val="en-US" w:eastAsia="zh-CN"/>
              </w:rPr>
              <w:t>6</w:t>
            </w:r>
            <w:r>
              <w:rPr>
                <w:rFonts w:hint="default" w:ascii="Times New Roman" w:hAnsi="Times New Roman" w:cs="Times New Roman"/>
                <w:color w:val="auto"/>
                <w:sz w:val="26"/>
                <w:szCs w:val="26"/>
                <w:lang w:val="en-US" w:eastAsia="zh-CN"/>
              </w:rPr>
              <w:t>）建立健全各项规章制度、操作规程，建立并记录各类台账。</w:t>
            </w:r>
          </w:p>
        </w:tc>
      </w:tr>
    </w:tbl>
    <w:p w14:paraId="34A77B8C">
      <w:pPr>
        <w:rPr>
          <w:rFonts w:hint="default"/>
          <w:color w:val="auto"/>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p>
    <w:p w14:paraId="662C01EC">
      <w:pPr>
        <w:pStyle w:val="2"/>
        <w:bidi w:val="0"/>
        <w:rPr>
          <w:rFonts w:hint="eastAsia" w:ascii="宋体" w:hAnsi="宋体" w:eastAsia="宋体" w:cs="宋体"/>
          <w:b/>
          <w:bCs/>
          <w:color w:val="auto"/>
          <w:sz w:val="32"/>
          <w:szCs w:val="32"/>
        </w:rPr>
      </w:pPr>
      <w:r>
        <w:rPr>
          <w:rFonts w:hint="eastAsia" w:ascii="宋体" w:hAnsi="宋体" w:eastAsia="宋体" w:cs="宋体"/>
          <w:b/>
          <w:bCs/>
          <w:color w:val="auto"/>
          <w:sz w:val="32"/>
          <w:szCs w:val="32"/>
        </w:rPr>
        <w:t>五、</w:t>
      </w:r>
      <w:bookmarkStart w:id="2" w:name="_Hlk54167917"/>
      <w:r>
        <w:rPr>
          <w:rFonts w:hint="eastAsia" w:ascii="宋体" w:hAnsi="宋体" w:eastAsia="宋体" w:cs="宋体"/>
          <w:b/>
          <w:bCs/>
          <w:color w:val="auto"/>
          <w:sz w:val="32"/>
          <w:szCs w:val="32"/>
        </w:rPr>
        <w:t>环境保护措施监督检查清单</w:t>
      </w:r>
      <w:bookmarkEnd w:id="2"/>
    </w:p>
    <w:tbl>
      <w:tblPr>
        <w:tblStyle w:val="17"/>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1800"/>
        <w:gridCol w:w="1157"/>
        <w:gridCol w:w="2272"/>
        <w:gridCol w:w="2282"/>
      </w:tblGrid>
      <w:tr w14:paraId="1D5F33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289" w:type="dxa"/>
            <w:tcBorders>
              <w:tl2br w:val="single" w:color="auto" w:sz="4" w:space="0"/>
            </w:tcBorders>
            <w:noWrap w:val="0"/>
            <w:vAlign w:val="top"/>
          </w:tcPr>
          <w:p w14:paraId="4CC7B2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right"/>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内容</w:t>
            </w:r>
          </w:p>
          <w:p w14:paraId="3628BF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要素</w:t>
            </w:r>
          </w:p>
        </w:tc>
        <w:tc>
          <w:tcPr>
            <w:tcW w:w="1800" w:type="dxa"/>
            <w:noWrap w:val="0"/>
            <w:vAlign w:val="center"/>
          </w:tcPr>
          <w:p w14:paraId="3B60A0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排放口</w:t>
            </w:r>
            <w:r>
              <w:rPr>
                <w:rFonts w:hint="eastAsia" w:ascii="Times New Roman" w:hAnsi="Times New Roman" w:eastAsia="宋体" w:cs="Times New Roman"/>
                <w:color w:val="auto"/>
                <w:sz w:val="22"/>
                <w:szCs w:val="22"/>
                <w:lang w:eastAsia="zh-CN"/>
              </w:rPr>
              <w:t>（</w:t>
            </w:r>
            <w:r>
              <w:rPr>
                <w:rFonts w:hint="default" w:ascii="Times New Roman" w:hAnsi="Times New Roman" w:eastAsia="宋体" w:cs="Times New Roman"/>
                <w:color w:val="auto"/>
                <w:sz w:val="22"/>
                <w:szCs w:val="22"/>
              </w:rPr>
              <w:t>编号、名称</w:t>
            </w:r>
            <w:r>
              <w:rPr>
                <w:rFonts w:hint="eastAsia" w:ascii="Times New Roman" w:hAnsi="Times New Roman" w:eastAsia="宋体" w:cs="Times New Roman"/>
                <w:color w:val="auto"/>
                <w:sz w:val="22"/>
                <w:szCs w:val="22"/>
                <w:lang w:eastAsia="zh-CN"/>
              </w:rPr>
              <w:t>）</w:t>
            </w:r>
            <w:r>
              <w:rPr>
                <w:rFonts w:hint="default" w:ascii="Times New Roman" w:hAnsi="Times New Roman" w:eastAsia="宋体" w:cs="Times New Roman"/>
                <w:color w:val="auto"/>
                <w:sz w:val="22"/>
                <w:szCs w:val="22"/>
              </w:rPr>
              <w:t>/污染源</w:t>
            </w:r>
          </w:p>
        </w:tc>
        <w:tc>
          <w:tcPr>
            <w:tcW w:w="1157" w:type="dxa"/>
            <w:noWrap w:val="0"/>
            <w:vAlign w:val="center"/>
          </w:tcPr>
          <w:p w14:paraId="3A4DBD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污染物项目</w:t>
            </w:r>
          </w:p>
        </w:tc>
        <w:tc>
          <w:tcPr>
            <w:tcW w:w="2272" w:type="dxa"/>
            <w:noWrap w:val="0"/>
            <w:vAlign w:val="center"/>
          </w:tcPr>
          <w:p w14:paraId="49EFA0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环境保护措施</w:t>
            </w:r>
          </w:p>
        </w:tc>
        <w:tc>
          <w:tcPr>
            <w:tcW w:w="2282" w:type="dxa"/>
            <w:noWrap w:val="0"/>
            <w:vAlign w:val="center"/>
          </w:tcPr>
          <w:p w14:paraId="7C8F06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执行标准</w:t>
            </w:r>
          </w:p>
        </w:tc>
      </w:tr>
      <w:tr w14:paraId="300F80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9" w:type="dxa"/>
            <w:vMerge w:val="restart"/>
            <w:noWrap w:val="0"/>
            <w:vAlign w:val="center"/>
          </w:tcPr>
          <w:p w14:paraId="7AA9B8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大气环境</w:t>
            </w:r>
          </w:p>
        </w:tc>
        <w:tc>
          <w:tcPr>
            <w:tcW w:w="1800" w:type="dxa"/>
            <w:noWrap w:val="0"/>
            <w:vAlign w:val="center"/>
          </w:tcPr>
          <w:p w14:paraId="18F1BC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排气筒</w:t>
            </w:r>
            <w:r>
              <w:rPr>
                <w:rFonts w:hint="default" w:ascii="Times New Roman" w:hAnsi="Times New Roman" w:eastAsia="宋体" w:cs="Times New Roman"/>
                <w:color w:val="auto"/>
                <w:sz w:val="22"/>
                <w:szCs w:val="22"/>
                <w:highlight w:val="none"/>
                <w:lang w:val="en-US" w:eastAsia="zh-CN"/>
              </w:rPr>
              <w:t>DA001</w:t>
            </w:r>
            <w:r>
              <w:rPr>
                <w:rFonts w:hint="eastAsia" w:cs="Times New Roman"/>
                <w:color w:val="auto"/>
                <w:sz w:val="22"/>
                <w:szCs w:val="22"/>
                <w:highlight w:val="none"/>
                <w:lang w:val="en-US" w:eastAsia="zh-CN"/>
              </w:rPr>
              <w:t>/工艺废气</w:t>
            </w:r>
          </w:p>
        </w:tc>
        <w:tc>
          <w:tcPr>
            <w:tcW w:w="1157" w:type="dxa"/>
            <w:noWrap w:val="0"/>
            <w:vAlign w:val="center"/>
          </w:tcPr>
          <w:p w14:paraId="3981BB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highlight w:val="none"/>
                <w:lang w:eastAsia="zh-CN"/>
              </w:rPr>
            </w:pPr>
            <w:r>
              <w:rPr>
                <w:rFonts w:hint="default" w:ascii="Times New Roman" w:hAnsi="Times New Roman" w:eastAsia="宋体" w:cs="Times New Roman"/>
                <w:color w:val="auto"/>
                <w:sz w:val="22"/>
                <w:szCs w:val="22"/>
                <w:highlight w:val="none"/>
                <w:lang w:eastAsia="zh-CN"/>
              </w:rPr>
              <w:t>颗粒物</w:t>
            </w:r>
          </w:p>
        </w:tc>
        <w:tc>
          <w:tcPr>
            <w:tcW w:w="2272" w:type="dxa"/>
            <w:noWrap w:val="0"/>
            <w:vAlign w:val="center"/>
          </w:tcPr>
          <w:p w14:paraId="717DF8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2"/>
                <w:szCs w:val="22"/>
                <w:highlight w:val="none"/>
                <w:lang w:val="en-US" w:eastAsia="zh-CN"/>
              </w:rPr>
            </w:pPr>
            <w:r>
              <w:rPr>
                <w:rFonts w:hint="eastAsia" w:cs="Times New Roman"/>
                <w:color w:val="auto"/>
                <w:sz w:val="22"/>
                <w:szCs w:val="22"/>
                <w:highlight w:val="none"/>
                <w:lang w:val="en-US" w:eastAsia="zh-CN"/>
              </w:rPr>
              <w:t>1台布袋除尘器，20</w:t>
            </w:r>
            <w:r>
              <w:rPr>
                <w:rFonts w:hint="eastAsia" w:ascii="Times New Roman" w:hAnsi="Times New Roman" w:eastAsia="宋体" w:cs="Times New Roman"/>
                <w:color w:val="auto"/>
                <w:sz w:val="22"/>
                <w:szCs w:val="22"/>
                <w:highlight w:val="none"/>
                <w:lang w:val="en-US" w:eastAsia="zh-CN"/>
              </w:rPr>
              <w:t>m高排气筒</w:t>
            </w:r>
            <w:r>
              <w:rPr>
                <w:rFonts w:hint="eastAsia" w:cs="Times New Roman"/>
                <w:color w:val="auto"/>
                <w:sz w:val="22"/>
                <w:szCs w:val="22"/>
                <w:highlight w:val="none"/>
                <w:lang w:val="en-US" w:eastAsia="zh-CN"/>
              </w:rPr>
              <w:t>，设计风量30000m</w:t>
            </w:r>
            <w:r>
              <w:rPr>
                <w:rFonts w:hint="eastAsia" w:cs="Times New Roman"/>
                <w:color w:val="auto"/>
                <w:sz w:val="22"/>
                <w:szCs w:val="22"/>
                <w:highlight w:val="none"/>
                <w:vertAlign w:val="superscript"/>
                <w:lang w:val="en-US" w:eastAsia="zh-CN"/>
              </w:rPr>
              <w:t>3</w:t>
            </w:r>
            <w:r>
              <w:rPr>
                <w:rFonts w:hint="eastAsia" w:cs="Times New Roman"/>
                <w:color w:val="auto"/>
                <w:sz w:val="22"/>
                <w:szCs w:val="22"/>
                <w:highlight w:val="none"/>
                <w:lang w:val="en-US" w:eastAsia="zh-CN"/>
              </w:rPr>
              <w:t>/h，排放口直径为0.8m</w:t>
            </w:r>
          </w:p>
        </w:tc>
        <w:tc>
          <w:tcPr>
            <w:tcW w:w="2282" w:type="dxa"/>
            <w:vMerge w:val="restart"/>
            <w:noWrap w:val="0"/>
            <w:vAlign w:val="center"/>
          </w:tcPr>
          <w:p w14:paraId="7D5204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w:t>
            </w:r>
            <w:r>
              <w:rPr>
                <w:rFonts w:hint="default"/>
                <w:color w:val="auto"/>
                <w:sz w:val="22"/>
                <w:szCs w:val="22"/>
                <w:lang w:val="en-US" w:eastAsia="zh-CN"/>
              </w:rPr>
              <w:t>玻璃工业大气污染物排放标准</w:t>
            </w:r>
            <w:r>
              <w:rPr>
                <w:rFonts w:hint="eastAsia"/>
                <w:color w:val="auto"/>
                <w:sz w:val="22"/>
                <w:szCs w:val="22"/>
                <w:lang w:val="en-US" w:eastAsia="zh-CN"/>
              </w:rPr>
              <w:t>》（DB50/1546-2023）</w:t>
            </w:r>
          </w:p>
        </w:tc>
      </w:tr>
      <w:tr w14:paraId="0A0279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9" w:type="dxa"/>
            <w:vMerge w:val="continue"/>
            <w:noWrap w:val="0"/>
            <w:vAlign w:val="center"/>
          </w:tcPr>
          <w:p w14:paraId="515567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rPr>
            </w:pPr>
          </w:p>
        </w:tc>
        <w:tc>
          <w:tcPr>
            <w:tcW w:w="1800" w:type="dxa"/>
            <w:noWrap w:val="0"/>
            <w:vAlign w:val="center"/>
          </w:tcPr>
          <w:p w14:paraId="4B2CE8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厂房外</w:t>
            </w:r>
          </w:p>
        </w:tc>
        <w:tc>
          <w:tcPr>
            <w:tcW w:w="1157" w:type="dxa"/>
            <w:noWrap w:val="0"/>
            <w:vAlign w:val="center"/>
          </w:tcPr>
          <w:p w14:paraId="60A11B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eastAsia="zh-CN"/>
              </w:rPr>
              <w:t>颗粒物</w:t>
            </w:r>
          </w:p>
        </w:tc>
        <w:tc>
          <w:tcPr>
            <w:tcW w:w="2272" w:type="dxa"/>
            <w:noWrap w:val="0"/>
            <w:vAlign w:val="center"/>
          </w:tcPr>
          <w:p w14:paraId="2CD7AB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加强厂房密闭管理</w:t>
            </w:r>
          </w:p>
        </w:tc>
        <w:tc>
          <w:tcPr>
            <w:tcW w:w="2282" w:type="dxa"/>
            <w:vMerge w:val="continue"/>
            <w:noWrap w:val="0"/>
            <w:vAlign w:val="center"/>
          </w:tcPr>
          <w:p w14:paraId="400D91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2"/>
                <w:szCs w:val="22"/>
                <w:lang w:val="en-US" w:eastAsia="zh-CN"/>
              </w:rPr>
            </w:pPr>
          </w:p>
        </w:tc>
      </w:tr>
      <w:tr w14:paraId="281EFF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9" w:type="dxa"/>
            <w:noWrap w:val="0"/>
            <w:vAlign w:val="center"/>
          </w:tcPr>
          <w:p w14:paraId="192061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地表水环境</w:t>
            </w:r>
          </w:p>
        </w:tc>
        <w:tc>
          <w:tcPr>
            <w:tcW w:w="1800" w:type="dxa"/>
            <w:noWrap w:val="0"/>
            <w:vAlign w:val="center"/>
          </w:tcPr>
          <w:p w14:paraId="10F4C1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生活污水</w:t>
            </w:r>
          </w:p>
        </w:tc>
        <w:tc>
          <w:tcPr>
            <w:tcW w:w="1157" w:type="dxa"/>
            <w:noWrap w:val="0"/>
            <w:vAlign w:val="center"/>
          </w:tcPr>
          <w:p w14:paraId="2204CD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b w:val="0"/>
                <w:bCs w:val="0"/>
                <w:i w:val="0"/>
                <w:color w:val="auto"/>
                <w:kern w:val="0"/>
                <w:sz w:val="22"/>
                <w:szCs w:val="22"/>
                <w:u w:val="none"/>
                <w:lang w:val="en-US" w:eastAsia="zh-CN" w:bidi="ar"/>
              </w:rPr>
              <w:t>COD、BOD</w:t>
            </w:r>
            <w:r>
              <w:rPr>
                <w:rFonts w:hint="default" w:ascii="Times New Roman" w:hAnsi="Times New Roman" w:eastAsia="宋体" w:cs="Times New Roman"/>
                <w:b w:val="0"/>
                <w:bCs w:val="0"/>
                <w:i w:val="0"/>
                <w:color w:val="auto"/>
                <w:kern w:val="0"/>
                <w:sz w:val="22"/>
                <w:szCs w:val="22"/>
                <w:u w:val="none"/>
                <w:vertAlign w:val="subscript"/>
                <w:lang w:val="en-US" w:eastAsia="zh-CN" w:bidi="ar"/>
              </w:rPr>
              <w:t>5</w:t>
            </w:r>
            <w:r>
              <w:rPr>
                <w:rFonts w:hint="default" w:ascii="Times New Roman" w:hAnsi="Times New Roman" w:eastAsia="宋体" w:cs="Times New Roman"/>
                <w:b w:val="0"/>
                <w:bCs w:val="0"/>
                <w:i w:val="0"/>
                <w:color w:val="auto"/>
                <w:kern w:val="0"/>
                <w:sz w:val="22"/>
                <w:szCs w:val="22"/>
                <w:u w:val="none"/>
                <w:lang w:val="en-US" w:eastAsia="zh-CN" w:bidi="ar"/>
              </w:rPr>
              <w:t>、SS、NH</w:t>
            </w:r>
            <w:r>
              <w:rPr>
                <w:rFonts w:hint="default" w:ascii="Times New Roman" w:hAnsi="Times New Roman" w:eastAsia="宋体" w:cs="Times New Roman"/>
                <w:b w:val="0"/>
                <w:bCs w:val="0"/>
                <w:i w:val="0"/>
                <w:color w:val="auto"/>
                <w:kern w:val="0"/>
                <w:sz w:val="22"/>
                <w:szCs w:val="22"/>
                <w:u w:val="none"/>
                <w:vertAlign w:val="subscript"/>
                <w:lang w:val="en-US" w:eastAsia="zh-CN" w:bidi="ar"/>
              </w:rPr>
              <w:t>3</w:t>
            </w:r>
            <w:r>
              <w:rPr>
                <w:rFonts w:hint="default" w:ascii="Times New Roman" w:hAnsi="Times New Roman" w:eastAsia="宋体" w:cs="Times New Roman"/>
                <w:b w:val="0"/>
                <w:bCs w:val="0"/>
                <w:i w:val="0"/>
                <w:color w:val="auto"/>
                <w:kern w:val="0"/>
                <w:sz w:val="22"/>
                <w:szCs w:val="22"/>
                <w:u w:val="none"/>
                <w:lang w:val="en-US" w:eastAsia="zh-CN" w:bidi="ar"/>
              </w:rPr>
              <w:t>-N</w:t>
            </w:r>
          </w:p>
        </w:tc>
        <w:tc>
          <w:tcPr>
            <w:tcW w:w="2272" w:type="dxa"/>
            <w:noWrap w:val="0"/>
            <w:vAlign w:val="center"/>
          </w:tcPr>
          <w:p w14:paraId="4FECCA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依托现有生化池</w:t>
            </w:r>
            <w:r>
              <w:rPr>
                <w:rFonts w:hint="default" w:ascii="Times New Roman" w:hAnsi="Times New Roman" w:eastAsia="宋体" w:cs="Times New Roman"/>
                <w:bCs/>
                <w:color w:val="auto"/>
                <w:sz w:val="22"/>
                <w:szCs w:val="22"/>
                <w:vertAlign w:val="baseline"/>
                <w:lang w:val="en-US" w:eastAsia="zh-CN"/>
              </w:rPr>
              <w:t>，</w:t>
            </w:r>
            <w:r>
              <w:rPr>
                <w:rFonts w:hint="default" w:ascii="Times New Roman" w:hAnsi="Times New Roman" w:eastAsia="宋体" w:cs="Times New Roman"/>
                <w:color w:val="auto"/>
                <w:sz w:val="22"/>
                <w:szCs w:val="22"/>
              </w:rPr>
              <w:t>处理规模为</w:t>
            </w:r>
            <w:r>
              <w:rPr>
                <w:rFonts w:hint="eastAsia" w:cs="Times New Roman"/>
                <w:bCs/>
                <w:color w:val="auto"/>
                <w:sz w:val="22"/>
                <w:szCs w:val="22"/>
                <w:highlight w:val="none"/>
                <w:vertAlign w:val="baseline"/>
                <w:lang w:val="en-US" w:eastAsia="zh-CN"/>
              </w:rPr>
              <w:t>60</w:t>
            </w:r>
            <w:r>
              <w:rPr>
                <w:rFonts w:hint="default" w:ascii="Times New Roman" w:hAnsi="Times New Roman" w:eastAsia="宋体" w:cs="Times New Roman"/>
                <w:color w:val="auto"/>
                <w:sz w:val="22"/>
                <w:szCs w:val="22"/>
                <w:highlight w:val="none"/>
              </w:rPr>
              <w:t>m</w:t>
            </w:r>
            <w:r>
              <w:rPr>
                <w:rFonts w:hint="default" w:ascii="Times New Roman" w:hAnsi="Times New Roman" w:eastAsia="宋体" w:cs="Times New Roman"/>
                <w:color w:val="auto"/>
                <w:sz w:val="22"/>
                <w:szCs w:val="22"/>
                <w:highlight w:val="none"/>
                <w:vertAlign w:val="superscript"/>
              </w:rPr>
              <w:t>3</w:t>
            </w:r>
            <w:r>
              <w:rPr>
                <w:rFonts w:hint="default" w:ascii="Times New Roman" w:hAnsi="Times New Roman" w:eastAsia="宋体" w:cs="Times New Roman"/>
                <w:color w:val="auto"/>
                <w:sz w:val="22"/>
                <w:szCs w:val="22"/>
                <w:highlight w:val="none"/>
              </w:rPr>
              <w:t>/d</w:t>
            </w:r>
          </w:p>
        </w:tc>
        <w:tc>
          <w:tcPr>
            <w:tcW w:w="2282" w:type="dxa"/>
            <w:noWrap w:val="0"/>
            <w:vAlign w:val="center"/>
          </w:tcPr>
          <w:p w14:paraId="6B4BDE7D">
            <w:pPr>
              <w:pStyle w:val="1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2"/>
                <w:szCs w:val="22"/>
                <w:lang w:val="en-US"/>
              </w:rPr>
            </w:pPr>
            <w:r>
              <w:rPr>
                <w:rFonts w:hint="default" w:ascii="Times New Roman" w:hAnsi="Times New Roman" w:eastAsia="宋体" w:cs="Times New Roman"/>
                <w:i w:val="0"/>
                <w:iCs w:val="0"/>
                <w:color w:val="auto"/>
                <w:kern w:val="0"/>
                <w:sz w:val="22"/>
                <w:szCs w:val="22"/>
                <w:u w:val="none"/>
                <w:lang w:val="en-US" w:eastAsia="zh-CN" w:bidi="ar"/>
              </w:rPr>
              <w:t>《污水综合排放标准》（GB8978-1996</w:t>
            </w:r>
            <w:r>
              <w:rPr>
                <w:rFonts w:hint="eastAsia" w:ascii="宋体" w:hAnsi="宋体" w:eastAsia="宋体" w:cs="宋体"/>
                <w:i w:val="0"/>
                <w:iCs w:val="0"/>
                <w:color w:val="auto"/>
                <w:kern w:val="0"/>
                <w:sz w:val="22"/>
                <w:szCs w:val="22"/>
                <w:u w:val="none"/>
                <w:lang w:val="en-US" w:eastAsia="zh-CN" w:bidi="ar"/>
              </w:rPr>
              <w:t>）三级标准</w:t>
            </w:r>
          </w:p>
        </w:tc>
      </w:tr>
      <w:tr w14:paraId="70BA6F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9" w:type="dxa"/>
            <w:noWrap w:val="0"/>
            <w:vAlign w:val="center"/>
          </w:tcPr>
          <w:p w14:paraId="139205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声环境</w:t>
            </w:r>
          </w:p>
        </w:tc>
        <w:tc>
          <w:tcPr>
            <w:tcW w:w="1800" w:type="dxa"/>
            <w:noWrap w:val="0"/>
            <w:vAlign w:val="center"/>
          </w:tcPr>
          <w:p w14:paraId="54D991F3">
            <w:pPr>
              <w:keepNext w:val="0"/>
              <w:keepLines w:val="0"/>
              <w:pageBreakBefore w:val="0"/>
              <w:widowControl w:val="0"/>
              <w:tabs>
                <w:tab w:val="left" w:pos="2517"/>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生产设备</w:t>
            </w:r>
          </w:p>
        </w:tc>
        <w:tc>
          <w:tcPr>
            <w:tcW w:w="1157" w:type="dxa"/>
            <w:noWrap w:val="0"/>
            <w:vAlign w:val="center"/>
          </w:tcPr>
          <w:p w14:paraId="6720A2BB">
            <w:pPr>
              <w:keepNext w:val="0"/>
              <w:keepLines w:val="0"/>
              <w:pageBreakBefore w:val="0"/>
              <w:widowControl w:val="0"/>
              <w:tabs>
                <w:tab w:val="left" w:pos="2517"/>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等效声级</w:t>
            </w:r>
          </w:p>
        </w:tc>
        <w:tc>
          <w:tcPr>
            <w:tcW w:w="2272" w:type="dxa"/>
            <w:noWrap w:val="0"/>
            <w:vAlign w:val="center"/>
          </w:tcPr>
          <w:p w14:paraId="038502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0"/>
                <w:sz w:val="22"/>
                <w:szCs w:val="22"/>
              </w:rPr>
              <w:t>采取基础</w:t>
            </w:r>
            <w:r>
              <w:rPr>
                <w:rFonts w:hint="eastAsia" w:cs="Times New Roman"/>
                <w:color w:val="auto"/>
                <w:kern w:val="0"/>
                <w:sz w:val="22"/>
                <w:szCs w:val="22"/>
                <w:lang w:eastAsia="zh-CN"/>
              </w:rPr>
              <w:t>减振</w:t>
            </w:r>
            <w:r>
              <w:rPr>
                <w:rFonts w:hint="default" w:ascii="Times New Roman" w:hAnsi="Times New Roman" w:eastAsia="宋体" w:cs="Times New Roman"/>
                <w:color w:val="auto"/>
                <w:kern w:val="0"/>
                <w:sz w:val="22"/>
                <w:szCs w:val="22"/>
              </w:rPr>
              <w:t>、建筑物隔声、距离衰减等措施</w:t>
            </w:r>
          </w:p>
        </w:tc>
        <w:tc>
          <w:tcPr>
            <w:tcW w:w="2282" w:type="dxa"/>
            <w:noWrap w:val="0"/>
            <w:vAlign w:val="center"/>
          </w:tcPr>
          <w:p w14:paraId="1127C0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eastAsia="zh-CN"/>
              </w:rPr>
            </w:pPr>
            <w:r>
              <w:rPr>
                <w:rFonts w:hint="default" w:ascii="Times New Roman" w:hAnsi="Times New Roman" w:eastAsia="宋体" w:cs="Times New Roman"/>
                <w:color w:val="auto"/>
                <w:sz w:val="22"/>
                <w:szCs w:val="22"/>
              </w:rPr>
              <w:t>《工业企业厂界环境噪声排放标准》（GB12348-2008）中3类标准</w:t>
            </w:r>
            <w:r>
              <w:rPr>
                <w:rFonts w:hint="default" w:ascii="Times New Roman" w:hAnsi="Times New Roman" w:eastAsia="宋体" w:cs="Times New Roman"/>
                <w:color w:val="auto"/>
                <w:sz w:val="22"/>
                <w:szCs w:val="22"/>
                <w:lang w:eastAsia="zh-CN"/>
              </w:rPr>
              <w:t>，昼间≤65dB</w:t>
            </w:r>
            <w:r>
              <w:rPr>
                <w:rFonts w:hint="eastAsia" w:ascii="Times New Roman" w:hAnsi="Times New Roman" w:eastAsia="宋体" w:cs="Times New Roman"/>
                <w:color w:val="auto"/>
                <w:sz w:val="22"/>
                <w:szCs w:val="22"/>
                <w:lang w:eastAsia="zh-CN"/>
              </w:rPr>
              <w:t>（</w:t>
            </w:r>
            <w:r>
              <w:rPr>
                <w:rFonts w:hint="default" w:ascii="Times New Roman" w:hAnsi="Times New Roman" w:eastAsia="宋体" w:cs="Times New Roman"/>
                <w:color w:val="auto"/>
                <w:sz w:val="22"/>
                <w:szCs w:val="22"/>
                <w:lang w:eastAsia="zh-CN"/>
              </w:rPr>
              <w:t>A</w:t>
            </w:r>
            <w:r>
              <w:rPr>
                <w:rFonts w:hint="eastAsia" w:ascii="Times New Roman" w:hAnsi="Times New Roman" w:eastAsia="宋体" w:cs="Times New Roman"/>
                <w:color w:val="auto"/>
                <w:sz w:val="22"/>
                <w:szCs w:val="22"/>
                <w:lang w:eastAsia="zh-CN"/>
              </w:rPr>
              <w:t>）</w:t>
            </w:r>
            <w:r>
              <w:rPr>
                <w:rFonts w:hint="eastAsia" w:ascii="Times New Roman" w:hAnsi="Times New Roman" w:eastAsia="宋体" w:cs="Times New Roman"/>
                <w:color w:val="auto"/>
                <w:sz w:val="22"/>
                <w:szCs w:val="22"/>
                <w:lang w:val="en-US" w:eastAsia="zh-CN"/>
              </w:rPr>
              <w:t>夜</w:t>
            </w:r>
            <w:r>
              <w:rPr>
                <w:rFonts w:hint="default" w:ascii="Times New Roman" w:hAnsi="Times New Roman" w:eastAsia="宋体" w:cs="Times New Roman"/>
                <w:color w:val="auto"/>
                <w:sz w:val="22"/>
                <w:szCs w:val="22"/>
                <w:lang w:eastAsia="zh-CN"/>
              </w:rPr>
              <w:t>间≤</w:t>
            </w:r>
            <w:r>
              <w:rPr>
                <w:rFonts w:hint="eastAsia" w:ascii="Times New Roman" w:hAnsi="Times New Roman" w:eastAsia="宋体" w:cs="Times New Roman"/>
                <w:color w:val="auto"/>
                <w:sz w:val="22"/>
                <w:szCs w:val="22"/>
                <w:lang w:val="en-US" w:eastAsia="zh-CN"/>
              </w:rPr>
              <w:t>55</w:t>
            </w:r>
            <w:r>
              <w:rPr>
                <w:rFonts w:hint="default" w:ascii="Times New Roman" w:hAnsi="Times New Roman" w:eastAsia="宋体" w:cs="Times New Roman"/>
                <w:color w:val="auto"/>
                <w:sz w:val="22"/>
                <w:szCs w:val="22"/>
                <w:lang w:eastAsia="zh-CN"/>
              </w:rPr>
              <w:t>dB</w:t>
            </w:r>
            <w:r>
              <w:rPr>
                <w:rFonts w:hint="eastAsia" w:ascii="Times New Roman" w:hAnsi="Times New Roman" w:eastAsia="宋体" w:cs="Times New Roman"/>
                <w:color w:val="auto"/>
                <w:sz w:val="22"/>
                <w:szCs w:val="22"/>
                <w:lang w:eastAsia="zh-CN"/>
              </w:rPr>
              <w:t>（</w:t>
            </w:r>
            <w:r>
              <w:rPr>
                <w:rFonts w:hint="default" w:ascii="Times New Roman" w:hAnsi="Times New Roman" w:eastAsia="宋体" w:cs="Times New Roman"/>
                <w:color w:val="auto"/>
                <w:sz w:val="22"/>
                <w:szCs w:val="22"/>
                <w:lang w:eastAsia="zh-CN"/>
              </w:rPr>
              <w:t>A</w:t>
            </w:r>
            <w:r>
              <w:rPr>
                <w:rFonts w:hint="eastAsia" w:ascii="Times New Roman" w:hAnsi="Times New Roman" w:eastAsia="宋体" w:cs="Times New Roman"/>
                <w:color w:val="auto"/>
                <w:sz w:val="22"/>
                <w:szCs w:val="22"/>
                <w:lang w:eastAsia="zh-CN"/>
              </w:rPr>
              <w:t>）</w:t>
            </w:r>
          </w:p>
        </w:tc>
      </w:tr>
      <w:tr w14:paraId="665DA9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9" w:type="dxa"/>
            <w:noWrap w:val="0"/>
            <w:vAlign w:val="center"/>
          </w:tcPr>
          <w:p w14:paraId="3D1E25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eastAsia="zh-CN"/>
              </w:rPr>
            </w:pPr>
            <w:r>
              <w:rPr>
                <w:rFonts w:hint="default" w:ascii="Times New Roman" w:hAnsi="Times New Roman" w:eastAsia="宋体" w:cs="Times New Roman"/>
                <w:color w:val="auto"/>
                <w:sz w:val="22"/>
                <w:szCs w:val="22"/>
                <w:lang w:eastAsia="zh-CN"/>
              </w:rPr>
              <w:t>电磁辐射</w:t>
            </w:r>
          </w:p>
        </w:tc>
        <w:tc>
          <w:tcPr>
            <w:tcW w:w="7511" w:type="dxa"/>
            <w:gridSpan w:val="4"/>
            <w:noWrap w:val="0"/>
            <w:vAlign w:val="center"/>
          </w:tcPr>
          <w:p w14:paraId="2725A2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eastAsia="zh-CN"/>
              </w:rPr>
            </w:pPr>
            <w:r>
              <w:rPr>
                <w:rFonts w:hint="default" w:ascii="Times New Roman" w:hAnsi="Times New Roman" w:eastAsia="宋体" w:cs="Times New Roman"/>
                <w:color w:val="auto"/>
                <w:sz w:val="22"/>
                <w:szCs w:val="22"/>
                <w:lang w:val="en-US" w:eastAsia="zh-CN"/>
              </w:rPr>
              <w:t>/</w:t>
            </w:r>
          </w:p>
        </w:tc>
      </w:tr>
      <w:tr w14:paraId="3483D6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9" w:type="dxa"/>
            <w:noWrap w:val="0"/>
            <w:vAlign w:val="center"/>
          </w:tcPr>
          <w:p w14:paraId="076DBE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固体废物</w:t>
            </w:r>
          </w:p>
        </w:tc>
        <w:tc>
          <w:tcPr>
            <w:tcW w:w="7511" w:type="dxa"/>
            <w:gridSpan w:val="4"/>
            <w:noWrap w:val="0"/>
            <w:vAlign w:val="center"/>
          </w:tcPr>
          <w:p w14:paraId="116A75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一般工业固废</w:t>
            </w:r>
            <w:r>
              <w:rPr>
                <w:rFonts w:hint="default" w:ascii="Times New Roman" w:hAnsi="Times New Roman" w:eastAsia="宋体" w:cs="Times New Roman"/>
                <w:color w:val="auto"/>
                <w:sz w:val="22"/>
                <w:szCs w:val="22"/>
                <w:lang w:eastAsia="zh-CN"/>
              </w:rPr>
              <w:t>：</w:t>
            </w:r>
            <w:r>
              <w:rPr>
                <w:rFonts w:hint="default" w:ascii="Times New Roman" w:hAnsi="Times New Roman" w:eastAsia="宋体" w:cs="Times New Roman"/>
                <w:color w:val="auto"/>
                <w:sz w:val="22"/>
                <w:szCs w:val="22"/>
              </w:rPr>
              <w:t>在</w:t>
            </w:r>
            <w:r>
              <w:rPr>
                <w:rFonts w:hint="eastAsia" w:cs="Times New Roman"/>
                <w:color w:val="auto"/>
                <w:sz w:val="22"/>
                <w:szCs w:val="22"/>
                <w:lang w:val="en-US" w:eastAsia="zh-CN"/>
              </w:rPr>
              <w:t>车间西北侧</w:t>
            </w:r>
            <w:r>
              <w:rPr>
                <w:rFonts w:hint="default" w:ascii="Times New Roman" w:hAnsi="Times New Roman" w:eastAsia="宋体" w:cs="Times New Roman"/>
                <w:color w:val="auto"/>
                <w:sz w:val="22"/>
                <w:szCs w:val="22"/>
              </w:rPr>
              <w:t>设置1处一般固废暂存</w:t>
            </w:r>
            <w:r>
              <w:rPr>
                <w:rFonts w:hint="eastAsia" w:cs="Times New Roman"/>
                <w:color w:val="auto"/>
                <w:sz w:val="22"/>
                <w:szCs w:val="22"/>
                <w:lang w:val="en-US" w:eastAsia="zh-CN"/>
              </w:rPr>
              <w:t>间</w:t>
            </w:r>
            <w:r>
              <w:rPr>
                <w:rFonts w:hint="default" w:ascii="Times New Roman" w:hAnsi="Times New Roman" w:eastAsia="宋体" w:cs="Times New Roman"/>
                <w:color w:val="auto"/>
                <w:sz w:val="22"/>
                <w:szCs w:val="22"/>
              </w:rPr>
              <w:t>，面积约为</w:t>
            </w:r>
            <w:r>
              <w:rPr>
                <w:rFonts w:hint="eastAsia" w:cs="Times New Roman"/>
                <w:color w:val="auto"/>
                <w:sz w:val="22"/>
                <w:szCs w:val="22"/>
                <w:lang w:val="en-US" w:eastAsia="zh-CN"/>
              </w:rPr>
              <w:t>35</w:t>
            </w:r>
            <w:r>
              <w:rPr>
                <w:rFonts w:hint="default" w:ascii="Times New Roman" w:hAnsi="Times New Roman" w:eastAsia="宋体" w:cs="Times New Roman"/>
                <w:color w:val="auto"/>
                <w:sz w:val="22"/>
                <w:szCs w:val="22"/>
              </w:rPr>
              <w:t>m</w:t>
            </w:r>
            <w:r>
              <w:rPr>
                <w:rFonts w:hint="default" w:ascii="Times New Roman" w:hAnsi="Times New Roman" w:eastAsia="宋体" w:cs="Times New Roman"/>
                <w:color w:val="auto"/>
                <w:sz w:val="22"/>
                <w:szCs w:val="22"/>
                <w:vertAlign w:val="superscript"/>
              </w:rPr>
              <w:t>2</w:t>
            </w:r>
            <w:r>
              <w:rPr>
                <w:rFonts w:hint="default" w:ascii="Times New Roman" w:hAnsi="Times New Roman" w:eastAsia="宋体" w:cs="Times New Roman"/>
                <w:color w:val="auto"/>
                <w:sz w:val="22"/>
                <w:szCs w:val="22"/>
              </w:rPr>
              <w:t>。</w:t>
            </w:r>
          </w:p>
          <w:p w14:paraId="31057B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危险废物贮存点：位于车间北侧，面积为5m</w:t>
            </w:r>
            <w:r>
              <w:rPr>
                <w:rFonts w:hint="eastAsia" w:cs="Times New Roman"/>
                <w:color w:val="auto"/>
                <w:sz w:val="22"/>
                <w:szCs w:val="22"/>
                <w:vertAlign w:val="superscript"/>
                <w:lang w:val="en-US" w:eastAsia="zh-CN"/>
              </w:rPr>
              <w:t>2</w:t>
            </w:r>
            <w:r>
              <w:rPr>
                <w:rFonts w:hint="eastAsia" w:cs="Times New Roman"/>
                <w:color w:val="auto"/>
                <w:sz w:val="22"/>
                <w:szCs w:val="22"/>
                <w:lang w:val="en-US" w:eastAsia="zh-CN"/>
              </w:rPr>
              <w:t>，采取重点防渗，“防风、防晒、防雨、防漏、防渗、防腐”措施，并设标志牌。</w:t>
            </w:r>
          </w:p>
          <w:p w14:paraId="561DEC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生活垃圾</w:t>
            </w:r>
            <w:r>
              <w:rPr>
                <w:rFonts w:hint="default" w:ascii="Times New Roman" w:hAnsi="Times New Roman" w:eastAsia="宋体" w:cs="Times New Roman"/>
                <w:color w:val="auto"/>
                <w:sz w:val="22"/>
                <w:szCs w:val="22"/>
                <w:lang w:eastAsia="zh-CN"/>
              </w:rPr>
              <w:t>：</w:t>
            </w:r>
            <w:r>
              <w:rPr>
                <w:rFonts w:hint="eastAsia" w:ascii="Times New Roman" w:hAnsi="Times New Roman" w:eastAsia="宋体" w:cs="Times New Roman"/>
                <w:color w:val="auto"/>
                <w:sz w:val="22"/>
                <w:szCs w:val="22"/>
                <w:lang w:val="en-US" w:eastAsia="zh-CN"/>
              </w:rPr>
              <w:t>设置</w:t>
            </w:r>
            <w:r>
              <w:rPr>
                <w:rFonts w:hint="default" w:ascii="Times New Roman" w:hAnsi="Times New Roman" w:eastAsia="宋体" w:cs="Times New Roman"/>
                <w:color w:val="auto"/>
                <w:sz w:val="22"/>
                <w:szCs w:val="22"/>
                <w:lang w:eastAsia="zh-CN"/>
              </w:rPr>
              <w:t>厂区垃圾收集点。</w:t>
            </w:r>
          </w:p>
        </w:tc>
      </w:tr>
      <w:tr w14:paraId="229295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9" w:type="dxa"/>
            <w:noWrap w:val="0"/>
            <w:vAlign w:val="center"/>
          </w:tcPr>
          <w:p w14:paraId="4ADEC9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8"/>
                <w:sz w:val="22"/>
                <w:szCs w:val="22"/>
                <w:lang w:eastAsia="zh-CN"/>
              </w:rPr>
            </w:pPr>
            <w:r>
              <w:rPr>
                <w:rFonts w:hint="default" w:ascii="Times New Roman" w:hAnsi="Times New Roman" w:eastAsia="宋体" w:cs="Times New Roman"/>
                <w:color w:val="auto"/>
                <w:spacing w:val="-8"/>
                <w:sz w:val="22"/>
                <w:szCs w:val="22"/>
                <w:lang w:eastAsia="zh-CN"/>
              </w:rPr>
              <w:t>土壤及地下水污染防治措施</w:t>
            </w:r>
          </w:p>
        </w:tc>
        <w:tc>
          <w:tcPr>
            <w:tcW w:w="7511" w:type="dxa"/>
            <w:gridSpan w:val="4"/>
            <w:noWrap w:val="0"/>
            <w:vAlign w:val="center"/>
          </w:tcPr>
          <w:p w14:paraId="107A27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color w:val="auto"/>
                <w:sz w:val="22"/>
                <w:szCs w:val="22"/>
                <w:lang w:val="en-US" w:eastAsia="zh-CN"/>
              </w:rPr>
            </w:pPr>
            <w:r>
              <w:rPr>
                <w:rFonts w:hint="eastAsia" w:cs="Times New Roman"/>
                <w:color w:val="auto"/>
                <w:sz w:val="22"/>
                <w:szCs w:val="22"/>
                <w:lang w:val="en-US" w:eastAsia="zh-CN"/>
              </w:rPr>
              <w:t>车间采取分区防渗。</w:t>
            </w:r>
          </w:p>
          <w:p w14:paraId="6504F0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color w:val="auto"/>
                <w:sz w:val="22"/>
                <w:szCs w:val="22"/>
                <w:lang w:val="en-US" w:eastAsia="zh-CN"/>
              </w:rPr>
            </w:pPr>
            <w:r>
              <w:rPr>
                <w:rFonts w:hint="default" w:cs="Times New Roman"/>
                <w:color w:val="auto"/>
                <w:sz w:val="22"/>
                <w:szCs w:val="22"/>
                <w:lang w:val="en-US" w:eastAsia="zh-CN"/>
              </w:rPr>
              <w:t>重点防渗区：危废贮存点。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w:t>
            </w:r>
            <w:r>
              <w:rPr>
                <w:rFonts w:hint="eastAsia" w:cs="Times New Roman"/>
                <w:color w:val="auto"/>
                <w:sz w:val="22"/>
                <w:szCs w:val="22"/>
                <w:lang w:val="en-US" w:eastAsia="zh-CN"/>
              </w:rPr>
              <w:t>（</w:t>
            </w:r>
            <w:r>
              <w:rPr>
                <w:rFonts w:hint="default" w:cs="Times New Roman"/>
                <w:color w:val="auto"/>
                <w:sz w:val="22"/>
                <w:szCs w:val="22"/>
                <w:lang w:val="en-US" w:eastAsia="zh-CN"/>
              </w:rPr>
              <w:t>渗透系数不大于10</w:t>
            </w:r>
            <w:r>
              <w:rPr>
                <w:rFonts w:hint="default" w:cs="Times New Roman"/>
                <w:color w:val="auto"/>
                <w:sz w:val="22"/>
                <w:szCs w:val="22"/>
                <w:vertAlign w:val="superscript"/>
                <w:lang w:val="en-US" w:eastAsia="zh-CN"/>
              </w:rPr>
              <w:t>-7</w:t>
            </w:r>
            <w:r>
              <w:rPr>
                <w:rFonts w:hint="default" w:cs="Times New Roman"/>
                <w:color w:val="auto"/>
                <w:sz w:val="22"/>
                <w:szCs w:val="22"/>
                <w:lang w:val="en-US" w:eastAsia="zh-CN"/>
              </w:rPr>
              <w:t>cm/s</w:t>
            </w:r>
            <w:r>
              <w:rPr>
                <w:rFonts w:hint="eastAsia" w:cs="Times New Roman"/>
                <w:color w:val="auto"/>
                <w:sz w:val="22"/>
                <w:szCs w:val="22"/>
                <w:lang w:val="en-US" w:eastAsia="zh-CN"/>
              </w:rPr>
              <w:t>）</w:t>
            </w:r>
            <w:r>
              <w:rPr>
                <w:rFonts w:hint="default" w:cs="Times New Roman"/>
                <w:color w:val="auto"/>
                <w:sz w:val="22"/>
                <w:szCs w:val="22"/>
                <w:lang w:val="en-US" w:eastAsia="zh-CN"/>
              </w:rPr>
              <w:t>，或至少2mm厚高密度聚乙烯膜等人工防渗材料</w:t>
            </w:r>
            <w:r>
              <w:rPr>
                <w:rFonts w:hint="eastAsia" w:cs="Times New Roman"/>
                <w:color w:val="auto"/>
                <w:sz w:val="22"/>
                <w:szCs w:val="22"/>
                <w:lang w:val="en-US" w:eastAsia="zh-CN"/>
              </w:rPr>
              <w:t>（</w:t>
            </w:r>
            <w:r>
              <w:rPr>
                <w:rFonts w:hint="default" w:cs="Times New Roman"/>
                <w:color w:val="auto"/>
                <w:sz w:val="22"/>
                <w:szCs w:val="22"/>
                <w:lang w:val="en-US" w:eastAsia="zh-CN"/>
              </w:rPr>
              <w:t>渗透系数不大于10</w:t>
            </w:r>
            <w:r>
              <w:rPr>
                <w:rFonts w:hint="default" w:cs="Times New Roman"/>
                <w:color w:val="auto"/>
                <w:sz w:val="22"/>
                <w:szCs w:val="22"/>
                <w:vertAlign w:val="superscript"/>
                <w:lang w:val="en-US" w:eastAsia="zh-CN"/>
              </w:rPr>
              <w:t>-10</w:t>
            </w:r>
            <w:r>
              <w:rPr>
                <w:rFonts w:hint="default" w:cs="Times New Roman"/>
                <w:color w:val="auto"/>
                <w:sz w:val="22"/>
                <w:szCs w:val="22"/>
                <w:lang w:val="en-US" w:eastAsia="zh-CN"/>
              </w:rPr>
              <w:t>cm/s</w:t>
            </w:r>
            <w:r>
              <w:rPr>
                <w:rFonts w:hint="eastAsia" w:cs="Times New Roman"/>
                <w:color w:val="auto"/>
                <w:sz w:val="22"/>
                <w:szCs w:val="22"/>
                <w:lang w:val="en-US" w:eastAsia="zh-CN"/>
              </w:rPr>
              <w:t>）</w:t>
            </w:r>
            <w:r>
              <w:rPr>
                <w:rFonts w:hint="default" w:cs="Times New Roman"/>
                <w:color w:val="auto"/>
                <w:sz w:val="22"/>
                <w:szCs w:val="22"/>
                <w:lang w:val="en-US" w:eastAsia="zh-CN"/>
              </w:rPr>
              <w:t>，或其他防渗性能等效的材料。</w:t>
            </w:r>
          </w:p>
          <w:p w14:paraId="05EEFB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color w:val="auto"/>
                <w:sz w:val="22"/>
                <w:szCs w:val="22"/>
                <w:lang w:val="en-US" w:eastAsia="zh-CN"/>
              </w:rPr>
            </w:pPr>
            <w:r>
              <w:rPr>
                <w:rFonts w:hint="default" w:cs="Times New Roman"/>
                <w:color w:val="auto"/>
                <w:sz w:val="22"/>
                <w:szCs w:val="22"/>
                <w:lang w:val="en-US" w:eastAsia="zh-CN"/>
              </w:rPr>
              <w:t>一般防渗区：</w:t>
            </w:r>
            <w:r>
              <w:rPr>
                <w:rFonts w:hint="eastAsia" w:cs="Times New Roman"/>
                <w:color w:val="auto"/>
                <w:sz w:val="22"/>
                <w:szCs w:val="22"/>
                <w:lang w:val="en-US" w:eastAsia="zh-CN"/>
              </w:rPr>
              <w:t>生产线设置区域</w:t>
            </w:r>
            <w:r>
              <w:rPr>
                <w:rFonts w:hint="default" w:cs="Times New Roman"/>
                <w:color w:val="auto"/>
                <w:sz w:val="22"/>
                <w:szCs w:val="22"/>
                <w:lang w:val="en-US" w:eastAsia="zh-CN"/>
              </w:rPr>
              <w:t>、一般固废暂存</w:t>
            </w:r>
            <w:r>
              <w:rPr>
                <w:rFonts w:hint="eastAsia" w:cs="Times New Roman"/>
                <w:color w:val="auto"/>
                <w:sz w:val="22"/>
                <w:szCs w:val="22"/>
                <w:lang w:val="en-US" w:eastAsia="zh-CN"/>
              </w:rPr>
              <w:t>区、办公区、原辅材料区、成品区</w:t>
            </w:r>
            <w:r>
              <w:rPr>
                <w:rFonts w:hint="default" w:cs="Times New Roman"/>
                <w:color w:val="auto"/>
                <w:sz w:val="22"/>
                <w:szCs w:val="22"/>
                <w:lang w:val="en-US" w:eastAsia="zh-CN"/>
              </w:rPr>
              <w:t>。防渗技术要求：等效黏土防渗层Mb≥1.5m，K≤1×10</w:t>
            </w:r>
            <w:r>
              <w:rPr>
                <w:rFonts w:hint="default" w:cs="Times New Roman"/>
                <w:color w:val="auto"/>
                <w:sz w:val="22"/>
                <w:szCs w:val="22"/>
                <w:vertAlign w:val="superscript"/>
                <w:lang w:val="en-US" w:eastAsia="zh-CN"/>
              </w:rPr>
              <w:t>-7</w:t>
            </w:r>
            <w:r>
              <w:rPr>
                <w:rFonts w:hint="default" w:cs="Times New Roman"/>
                <w:color w:val="auto"/>
                <w:sz w:val="22"/>
                <w:szCs w:val="22"/>
                <w:lang w:val="en-US" w:eastAsia="zh-CN"/>
              </w:rPr>
              <w:t>cm/s。</w:t>
            </w:r>
          </w:p>
        </w:tc>
      </w:tr>
      <w:tr w14:paraId="2F37D5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9" w:type="dxa"/>
            <w:noWrap w:val="0"/>
            <w:vAlign w:val="center"/>
          </w:tcPr>
          <w:p w14:paraId="5760D8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8"/>
                <w:sz w:val="22"/>
                <w:szCs w:val="22"/>
                <w:lang w:eastAsia="zh-CN"/>
              </w:rPr>
            </w:pPr>
            <w:r>
              <w:rPr>
                <w:rFonts w:hint="default" w:ascii="Times New Roman" w:hAnsi="Times New Roman" w:eastAsia="宋体" w:cs="Times New Roman"/>
                <w:color w:val="auto"/>
                <w:spacing w:val="-8"/>
                <w:sz w:val="22"/>
                <w:szCs w:val="22"/>
                <w:lang w:eastAsia="zh-CN"/>
              </w:rPr>
              <w:t>生态保护措施</w:t>
            </w:r>
          </w:p>
        </w:tc>
        <w:tc>
          <w:tcPr>
            <w:tcW w:w="7511" w:type="dxa"/>
            <w:gridSpan w:val="4"/>
            <w:noWrap w:val="0"/>
            <w:vAlign w:val="center"/>
          </w:tcPr>
          <w:p w14:paraId="49703D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r>
      <w:tr w14:paraId="5CCEC7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9" w:type="dxa"/>
            <w:noWrap w:val="0"/>
            <w:vAlign w:val="center"/>
          </w:tcPr>
          <w:p w14:paraId="1C169A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val="0"/>
                <w:color w:val="auto"/>
                <w:kern w:val="2"/>
                <w:sz w:val="22"/>
                <w:szCs w:val="22"/>
                <w:lang w:val="en-US" w:eastAsia="zh-CN" w:bidi="ar-SA"/>
              </w:rPr>
            </w:pPr>
            <w:r>
              <w:rPr>
                <w:rFonts w:hint="default" w:ascii="Times New Roman" w:hAnsi="Times New Roman" w:eastAsia="宋体" w:cs="Times New Roman"/>
                <w:bCs w:val="0"/>
                <w:color w:val="auto"/>
                <w:kern w:val="2"/>
                <w:sz w:val="22"/>
                <w:szCs w:val="22"/>
                <w:lang w:val="en-US" w:eastAsia="zh-CN" w:bidi="ar-SA"/>
              </w:rPr>
              <w:t>环境风险</w:t>
            </w:r>
          </w:p>
          <w:p w14:paraId="091A19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val="0"/>
                <w:color w:val="auto"/>
                <w:kern w:val="2"/>
                <w:sz w:val="22"/>
                <w:szCs w:val="22"/>
                <w:lang w:val="en-US" w:eastAsia="zh-CN" w:bidi="ar-SA"/>
              </w:rPr>
            </w:pPr>
            <w:r>
              <w:rPr>
                <w:rFonts w:hint="default" w:ascii="Times New Roman" w:hAnsi="Times New Roman" w:eastAsia="宋体" w:cs="Times New Roman"/>
                <w:bCs w:val="0"/>
                <w:color w:val="auto"/>
                <w:kern w:val="2"/>
                <w:sz w:val="22"/>
                <w:szCs w:val="22"/>
                <w:lang w:val="en-US" w:eastAsia="zh-CN" w:bidi="ar-SA"/>
              </w:rPr>
              <w:t>防范措施</w:t>
            </w:r>
          </w:p>
        </w:tc>
        <w:tc>
          <w:tcPr>
            <w:tcW w:w="7511" w:type="dxa"/>
            <w:gridSpan w:val="4"/>
            <w:noWrap w:val="0"/>
            <w:vAlign w:val="center"/>
          </w:tcPr>
          <w:p w14:paraId="136CFF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Cs w:val="0"/>
                <w:color w:val="auto"/>
                <w:kern w:val="2"/>
                <w:sz w:val="22"/>
                <w:szCs w:val="22"/>
                <w:lang w:val="en-US" w:eastAsia="zh-CN" w:bidi="ar-SA"/>
              </w:rPr>
            </w:pPr>
            <w:r>
              <w:rPr>
                <w:rFonts w:hint="default" w:ascii="Times New Roman" w:hAnsi="Times New Roman" w:eastAsia="宋体" w:cs="Times New Roman"/>
                <w:bCs w:val="0"/>
                <w:color w:val="auto"/>
                <w:kern w:val="2"/>
                <w:sz w:val="22"/>
                <w:szCs w:val="22"/>
                <w:lang w:val="en-US" w:eastAsia="zh-CN" w:bidi="ar-SA"/>
              </w:rPr>
              <w:t>严禁烟火，规范张贴各类标识标牌；设置应急照明、灯光疏散指示标志、消防器材、个人防护用具和急救药箱；加强房间通风换气；车间地坪硬化；危废贮存点存放桶装物料放置于托盘内，托盘容积满足其存放单桶液体物料的最大存放量，托盘材质需与物料相容；建立健全各项规章制度、操作规程，建立并记录各类台账</w:t>
            </w:r>
            <w:r>
              <w:rPr>
                <w:rFonts w:hint="eastAsia" w:cs="Times New Roman"/>
                <w:bCs w:val="0"/>
                <w:color w:val="auto"/>
                <w:kern w:val="2"/>
                <w:sz w:val="22"/>
                <w:szCs w:val="22"/>
                <w:lang w:val="en-US" w:eastAsia="zh-CN" w:bidi="ar-SA"/>
              </w:rPr>
              <w:t>。</w:t>
            </w:r>
          </w:p>
        </w:tc>
      </w:tr>
      <w:tr w14:paraId="439E36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9" w:type="dxa"/>
            <w:noWrap w:val="0"/>
            <w:vAlign w:val="center"/>
          </w:tcPr>
          <w:p w14:paraId="3D181F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8"/>
                <w:sz w:val="22"/>
                <w:szCs w:val="22"/>
              </w:rPr>
            </w:pPr>
            <w:r>
              <w:rPr>
                <w:rFonts w:hint="default" w:ascii="Times New Roman" w:hAnsi="Times New Roman" w:eastAsia="宋体" w:cs="Times New Roman"/>
                <w:color w:val="auto"/>
                <w:spacing w:val="-8"/>
                <w:sz w:val="22"/>
                <w:szCs w:val="22"/>
              </w:rPr>
              <w:t>其他环境</w:t>
            </w:r>
          </w:p>
          <w:p w14:paraId="4DFCCB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8"/>
                <w:sz w:val="22"/>
                <w:szCs w:val="22"/>
              </w:rPr>
            </w:pPr>
            <w:r>
              <w:rPr>
                <w:rFonts w:hint="default" w:ascii="Times New Roman" w:hAnsi="Times New Roman" w:eastAsia="宋体" w:cs="Times New Roman"/>
                <w:color w:val="auto"/>
                <w:spacing w:val="-8"/>
                <w:sz w:val="22"/>
                <w:szCs w:val="22"/>
              </w:rPr>
              <w:t>管理要求</w:t>
            </w:r>
          </w:p>
        </w:tc>
        <w:tc>
          <w:tcPr>
            <w:tcW w:w="7511" w:type="dxa"/>
            <w:gridSpan w:val="4"/>
            <w:noWrap w:val="0"/>
            <w:vAlign w:val="center"/>
          </w:tcPr>
          <w:p w14:paraId="731F37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Cs w:val="0"/>
                <w:color w:val="auto"/>
                <w:kern w:val="2"/>
                <w:sz w:val="22"/>
                <w:szCs w:val="22"/>
                <w:lang w:val="en-US" w:eastAsia="zh-CN" w:bidi="ar-SA"/>
              </w:rPr>
            </w:pPr>
            <w:r>
              <w:rPr>
                <w:rFonts w:hint="default" w:ascii="Times New Roman" w:hAnsi="Times New Roman" w:eastAsia="宋体" w:cs="Times New Roman"/>
                <w:bCs w:val="0"/>
                <w:color w:val="auto"/>
                <w:kern w:val="2"/>
                <w:sz w:val="22"/>
                <w:szCs w:val="22"/>
                <w:lang w:val="en-US" w:eastAsia="zh-CN" w:bidi="ar-SA"/>
              </w:rPr>
              <w:t>按环保部门有关规定办理相关环保手续，环保设施符合环保“三同时”规定，运行正常，建立环境管理机构与制度。</w:t>
            </w:r>
          </w:p>
        </w:tc>
      </w:tr>
    </w:tbl>
    <w:p w14:paraId="7BB8253F">
      <w:pPr>
        <w:pStyle w:val="2"/>
        <w:bidi w:val="0"/>
        <w:rPr>
          <w:rFonts w:hint="default" w:ascii="Times New Roman" w:hAnsi="Times New Roman"/>
          <w:color w:val="auto"/>
        </w:rPr>
      </w:pPr>
      <w:r>
        <w:rPr>
          <w:rFonts w:hint="default" w:ascii="Times New Roman" w:hAnsi="Times New Roman" w:eastAsia="宋体" w:cs="Times New Roman"/>
          <w:snapToGrid w:val="0"/>
          <w:color w:val="auto"/>
        </w:rPr>
        <w:br w:type="page"/>
      </w:r>
      <w:r>
        <w:rPr>
          <w:rFonts w:hint="eastAsia" w:ascii="宋体" w:hAnsi="宋体" w:eastAsia="宋体" w:cs="宋体"/>
          <w:b/>
          <w:bCs/>
          <w:color w:val="auto"/>
          <w:sz w:val="32"/>
          <w:szCs w:val="32"/>
        </w:rPr>
        <w:t>六、结论</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1401E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7AA499DC">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ascii="Times New Roman" w:hAnsi="Times New Roman"/>
                <w:bCs/>
                <w:color w:val="auto"/>
                <w:sz w:val="26"/>
                <w:szCs w:val="26"/>
              </w:rPr>
            </w:pPr>
            <w:r>
              <w:rPr>
                <w:rFonts w:hint="eastAsia" w:ascii="Times New Roman" w:hAnsi="Times New Roman"/>
                <w:bCs/>
                <w:color w:val="auto"/>
                <w:sz w:val="26"/>
                <w:szCs w:val="26"/>
              </w:rPr>
              <w:t>重庆维纳轻科技发展有限公司年产5000吨车用隔热保温材料生产线项目</w:t>
            </w:r>
            <w:r>
              <w:rPr>
                <w:rFonts w:ascii="Times New Roman" w:hAnsi="Times New Roman"/>
                <w:bCs/>
                <w:color w:val="auto"/>
                <w:sz w:val="26"/>
                <w:szCs w:val="26"/>
              </w:rPr>
              <w:t>的建设符合国家和地方产业政策、行业准入条件、环保政策等要求。项目所在区域环境现状质量较好，不会制约项目的建设和运营。环境风险可防可控，项目对生产过程中产生的各类污染物采取有效的治理措施后，污染物可达标排放，对环境的影响较小，在可接受范围内。</w:t>
            </w:r>
          </w:p>
          <w:p w14:paraId="6E5DFCEE">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ascii="Times New Roman" w:hAnsi="Times New Roman" w:eastAsia="宋体" w:cs="Times New Roman"/>
                <w:color w:val="auto"/>
                <w:sz w:val="24"/>
              </w:rPr>
            </w:pPr>
            <w:r>
              <w:rPr>
                <w:rFonts w:ascii="Times New Roman" w:hAnsi="Times New Roman"/>
                <w:bCs/>
                <w:color w:val="auto"/>
                <w:sz w:val="26"/>
                <w:szCs w:val="26"/>
              </w:rPr>
              <w:t>在切实落实本评价所提出的污染防治措施的前提下，从环境角度分析，</w:t>
            </w:r>
            <w:r>
              <w:rPr>
                <w:rFonts w:hint="eastAsia" w:ascii="Times New Roman" w:hAnsi="Times New Roman"/>
                <w:bCs/>
                <w:color w:val="auto"/>
                <w:sz w:val="26"/>
                <w:szCs w:val="26"/>
              </w:rPr>
              <w:t>本</w:t>
            </w:r>
            <w:r>
              <w:rPr>
                <w:rFonts w:ascii="Times New Roman" w:hAnsi="Times New Roman"/>
                <w:bCs/>
                <w:color w:val="auto"/>
                <w:sz w:val="26"/>
                <w:szCs w:val="26"/>
              </w:rPr>
              <w:t>项目的建设是可行的。</w:t>
            </w:r>
          </w:p>
        </w:tc>
      </w:tr>
    </w:tbl>
    <w:p w14:paraId="0AE39E7B">
      <w:pPr>
        <w:rPr>
          <w:rFonts w:hint="default" w:ascii="Times New Roman" w:hAnsi="Times New Roman" w:eastAsia="宋体" w:cs="Times New Roman"/>
          <w:color w:val="auto"/>
        </w:rPr>
        <w:sectPr>
          <w:pgSz w:w="11906" w:h="16838"/>
          <w:pgMar w:top="1440" w:right="1803" w:bottom="1440" w:left="1803" w:header="851"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p>
    <w:p w14:paraId="4690EEC2">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hint="default" w:ascii="Times New Roman" w:hAnsi="Times New Roman" w:eastAsia="宋体" w:cs="Times New Roman"/>
          <w:b/>
          <w:bCs/>
          <w:snapToGrid w:val="0"/>
          <w:color w:val="auto"/>
          <w:sz w:val="32"/>
          <w:szCs w:val="32"/>
        </w:rPr>
      </w:pPr>
      <w:r>
        <w:rPr>
          <w:rFonts w:hint="default" w:ascii="Times New Roman" w:hAnsi="Times New Roman" w:eastAsia="宋体" w:cs="Times New Roman"/>
          <w:b/>
          <w:bCs/>
          <w:snapToGrid w:val="0"/>
          <w:color w:val="auto"/>
          <w:sz w:val="32"/>
          <w:szCs w:val="32"/>
        </w:rPr>
        <w:t>附表</w:t>
      </w:r>
    </w:p>
    <w:p w14:paraId="2E4B9B3B">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sz w:val="38"/>
          <w:szCs w:val="38"/>
        </w:rPr>
      </w:pPr>
      <w:r>
        <w:rPr>
          <w:rFonts w:hint="default" w:ascii="Times New Roman" w:hAnsi="Times New Roman" w:eastAsia="宋体" w:cs="Times New Roman"/>
          <w:snapToGrid w:val="0"/>
          <w:color w:val="auto"/>
          <w:sz w:val="38"/>
          <w:szCs w:val="38"/>
        </w:rPr>
        <w:t>建设项目污染物排放量汇总表</w:t>
      </w:r>
    </w:p>
    <w:tbl>
      <w:tblPr>
        <w:tblStyle w:val="17"/>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530"/>
        <w:gridCol w:w="1588"/>
        <w:gridCol w:w="1276"/>
        <w:gridCol w:w="1701"/>
        <w:gridCol w:w="1559"/>
        <w:gridCol w:w="1761"/>
        <w:gridCol w:w="1825"/>
        <w:gridCol w:w="960"/>
      </w:tblGrid>
      <w:tr w14:paraId="158C9A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88" w:type="dxa"/>
            <w:tcBorders>
              <w:tl2br w:val="single" w:color="auto" w:sz="4" w:space="0"/>
            </w:tcBorders>
            <w:noWrap w:val="0"/>
            <w:tcMar>
              <w:left w:w="28" w:type="dxa"/>
              <w:right w:w="28" w:type="dxa"/>
            </w:tcMar>
            <w:vAlign w:val="center"/>
          </w:tcPr>
          <w:p w14:paraId="00F1D6E6">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right"/>
              <w:textAlignment w:val="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项目</w:t>
            </w:r>
          </w:p>
          <w:p w14:paraId="0E4AA7A1">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分类</w:t>
            </w:r>
          </w:p>
        </w:tc>
        <w:tc>
          <w:tcPr>
            <w:tcW w:w="1530" w:type="dxa"/>
            <w:noWrap w:val="0"/>
            <w:tcMar>
              <w:left w:w="28" w:type="dxa"/>
              <w:right w:w="28" w:type="dxa"/>
            </w:tcMar>
            <w:vAlign w:val="center"/>
          </w:tcPr>
          <w:p w14:paraId="3CAA8D48">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污染物名称</w:t>
            </w:r>
          </w:p>
        </w:tc>
        <w:tc>
          <w:tcPr>
            <w:tcW w:w="1588" w:type="dxa"/>
            <w:noWrap w:val="0"/>
            <w:tcMar>
              <w:left w:w="28" w:type="dxa"/>
              <w:right w:w="28" w:type="dxa"/>
            </w:tcMar>
            <w:vAlign w:val="center"/>
          </w:tcPr>
          <w:p w14:paraId="0DA7AAB7">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现有工程</w:t>
            </w:r>
          </w:p>
          <w:p w14:paraId="6C5A8217">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排放量（固体废物产生量）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1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①</w:t>
            </w:r>
            <w:r>
              <w:rPr>
                <w:rFonts w:hint="default" w:ascii="Times New Roman" w:hAnsi="Times New Roman" w:eastAsia="宋体" w:cs="Times New Roman"/>
                <w:snapToGrid w:val="0"/>
                <w:color w:val="auto"/>
                <w:spacing w:val="-6"/>
                <w:kern w:val="21"/>
                <w:sz w:val="21"/>
                <w:szCs w:val="21"/>
              </w:rPr>
              <w:fldChar w:fldCharType="end"/>
            </w:r>
          </w:p>
        </w:tc>
        <w:tc>
          <w:tcPr>
            <w:tcW w:w="1276" w:type="dxa"/>
            <w:noWrap w:val="0"/>
            <w:tcMar>
              <w:left w:w="28" w:type="dxa"/>
              <w:right w:w="28" w:type="dxa"/>
            </w:tcMar>
            <w:vAlign w:val="center"/>
          </w:tcPr>
          <w:p w14:paraId="05BC68DA">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现有工程</w:t>
            </w:r>
          </w:p>
          <w:p w14:paraId="271908B1">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许可排放量</w:t>
            </w:r>
          </w:p>
          <w:p w14:paraId="1BD518D3">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2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snapToGrid w:val="0"/>
                <w:color w:val="auto"/>
                <w:spacing w:val="-6"/>
                <w:kern w:val="21"/>
                <w:sz w:val="21"/>
                <w:szCs w:val="21"/>
              </w:rPr>
              <w:t>②</w:t>
            </w:r>
            <w:r>
              <w:rPr>
                <w:rFonts w:hint="default" w:ascii="Times New Roman" w:hAnsi="Times New Roman" w:eastAsia="宋体" w:cs="Times New Roman"/>
                <w:snapToGrid w:val="0"/>
                <w:color w:val="auto"/>
                <w:spacing w:val="-6"/>
                <w:kern w:val="21"/>
                <w:sz w:val="21"/>
                <w:szCs w:val="21"/>
              </w:rPr>
              <w:fldChar w:fldCharType="end"/>
            </w:r>
          </w:p>
        </w:tc>
        <w:tc>
          <w:tcPr>
            <w:tcW w:w="1701" w:type="dxa"/>
            <w:noWrap w:val="0"/>
            <w:tcMar>
              <w:left w:w="28" w:type="dxa"/>
              <w:right w:w="28" w:type="dxa"/>
            </w:tcMar>
            <w:vAlign w:val="center"/>
          </w:tcPr>
          <w:p w14:paraId="25A606B3">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在建工程</w:t>
            </w:r>
          </w:p>
          <w:p w14:paraId="7067865C">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排放量（固体废物产生量）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3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③</w:t>
            </w:r>
            <w:r>
              <w:rPr>
                <w:rFonts w:hint="default" w:ascii="Times New Roman" w:hAnsi="Times New Roman" w:eastAsia="宋体" w:cs="Times New Roman"/>
                <w:snapToGrid w:val="0"/>
                <w:color w:val="auto"/>
                <w:spacing w:val="-6"/>
                <w:kern w:val="21"/>
                <w:sz w:val="21"/>
                <w:szCs w:val="21"/>
              </w:rPr>
              <w:fldChar w:fldCharType="end"/>
            </w:r>
          </w:p>
        </w:tc>
        <w:tc>
          <w:tcPr>
            <w:tcW w:w="1559" w:type="dxa"/>
            <w:noWrap w:val="0"/>
            <w:tcMar>
              <w:left w:w="28" w:type="dxa"/>
              <w:right w:w="28" w:type="dxa"/>
            </w:tcMar>
            <w:vAlign w:val="center"/>
          </w:tcPr>
          <w:p w14:paraId="0B7AF6BD">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本项目</w:t>
            </w:r>
          </w:p>
          <w:p w14:paraId="43113067">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排放量（固体废物产生量）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4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④</w:t>
            </w:r>
            <w:r>
              <w:rPr>
                <w:rFonts w:hint="default" w:ascii="Times New Roman" w:hAnsi="Times New Roman" w:eastAsia="宋体" w:cs="Times New Roman"/>
                <w:snapToGrid w:val="0"/>
                <w:color w:val="auto"/>
                <w:spacing w:val="-6"/>
                <w:kern w:val="21"/>
                <w:sz w:val="21"/>
                <w:szCs w:val="21"/>
              </w:rPr>
              <w:fldChar w:fldCharType="end"/>
            </w:r>
          </w:p>
        </w:tc>
        <w:tc>
          <w:tcPr>
            <w:tcW w:w="1761" w:type="dxa"/>
            <w:noWrap w:val="0"/>
            <w:tcMar>
              <w:left w:w="28" w:type="dxa"/>
              <w:right w:w="28" w:type="dxa"/>
            </w:tcMar>
            <w:vAlign w:val="center"/>
          </w:tcPr>
          <w:p w14:paraId="238ADE60">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以新带老削减量</w:t>
            </w:r>
          </w:p>
          <w:p w14:paraId="07E6892F">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（新建项目不填）</w:t>
            </w:r>
            <w:r>
              <w:rPr>
                <w:rFonts w:hint="default" w:ascii="Times New Roman" w:hAnsi="Times New Roman" w:eastAsia="宋体" w:cs="Times New Roman"/>
                <w:snapToGrid w:val="0"/>
                <w:color w:val="auto"/>
                <w:spacing w:val="-16"/>
                <w:kern w:val="21"/>
                <w:sz w:val="21"/>
                <w:szCs w:val="21"/>
              </w:rPr>
              <w:fldChar w:fldCharType="begin"/>
            </w:r>
            <w:r>
              <w:rPr>
                <w:rFonts w:hint="default" w:ascii="Times New Roman" w:hAnsi="Times New Roman" w:eastAsia="宋体" w:cs="Times New Roman"/>
                <w:snapToGrid w:val="0"/>
                <w:color w:val="auto"/>
                <w:spacing w:val="-16"/>
                <w:kern w:val="21"/>
                <w:sz w:val="21"/>
                <w:szCs w:val="21"/>
              </w:rPr>
              <w:instrText xml:space="preserve"> = 5 \* GB3 \* MERGEFORMAT </w:instrText>
            </w:r>
            <w:r>
              <w:rPr>
                <w:rFonts w:hint="default" w:ascii="Times New Roman" w:hAnsi="Times New Roman" w:eastAsia="宋体" w:cs="Times New Roman"/>
                <w:snapToGrid w:val="0"/>
                <w:color w:val="auto"/>
                <w:spacing w:val="-16"/>
                <w:kern w:val="21"/>
                <w:sz w:val="21"/>
                <w:szCs w:val="21"/>
              </w:rPr>
              <w:fldChar w:fldCharType="separate"/>
            </w:r>
            <w:r>
              <w:rPr>
                <w:rFonts w:hint="default" w:ascii="Times New Roman" w:hAnsi="Times New Roman" w:eastAsia="宋体" w:cs="Times New Roman"/>
                <w:color w:val="auto"/>
                <w:kern w:val="2"/>
                <w:sz w:val="21"/>
                <w:szCs w:val="21"/>
              </w:rPr>
              <w:t>⑤</w:t>
            </w:r>
            <w:r>
              <w:rPr>
                <w:rFonts w:hint="default" w:ascii="Times New Roman" w:hAnsi="Times New Roman" w:eastAsia="宋体" w:cs="Times New Roman"/>
                <w:snapToGrid w:val="0"/>
                <w:color w:val="auto"/>
                <w:spacing w:val="-16"/>
                <w:kern w:val="21"/>
                <w:sz w:val="21"/>
                <w:szCs w:val="21"/>
              </w:rPr>
              <w:fldChar w:fldCharType="end"/>
            </w:r>
          </w:p>
        </w:tc>
        <w:tc>
          <w:tcPr>
            <w:tcW w:w="1825" w:type="dxa"/>
            <w:noWrap w:val="0"/>
            <w:tcMar>
              <w:left w:w="28" w:type="dxa"/>
              <w:right w:w="28" w:type="dxa"/>
            </w:tcMar>
            <w:vAlign w:val="center"/>
          </w:tcPr>
          <w:p w14:paraId="2D270180">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本项目建成后</w:t>
            </w:r>
          </w:p>
          <w:p w14:paraId="56AF154C">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全厂排放量（固体废物产生量）</w:t>
            </w:r>
            <w:r>
              <w:rPr>
                <w:rFonts w:hint="default" w:ascii="Times New Roman" w:hAnsi="Times New Roman" w:eastAsia="宋体" w:cs="Times New Roman"/>
                <w:snapToGrid w:val="0"/>
                <w:color w:val="auto"/>
                <w:spacing w:val="-16"/>
                <w:kern w:val="21"/>
                <w:sz w:val="21"/>
                <w:szCs w:val="21"/>
              </w:rPr>
              <w:fldChar w:fldCharType="begin"/>
            </w:r>
            <w:r>
              <w:rPr>
                <w:rFonts w:hint="default" w:ascii="Times New Roman" w:hAnsi="Times New Roman" w:eastAsia="宋体" w:cs="Times New Roman"/>
                <w:snapToGrid w:val="0"/>
                <w:color w:val="auto"/>
                <w:spacing w:val="-16"/>
                <w:kern w:val="21"/>
                <w:sz w:val="21"/>
                <w:szCs w:val="21"/>
              </w:rPr>
              <w:instrText xml:space="preserve"> = 6 \* GB3 \* MERGEFORMAT </w:instrText>
            </w:r>
            <w:r>
              <w:rPr>
                <w:rFonts w:hint="default" w:ascii="Times New Roman" w:hAnsi="Times New Roman" w:eastAsia="宋体" w:cs="Times New Roman"/>
                <w:snapToGrid w:val="0"/>
                <w:color w:val="auto"/>
                <w:spacing w:val="-16"/>
                <w:kern w:val="21"/>
                <w:sz w:val="21"/>
                <w:szCs w:val="21"/>
              </w:rPr>
              <w:fldChar w:fldCharType="separate"/>
            </w:r>
            <w:r>
              <w:rPr>
                <w:rFonts w:hint="default" w:ascii="Times New Roman" w:hAnsi="Times New Roman" w:eastAsia="宋体" w:cs="Times New Roman"/>
                <w:color w:val="auto"/>
                <w:kern w:val="2"/>
                <w:sz w:val="21"/>
                <w:szCs w:val="21"/>
              </w:rPr>
              <w:t>⑥</w:t>
            </w:r>
            <w:r>
              <w:rPr>
                <w:rFonts w:hint="default" w:ascii="Times New Roman" w:hAnsi="Times New Roman" w:eastAsia="宋体" w:cs="Times New Roman"/>
                <w:snapToGrid w:val="0"/>
                <w:color w:val="auto"/>
                <w:spacing w:val="-16"/>
                <w:kern w:val="21"/>
                <w:sz w:val="21"/>
                <w:szCs w:val="21"/>
              </w:rPr>
              <w:fldChar w:fldCharType="end"/>
            </w:r>
          </w:p>
        </w:tc>
        <w:tc>
          <w:tcPr>
            <w:tcW w:w="960" w:type="dxa"/>
            <w:noWrap w:val="0"/>
            <w:tcMar>
              <w:left w:w="28" w:type="dxa"/>
              <w:right w:w="28" w:type="dxa"/>
            </w:tcMar>
            <w:vAlign w:val="center"/>
          </w:tcPr>
          <w:p w14:paraId="0D17FF98">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变化量</w:t>
            </w:r>
          </w:p>
          <w:p w14:paraId="357CDBEA">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7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⑦</w:t>
            </w:r>
            <w:r>
              <w:rPr>
                <w:rFonts w:hint="default" w:ascii="Times New Roman" w:hAnsi="Times New Roman" w:eastAsia="宋体" w:cs="Times New Roman"/>
                <w:snapToGrid w:val="0"/>
                <w:color w:val="auto"/>
                <w:spacing w:val="-6"/>
                <w:kern w:val="21"/>
                <w:sz w:val="21"/>
                <w:szCs w:val="21"/>
              </w:rPr>
              <w:fldChar w:fldCharType="end"/>
            </w:r>
          </w:p>
        </w:tc>
      </w:tr>
      <w:tr w14:paraId="0D81D3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88" w:type="dxa"/>
            <w:noWrap w:val="0"/>
            <w:vAlign w:val="center"/>
          </w:tcPr>
          <w:p w14:paraId="05AB722C">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废气</w:t>
            </w:r>
          </w:p>
        </w:tc>
        <w:tc>
          <w:tcPr>
            <w:tcW w:w="1530" w:type="dxa"/>
            <w:noWrap w:val="0"/>
            <w:vAlign w:val="center"/>
          </w:tcPr>
          <w:p w14:paraId="45D50E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Cs/>
                <w:color w:val="auto"/>
                <w:spacing w:val="-6"/>
                <w:sz w:val="21"/>
                <w:szCs w:val="21"/>
                <w:lang w:val="en-US" w:eastAsia="zh-CN" w:bidi="ar-SA"/>
              </w:rPr>
            </w:pPr>
            <w:r>
              <w:rPr>
                <w:rFonts w:hint="eastAsia" w:ascii="宋体" w:hAnsi="宋体" w:cs="宋体"/>
                <w:bCs/>
                <w:color w:val="auto"/>
                <w:spacing w:val="-6"/>
                <w:sz w:val="21"/>
                <w:szCs w:val="21"/>
                <w:lang w:val="en-US" w:eastAsia="zh-CN" w:bidi="ar-SA"/>
              </w:rPr>
              <w:t>颗粒物</w:t>
            </w:r>
          </w:p>
        </w:tc>
        <w:tc>
          <w:tcPr>
            <w:tcW w:w="1588" w:type="dxa"/>
            <w:noWrap w:val="0"/>
            <w:vAlign w:val="center"/>
          </w:tcPr>
          <w:p w14:paraId="755B0132">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Times New Roman" w:hAnsi="Times New Roman" w:eastAsia="宋体"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276" w:type="dxa"/>
            <w:shd w:val="clear" w:color="auto" w:fill="auto"/>
            <w:noWrap w:val="0"/>
            <w:vAlign w:val="center"/>
          </w:tcPr>
          <w:p w14:paraId="2F33DFCE">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c>
          <w:tcPr>
            <w:tcW w:w="1701" w:type="dxa"/>
            <w:shd w:val="clear" w:color="auto" w:fill="auto"/>
            <w:noWrap w:val="0"/>
            <w:vAlign w:val="center"/>
          </w:tcPr>
          <w:p w14:paraId="4A205788">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c>
          <w:tcPr>
            <w:tcW w:w="1559" w:type="dxa"/>
            <w:noWrap w:val="0"/>
            <w:vAlign w:val="center"/>
          </w:tcPr>
          <w:p w14:paraId="1F6BC4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0.17</w:t>
            </w:r>
          </w:p>
        </w:tc>
        <w:tc>
          <w:tcPr>
            <w:tcW w:w="1761" w:type="dxa"/>
            <w:shd w:val="clear" w:color="auto" w:fill="auto"/>
            <w:noWrap w:val="0"/>
            <w:vAlign w:val="center"/>
          </w:tcPr>
          <w:p w14:paraId="2EB3A709">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c>
          <w:tcPr>
            <w:tcW w:w="1825" w:type="dxa"/>
            <w:shd w:val="clear" w:color="auto" w:fill="auto"/>
            <w:noWrap w:val="0"/>
            <w:vAlign w:val="center"/>
          </w:tcPr>
          <w:p w14:paraId="47D87C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0.17</w:t>
            </w:r>
          </w:p>
        </w:tc>
        <w:tc>
          <w:tcPr>
            <w:tcW w:w="960" w:type="dxa"/>
            <w:shd w:val="clear" w:color="auto" w:fill="auto"/>
            <w:noWrap w:val="0"/>
            <w:vAlign w:val="center"/>
          </w:tcPr>
          <w:p w14:paraId="0ED3F96B">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r>
      <w:tr w14:paraId="6DB706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88" w:type="dxa"/>
            <w:vMerge w:val="restart"/>
            <w:noWrap w:val="0"/>
            <w:vAlign w:val="center"/>
          </w:tcPr>
          <w:p w14:paraId="6F83C272">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废水</w:t>
            </w:r>
          </w:p>
        </w:tc>
        <w:tc>
          <w:tcPr>
            <w:tcW w:w="1530" w:type="dxa"/>
            <w:noWrap w:val="0"/>
            <w:vAlign w:val="center"/>
          </w:tcPr>
          <w:p w14:paraId="3B5A92A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COD</w:t>
            </w:r>
          </w:p>
        </w:tc>
        <w:tc>
          <w:tcPr>
            <w:tcW w:w="1588" w:type="dxa"/>
            <w:noWrap w:val="0"/>
            <w:vAlign w:val="center"/>
          </w:tcPr>
          <w:p w14:paraId="4E83E86E">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Times New Roman" w:hAnsi="Times New Roman" w:eastAsia="宋体"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276" w:type="dxa"/>
            <w:shd w:val="clear" w:color="auto" w:fill="auto"/>
            <w:noWrap w:val="0"/>
            <w:vAlign w:val="center"/>
          </w:tcPr>
          <w:p w14:paraId="4717E4A7">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c>
          <w:tcPr>
            <w:tcW w:w="1701" w:type="dxa"/>
            <w:shd w:val="clear" w:color="auto" w:fill="auto"/>
            <w:noWrap w:val="0"/>
            <w:vAlign w:val="center"/>
          </w:tcPr>
          <w:p w14:paraId="0D163D2F">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c>
          <w:tcPr>
            <w:tcW w:w="1559" w:type="dxa"/>
            <w:noWrap w:val="0"/>
            <w:vAlign w:val="center"/>
          </w:tcPr>
          <w:p w14:paraId="2F30CCA6">
            <w:pPr>
              <w:pStyle w:val="28"/>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0.039</w:t>
            </w:r>
          </w:p>
        </w:tc>
        <w:tc>
          <w:tcPr>
            <w:tcW w:w="1761" w:type="dxa"/>
            <w:shd w:val="clear" w:color="auto" w:fill="auto"/>
            <w:noWrap w:val="0"/>
            <w:vAlign w:val="center"/>
          </w:tcPr>
          <w:p w14:paraId="00AAFA34">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c>
          <w:tcPr>
            <w:tcW w:w="1825" w:type="dxa"/>
            <w:shd w:val="clear" w:color="auto" w:fill="auto"/>
            <w:noWrap w:val="0"/>
            <w:vAlign w:val="center"/>
          </w:tcPr>
          <w:p w14:paraId="7939C8FC">
            <w:pPr>
              <w:pStyle w:val="28"/>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0.039</w:t>
            </w:r>
          </w:p>
        </w:tc>
        <w:tc>
          <w:tcPr>
            <w:tcW w:w="960" w:type="dxa"/>
            <w:shd w:val="clear" w:color="auto" w:fill="auto"/>
            <w:noWrap w:val="0"/>
            <w:vAlign w:val="center"/>
          </w:tcPr>
          <w:p w14:paraId="2A633203">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r>
      <w:tr w14:paraId="4368B6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88" w:type="dxa"/>
            <w:vMerge w:val="continue"/>
            <w:noWrap w:val="0"/>
            <w:vAlign w:val="center"/>
          </w:tcPr>
          <w:p w14:paraId="57882921">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rPr>
            </w:pPr>
          </w:p>
        </w:tc>
        <w:tc>
          <w:tcPr>
            <w:tcW w:w="1530" w:type="dxa"/>
            <w:noWrap w:val="0"/>
            <w:vAlign w:val="center"/>
          </w:tcPr>
          <w:p w14:paraId="0E4DFFC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BOD</w:t>
            </w:r>
            <w:r>
              <w:rPr>
                <w:rFonts w:hint="default" w:ascii="Times New Roman" w:hAnsi="Times New Roman" w:eastAsia="宋体" w:cs="Times New Roman"/>
                <w:bCs/>
                <w:color w:val="auto"/>
                <w:sz w:val="21"/>
                <w:szCs w:val="21"/>
                <w:vertAlign w:val="subscript"/>
                <w:lang w:val="en-US" w:eastAsia="zh-CN"/>
              </w:rPr>
              <w:t>5</w:t>
            </w:r>
          </w:p>
        </w:tc>
        <w:tc>
          <w:tcPr>
            <w:tcW w:w="1588" w:type="dxa"/>
            <w:noWrap w:val="0"/>
            <w:vAlign w:val="center"/>
          </w:tcPr>
          <w:p w14:paraId="73705C0E">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Times New Roman" w:hAnsi="Times New Roman" w:eastAsia="宋体"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276" w:type="dxa"/>
            <w:shd w:val="clear" w:color="auto" w:fill="auto"/>
            <w:noWrap w:val="0"/>
            <w:vAlign w:val="center"/>
          </w:tcPr>
          <w:p w14:paraId="0E5EA3C2">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c>
          <w:tcPr>
            <w:tcW w:w="1701" w:type="dxa"/>
            <w:shd w:val="clear" w:color="auto" w:fill="auto"/>
            <w:noWrap w:val="0"/>
            <w:vAlign w:val="center"/>
          </w:tcPr>
          <w:p w14:paraId="7570DA5E">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c>
          <w:tcPr>
            <w:tcW w:w="1559" w:type="dxa"/>
            <w:noWrap w:val="0"/>
            <w:vAlign w:val="center"/>
          </w:tcPr>
          <w:p w14:paraId="78E3F86A">
            <w:pPr>
              <w:pStyle w:val="28"/>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0.013</w:t>
            </w:r>
          </w:p>
        </w:tc>
        <w:tc>
          <w:tcPr>
            <w:tcW w:w="1761" w:type="dxa"/>
            <w:shd w:val="clear" w:color="auto" w:fill="auto"/>
            <w:noWrap w:val="0"/>
            <w:vAlign w:val="center"/>
          </w:tcPr>
          <w:p w14:paraId="5AD05521">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c>
          <w:tcPr>
            <w:tcW w:w="1825" w:type="dxa"/>
            <w:shd w:val="clear" w:color="auto" w:fill="auto"/>
            <w:noWrap w:val="0"/>
            <w:vAlign w:val="center"/>
          </w:tcPr>
          <w:p w14:paraId="216DFCCC">
            <w:pPr>
              <w:pStyle w:val="28"/>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0.013</w:t>
            </w:r>
          </w:p>
        </w:tc>
        <w:tc>
          <w:tcPr>
            <w:tcW w:w="960" w:type="dxa"/>
            <w:shd w:val="clear" w:color="auto" w:fill="auto"/>
            <w:noWrap w:val="0"/>
            <w:vAlign w:val="center"/>
          </w:tcPr>
          <w:p w14:paraId="2842F79B">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r>
      <w:tr w14:paraId="173274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88" w:type="dxa"/>
            <w:vMerge w:val="continue"/>
            <w:noWrap w:val="0"/>
            <w:vAlign w:val="center"/>
          </w:tcPr>
          <w:p w14:paraId="3031F365">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rPr>
            </w:pPr>
          </w:p>
        </w:tc>
        <w:tc>
          <w:tcPr>
            <w:tcW w:w="1530" w:type="dxa"/>
            <w:noWrap w:val="0"/>
            <w:vAlign w:val="center"/>
          </w:tcPr>
          <w:p w14:paraId="04CFE9B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SS</w:t>
            </w:r>
          </w:p>
        </w:tc>
        <w:tc>
          <w:tcPr>
            <w:tcW w:w="1588" w:type="dxa"/>
            <w:noWrap w:val="0"/>
            <w:vAlign w:val="center"/>
          </w:tcPr>
          <w:p w14:paraId="4414BD97">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Times New Roman" w:hAnsi="Times New Roman" w:eastAsia="宋体"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276" w:type="dxa"/>
            <w:shd w:val="clear" w:color="auto" w:fill="auto"/>
            <w:noWrap w:val="0"/>
            <w:vAlign w:val="center"/>
          </w:tcPr>
          <w:p w14:paraId="016FB6E9">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c>
          <w:tcPr>
            <w:tcW w:w="1701" w:type="dxa"/>
            <w:shd w:val="clear" w:color="auto" w:fill="auto"/>
            <w:noWrap w:val="0"/>
            <w:vAlign w:val="center"/>
          </w:tcPr>
          <w:p w14:paraId="295C9E11">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c>
          <w:tcPr>
            <w:tcW w:w="1559" w:type="dxa"/>
            <w:noWrap w:val="0"/>
            <w:vAlign w:val="center"/>
          </w:tcPr>
          <w:p w14:paraId="1DBEE938">
            <w:pPr>
              <w:pStyle w:val="28"/>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0.013</w:t>
            </w:r>
          </w:p>
        </w:tc>
        <w:tc>
          <w:tcPr>
            <w:tcW w:w="1761" w:type="dxa"/>
            <w:shd w:val="clear" w:color="auto" w:fill="auto"/>
            <w:noWrap w:val="0"/>
            <w:vAlign w:val="center"/>
          </w:tcPr>
          <w:p w14:paraId="28A07086">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c>
          <w:tcPr>
            <w:tcW w:w="1825" w:type="dxa"/>
            <w:shd w:val="clear" w:color="auto" w:fill="auto"/>
            <w:noWrap w:val="0"/>
            <w:vAlign w:val="center"/>
          </w:tcPr>
          <w:p w14:paraId="15399B5D">
            <w:pPr>
              <w:pStyle w:val="28"/>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0.013</w:t>
            </w:r>
          </w:p>
        </w:tc>
        <w:tc>
          <w:tcPr>
            <w:tcW w:w="960" w:type="dxa"/>
            <w:shd w:val="clear" w:color="auto" w:fill="auto"/>
            <w:noWrap w:val="0"/>
            <w:vAlign w:val="center"/>
          </w:tcPr>
          <w:p w14:paraId="4B93DF3F">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r>
      <w:tr w14:paraId="7C233B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88" w:type="dxa"/>
            <w:vMerge w:val="continue"/>
            <w:noWrap w:val="0"/>
            <w:vAlign w:val="center"/>
          </w:tcPr>
          <w:p w14:paraId="5932430B">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rPr>
            </w:pPr>
          </w:p>
        </w:tc>
        <w:tc>
          <w:tcPr>
            <w:tcW w:w="1530" w:type="dxa"/>
            <w:noWrap w:val="0"/>
            <w:vAlign w:val="center"/>
          </w:tcPr>
          <w:p w14:paraId="6EB5E0F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NH</w:t>
            </w:r>
            <w:r>
              <w:rPr>
                <w:rFonts w:hint="default" w:ascii="Times New Roman" w:hAnsi="Times New Roman" w:eastAsia="宋体" w:cs="Times New Roman"/>
                <w:bCs/>
                <w:color w:val="auto"/>
                <w:sz w:val="21"/>
                <w:szCs w:val="21"/>
                <w:vertAlign w:val="subscript"/>
                <w:lang w:val="en-US" w:eastAsia="zh-CN"/>
              </w:rPr>
              <w:t>3</w:t>
            </w:r>
            <w:r>
              <w:rPr>
                <w:rFonts w:hint="default" w:ascii="Times New Roman" w:hAnsi="Times New Roman" w:eastAsia="宋体" w:cs="Times New Roman"/>
                <w:bCs/>
                <w:color w:val="auto"/>
                <w:sz w:val="21"/>
                <w:szCs w:val="21"/>
                <w:vertAlign w:val="baseline"/>
                <w:lang w:val="en-US" w:eastAsia="zh-CN"/>
              </w:rPr>
              <w:t>-N</w:t>
            </w:r>
          </w:p>
        </w:tc>
        <w:tc>
          <w:tcPr>
            <w:tcW w:w="1588" w:type="dxa"/>
            <w:noWrap w:val="0"/>
            <w:vAlign w:val="center"/>
          </w:tcPr>
          <w:p w14:paraId="4889AF91">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Times New Roman" w:hAnsi="Times New Roman" w:eastAsia="宋体"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276" w:type="dxa"/>
            <w:shd w:val="clear" w:color="auto" w:fill="auto"/>
            <w:noWrap w:val="0"/>
            <w:vAlign w:val="center"/>
          </w:tcPr>
          <w:p w14:paraId="7199DC0A">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c>
          <w:tcPr>
            <w:tcW w:w="1701" w:type="dxa"/>
            <w:shd w:val="clear" w:color="auto" w:fill="auto"/>
            <w:noWrap w:val="0"/>
            <w:vAlign w:val="center"/>
          </w:tcPr>
          <w:p w14:paraId="5618D769">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c>
          <w:tcPr>
            <w:tcW w:w="1559" w:type="dxa"/>
            <w:noWrap w:val="0"/>
            <w:vAlign w:val="center"/>
          </w:tcPr>
          <w:p w14:paraId="1A47DB90">
            <w:pPr>
              <w:pStyle w:val="28"/>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0.0052</w:t>
            </w:r>
          </w:p>
        </w:tc>
        <w:tc>
          <w:tcPr>
            <w:tcW w:w="1761" w:type="dxa"/>
            <w:shd w:val="clear" w:color="auto" w:fill="auto"/>
            <w:noWrap w:val="0"/>
            <w:vAlign w:val="center"/>
          </w:tcPr>
          <w:p w14:paraId="6E46C95F">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c>
          <w:tcPr>
            <w:tcW w:w="1825" w:type="dxa"/>
            <w:shd w:val="clear" w:color="auto" w:fill="auto"/>
            <w:noWrap w:val="0"/>
            <w:vAlign w:val="center"/>
          </w:tcPr>
          <w:p w14:paraId="1874D1C5">
            <w:pPr>
              <w:pStyle w:val="28"/>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0.0052</w:t>
            </w:r>
          </w:p>
        </w:tc>
        <w:tc>
          <w:tcPr>
            <w:tcW w:w="960" w:type="dxa"/>
            <w:shd w:val="clear" w:color="auto" w:fill="auto"/>
            <w:noWrap w:val="0"/>
            <w:vAlign w:val="center"/>
          </w:tcPr>
          <w:p w14:paraId="6B1EF2B2">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r>
      <w:tr w14:paraId="503532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88" w:type="dxa"/>
            <w:vMerge w:val="restart"/>
            <w:noWrap w:val="0"/>
            <w:vAlign w:val="center"/>
          </w:tcPr>
          <w:p w14:paraId="094A6551">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一般工业</w:t>
            </w:r>
          </w:p>
          <w:p w14:paraId="54A2723B">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固体废物</w:t>
            </w:r>
          </w:p>
        </w:tc>
        <w:tc>
          <w:tcPr>
            <w:tcW w:w="1530" w:type="dxa"/>
            <w:noWrap w:val="0"/>
            <w:vAlign w:val="center"/>
          </w:tcPr>
          <w:p w14:paraId="4F527BBC">
            <w:pPr>
              <w:pStyle w:val="26"/>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废边角料</w:t>
            </w:r>
          </w:p>
        </w:tc>
        <w:tc>
          <w:tcPr>
            <w:tcW w:w="1588" w:type="dxa"/>
            <w:noWrap w:val="0"/>
            <w:vAlign w:val="center"/>
          </w:tcPr>
          <w:p w14:paraId="64BBBA69">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Times New Roman" w:hAnsi="Times New Roman" w:eastAsia="宋体"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276" w:type="dxa"/>
            <w:shd w:val="clear" w:color="auto" w:fill="auto"/>
            <w:noWrap w:val="0"/>
            <w:vAlign w:val="center"/>
          </w:tcPr>
          <w:p w14:paraId="0EAC724D">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c>
          <w:tcPr>
            <w:tcW w:w="1701" w:type="dxa"/>
            <w:shd w:val="clear" w:color="auto" w:fill="auto"/>
            <w:noWrap w:val="0"/>
            <w:vAlign w:val="center"/>
          </w:tcPr>
          <w:p w14:paraId="3C7E154F">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c>
          <w:tcPr>
            <w:tcW w:w="1559" w:type="dxa"/>
            <w:noWrap w:val="0"/>
            <w:vAlign w:val="center"/>
          </w:tcPr>
          <w:p w14:paraId="25D25F0D">
            <w:pPr>
              <w:pStyle w:val="26"/>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45.45</w:t>
            </w:r>
          </w:p>
        </w:tc>
        <w:tc>
          <w:tcPr>
            <w:tcW w:w="1761" w:type="dxa"/>
            <w:shd w:val="clear" w:color="auto" w:fill="auto"/>
            <w:noWrap w:val="0"/>
            <w:vAlign w:val="center"/>
          </w:tcPr>
          <w:p w14:paraId="04919605">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c>
          <w:tcPr>
            <w:tcW w:w="1825" w:type="dxa"/>
            <w:shd w:val="clear" w:color="auto" w:fill="auto"/>
            <w:noWrap w:val="0"/>
            <w:vAlign w:val="center"/>
          </w:tcPr>
          <w:p w14:paraId="4872601D">
            <w:pPr>
              <w:pStyle w:val="26"/>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45.45</w:t>
            </w:r>
          </w:p>
        </w:tc>
        <w:tc>
          <w:tcPr>
            <w:tcW w:w="960" w:type="dxa"/>
            <w:shd w:val="clear" w:color="auto" w:fill="auto"/>
            <w:noWrap w:val="0"/>
            <w:vAlign w:val="center"/>
          </w:tcPr>
          <w:p w14:paraId="3FF6530D">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r>
      <w:tr w14:paraId="2ED40E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88" w:type="dxa"/>
            <w:vMerge w:val="continue"/>
            <w:noWrap w:val="0"/>
            <w:vAlign w:val="center"/>
          </w:tcPr>
          <w:p w14:paraId="6F54190F">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rPr>
            </w:pPr>
          </w:p>
        </w:tc>
        <w:tc>
          <w:tcPr>
            <w:tcW w:w="1530" w:type="dxa"/>
            <w:noWrap w:val="0"/>
            <w:vAlign w:val="center"/>
          </w:tcPr>
          <w:p w14:paraId="6B3F47AC">
            <w:pPr>
              <w:pStyle w:val="26"/>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玻璃纤维粉尘</w:t>
            </w:r>
          </w:p>
        </w:tc>
        <w:tc>
          <w:tcPr>
            <w:tcW w:w="1588" w:type="dxa"/>
            <w:noWrap w:val="0"/>
            <w:vAlign w:val="center"/>
          </w:tcPr>
          <w:p w14:paraId="261D68C4">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Times New Roman" w:hAnsi="Times New Roman" w:eastAsia="宋体"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276" w:type="dxa"/>
            <w:shd w:val="clear" w:color="auto" w:fill="auto"/>
            <w:noWrap w:val="0"/>
            <w:vAlign w:val="center"/>
          </w:tcPr>
          <w:p w14:paraId="3CD3BABE">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c>
          <w:tcPr>
            <w:tcW w:w="1701" w:type="dxa"/>
            <w:shd w:val="clear" w:color="auto" w:fill="auto"/>
            <w:noWrap w:val="0"/>
            <w:vAlign w:val="center"/>
          </w:tcPr>
          <w:p w14:paraId="02B0BFEA">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c>
          <w:tcPr>
            <w:tcW w:w="1559" w:type="dxa"/>
            <w:noWrap w:val="0"/>
            <w:vAlign w:val="center"/>
          </w:tcPr>
          <w:p w14:paraId="59743124">
            <w:pPr>
              <w:pStyle w:val="26"/>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3.21</w:t>
            </w:r>
          </w:p>
        </w:tc>
        <w:tc>
          <w:tcPr>
            <w:tcW w:w="1761" w:type="dxa"/>
            <w:shd w:val="clear" w:color="auto" w:fill="auto"/>
            <w:noWrap w:val="0"/>
            <w:vAlign w:val="center"/>
          </w:tcPr>
          <w:p w14:paraId="017728DC">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c>
          <w:tcPr>
            <w:tcW w:w="1825" w:type="dxa"/>
            <w:shd w:val="clear" w:color="auto" w:fill="auto"/>
            <w:noWrap w:val="0"/>
            <w:vAlign w:val="center"/>
          </w:tcPr>
          <w:p w14:paraId="73E7E237">
            <w:pPr>
              <w:pStyle w:val="26"/>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3.21</w:t>
            </w:r>
          </w:p>
        </w:tc>
        <w:tc>
          <w:tcPr>
            <w:tcW w:w="960" w:type="dxa"/>
            <w:shd w:val="clear" w:color="auto" w:fill="auto"/>
            <w:noWrap w:val="0"/>
            <w:vAlign w:val="center"/>
          </w:tcPr>
          <w:p w14:paraId="02F29F55">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r>
      <w:tr w14:paraId="346CE7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88" w:type="dxa"/>
            <w:vMerge w:val="continue"/>
            <w:noWrap w:val="0"/>
            <w:vAlign w:val="center"/>
          </w:tcPr>
          <w:p w14:paraId="55040B2D">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rPr>
            </w:pPr>
          </w:p>
        </w:tc>
        <w:tc>
          <w:tcPr>
            <w:tcW w:w="1530" w:type="dxa"/>
            <w:noWrap w:val="0"/>
            <w:vAlign w:val="center"/>
          </w:tcPr>
          <w:p w14:paraId="5ABF48D3">
            <w:pPr>
              <w:pStyle w:val="26"/>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生活垃圾</w:t>
            </w:r>
          </w:p>
        </w:tc>
        <w:tc>
          <w:tcPr>
            <w:tcW w:w="1588" w:type="dxa"/>
            <w:noWrap w:val="0"/>
            <w:vAlign w:val="center"/>
          </w:tcPr>
          <w:p w14:paraId="5C42D4DC">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Times New Roman" w:hAnsi="Times New Roman" w:eastAsia="宋体"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276" w:type="dxa"/>
            <w:shd w:val="clear" w:color="auto" w:fill="auto"/>
            <w:noWrap w:val="0"/>
            <w:vAlign w:val="center"/>
          </w:tcPr>
          <w:p w14:paraId="39883AB2">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c>
          <w:tcPr>
            <w:tcW w:w="1701" w:type="dxa"/>
            <w:shd w:val="clear" w:color="auto" w:fill="auto"/>
            <w:noWrap w:val="0"/>
            <w:vAlign w:val="center"/>
          </w:tcPr>
          <w:p w14:paraId="478F7180">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c>
          <w:tcPr>
            <w:tcW w:w="1559" w:type="dxa"/>
            <w:noWrap w:val="0"/>
            <w:vAlign w:val="center"/>
          </w:tcPr>
          <w:p w14:paraId="691D26C1">
            <w:pPr>
              <w:pStyle w:val="26"/>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1761" w:type="dxa"/>
            <w:shd w:val="clear" w:color="auto" w:fill="auto"/>
            <w:noWrap w:val="0"/>
            <w:vAlign w:val="center"/>
          </w:tcPr>
          <w:p w14:paraId="4F48DA5E">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c>
          <w:tcPr>
            <w:tcW w:w="1825" w:type="dxa"/>
            <w:shd w:val="clear" w:color="auto" w:fill="auto"/>
            <w:noWrap w:val="0"/>
            <w:vAlign w:val="center"/>
          </w:tcPr>
          <w:p w14:paraId="06021A66">
            <w:pPr>
              <w:pStyle w:val="26"/>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960" w:type="dxa"/>
            <w:shd w:val="clear" w:color="auto" w:fill="auto"/>
            <w:noWrap w:val="0"/>
            <w:vAlign w:val="center"/>
          </w:tcPr>
          <w:p w14:paraId="24F30AAB">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r>
      <w:tr w14:paraId="378C36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88" w:type="dxa"/>
            <w:noWrap w:val="0"/>
            <w:vAlign w:val="center"/>
          </w:tcPr>
          <w:p w14:paraId="4AC0D975">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危险废物</w:t>
            </w:r>
          </w:p>
        </w:tc>
        <w:tc>
          <w:tcPr>
            <w:tcW w:w="1530" w:type="dxa"/>
            <w:noWrap w:val="0"/>
            <w:vAlign w:val="center"/>
          </w:tcPr>
          <w:p w14:paraId="545AD129">
            <w:pPr>
              <w:pStyle w:val="26"/>
              <w:bidi w:val="0"/>
              <w:ind w:firstLine="0" w:firstLineChars="0"/>
              <w:jc w:val="center"/>
              <w:rPr>
                <w:rFonts w:hint="default"/>
                <w:color w:val="auto"/>
                <w:sz w:val="21"/>
                <w:szCs w:val="21"/>
                <w:lang w:val="en-US" w:eastAsia="zh-CN"/>
              </w:rPr>
            </w:pPr>
            <w:r>
              <w:rPr>
                <w:rFonts w:hint="eastAsia"/>
                <w:color w:val="auto"/>
                <w:sz w:val="21"/>
                <w:szCs w:val="21"/>
                <w:lang w:val="en-US" w:eastAsia="zh-CN"/>
              </w:rPr>
              <w:t>维修废油</w:t>
            </w:r>
          </w:p>
        </w:tc>
        <w:tc>
          <w:tcPr>
            <w:tcW w:w="1588" w:type="dxa"/>
            <w:shd w:val="clear" w:color="auto" w:fill="auto"/>
            <w:noWrap w:val="0"/>
            <w:vAlign w:val="center"/>
          </w:tcPr>
          <w:p w14:paraId="172EABDD">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c>
          <w:tcPr>
            <w:tcW w:w="1276" w:type="dxa"/>
            <w:shd w:val="clear" w:color="auto" w:fill="auto"/>
            <w:noWrap w:val="0"/>
            <w:vAlign w:val="center"/>
          </w:tcPr>
          <w:p w14:paraId="65CC1FF7">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c>
          <w:tcPr>
            <w:tcW w:w="1701" w:type="dxa"/>
            <w:shd w:val="clear" w:color="auto" w:fill="auto"/>
            <w:noWrap w:val="0"/>
            <w:vAlign w:val="center"/>
          </w:tcPr>
          <w:p w14:paraId="1E55F1EA">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w:t>
            </w:r>
          </w:p>
        </w:tc>
        <w:tc>
          <w:tcPr>
            <w:tcW w:w="1559" w:type="dxa"/>
            <w:noWrap w:val="0"/>
            <w:vAlign w:val="center"/>
          </w:tcPr>
          <w:p w14:paraId="295C1A2C">
            <w:pPr>
              <w:pStyle w:val="26"/>
              <w:bidi w:val="0"/>
              <w:ind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1761" w:type="dxa"/>
            <w:shd w:val="clear" w:color="auto" w:fill="auto"/>
            <w:noWrap w:val="0"/>
            <w:vAlign w:val="center"/>
          </w:tcPr>
          <w:p w14:paraId="5BAE0C05">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825" w:type="dxa"/>
            <w:shd w:val="clear" w:color="auto" w:fill="auto"/>
            <w:noWrap w:val="0"/>
            <w:vAlign w:val="center"/>
          </w:tcPr>
          <w:p w14:paraId="60802C1C">
            <w:pPr>
              <w:pStyle w:val="26"/>
              <w:bidi w:val="0"/>
              <w:ind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960" w:type="dxa"/>
            <w:shd w:val="clear" w:color="auto" w:fill="auto"/>
            <w:noWrap w:val="0"/>
            <w:vAlign w:val="center"/>
          </w:tcPr>
          <w:p w14:paraId="25044291">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r>
    </w:tbl>
    <w:p w14:paraId="343AE867">
      <w:pPr>
        <w:pStyle w:val="28"/>
        <w:spacing w:before="192" w:beforeLines="80" w:after="24"/>
        <w:jc w:val="left"/>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snapToGrid w:val="0"/>
          <w:color w:val="auto"/>
          <w:kern w:val="21"/>
          <w:szCs w:val="21"/>
        </w:rPr>
        <w:t>注：</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3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③</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4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④</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5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⑤</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7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⑦</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p>
    <w:p w14:paraId="1816A2B9">
      <w:pPr>
        <w:pStyle w:val="6"/>
        <w:rPr>
          <w:color w:val="auto"/>
        </w:rPr>
        <w:sectPr>
          <w:footerReference r:id="rId6" w:type="default"/>
          <w:pgSz w:w="16838" w:h="11906" w:orient="landscape"/>
          <w:pgMar w:top="1803" w:right="1440" w:bottom="1803" w:left="1440" w:header="851"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p>
    <w:p w14:paraId="163699FA">
      <w:pPr>
        <w:ind w:left="0" w:leftChars="0" w:firstLine="0" w:firstLineChars="0"/>
        <w:jc w:val="center"/>
        <w:rPr>
          <w:rFonts w:hint="eastAsia" w:ascii="宋体" w:hAnsi="宋体" w:cs="宋体"/>
          <w:b/>
          <w:bCs/>
          <w:color w:val="auto"/>
          <w:sz w:val="32"/>
          <w:szCs w:val="32"/>
          <w:lang w:val="en-US" w:eastAsia="zh-CN"/>
        </w:rPr>
      </w:pPr>
      <w:r>
        <w:rPr>
          <w:rFonts w:hint="eastAsia" w:ascii="宋体" w:hAnsi="宋体" w:cs="宋体"/>
          <w:b/>
          <w:bCs/>
          <w:color w:val="auto"/>
          <w:sz w:val="32"/>
          <w:szCs w:val="32"/>
          <w:lang w:val="en-US" w:eastAsia="zh-CN"/>
        </w:rPr>
        <w:t>附图及附件</w:t>
      </w:r>
    </w:p>
    <w:p w14:paraId="3A873894">
      <w:pPr>
        <w:ind w:left="0" w:leftChars="0" w:firstLine="0" w:firstLineChars="0"/>
        <w:jc w:val="both"/>
        <w:rPr>
          <w:rFonts w:hint="eastAsia" w:ascii="宋体" w:hAnsi="宋体" w:cs="宋体"/>
          <w:b/>
          <w:bCs/>
          <w:color w:val="auto"/>
          <w:sz w:val="26"/>
          <w:szCs w:val="26"/>
          <w:lang w:val="en-US" w:eastAsia="zh-CN"/>
        </w:rPr>
      </w:pPr>
      <w:r>
        <w:rPr>
          <w:rFonts w:hint="eastAsia" w:ascii="宋体" w:hAnsi="宋体" w:cs="宋体"/>
          <w:b/>
          <w:bCs/>
          <w:color w:val="auto"/>
          <w:sz w:val="26"/>
          <w:szCs w:val="26"/>
          <w:lang w:val="en-US" w:eastAsia="zh-CN"/>
        </w:rPr>
        <w:t>附图</w:t>
      </w:r>
    </w:p>
    <w:p w14:paraId="597C583B">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jc w:val="both"/>
        <w:textAlignment w:val="auto"/>
        <w:rPr>
          <w:rFonts w:hint="default" w:ascii="Times New Roman" w:hAnsi="Times New Roman" w:cs="Times New Roman"/>
          <w:b w:val="0"/>
          <w:bCs w:val="0"/>
          <w:color w:val="auto"/>
          <w:sz w:val="26"/>
          <w:szCs w:val="26"/>
          <w:lang w:val="en-US" w:eastAsia="zh-CN"/>
        </w:rPr>
      </w:pPr>
      <w:r>
        <w:rPr>
          <w:rFonts w:hint="default" w:ascii="Times New Roman" w:hAnsi="Times New Roman" w:cs="Times New Roman"/>
          <w:b w:val="0"/>
          <w:bCs w:val="0"/>
          <w:color w:val="auto"/>
          <w:sz w:val="26"/>
          <w:szCs w:val="26"/>
          <w:lang w:val="en-US" w:eastAsia="zh-CN"/>
        </w:rPr>
        <w:t>附图1拟建项目地理位置图</w:t>
      </w:r>
    </w:p>
    <w:p w14:paraId="6DBAEDB4">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jc w:val="both"/>
        <w:textAlignment w:val="auto"/>
        <w:rPr>
          <w:rFonts w:hint="default" w:ascii="Times New Roman" w:hAnsi="Times New Roman" w:cs="Times New Roman"/>
          <w:b w:val="0"/>
          <w:bCs w:val="0"/>
          <w:color w:val="auto"/>
          <w:sz w:val="26"/>
          <w:szCs w:val="26"/>
          <w:lang w:val="en-US" w:eastAsia="zh-CN"/>
        </w:rPr>
      </w:pPr>
      <w:r>
        <w:rPr>
          <w:rFonts w:hint="default" w:ascii="Times New Roman" w:hAnsi="Times New Roman" w:cs="Times New Roman"/>
          <w:b w:val="0"/>
          <w:bCs w:val="0"/>
          <w:color w:val="auto"/>
          <w:sz w:val="26"/>
          <w:szCs w:val="26"/>
          <w:lang w:val="en-US" w:eastAsia="zh-CN"/>
        </w:rPr>
        <w:t>附图2本项目所在厂区总平面布置图</w:t>
      </w:r>
      <w:r>
        <w:rPr>
          <w:rFonts w:hint="eastAsia" w:cs="Times New Roman"/>
          <w:b w:val="0"/>
          <w:bCs w:val="0"/>
          <w:color w:val="auto"/>
          <w:sz w:val="26"/>
          <w:szCs w:val="26"/>
          <w:lang w:val="en-US" w:eastAsia="zh-CN"/>
        </w:rPr>
        <w:t>及排水管网图</w:t>
      </w:r>
    </w:p>
    <w:p w14:paraId="1680A9E3">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jc w:val="both"/>
        <w:textAlignment w:val="auto"/>
        <w:rPr>
          <w:rFonts w:hint="default" w:ascii="Times New Roman" w:hAnsi="Times New Roman" w:cs="Times New Roman"/>
          <w:b w:val="0"/>
          <w:bCs w:val="0"/>
          <w:color w:val="auto"/>
          <w:sz w:val="26"/>
          <w:szCs w:val="26"/>
          <w:lang w:val="en-US" w:eastAsia="zh-CN"/>
        </w:rPr>
      </w:pPr>
      <w:r>
        <w:rPr>
          <w:rFonts w:hint="default" w:ascii="Times New Roman" w:hAnsi="Times New Roman" w:cs="Times New Roman"/>
          <w:b w:val="0"/>
          <w:bCs w:val="0"/>
          <w:color w:val="auto"/>
          <w:sz w:val="26"/>
          <w:szCs w:val="26"/>
          <w:lang w:val="en-US" w:eastAsia="zh-CN"/>
        </w:rPr>
        <w:t>附图3 本项目车间平面布置图及环保设施分布图</w:t>
      </w:r>
    </w:p>
    <w:p w14:paraId="19040CA4">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jc w:val="both"/>
        <w:textAlignment w:val="auto"/>
        <w:rPr>
          <w:rFonts w:hint="default" w:ascii="Times New Roman" w:hAnsi="Times New Roman" w:cs="Times New Roman"/>
          <w:b w:val="0"/>
          <w:bCs w:val="0"/>
          <w:color w:val="auto"/>
          <w:sz w:val="26"/>
          <w:szCs w:val="26"/>
          <w:lang w:val="en-US" w:eastAsia="zh-CN"/>
        </w:rPr>
      </w:pPr>
      <w:r>
        <w:rPr>
          <w:rFonts w:hint="default" w:ascii="Times New Roman" w:hAnsi="Times New Roman" w:cs="Times New Roman"/>
          <w:b w:val="0"/>
          <w:bCs w:val="0"/>
          <w:color w:val="auto"/>
          <w:sz w:val="26"/>
          <w:szCs w:val="26"/>
          <w:lang w:val="en-US" w:eastAsia="zh-CN"/>
        </w:rPr>
        <w:t>附图4本项目与生态环境分区管控单元位置关系图</w:t>
      </w:r>
    </w:p>
    <w:p w14:paraId="7FA7AAC9">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jc w:val="both"/>
        <w:textAlignment w:val="auto"/>
        <w:rPr>
          <w:rFonts w:hint="default" w:ascii="Times New Roman" w:hAnsi="Times New Roman" w:cs="Times New Roman"/>
          <w:b w:val="0"/>
          <w:bCs w:val="0"/>
          <w:color w:val="auto"/>
          <w:sz w:val="26"/>
          <w:szCs w:val="26"/>
          <w:lang w:val="en-US" w:eastAsia="zh-CN"/>
        </w:rPr>
      </w:pPr>
      <w:r>
        <w:rPr>
          <w:rFonts w:hint="default" w:ascii="Times New Roman" w:hAnsi="Times New Roman" w:cs="Times New Roman"/>
          <w:b w:val="0"/>
          <w:bCs w:val="0"/>
          <w:color w:val="auto"/>
          <w:sz w:val="26"/>
          <w:szCs w:val="26"/>
          <w:lang w:val="en-US" w:eastAsia="zh-CN"/>
        </w:rPr>
        <w:t>附图5本项目土地利用</w:t>
      </w:r>
      <w:r>
        <w:rPr>
          <w:rFonts w:hint="eastAsia" w:cs="Times New Roman"/>
          <w:b w:val="0"/>
          <w:bCs w:val="0"/>
          <w:color w:val="auto"/>
          <w:sz w:val="26"/>
          <w:szCs w:val="26"/>
          <w:lang w:val="en-US" w:eastAsia="zh-CN"/>
        </w:rPr>
        <w:t>规划</w:t>
      </w:r>
      <w:r>
        <w:rPr>
          <w:rFonts w:hint="default" w:ascii="Times New Roman" w:hAnsi="Times New Roman" w:cs="Times New Roman"/>
          <w:b w:val="0"/>
          <w:bCs w:val="0"/>
          <w:color w:val="auto"/>
          <w:sz w:val="26"/>
          <w:szCs w:val="26"/>
          <w:lang w:val="en-US" w:eastAsia="zh-CN"/>
        </w:rPr>
        <w:t>图</w:t>
      </w:r>
    </w:p>
    <w:p w14:paraId="05E89192">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jc w:val="both"/>
        <w:textAlignment w:val="auto"/>
        <w:rPr>
          <w:rFonts w:hint="default" w:ascii="Times New Roman" w:hAnsi="Times New Roman" w:cs="Times New Roman"/>
          <w:b w:val="0"/>
          <w:bCs w:val="0"/>
          <w:color w:val="auto"/>
          <w:sz w:val="26"/>
          <w:szCs w:val="26"/>
          <w:lang w:val="en-US" w:eastAsia="zh-CN"/>
        </w:rPr>
      </w:pPr>
      <w:r>
        <w:rPr>
          <w:rFonts w:hint="default" w:ascii="Times New Roman" w:hAnsi="Times New Roman" w:cs="Times New Roman"/>
          <w:b w:val="0"/>
          <w:bCs w:val="0"/>
          <w:color w:val="auto"/>
          <w:sz w:val="26"/>
          <w:szCs w:val="26"/>
          <w:lang w:val="en-US" w:eastAsia="zh-CN"/>
        </w:rPr>
        <w:t>附图6本项目所在区域水系图</w:t>
      </w:r>
    </w:p>
    <w:p w14:paraId="79C81237">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jc w:val="both"/>
        <w:textAlignment w:val="auto"/>
        <w:rPr>
          <w:rFonts w:hint="default" w:ascii="Times New Roman" w:hAnsi="Times New Roman" w:cs="Times New Roman"/>
          <w:b w:val="0"/>
          <w:bCs w:val="0"/>
          <w:color w:val="auto"/>
          <w:sz w:val="26"/>
          <w:szCs w:val="26"/>
          <w:lang w:val="en-US" w:eastAsia="zh-CN"/>
        </w:rPr>
      </w:pPr>
      <w:r>
        <w:rPr>
          <w:rFonts w:hint="default" w:ascii="Times New Roman" w:hAnsi="Times New Roman" w:cs="Times New Roman"/>
          <w:b w:val="0"/>
          <w:bCs w:val="0"/>
          <w:color w:val="auto"/>
          <w:sz w:val="26"/>
          <w:szCs w:val="26"/>
          <w:lang w:val="en-US" w:eastAsia="zh-CN"/>
        </w:rPr>
        <w:t>附图7本项目所在地声环境功能分布图</w:t>
      </w:r>
    </w:p>
    <w:p w14:paraId="3527E42D">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jc w:val="both"/>
        <w:textAlignment w:val="auto"/>
        <w:rPr>
          <w:rFonts w:hint="default" w:ascii="Times New Roman" w:hAnsi="Times New Roman" w:cs="Times New Roman"/>
          <w:b w:val="0"/>
          <w:bCs w:val="0"/>
          <w:color w:val="auto"/>
          <w:sz w:val="26"/>
          <w:szCs w:val="26"/>
          <w:lang w:val="en-US" w:eastAsia="zh-CN"/>
        </w:rPr>
      </w:pPr>
      <w:r>
        <w:rPr>
          <w:rFonts w:hint="default" w:ascii="Times New Roman" w:hAnsi="Times New Roman" w:cs="Times New Roman"/>
          <w:b w:val="0"/>
          <w:bCs w:val="0"/>
          <w:color w:val="auto"/>
          <w:sz w:val="26"/>
          <w:szCs w:val="26"/>
          <w:lang w:val="en-US" w:eastAsia="zh-CN"/>
        </w:rPr>
        <w:t>附图8本项目环境敏感目标分布图</w:t>
      </w:r>
    </w:p>
    <w:p w14:paraId="322E0CCE">
      <w:pPr>
        <w:ind w:left="0" w:leftChars="0" w:firstLine="0" w:firstLineChars="0"/>
        <w:jc w:val="both"/>
        <w:rPr>
          <w:rFonts w:hint="eastAsia" w:ascii="宋体" w:hAnsi="宋体" w:cs="宋体"/>
          <w:b/>
          <w:bCs/>
          <w:color w:val="auto"/>
          <w:sz w:val="32"/>
          <w:szCs w:val="32"/>
          <w:lang w:val="en-US" w:eastAsia="zh-CN"/>
        </w:rPr>
      </w:pPr>
    </w:p>
    <w:p w14:paraId="5BFFD41E">
      <w:pPr>
        <w:ind w:left="0" w:leftChars="0" w:firstLine="0" w:firstLineChars="0"/>
        <w:jc w:val="both"/>
        <w:rPr>
          <w:rFonts w:hint="eastAsia" w:ascii="宋体" w:hAnsi="宋体" w:cs="宋体"/>
          <w:b/>
          <w:bCs/>
          <w:color w:val="auto"/>
          <w:sz w:val="32"/>
          <w:szCs w:val="32"/>
          <w:lang w:val="en-US" w:eastAsia="zh-CN"/>
        </w:rPr>
      </w:pPr>
    </w:p>
    <w:p w14:paraId="22E6CBF6">
      <w:pPr>
        <w:ind w:left="0" w:leftChars="0" w:firstLine="0" w:firstLineChars="0"/>
        <w:jc w:val="both"/>
        <w:rPr>
          <w:rFonts w:hint="default" w:ascii="宋体" w:hAnsi="宋体" w:cs="宋体"/>
          <w:b/>
          <w:bCs/>
          <w:color w:val="auto"/>
          <w:sz w:val="26"/>
          <w:szCs w:val="26"/>
          <w:lang w:val="en-US" w:eastAsia="zh-CN"/>
        </w:rPr>
      </w:pPr>
      <w:r>
        <w:rPr>
          <w:rFonts w:hint="eastAsia" w:ascii="宋体" w:hAnsi="宋体" w:cs="宋体"/>
          <w:b/>
          <w:bCs/>
          <w:color w:val="auto"/>
          <w:sz w:val="26"/>
          <w:szCs w:val="26"/>
          <w:lang w:val="en-US" w:eastAsia="zh-CN"/>
        </w:rPr>
        <w:t>附件</w:t>
      </w:r>
    </w:p>
    <w:p w14:paraId="3919076E">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jc w:val="both"/>
        <w:textAlignment w:val="auto"/>
        <w:rPr>
          <w:rFonts w:hint="eastAsia" w:ascii="Times New Roman" w:hAnsi="Times New Roman" w:cs="Times New Roman"/>
          <w:b w:val="0"/>
          <w:bCs w:val="0"/>
          <w:color w:val="auto"/>
          <w:sz w:val="26"/>
          <w:szCs w:val="26"/>
          <w:lang w:val="en-US" w:eastAsia="zh-CN"/>
        </w:rPr>
      </w:pPr>
      <w:r>
        <w:rPr>
          <w:rFonts w:hint="eastAsia" w:ascii="Times New Roman" w:hAnsi="Times New Roman" w:cs="Times New Roman"/>
          <w:b w:val="0"/>
          <w:bCs w:val="0"/>
          <w:color w:val="auto"/>
          <w:sz w:val="26"/>
          <w:szCs w:val="26"/>
          <w:lang w:val="en-US" w:eastAsia="zh-CN"/>
        </w:rPr>
        <w:t>附件1投资备案证</w:t>
      </w:r>
    </w:p>
    <w:p w14:paraId="3BCCD66D">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jc w:val="both"/>
        <w:textAlignment w:val="auto"/>
        <w:rPr>
          <w:rFonts w:hint="eastAsia" w:ascii="Times New Roman" w:hAnsi="Times New Roman" w:cs="Times New Roman"/>
          <w:b w:val="0"/>
          <w:bCs w:val="0"/>
          <w:color w:val="auto"/>
          <w:sz w:val="26"/>
          <w:szCs w:val="26"/>
          <w:lang w:val="en-US" w:eastAsia="zh-CN"/>
        </w:rPr>
      </w:pPr>
      <w:r>
        <w:rPr>
          <w:rFonts w:hint="eastAsia" w:ascii="Times New Roman" w:hAnsi="Times New Roman" w:cs="Times New Roman"/>
          <w:b w:val="0"/>
          <w:bCs w:val="0"/>
          <w:color w:val="auto"/>
          <w:sz w:val="26"/>
          <w:szCs w:val="26"/>
          <w:lang w:val="en-US" w:eastAsia="zh-CN"/>
        </w:rPr>
        <w:t>附件2规划环评审查意见函</w:t>
      </w:r>
    </w:p>
    <w:p w14:paraId="680CC27E">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jc w:val="both"/>
        <w:textAlignment w:val="auto"/>
        <w:rPr>
          <w:rFonts w:hint="eastAsia" w:ascii="Times New Roman" w:hAnsi="Times New Roman" w:cs="Times New Roman"/>
          <w:b w:val="0"/>
          <w:bCs w:val="0"/>
          <w:color w:val="auto"/>
          <w:sz w:val="26"/>
          <w:szCs w:val="26"/>
          <w:lang w:val="en-US" w:eastAsia="zh-CN"/>
        </w:rPr>
      </w:pPr>
      <w:r>
        <w:rPr>
          <w:rFonts w:hint="eastAsia" w:ascii="Times New Roman" w:hAnsi="Times New Roman" w:cs="Times New Roman"/>
          <w:b w:val="0"/>
          <w:bCs w:val="0"/>
          <w:color w:val="auto"/>
          <w:sz w:val="26"/>
          <w:szCs w:val="26"/>
          <w:lang w:val="en-US" w:eastAsia="zh-CN"/>
        </w:rPr>
        <w:t>附件3三线一单智检报告</w:t>
      </w:r>
    </w:p>
    <w:p w14:paraId="7519FDF0">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jc w:val="both"/>
        <w:textAlignment w:val="auto"/>
        <w:rPr>
          <w:rFonts w:hint="eastAsia" w:ascii="Times New Roman" w:hAnsi="Times New Roman" w:cs="Times New Roman"/>
          <w:b w:val="0"/>
          <w:bCs w:val="0"/>
          <w:color w:val="auto"/>
          <w:sz w:val="26"/>
          <w:szCs w:val="26"/>
          <w:lang w:val="en-US" w:eastAsia="zh-CN"/>
        </w:rPr>
      </w:pPr>
      <w:r>
        <w:rPr>
          <w:rFonts w:hint="eastAsia" w:ascii="Times New Roman" w:hAnsi="Times New Roman" w:cs="Times New Roman"/>
          <w:b w:val="0"/>
          <w:bCs w:val="0"/>
          <w:color w:val="auto"/>
          <w:sz w:val="26"/>
          <w:szCs w:val="26"/>
          <w:lang w:val="en-US" w:eastAsia="zh-CN"/>
        </w:rPr>
        <w:t>附件4-1玻璃纤维MSDS报告</w:t>
      </w:r>
    </w:p>
    <w:p w14:paraId="0C1FE4BC">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jc w:val="both"/>
        <w:textAlignment w:val="auto"/>
        <w:rPr>
          <w:rFonts w:hint="default" w:ascii="Times New Roman" w:hAnsi="Times New Roman" w:cs="Times New Roman"/>
          <w:b w:val="0"/>
          <w:bCs w:val="0"/>
          <w:color w:val="auto"/>
          <w:sz w:val="26"/>
          <w:szCs w:val="26"/>
          <w:lang w:val="en-US" w:eastAsia="zh-CN"/>
        </w:rPr>
      </w:pPr>
      <w:r>
        <w:rPr>
          <w:rFonts w:hint="eastAsia" w:ascii="Times New Roman" w:hAnsi="Times New Roman" w:cs="Times New Roman"/>
          <w:b w:val="0"/>
          <w:bCs w:val="0"/>
          <w:color w:val="auto"/>
          <w:sz w:val="26"/>
          <w:szCs w:val="26"/>
          <w:lang w:val="en-US" w:eastAsia="zh-CN"/>
        </w:rPr>
        <w:t>附件4-2玻璃纤维毡MSDS报告</w:t>
      </w:r>
    </w:p>
    <w:p w14:paraId="6883DF8E">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jc w:val="both"/>
        <w:textAlignment w:val="auto"/>
        <w:rPr>
          <w:rFonts w:hint="eastAsia" w:ascii="Times New Roman" w:hAnsi="Times New Roman" w:cs="Times New Roman"/>
          <w:b w:val="0"/>
          <w:bCs w:val="0"/>
          <w:color w:val="auto"/>
          <w:sz w:val="26"/>
          <w:szCs w:val="26"/>
          <w:lang w:val="en-US" w:eastAsia="zh-CN"/>
        </w:rPr>
      </w:pPr>
      <w:r>
        <w:rPr>
          <w:rFonts w:hint="eastAsia" w:ascii="Times New Roman" w:hAnsi="Times New Roman" w:cs="Times New Roman"/>
          <w:b w:val="0"/>
          <w:bCs w:val="0"/>
          <w:color w:val="auto"/>
          <w:sz w:val="26"/>
          <w:szCs w:val="26"/>
          <w:lang w:val="en-US" w:eastAsia="zh-CN"/>
        </w:rPr>
        <w:t>附件5厂房租赁合同</w:t>
      </w:r>
    </w:p>
    <w:p w14:paraId="6F562587">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jc w:val="both"/>
        <w:textAlignment w:val="auto"/>
        <w:rPr>
          <w:rFonts w:hint="default" w:ascii="Times New Roman" w:hAnsi="Times New Roman" w:cs="Times New Roman"/>
          <w:b w:val="0"/>
          <w:bCs w:val="0"/>
          <w:color w:val="auto"/>
          <w:sz w:val="26"/>
          <w:szCs w:val="26"/>
          <w:lang w:val="en-US" w:eastAsia="zh-CN"/>
        </w:rPr>
      </w:pPr>
      <w:r>
        <w:rPr>
          <w:rFonts w:hint="eastAsia" w:ascii="Times New Roman" w:hAnsi="Times New Roman" w:cs="Times New Roman"/>
          <w:b w:val="0"/>
          <w:bCs w:val="0"/>
          <w:color w:val="auto"/>
          <w:sz w:val="26"/>
          <w:szCs w:val="26"/>
          <w:lang w:val="en-US" w:eastAsia="zh-CN"/>
        </w:rPr>
        <w:t>附件6规划批复</w:t>
      </w:r>
    </w:p>
    <w:sectPr>
      <w:pgSz w:w="11906" w:h="16838"/>
      <w:pgMar w:top="1440" w:right="1803" w:bottom="1440" w:left="1803" w:header="851" w:footer="992" w:gutter="0"/>
      <w:pgBorders>
        <w:top w:val="none" w:sz="0" w:space="0"/>
        <w:left w:val="none" w:sz="0" w:space="0"/>
        <w:bottom w:val="none" w:sz="0" w:space="0"/>
        <w:right w:val="none" w:sz="0" w:space="0"/>
      </w:pgBorders>
      <w:pgNumType w:fmt="numberInDash"/>
      <w:cols w:space="0" w:num="1"/>
      <w:rtlGutter w:val="0"/>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6456D1A-81D3-4F22-98C5-576E8760A518}"/>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2398BAEB-7FC4-4A4C-B502-72EB439B6CE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embedRegular r:id="rId3" w:fontKey="{D5E9D171-19EC-4AB3-BBA8-BE6454E4E7C3}"/>
  </w:font>
  <w:font w:name="仿宋_GB2312">
    <w:panose1 w:val="02010609030101010101"/>
    <w:charset w:val="86"/>
    <w:family w:val="modern"/>
    <w:pitch w:val="default"/>
    <w:sig w:usb0="00000001" w:usb1="080E0000" w:usb2="00000000" w:usb3="00000000" w:csb0="00040000" w:csb1="00000000"/>
    <w:embedRegular r:id="rId4" w:fontKey="{1051FF4F-8D2F-4E08-AE54-B6FE1F088A8F}"/>
  </w:font>
  <w:font w:name="方正小标宋_GBK">
    <w:panose1 w:val="02000000000000000000"/>
    <w:charset w:val="86"/>
    <w:family w:val="script"/>
    <w:pitch w:val="default"/>
    <w:sig w:usb0="A00002BF" w:usb1="38CF7CFA" w:usb2="00082016" w:usb3="00000000" w:csb0="00040001" w:csb1="00000000"/>
    <w:embedRegular r:id="rId5" w:fontKey="{EACE6F60-7140-4B1D-9D19-D5F34F12114D}"/>
  </w:font>
  <w:font w:name="华文仿宋">
    <w:panose1 w:val="02010600040101010101"/>
    <w:charset w:val="86"/>
    <w:family w:val="auto"/>
    <w:pitch w:val="default"/>
    <w:sig w:usb0="00000287" w:usb1="080F0000" w:usb2="00000000" w:usb3="00000000" w:csb0="0004009F" w:csb1="DFD70000"/>
    <w:embedRegular r:id="rId6" w:fontKey="{22CE1792-1FA7-43AD-8FFC-DB261B730F89}"/>
  </w:font>
  <w:font w:name="仿宋">
    <w:panose1 w:val="02010609060101010101"/>
    <w:charset w:val="86"/>
    <w:family w:val="auto"/>
    <w:pitch w:val="default"/>
    <w:sig w:usb0="800002BF" w:usb1="38CF7CFA" w:usb2="00000016" w:usb3="00000000" w:csb0="00040001" w:csb1="00000000"/>
    <w:embedRegular r:id="rId7" w:fontKey="{0C4E45CD-11B7-423E-9D26-3A121BD7163C}"/>
  </w:font>
  <w:font w:name="微软雅黑">
    <w:panose1 w:val="020B0503020204020204"/>
    <w:charset w:val="86"/>
    <w:family w:val="auto"/>
    <w:pitch w:val="default"/>
    <w:sig w:usb0="80000287" w:usb1="2ACF3C50" w:usb2="00000016" w:usb3="00000000" w:csb0="0004001F" w:csb1="00000000"/>
    <w:embedRegular r:id="rId8" w:fontKey="{273D4B9E-09AE-43F7-9CCD-17C361EB243C}"/>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5A173">
    <w:pPr>
      <w:pStyle w:val="13"/>
      <w:rPr>
        <w:color w:val="auto"/>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1DBF9B">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661DBF9B">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80BBE">
    <w:pPr>
      <w:pStyle w:val="13"/>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29532C">
                          <w:pPr>
                            <w:pStyle w:val="13"/>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6B29532C">
                    <w:pPr>
                      <w:pStyle w:val="13"/>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BD20E1"/>
    <w:multiLevelType w:val="singleLevel"/>
    <w:tmpl w:val="B0BD20E1"/>
    <w:lvl w:ilvl="0" w:tentative="0">
      <w:start w:val="2"/>
      <w:numFmt w:val="chineseCounting"/>
      <w:suff w:val="nothing"/>
      <w:lvlText w:val="%1、"/>
      <w:lvlJc w:val="left"/>
      <w:rPr>
        <w:rFonts w:hint="eastAsia"/>
      </w:rPr>
    </w:lvl>
  </w:abstractNum>
  <w:abstractNum w:abstractNumId="1">
    <w:nsid w:val="12847D39"/>
    <w:multiLevelType w:val="singleLevel"/>
    <w:tmpl w:val="12847D39"/>
    <w:lvl w:ilvl="0" w:tentative="0">
      <w:start w:val="1"/>
      <w:numFmt w:val="bullet"/>
      <w:pStyle w:val="12"/>
      <w:lvlText w:val=""/>
      <w:lvlJc w:val="left"/>
      <w:pPr>
        <w:tabs>
          <w:tab w:val="left" w:pos="2040"/>
        </w:tabs>
        <w:ind w:left="204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NotDisplayPageBoundaries w:val="1"/>
  <w:embedTrueTypeFonts/>
  <w:saveSubsetFonts/>
  <w:bordersDoNotSurroundHeader w:val="0"/>
  <w:bordersDoNotSurroundFooter w:val="0"/>
  <w:documentProtection w:enforcement="0"/>
  <w:defaultTabStop w:val="420"/>
  <w:drawingGridHorizontalSpacing w:val="24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yMTEzZThmNmI5ZDk3MzFmMWZiYmI3YWU0NTk2NWUifQ=="/>
  </w:docVars>
  <w:rsids>
    <w:rsidRoot w:val="6D6178F2"/>
    <w:rsid w:val="0066795B"/>
    <w:rsid w:val="00902C2A"/>
    <w:rsid w:val="00A16BE5"/>
    <w:rsid w:val="00BD5DB6"/>
    <w:rsid w:val="00F96777"/>
    <w:rsid w:val="016245C6"/>
    <w:rsid w:val="01AF70E0"/>
    <w:rsid w:val="02523DEE"/>
    <w:rsid w:val="03AA7B5F"/>
    <w:rsid w:val="03FC35CA"/>
    <w:rsid w:val="040E71CD"/>
    <w:rsid w:val="048925B8"/>
    <w:rsid w:val="05D435B9"/>
    <w:rsid w:val="05F8791C"/>
    <w:rsid w:val="066D78F9"/>
    <w:rsid w:val="06B91DBD"/>
    <w:rsid w:val="07A31495"/>
    <w:rsid w:val="08223199"/>
    <w:rsid w:val="087939E5"/>
    <w:rsid w:val="089518E5"/>
    <w:rsid w:val="08AC6E2F"/>
    <w:rsid w:val="09443259"/>
    <w:rsid w:val="09646A02"/>
    <w:rsid w:val="0A00497C"/>
    <w:rsid w:val="0A823CEB"/>
    <w:rsid w:val="0A937056"/>
    <w:rsid w:val="0AA25B70"/>
    <w:rsid w:val="0AC40589"/>
    <w:rsid w:val="0B440899"/>
    <w:rsid w:val="0B5A44E6"/>
    <w:rsid w:val="0B811AED"/>
    <w:rsid w:val="0C7325DF"/>
    <w:rsid w:val="0C7A0B46"/>
    <w:rsid w:val="0CCC6D98"/>
    <w:rsid w:val="0D200E92"/>
    <w:rsid w:val="0D61118A"/>
    <w:rsid w:val="0D8F0021"/>
    <w:rsid w:val="0DA41AC3"/>
    <w:rsid w:val="0DB02216"/>
    <w:rsid w:val="0DC03582"/>
    <w:rsid w:val="0E5E5133"/>
    <w:rsid w:val="0E666D78"/>
    <w:rsid w:val="0E680D42"/>
    <w:rsid w:val="0EBA602A"/>
    <w:rsid w:val="0EF40828"/>
    <w:rsid w:val="0F385526"/>
    <w:rsid w:val="0F3C678B"/>
    <w:rsid w:val="0FA34976"/>
    <w:rsid w:val="102173FB"/>
    <w:rsid w:val="10532F36"/>
    <w:rsid w:val="10923E54"/>
    <w:rsid w:val="10A2678D"/>
    <w:rsid w:val="116752E1"/>
    <w:rsid w:val="11D5049D"/>
    <w:rsid w:val="120622C2"/>
    <w:rsid w:val="12303304"/>
    <w:rsid w:val="126B7053"/>
    <w:rsid w:val="12B635CF"/>
    <w:rsid w:val="12C07670"/>
    <w:rsid w:val="12CE00FA"/>
    <w:rsid w:val="12DE5103"/>
    <w:rsid w:val="1352016B"/>
    <w:rsid w:val="139A066E"/>
    <w:rsid w:val="13B4252B"/>
    <w:rsid w:val="14155E81"/>
    <w:rsid w:val="144A56B1"/>
    <w:rsid w:val="14AB1989"/>
    <w:rsid w:val="15376985"/>
    <w:rsid w:val="15BC5673"/>
    <w:rsid w:val="178C3CF3"/>
    <w:rsid w:val="17FF4F7C"/>
    <w:rsid w:val="18815848"/>
    <w:rsid w:val="1886369D"/>
    <w:rsid w:val="190A2E13"/>
    <w:rsid w:val="1981715C"/>
    <w:rsid w:val="19CC6629"/>
    <w:rsid w:val="1A0168A3"/>
    <w:rsid w:val="1A305AA1"/>
    <w:rsid w:val="1A731DF0"/>
    <w:rsid w:val="1A83323F"/>
    <w:rsid w:val="1A840CB2"/>
    <w:rsid w:val="1B3D5BCB"/>
    <w:rsid w:val="1B495E60"/>
    <w:rsid w:val="1BAD4238"/>
    <w:rsid w:val="1BF27E9D"/>
    <w:rsid w:val="1BF95F04"/>
    <w:rsid w:val="1C747982"/>
    <w:rsid w:val="1CC17F9B"/>
    <w:rsid w:val="1D7E40DE"/>
    <w:rsid w:val="201C34A7"/>
    <w:rsid w:val="20230F6D"/>
    <w:rsid w:val="21645399"/>
    <w:rsid w:val="2198015A"/>
    <w:rsid w:val="21DC13D3"/>
    <w:rsid w:val="21E62252"/>
    <w:rsid w:val="225335AE"/>
    <w:rsid w:val="22B97967"/>
    <w:rsid w:val="231739A5"/>
    <w:rsid w:val="234C07DB"/>
    <w:rsid w:val="23D031BA"/>
    <w:rsid w:val="24930F22"/>
    <w:rsid w:val="250215C6"/>
    <w:rsid w:val="2504136D"/>
    <w:rsid w:val="250B002C"/>
    <w:rsid w:val="25593DC5"/>
    <w:rsid w:val="25A15C82"/>
    <w:rsid w:val="260809E9"/>
    <w:rsid w:val="2612082B"/>
    <w:rsid w:val="26CD62A2"/>
    <w:rsid w:val="26F64CE5"/>
    <w:rsid w:val="26FE0425"/>
    <w:rsid w:val="27085698"/>
    <w:rsid w:val="27A25AA5"/>
    <w:rsid w:val="27AE6D33"/>
    <w:rsid w:val="27B32E6D"/>
    <w:rsid w:val="281F026C"/>
    <w:rsid w:val="286E3F19"/>
    <w:rsid w:val="28B7558F"/>
    <w:rsid w:val="2936142F"/>
    <w:rsid w:val="2952491D"/>
    <w:rsid w:val="296C4E8C"/>
    <w:rsid w:val="2A1A6F3D"/>
    <w:rsid w:val="2A314286"/>
    <w:rsid w:val="2B2C172B"/>
    <w:rsid w:val="2BB51100"/>
    <w:rsid w:val="2BC90C1A"/>
    <w:rsid w:val="2BCD3D1A"/>
    <w:rsid w:val="2BF71892"/>
    <w:rsid w:val="2C9A5537"/>
    <w:rsid w:val="2D510EC7"/>
    <w:rsid w:val="2D574004"/>
    <w:rsid w:val="2DC378EB"/>
    <w:rsid w:val="2EA66014"/>
    <w:rsid w:val="2F1C72B3"/>
    <w:rsid w:val="2F34284F"/>
    <w:rsid w:val="2F64360E"/>
    <w:rsid w:val="2F882B9B"/>
    <w:rsid w:val="2FB44011"/>
    <w:rsid w:val="2FD47B8E"/>
    <w:rsid w:val="303E54E1"/>
    <w:rsid w:val="304C14F0"/>
    <w:rsid w:val="30517430"/>
    <w:rsid w:val="31175F84"/>
    <w:rsid w:val="31215161"/>
    <w:rsid w:val="31754148"/>
    <w:rsid w:val="31A737AC"/>
    <w:rsid w:val="31B9763C"/>
    <w:rsid w:val="31CD543C"/>
    <w:rsid w:val="32935ADE"/>
    <w:rsid w:val="329655CE"/>
    <w:rsid w:val="32DC7485"/>
    <w:rsid w:val="338E777E"/>
    <w:rsid w:val="3395048F"/>
    <w:rsid w:val="346747DC"/>
    <w:rsid w:val="34E4506A"/>
    <w:rsid w:val="35487054"/>
    <w:rsid w:val="356C5530"/>
    <w:rsid w:val="359D5AD7"/>
    <w:rsid w:val="36062A6B"/>
    <w:rsid w:val="362A49AB"/>
    <w:rsid w:val="3642731A"/>
    <w:rsid w:val="36853990"/>
    <w:rsid w:val="36F40B16"/>
    <w:rsid w:val="37605B86"/>
    <w:rsid w:val="37612B5B"/>
    <w:rsid w:val="37BA099E"/>
    <w:rsid w:val="37BB1A2F"/>
    <w:rsid w:val="37FE7E9E"/>
    <w:rsid w:val="380D00E1"/>
    <w:rsid w:val="38402264"/>
    <w:rsid w:val="38CF35E8"/>
    <w:rsid w:val="38FA2E22"/>
    <w:rsid w:val="39586585"/>
    <w:rsid w:val="395D6E46"/>
    <w:rsid w:val="39CF0D88"/>
    <w:rsid w:val="3A0B19B4"/>
    <w:rsid w:val="3A7206CF"/>
    <w:rsid w:val="3AF31810"/>
    <w:rsid w:val="3B0E1F5B"/>
    <w:rsid w:val="3BB371F1"/>
    <w:rsid w:val="3BBA38AA"/>
    <w:rsid w:val="3C2D62F1"/>
    <w:rsid w:val="3C924A30"/>
    <w:rsid w:val="3CCC056A"/>
    <w:rsid w:val="3D937C0B"/>
    <w:rsid w:val="3DE64CB7"/>
    <w:rsid w:val="3E79027E"/>
    <w:rsid w:val="3EF47905"/>
    <w:rsid w:val="3F23643C"/>
    <w:rsid w:val="3F306C51"/>
    <w:rsid w:val="3FEE7762"/>
    <w:rsid w:val="400C6ED0"/>
    <w:rsid w:val="407D6625"/>
    <w:rsid w:val="41177508"/>
    <w:rsid w:val="412E191C"/>
    <w:rsid w:val="425B3F95"/>
    <w:rsid w:val="42CB6BCE"/>
    <w:rsid w:val="43452E25"/>
    <w:rsid w:val="440E1469"/>
    <w:rsid w:val="44FA7C3F"/>
    <w:rsid w:val="452D1DC2"/>
    <w:rsid w:val="455D2FB6"/>
    <w:rsid w:val="45731914"/>
    <w:rsid w:val="460F771A"/>
    <w:rsid w:val="462A6302"/>
    <w:rsid w:val="46BF40BD"/>
    <w:rsid w:val="46E6047B"/>
    <w:rsid w:val="47354F5E"/>
    <w:rsid w:val="47E72B74"/>
    <w:rsid w:val="482F7BFF"/>
    <w:rsid w:val="48643D4D"/>
    <w:rsid w:val="492A4641"/>
    <w:rsid w:val="49A74216"/>
    <w:rsid w:val="49C3617F"/>
    <w:rsid w:val="4A0F6DC8"/>
    <w:rsid w:val="4A2805CC"/>
    <w:rsid w:val="4AAF1916"/>
    <w:rsid w:val="4B154E3F"/>
    <w:rsid w:val="4B217CD3"/>
    <w:rsid w:val="4B8E20BE"/>
    <w:rsid w:val="4BAB1C93"/>
    <w:rsid w:val="4D0E2F64"/>
    <w:rsid w:val="4D3A32E9"/>
    <w:rsid w:val="4D445EFB"/>
    <w:rsid w:val="4D773A25"/>
    <w:rsid w:val="4DDB4025"/>
    <w:rsid w:val="4DE52C53"/>
    <w:rsid w:val="4E267419"/>
    <w:rsid w:val="4E4B1348"/>
    <w:rsid w:val="4E4C1C3E"/>
    <w:rsid w:val="4EA14F06"/>
    <w:rsid w:val="4F131012"/>
    <w:rsid w:val="4F665E76"/>
    <w:rsid w:val="4FC00BA5"/>
    <w:rsid w:val="507E5F37"/>
    <w:rsid w:val="50926F7D"/>
    <w:rsid w:val="50D41344"/>
    <w:rsid w:val="50E25C2E"/>
    <w:rsid w:val="50F87A42"/>
    <w:rsid w:val="50FA50E4"/>
    <w:rsid w:val="516A3A56"/>
    <w:rsid w:val="518F789B"/>
    <w:rsid w:val="51AC18D1"/>
    <w:rsid w:val="51D81308"/>
    <w:rsid w:val="5255507D"/>
    <w:rsid w:val="525F7333"/>
    <w:rsid w:val="526B7311"/>
    <w:rsid w:val="526D24A1"/>
    <w:rsid w:val="52A511EA"/>
    <w:rsid w:val="52C04276"/>
    <w:rsid w:val="52C84ED8"/>
    <w:rsid w:val="53177C0E"/>
    <w:rsid w:val="531A4594"/>
    <w:rsid w:val="54455E89"/>
    <w:rsid w:val="546B6463"/>
    <w:rsid w:val="54987367"/>
    <w:rsid w:val="54A47335"/>
    <w:rsid w:val="54AB3225"/>
    <w:rsid w:val="54BF40B9"/>
    <w:rsid w:val="54C5145D"/>
    <w:rsid w:val="54FD3F5A"/>
    <w:rsid w:val="55532739"/>
    <w:rsid w:val="56064AC9"/>
    <w:rsid w:val="569978B0"/>
    <w:rsid w:val="56CF6EDC"/>
    <w:rsid w:val="570D419F"/>
    <w:rsid w:val="57706DDF"/>
    <w:rsid w:val="57817F76"/>
    <w:rsid w:val="57832CB3"/>
    <w:rsid w:val="584D70A4"/>
    <w:rsid w:val="593A29F8"/>
    <w:rsid w:val="5964423E"/>
    <w:rsid w:val="59665080"/>
    <w:rsid w:val="59C12681"/>
    <w:rsid w:val="5A4D6544"/>
    <w:rsid w:val="5A550B61"/>
    <w:rsid w:val="5A6C2F2E"/>
    <w:rsid w:val="5A8C3F39"/>
    <w:rsid w:val="5AA55A4C"/>
    <w:rsid w:val="5B0A142A"/>
    <w:rsid w:val="5C186031"/>
    <w:rsid w:val="5C367357"/>
    <w:rsid w:val="5C653D22"/>
    <w:rsid w:val="5C704435"/>
    <w:rsid w:val="5CA33A3C"/>
    <w:rsid w:val="5CE62B2B"/>
    <w:rsid w:val="5D1C02FB"/>
    <w:rsid w:val="5D243653"/>
    <w:rsid w:val="5D316A44"/>
    <w:rsid w:val="5D7A3273"/>
    <w:rsid w:val="5D9240DF"/>
    <w:rsid w:val="5DAE36CA"/>
    <w:rsid w:val="5DCB2F6D"/>
    <w:rsid w:val="5E1E7FFF"/>
    <w:rsid w:val="5EF57055"/>
    <w:rsid w:val="5F2A3FC9"/>
    <w:rsid w:val="5FD75AA2"/>
    <w:rsid w:val="601E6562"/>
    <w:rsid w:val="60B23AA2"/>
    <w:rsid w:val="61082CC1"/>
    <w:rsid w:val="612B536C"/>
    <w:rsid w:val="61534507"/>
    <w:rsid w:val="61DA0784"/>
    <w:rsid w:val="622D2FAA"/>
    <w:rsid w:val="624A590A"/>
    <w:rsid w:val="626D784A"/>
    <w:rsid w:val="62A8103F"/>
    <w:rsid w:val="635602DE"/>
    <w:rsid w:val="63D731CD"/>
    <w:rsid w:val="63E161AF"/>
    <w:rsid w:val="64175CC0"/>
    <w:rsid w:val="64AC12E0"/>
    <w:rsid w:val="64EE127E"/>
    <w:rsid w:val="661827DE"/>
    <w:rsid w:val="66193D37"/>
    <w:rsid w:val="67226E55"/>
    <w:rsid w:val="67980EC5"/>
    <w:rsid w:val="681349F0"/>
    <w:rsid w:val="682911B2"/>
    <w:rsid w:val="685B51AB"/>
    <w:rsid w:val="689B6EBF"/>
    <w:rsid w:val="68B12941"/>
    <w:rsid w:val="69342E70"/>
    <w:rsid w:val="6949721E"/>
    <w:rsid w:val="69840229"/>
    <w:rsid w:val="69C75A92"/>
    <w:rsid w:val="6A521800"/>
    <w:rsid w:val="6A5C442C"/>
    <w:rsid w:val="6A5E0EA9"/>
    <w:rsid w:val="6A9B50EB"/>
    <w:rsid w:val="6C007039"/>
    <w:rsid w:val="6C9D2ADA"/>
    <w:rsid w:val="6CBB057E"/>
    <w:rsid w:val="6CBD4F2A"/>
    <w:rsid w:val="6D162FB8"/>
    <w:rsid w:val="6D6178F2"/>
    <w:rsid w:val="6E3A67E1"/>
    <w:rsid w:val="6E767D58"/>
    <w:rsid w:val="6EB505AF"/>
    <w:rsid w:val="6F0A337B"/>
    <w:rsid w:val="6F307C36"/>
    <w:rsid w:val="6F5002D8"/>
    <w:rsid w:val="6F6A762E"/>
    <w:rsid w:val="6FC0545D"/>
    <w:rsid w:val="70425E72"/>
    <w:rsid w:val="71092785"/>
    <w:rsid w:val="712E4649"/>
    <w:rsid w:val="71AF12E6"/>
    <w:rsid w:val="71C34D91"/>
    <w:rsid w:val="724F4877"/>
    <w:rsid w:val="725B146D"/>
    <w:rsid w:val="72FA1DE1"/>
    <w:rsid w:val="735A34D3"/>
    <w:rsid w:val="73D239B1"/>
    <w:rsid w:val="73FF76A9"/>
    <w:rsid w:val="747405C4"/>
    <w:rsid w:val="74C17670"/>
    <w:rsid w:val="75790588"/>
    <w:rsid w:val="76726D86"/>
    <w:rsid w:val="76C70E7F"/>
    <w:rsid w:val="76DA2D53"/>
    <w:rsid w:val="76E978CB"/>
    <w:rsid w:val="77CD3E7A"/>
    <w:rsid w:val="781677B5"/>
    <w:rsid w:val="78A95037"/>
    <w:rsid w:val="7A637111"/>
    <w:rsid w:val="7A965738"/>
    <w:rsid w:val="7AE244DA"/>
    <w:rsid w:val="7B05641A"/>
    <w:rsid w:val="7B2F5245"/>
    <w:rsid w:val="7B7B492E"/>
    <w:rsid w:val="7B8F337E"/>
    <w:rsid w:val="7BDF0E66"/>
    <w:rsid w:val="7C0D5378"/>
    <w:rsid w:val="7CC3658D"/>
    <w:rsid w:val="7CCD2F68"/>
    <w:rsid w:val="7D2A396D"/>
    <w:rsid w:val="7D4D40A7"/>
    <w:rsid w:val="7E064983"/>
    <w:rsid w:val="7F5B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520" w:lineRule="exact"/>
      <w:ind w:firstLine="420" w:firstLineChars="200"/>
      <w:jc w:val="both"/>
    </w:pPr>
    <w:rPr>
      <w:rFonts w:ascii="Times New Roman" w:hAnsi="Times New Roman" w:eastAsia="宋体" w:cstheme="minorBidi"/>
      <w:kern w:val="2"/>
      <w:sz w:val="24"/>
      <w:szCs w:val="24"/>
      <w:lang w:val="en-US" w:eastAsia="zh-CN" w:bidi="ar-SA"/>
    </w:rPr>
  </w:style>
  <w:style w:type="paragraph" w:styleId="2">
    <w:name w:val="heading 1"/>
    <w:basedOn w:val="1"/>
    <w:next w:val="1"/>
    <w:autoRedefine/>
    <w:qFormat/>
    <w:uiPriority w:val="0"/>
    <w:pPr>
      <w:keepNext/>
      <w:keepLines/>
      <w:spacing w:beforeLines="0" w:beforeAutospacing="0" w:afterLines="0" w:afterAutospacing="0" w:line="520" w:lineRule="exact"/>
      <w:ind w:firstLine="0" w:firstLineChars="0"/>
      <w:jc w:val="center"/>
      <w:outlineLvl w:val="0"/>
    </w:pPr>
    <w:rPr>
      <w:rFonts w:eastAsia="黑体"/>
      <w:kern w:val="44"/>
      <w:sz w:val="30"/>
    </w:rPr>
  </w:style>
  <w:style w:type="paragraph" w:styleId="3">
    <w:name w:val="heading 2"/>
    <w:basedOn w:val="1"/>
    <w:next w:val="1"/>
    <w:autoRedefine/>
    <w:unhideWhenUsed/>
    <w:qFormat/>
    <w:uiPriority w:val="0"/>
    <w:pPr>
      <w:keepNext/>
      <w:keepLines/>
      <w:spacing w:beforeLines="0" w:beforeAutospacing="0" w:afterLines="0" w:afterAutospacing="0" w:line="520" w:lineRule="exact"/>
      <w:ind w:firstLine="0" w:firstLineChars="0"/>
      <w:outlineLvl w:val="1"/>
    </w:pPr>
    <w:rPr>
      <w:rFonts w:ascii="Times New Roman" w:hAnsi="Times New Roman" w:eastAsia="宋体"/>
      <w:b/>
      <w:sz w:val="28"/>
    </w:rPr>
  </w:style>
  <w:style w:type="paragraph" w:styleId="4">
    <w:name w:val="heading 3"/>
    <w:basedOn w:val="1"/>
    <w:next w:val="1"/>
    <w:link w:val="25"/>
    <w:autoRedefine/>
    <w:unhideWhenUsed/>
    <w:qFormat/>
    <w:uiPriority w:val="0"/>
    <w:pPr>
      <w:keepNext/>
      <w:keepLines/>
      <w:spacing w:beforeLines="0" w:beforeAutospacing="0" w:afterLines="0" w:afterAutospacing="0" w:line="520" w:lineRule="exact"/>
      <w:ind w:firstLine="0" w:firstLineChars="0"/>
      <w:outlineLvl w:val="2"/>
    </w:pPr>
    <w:rPr>
      <w:rFonts w:ascii="Times New Roman" w:hAnsi="Times New Roman" w:eastAsia="宋体"/>
      <w:b/>
    </w:rPr>
  </w:style>
  <w:style w:type="paragraph" w:styleId="5">
    <w:name w:val="heading 4"/>
    <w:basedOn w:val="1"/>
    <w:next w:val="1"/>
    <w:autoRedefine/>
    <w:unhideWhenUsed/>
    <w:qFormat/>
    <w:uiPriority w:val="0"/>
    <w:pPr>
      <w:keepNext/>
      <w:keepLines/>
      <w:spacing w:beforeLines="0" w:beforeAutospacing="0" w:afterLines="0" w:afterAutospacing="0" w:line="520" w:lineRule="atLeast"/>
      <w:ind w:firstLine="0" w:firstLineChars="0"/>
      <w:outlineLvl w:val="3"/>
    </w:pPr>
    <w:rPr>
      <w:rFonts w:ascii="Times New Roman" w:hAnsi="Times New Roman" w:eastAsia="宋体"/>
      <w:sz w:val="24"/>
    </w:rPr>
  </w:style>
  <w:style w:type="character" w:default="1" w:styleId="19">
    <w:name w:val="Default Paragraph Font"/>
    <w:autoRedefine/>
    <w:semiHidden/>
    <w:qFormat/>
    <w:uiPriority w:val="0"/>
  </w:style>
  <w:style w:type="table" w:default="1" w:styleId="17">
    <w:name w:val="Normal Table"/>
    <w:autoRedefine/>
    <w:semiHidden/>
    <w:qFormat/>
    <w:uiPriority w:val="0"/>
    <w:tblPr>
      <w:tblCellMar>
        <w:top w:w="0" w:type="dxa"/>
        <w:left w:w="108" w:type="dxa"/>
        <w:bottom w:w="0" w:type="dxa"/>
        <w:right w:w="108" w:type="dxa"/>
      </w:tblCellMar>
    </w:tblPr>
  </w:style>
  <w:style w:type="paragraph" w:styleId="6">
    <w:name w:val="List 3"/>
    <w:basedOn w:val="1"/>
    <w:next w:val="1"/>
    <w:autoRedefine/>
    <w:qFormat/>
    <w:uiPriority w:val="0"/>
    <w:pPr>
      <w:autoSpaceDE w:val="0"/>
      <w:autoSpaceDN w:val="0"/>
      <w:adjustRightInd w:val="0"/>
      <w:spacing w:line="288" w:lineRule="auto"/>
      <w:ind w:left="1260" w:hanging="420"/>
      <w:jc w:val="left"/>
      <w:textAlignment w:val="baseline"/>
    </w:pPr>
    <w:rPr>
      <w:kern w:val="0"/>
      <w:sz w:val="24"/>
      <w:szCs w:val="20"/>
    </w:rPr>
  </w:style>
  <w:style w:type="paragraph" w:styleId="7">
    <w:name w:val="Normal Indent"/>
    <w:basedOn w:val="1"/>
    <w:next w:val="1"/>
    <w:autoRedefine/>
    <w:qFormat/>
    <w:uiPriority w:val="0"/>
    <w:pPr>
      <w:ind w:firstLine="420"/>
    </w:pPr>
    <w:rPr>
      <w:sz w:val="28"/>
      <w:szCs w:val="20"/>
    </w:rPr>
  </w:style>
  <w:style w:type="paragraph" w:styleId="8">
    <w:name w:val="annotation text"/>
    <w:basedOn w:val="1"/>
    <w:autoRedefine/>
    <w:qFormat/>
    <w:uiPriority w:val="0"/>
    <w:pPr>
      <w:jc w:val="left"/>
    </w:pPr>
  </w:style>
  <w:style w:type="paragraph" w:styleId="9">
    <w:name w:val="Body Text"/>
    <w:basedOn w:val="1"/>
    <w:qFormat/>
    <w:uiPriority w:val="0"/>
    <w:pPr>
      <w:widowControl/>
      <w:snapToGrid w:val="0"/>
      <w:spacing w:before="60" w:after="160" w:line="259" w:lineRule="auto"/>
      <w:ind w:right="113"/>
    </w:pPr>
    <w:rPr>
      <w:rFonts w:cs="Times New Roman"/>
      <w:kern w:val="0"/>
      <w:sz w:val="18"/>
      <w:szCs w:val="20"/>
    </w:rPr>
  </w:style>
  <w:style w:type="paragraph" w:styleId="10">
    <w:name w:val="List 2"/>
    <w:basedOn w:val="1"/>
    <w:autoRedefine/>
    <w:qFormat/>
    <w:uiPriority w:val="0"/>
    <w:rPr>
      <w:rFonts w:ascii="楷体_GB2312" w:hAnsi="宋体" w:eastAsia="楷体_GB2312"/>
      <w:color w:val="000000"/>
      <w:kern w:val="0"/>
      <w:sz w:val="20"/>
      <w:szCs w:val="28"/>
    </w:rPr>
  </w:style>
  <w:style w:type="paragraph" w:styleId="11">
    <w:name w:val="Plain Text"/>
    <w:basedOn w:val="1"/>
    <w:autoRedefine/>
    <w:qFormat/>
    <w:uiPriority w:val="0"/>
    <w:rPr>
      <w:rFonts w:ascii="宋体" w:hAnsi="Courier New"/>
      <w:szCs w:val="20"/>
    </w:rPr>
  </w:style>
  <w:style w:type="paragraph" w:styleId="12">
    <w:name w:val="List Bullet 5"/>
    <w:basedOn w:val="1"/>
    <w:qFormat/>
    <w:uiPriority w:val="0"/>
    <w:pPr>
      <w:numPr>
        <w:ilvl w:val="0"/>
        <w:numId w:val="1"/>
      </w:numPr>
    </w:pPr>
  </w:style>
  <w:style w:type="paragraph" w:styleId="13">
    <w:name w:val="footer"/>
    <w:basedOn w:val="1"/>
    <w:autoRedefine/>
    <w:qFormat/>
    <w:uiPriority w:val="99"/>
    <w:pPr>
      <w:tabs>
        <w:tab w:val="center" w:pos="4153"/>
        <w:tab w:val="right" w:pos="8306"/>
      </w:tabs>
      <w:snapToGrid w:val="0"/>
      <w:jc w:val="left"/>
    </w:pPr>
    <w:rPr>
      <w:kern w:val="0"/>
      <w:sz w:val="18"/>
      <w:szCs w:val="20"/>
    </w:rPr>
  </w:style>
  <w:style w:type="paragraph" w:styleId="14">
    <w:name w:val="header"/>
    <w:basedOn w:val="1"/>
    <w:autoRedefine/>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5">
    <w:name w:val="Body Text 2"/>
    <w:basedOn w:val="1"/>
    <w:autoRedefine/>
    <w:qFormat/>
    <w:uiPriority w:val="0"/>
    <w:pPr>
      <w:spacing w:after="120" w:line="480" w:lineRule="auto"/>
    </w:pPr>
  </w:style>
  <w:style w:type="paragraph" w:styleId="16">
    <w:name w:val="Normal (Web)"/>
    <w:basedOn w:val="1"/>
    <w:autoRedefine/>
    <w:qFormat/>
    <w:uiPriority w:val="0"/>
    <w:pPr>
      <w:widowControl/>
      <w:spacing w:before="100" w:beforeAutospacing="1" w:after="100" w:afterAutospacing="1"/>
      <w:jc w:val="left"/>
    </w:pPr>
    <w:rPr>
      <w:rFonts w:ascii="宋体" w:hAnsi="宋体"/>
      <w:kern w:val="0"/>
      <w:szCs w:val="20"/>
    </w:rPr>
  </w:style>
  <w:style w:type="table" w:styleId="18">
    <w:name w:val="Table Grid"/>
    <w:basedOn w:val="1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autoRedefine/>
    <w:qFormat/>
    <w:uiPriority w:val="0"/>
    <w:rPr>
      <w:b/>
    </w:rPr>
  </w:style>
  <w:style w:type="character" w:styleId="21">
    <w:name w:val="page number"/>
    <w:basedOn w:val="19"/>
    <w:autoRedefine/>
    <w:qFormat/>
    <w:uiPriority w:val="0"/>
  </w:style>
  <w:style w:type="character" w:styleId="22">
    <w:name w:val="Emphasis"/>
    <w:basedOn w:val="19"/>
    <w:autoRedefine/>
    <w:qFormat/>
    <w:uiPriority w:val="0"/>
    <w:rPr>
      <w:i/>
    </w:rPr>
  </w:style>
  <w:style w:type="character" w:styleId="23">
    <w:name w:val="Hyperlink"/>
    <w:basedOn w:val="19"/>
    <w:autoRedefine/>
    <w:qFormat/>
    <w:uiPriority w:val="0"/>
    <w:rPr>
      <w:color w:val="0000FF"/>
      <w:u w:val="single"/>
    </w:rPr>
  </w:style>
  <w:style w:type="character" w:styleId="24">
    <w:name w:val="annotation reference"/>
    <w:semiHidden/>
    <w:qFormat/>
    <w:uiPriority w:val="0"/>
    <w:rPr>
      <w:sz w:val="21"/>
    </w:rPr>
  </w:style>
  <w:style w:type="character" w:customStyle="1" w:styleId="25">
    <w:name w:val="标题 3 Char"/>
    <w:link w:val="4"/>
    <w:autoRedefine/>
    <w:qFormat/>
    <w:uiPriority w:val="0"/>
    <w:rPr>
      <w:rFonts w:ascii="Times New Roman" w:hAnsi="Times New Roman" w:eastAsia="宋体"/>
      <w:b/>
    </w:rPr>
  </w:style>
  <w:style w:type="paragraph" w:customStyle="1" w:styleId="26">
    <w:name w:val="表格文字"/>
    <w:basedOn w:val="11"/>
    <w:autoRedefine/>
    <w:qFormat/>
    <w:uiPriority w:val="0"/>
    <w:pPr>
      <w:widowControl w:val="0"/>
      <w:autoSpaceDE/>
      <w:autoSpaceDN/>
      <w:adjustRightInd w:val="0"/>
      <w:spacing w:line="240" w:lineRule="auto"/>
      <w:ind w:firstLine="0" w:firstLineChars="0"/>
      <w:jc w:val="left"/>
    </w:pPr>
    <w:rPr>
      <w:rFonts w:ascii="Times New Roman" w:hAnsi="Times New Roman" w:eastAsia="宋体" w:cs="Times New Roman"/>
      <w:color w:val="000000"/>
      <w:sz w:val="21"/>
      <w:szCs w:val="28"/>
    </w:rPr>
  </w:style>
  <w:style w:type="paragraph" w:customStyle="1" w:styleId="27">
    <w:name w:val="表头"/>
    <w:basedOn w:val="1"/>
    <w:next w:val="1"/>
    <w:link w:val="29"/>
    <w:autoRedefine/>
    <w:qFormat/>
    <w:uiPriority w:val="99"/>
    <w:pPr>
      <w:autoSpaceDE/>
      <w:autoSpaceDN/>
      <w:adjustRightInd w:val="0"/>
      <w:ind w:firstLine="0" w:firstLineChars="0"/>
      <w:jc w:val="center"/>
      <w:textAlignment w:val="baseline"/>
    </w:pPr>
    <w:rPr>
      <w:rFonts w:ascii="Times New Roman" w:hAnsi="Times New Roman" w:eastAsia="黑体"/>
      <w:szCs w:val="20"/>
    </w:rPr>
  </w:style>
  <w:style w:type="paragraph" w:customStyle="1" w:styleId="28">
    <w:name w:val="表格"/>
    <w:basedOn w:val="7"/>
    <w:next w:val="1"/>
    <w:link w:val="31"/>
    <w:autoRedefine/>
    <w:qFormat/>
    <w:uiPriority w:val="0"/>
    <w:pPr>
      <w:spacing w:line="240" w:lineRule="auto"/>
      <w:ind w:firstLine="0" w:firstLineChars="0"/>
      <w:jc w:val="center"/>
    </w:pPr>
    <w:rPr>
      <w:rFonts w:cs="宋体"/>
      <w:sz w:val="21"/>
      <w:szCs w:val="21"/>
    </w:rPr>
  </w:style>
  <w:style w:type="character" w:customStyle="1" w:styleId="29">
    <w:name w:val="表头 Char"/>
    <w:link w:val="27"/>
    <w:autoRedefine/>
    <w:qFormat/>
    <w:uiPriority w:val="99"/>
    <w:rPr>
      <w:rFonts w:ascii="Times New Roman" w:hAnsi="Times New Roman" w:eastAsia="黑体"/>
      <w:szCs w:val="20"/>
    </w:rPr>
  </w:style>
  <w:style w:type="paragraph" w:styleId="30">
    <w:name w:val="List Paragraph"/>
    <w:basedOn w:val="1"/>
    <w:autoRedefine/>
    <w:qFormat/>
    <w:uiPriority w:val="34"/>
    <w:pPr>
      <w:ind w:firstLine="420" w:firstLineChars="200"/>
    </w:pPr>
  </w:style>
  <w:style w:type="character" w:customStyle="1" w:styleId="31">
    <w:name w:val="表格 Char"/>
    <w:link w:val="28"/>
    <w:autoRedefine/>
    <w:qFormat/>
    <w:uiPriority w:val="0"/>
    <w:rPr>
      <w:rFonts w:cs="宋体"/>
      <w:sz w:val="21"/>
      <w:szCs w:val="21"/>
    </w:rPr>
  </w:style>
  <w:style w:type="paragraph" w:customStyle="1" w:styleId="32">
    <w:name w:val="正文2"/>
    <w:basedOn w:val="1"/>
    <w:qFormat/>
    <w:uiPriority w:val="0"/>
    <w:pPr>
      <w:adjustRightInd w:val="0"/>
      <w:snapToGrid w:val="0"/>
      <w:spacing w:line="360" w:lineRule="exact"/>
      <w:jc w:val="center"/>
    </w:pPr>
    <w:rPr>
      <w:rFonts w:ascii="Times New Roman" w:hAnsi="Times New Roman" w:eastAsia="宋体"/>
      <w:szCs w:val="24"/>
    </w:rPr>
  </w:style>
  <w:style w:type="paragraph" w:customStyle="1" w:styleId="33">
    <w:name w:val="表中文字"/>
    <w:basedOn w:val="1"/>
    <w:qFormat/>
    <w:uiPriority w:val="0"/>
    <w:pPr>
      <w:adjustRightInd w:val="0"/>
      <w:snapToGrid w:val="0"/>
      <w:spacing w:line="400" w:lineRule="exact"/>
      <w:jc w:val="center"/>
    </w:pPr>
    <w:rPr>
      <w:rFonts w:ascii="Times New Roman" w:hAnsi="Times New Roman" w:eastAsia="宋体"/>
      <w:kern w:val="0"/>
      <w:sz w:val="20"/>
      <w:szCs w:val="24"/>
    </w:rPr>
  </w:style>
  <w:style w:type="paragraph" w:customStyle="1" w:styleId="34">
    <w:name w:val="表格内居中文字"/>
    <w:qFormat/>
    <w:uiPriority w:val="0"/>
    <w:pPr>
      <w:jc w:val="center"/>
    </w:pPr>
    <w:rPr>
      <w:rFonts w:ascii="Times New Roman" w:hAnsi="Times New Roman" w:eastAsia="宋体" w:cs="Times New Roman"/>
      <w:kern w:val="2"/>
      <w:sz w:val="21"/>
      <w:szCs w:val="24"/>
      <w:lang w:val="en-US" w:eastAsia="zh-CN" w:bidi="ar-SA"/>
    </w:rPr>
  </w:style>
  <w:style w:type="paragraph" w:customStyle="1" w:styleId="35">
    <w:name w:val="大表中文字"/>
    <w:basedOn w:val="1"/>
    <w:qFormat/>
    <w:uiPriority w:val="0"/>
    <w:pPr>
      <w:adjustRightInd w:val="0"/>
      <w:snapToGrid w:val="0"/>
      <w:spacing w:line="400" w:lineRule="exact"/>
      <w:jc w:val="center"/>
    </w:pPr>
  </w:style>
  <w:style w:type="paragraph" w:customStyle="1" w:styleId="36">
    <w:name w:val="正文-欣欣"/>
    <w:basedOn w:val="1"/>
    <w:next w:val="1"/>
    <w:qFormat/>
    <w:uiPriority w:val="0"/>
    <w:pPr>
      <w:spacing w:line="360" w:lineRule="auto"/>
      <w:ind w:firstLine="480" w:firstLineChars="200"/>
    </w:pPr>
    <w:rPr>
      <w:rFonts w:ascii="Times New Roman" w:hAnsi="Times New Roman"/>
      <w:bCs/>
      <w:sz w:val="24"/>
      <w:szCs w:val="24"/>
    </w:rPr>
  </w:style>
  <w:style w:type="paragraph" w:customStyle="1" w:styleId="37">
    <w:name w:val="Table Paragraph"/>
    <w:basedOn w:val="1"/>
    <w:qFormat/>
    <w:uiPriority w:val="1"/>
    <w:pPr>
      <w:jc w:val="left"/>
    </w:pPr>
    <w:rPr>
      <w:kern w:val="0"/>
      <w:sz w:val="22"/>
      <w:szCs w:val="22"/>
      <w:lang w:eastAsia="en-US"/>
    </w:rPr>
  </w:style>
  <w:style w:type="paragraph" w:customStyle="1" w:styleId="38">
    <w:name w:val="表格格式1-2"/>
    <w:basedOn w:val="1"/>
    <w:qFormat/>
    <w:uiPriority w:val="0"/>
    <w:pPr>
      <w:jc w:val="center"/>
    </w:pPr>
    <w:rPr>
      <w:sz w:val="21"/>
      <w:szCs w:val="21"/>
    </w:rPr>
  </w:style>
  <w:style w:type="paragraph" w:customStyle="1" w:styleId="39">
    <w:name w:val="样式 13 磅 行距: 固定值 25 磅"/>
    <w:basedOn w:val="1"/>
    <w:qFormat/>
    <w:uiPriority w:val="0"/>
    <w:pPr>
      <w:spacing w:line="500" w:lineRule="exact"/>
      <w:ind w:firstLine="520" w:firstLineChars="200"/>
    </w:pPr>
    <w:rPr>
      <w:rFonts w:cs="宋体"/>
      <w:sz w:val="26"/>
    </w:rPr>
  </w:style>
  <w:style w:type="paragraph" w:customStyle="1" w:styleId="40">
    <w:name w:val="Table Text"/>
    <w:basedOn w:val="1"/>
    <w:autoRedefine/>
    <w:semiHidden/>
    <w:qFormat/>
    <w:uiPriority w:val="0"/>
    <w:rPr>
      <w:rFonts w:ascii="宋体" w:hAnsi="宋体" w:cs="宋体"/>
      <w:sz w:val="20"/>
      <w:szCs w:val="20"/>
      <w:lang w:eastAsia="en-US"/>
    </w:rPr>
  </w:style>
  <w:style w:type="paragraph" w:customStyle="1" w:styleId="41">
    <w:name w:val="表格1"/>
    <w:basedOn w:val="1"/>
    <w:qFormat/>
    <w:uiPriority w:val="0"/>
    <w:pPr>
      <w:ind w:firstLine="360"/>
    </w:pPr>
    <w:rPr>
      <w:sz w:val="18"/>
      <w:szCs w:val="21"/>
    </w:rPr>
  </w:style>
  <w:style w:type="table" w:customStyle="1" w:styleId="42">
    <w:name w:val="Table Normal"/>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43">
    <w:name w:val="Default"/>
    <w:qForma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 w:type="paragraph" w:customStyle="1" w:styleId="44">
    <w:name w:val="正文 首行缩进:  2 字符"/>
    <w:basedOn w:val="1"/>
    <w:qFormat/>
    <w:uiPriority w:val="0"/>
    <w:pPr>
      <w:autoSpaceDE w:val="0"/>
      <w:autoSpaceDN w:val="0"/>
      <w:adjustRightInd w:val="0"/>
      <w:spacing w:line="500" w:lineRule="exact"/>
      <w:outlineLvl w:val="0"/>
    </w:pPr>
    <w:rPr>
      <w:rFonts w:ascii="宋体" w:hAnsi="宋体"/>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wmf"/><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"/>
    </extobj>
    <extobj name="ECB019B1-382A-4266-B25C-5B523AA43C14-2">
      <extobjdata type="ECB019B1-382A-4266-B25C-5B523AA43C14" data="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"/>
    </extobj>
    <extobj name="ECB019B1-382A-4266-B25C-5B523AA43C14-3">
      <extobjdata type="ECB019B1-382A-4266-B25C-5B523AA43C14" data="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68</Pages>
  <Words>12343</Words>
  <Characters>12855</Characters>
  <Lines>0</Lines>
  <Paragraphs>0</Paragraphs>
  <TotalTime>10</TotalTime>
  <ScaleCrop>false</ScaleCrop>
  <LinksUpToDate>false</LinksUpToDate>
  <CharactersWithSpaces>12977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2023-10-31T06:43:00Z</dcterms:created>
  <dc:creator>凉秋未至</dc:creator>
  <cp:lastModifiedBy>煎饼果子</cp:lastModifiedBy>
  <dcterms:modified xsi:type="dcterms:W3CDTF">2025-03-13T09:45:25Z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6C62AA0B8D0D4D0E8E1A00B82AF078B7_13</vt:lpwstr>
  </property>
  <property fmtid="{D5CDD505-2E9C-101B-9397-08002B2CF9AE}" pid="4" name="KSOTemplateDocerSaveRecord">
    <vt:lpwstr>eyJoZGlkIjoiMmIxNDA0YjI3MWM4MDA4MTAzYjExYzhiOTQxZjY1NDQiLCJ1c2VySWQiOiIyNjAzNTAwMDMifQ==</vt:lpwstr>
  </property>
</Properties>
</file>